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033AC">
      <w:pPr>
        <w:rPr>
          <w:lang w:val="zh-CN"/>
        </w:rPr>
      </w:pPr>
      <w:r>
        <w:rPr>
          <w:rFonts w:hint="eastAsia" w:ascii="Times New Roman" w:hAnsi="Times New Roman" w:cs="Times New Roman" w:eastAsiaTheme="minorEastAsia"/>
          <w:b w:val="0"/>
          <w:bCs w:val="0"/>
          <w:color w:val="auto"/>
          <w:kern w:val="2"/>
          <w:sz w:val="32"/>
          <w:szCs w:val="32"/>
          <w:lang w:val="zh-CN" w:eastAsia="zh-CN"/>
        </w:rPr>
        <w:drawing>
          <wp:inline distT="0" distB="0" distL="114300" distR="114300">
            <wp:extent cx="5269230" cy="7452360"/>
            <wp:effectExtent l="0" t="0" r="7620" b="15240"/>
            <wp:docPr id="10" name="图片 10" descr="封面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_01(1)"/>
                    <pic:cNvPicPr>
                      <a:picLocks noChangeAspect="1"/>
                    </pic:cNvPicPr>
                  </pic:nvPicPr>
                  <pic:blipFill>
                    <a:blip r:embed="rId8"/>
                    <a:stretch>
                      <a:fillRect/>
                    </a:stretch>
                  </pic:blipFill>
                  <pic:spPr>
                    <a:xfrm>
                      <a:off x="0" y="0"/>
                      <a:ext cx="5269230" cy="7452360"/>
                    </a:xfrm>
                    <a:prstGeom prst="rect">
                      <a:avLst/>
                    </a:prstGeom>
                  </pic:spPr>
                </pic:pic>
              </a:graphicData>
            </a:graphic>
          </wp:inline>
        </w:drawing>
      </w:r>
      <w:r>
        <w:rPr>
          <w:rFonts w:hint="eastAsia" w:ascii="Times New Roman" w:hAnsi="Times New Roman" w:cs="Times New Roman" w:eastAsiaTheme="minorEastAsia"/>
          <w:b w:val="0"/>
          <w:bCs w:val="0"/>
          <w:color w:val="auto"/>
          <w:kern w:val="2"/>
          <w:sz w:val="32"/>
          <w:szCs w:val="32"/>
          <w:lang w:val="zh-CN" w:eastAsia="zh-CN"/>
        </w:rPr>
        <w:br w:type="page"/>
      </w:r>
    </w:p>
    <w:sdt>
      <w:sdtPr>
        <w:rPr>
          <w:rFonts w:ascii="Times New Roman" w:hAnsi="Times New Roman" w:cs="Times New Roman" w:eastAsiaTheme="minorEastAsia"/>
          <w:b w:val="0"/>
          <w:bCs w:val="0"/>
          <w:color w:val="auto"/>
          <w:kern w:val="2"/>
          <w:sz w:val="32"/>
          <w:szCs w:val="32"/>
          <w:lang w:val="zh-CN"/>
        </w:rPr>
        <w:id w:val="4715157"/>
        <w:docPartObj>
          <w:docPartGallery w:val="Table of Contents"/>
          <w:docPartUnique/>
        </w:docPartObj>
      </w:sdtPr>
      <w:sdtEndPr>
        <w:rPr>
          <w:rFonts w:ascii="Times New Roman" w:hAnsi="Times New Roman" w:cs="Times New Roman" w:eastAsiaTheme="minorEastAsia"/>
          <w:b w:val="0"/>
          <w:bCs w:val="0"/>
          <w:color w:val="auto"/>
          <w:kern w:val="2"/>
          <w:sz w:val="24"/>
          <w:szCs w:val="22"/>
          <w:lang w:val="en-US"/>
        </w:rPr>
      </w:sdtEndPr>
      <w:sdtContent>
        <w:p w14:paraId="38AF3CAA">
          <w:pPr>
            <w:pStyle w:val="45"/>
            <w:spacing w:before="0" w:line="480" w:lineRule="auto"/>
            <w:jc w:val="center"/>
            <w:rPr>
              <w:rFonts w:ascii="Times New Roman" w:hAnsi="Times New Roman" w:cs="Times New Roman"/>
              <w:color w:val="auto"/>
              <w:sz w:val="32"/>
              <w:szCs w:val="32"/>
            </w:rPr>
          </w:pPr>
          <w:bookmarkStart w:id="0" w:name="_Toc460833573"/>
          <w:r>
            <w:rPr>
              <w:rFonts w:ascii="Times New Roman" w:cs="Times New Roman"/>
              <w:color w:val="auto"/>
              <w:sz w:val="32"/>
              <w:szCs w:val="32"/>
              <w:lang w:val="zh-CN"/>
            </w:rPr>
            <w:t>目</w:t>
          </w:r>
          <w:r>
            <w:rPr>
              <w:rFonts w:ascii="Times New Roman" w:hAnsi="Times New Roman" w:cs="Times New Roman"/>
              <w:color w:val="auto"/>
              <w:sz w:val="32"/>
              <w:szCs w:val="32"/>
              <w:lang w:val="zh-CN"/>
            </w:rPr>
            <w:t xml:space="preserve">   </w:t>
          </w:r>
          <w:r>
            <w:rPr>
              <w:rFonts w:ascii="Times New Roman" w:cs="Times New Roman"/>
              <w:color w:val="auto"/>
              <w:sz w:val="32"/>
              <w:szCs w:val="32"/>
              <w:lang w:val="zh-CN"/>
            </w:rPr>
            <w:t>录</w:t>
          </w:r>
        </w:p>
        <w:p w14:paraId="4AA65D9E">
          <w:pPr>
            <w:pStyle w:val="21"/>
            <w:tabs>
              <w:tab w:val="right" w:leader="dot" w:pos="8306"/>
              <w:tab w:val="clear" w:pos="426"/>
              <w:tab w:val="clear" w:pos="8296"/>
            </w:tabs>
          </w:pPr>
          <w:r>
            <w:rPr>
              <w:rFonts w:cs="Times New Roman"/>
            </w:rPr>
            <w:fldChar w:fldCharType="begin"/>
          </w:r>
          <w:r>
            <w:rPr>
              <w:rFonts w:cs="Times New Roman"/>
            </w:rPr>
            <w:instrText xml:space="preserve"> TOC \o "1-2" \h \z \u </w:instrText>
          </w:r>
          <w:r>
            <w:rPr>
              <w:rFonts w:cs="Times New Roman"/>
            </w:rPr>
            <w:fldChar w:fldCharType="separate"/>
          </w:r>
          <w:r>
            <w:rPr>
              <w:rFonts w:cs="Times New Roman"/>
            </w:rPr>
            <w:fldChar w:fldCharType="begin"/>
          </w:r>
          <w:r>
            <w:rPr>
              <w:rFonts w:cs="Times New Roman"/>
            </w:rPr>
            <w:instrText xml:space="preserve"> HYPERLINK \l _Toc29355 </w:instrText>
          </w:r>
          <w:r>
            <w:rPr>
              <w:rFonts w:cs="Times New Roman"/>
            </w:rPr>
            <w:fldChar w:fldCharType="separate"/>
          </w:r>
          <w:r>
            <w:rPr>
              <w:rFonts w:hint="default" w:ascii="Times New Roman" w:hAnsi="Times New Roman" w:eastAsia="宋体" w:cs="Arial"/>
              <w:i w:val="0"/>
              <w:szCs w:val="24"/>
            </w:rPr>
            <w:t xml:space="preserve">1 </w:t>
          </w:r>
          <w:r>
            <w:rPr>
              <w:rFonts w:cs="Times New Roman"/>
            </w:rPr>
            <w:t>编制依据</w:t>
          </w:r>
          <w:r>
            <w:tab/>
          </w:r>
          <w:r>
            <w:fldChar w:fldCharType="begin"/>
          </w:r>
          <w:r>
            <w:instrText xml:space="preserve"> PAGEREF _Toc29355 \h </w:instrText>
          </w:r>
          <w:r>
            <w:fldChar w:fldCharType="separate"/>
          </w:r>
          <w:r>
            <w:t>5</w:t>
          </w:r>
          <w:r>
            <w:fldChar w:fldCharType="end"/>
          </w:r>
          <w:r>
            <w:rPr>
              <w:rFonts w:cs="Times New Roman"/>
            </w:rPr>
            <w:fldChar w:fldCharType="end"/>
          </w:r>
        </w:p>
        <w:p w14:paraId="4BE93D06">
          <w:pPr>
            <w:pStyle w:val="23"/>
            <w:tabs>
              <w:tab w:val="right" w:leader="dot" w:pos="8306"/>
            </w:tabs>
          </w:pPr>
          <w:r>
            <w:rPr>
              <w:rFonts w:cs="Times New Roman"/>
            </w:rPr>
            <w:fldChar w:fldCharType="begin"/>
          </w:r>
          <w:r>
            <w:rPr>
              <w:rFonts w:cs="Times New Roman"/>
            </w:rPr>
            <w:instrText xml:space="preserve"> HYPERLINK \l _Toc14878 </w:instrText>
          </w:r>
          <w:r>
            <w:rPr>
              <w:rFonts w:cs="Times New Roman"/>
            </w:rPr>
            <w:fldChar w:fldCharType="separate"/>
          </w:r>
          <w:r>
            <w:rPr>
              <w:rFonts w:hint="eastAsia" w:cs="Times New Roman"/>
            </w:rPr>
            <w:t xml:space="preserve">1.1 </w:t>
          </w:r>
          <w:r>
            <w:rPr>
              <w:rFonts w:cs="Times New Roman"/>
            </w:rPr>
            <w:t>法律法规及技术规程规范</w:t>
          </w:r>
          <w:r>
            <w:tab/>
          </w:r>
          <w:r>
            <w:fldChar w:fldCharType="begin"/>
          </w:r>
          <w:r>
            <w:instrText xml:space="preserve"> PAGEREF _Toc14878 \h </w:instrText>
          </w:r>
          <w:r>
            <w:fldChar w:fldCharType="separate"/>
          </w:r>
          <w:r>
            <w:t>5</w:t>
          </w:r>
          <w:r>
            <w:fldChar w:fldCharType="end"/>
          </w:r>
          <w:r>
            <w:rPr>
              <w:rFonts w:cs="Times New Roman"/>
            </w:rPr>
            <w:fldChar w:fldCharType="end"/>
          </w:r>
        </w:p>
        <w:p w14:paraId="2D95C9BB">
          <w:pPr>
            <w:pStyle w:val="23"/>
            <w:tabs>
              <w:tab w:val="right" w:leader="dot" w:pos="8306"/>
            </w:tabs>
          </w:pPr>
          <w:r>
            <w:rPr>
              <w:rFonts w:cs="Times New Roman"/>
            </w:rPr>
            <w:fldChar w:fldCharType="begin"/>
          </w:r>
          <w:r>
            <w:rPr>
              <w:rFonts w:cs="Times New Roman"/>
            </w:rPr>
            <w:instrText xml:space="preserve"> HYPERLINK \l _Toc32205 </w:instrText>
          </w:r>
          <w:r>
            <w:rPr>
              <w:rFonts w:cs="Times New Roman"/>
            </w:rPr>
            <w:fldChar w:fldCharType="separate"/>
          </w:r>
          <w:r>
            <w:rPr>
              <w:rFonts w:hint="eastAsia" w:cs="Times New Roman"/>
            </w:rPr>
            <w:t xml:space="preserve">1.2 </w:t>
          </w:r>
          <w:r>
            <w:rPr>
              <w:rFonts w:cs="Times New Roman"/>
            </w:rPr>
            <w:t>其他</w:t>
          </w:r>
          <w:r>
            <w:tab/>
          </w:r>
          <w:r>
            <w:fldChar w:fldCharType="begin"/>
          </w:r>
          <w:r>
            <w:instrText xml:space="preserve"> PAGEREF _Toc32205 \h </w:instrText>
          </w:r>
          <w:r>
            <w:fldChar w:fldCharType="separate"/>
          </w:r>
          <w:r>
            <w:t>5</w:t>
          </w:r>
          <w:r>
            <w:fldChar w:fldCharType="end"/>
          </w:r>
          <w:r>
            <w:rPr>
              <w:rFonts w:cs="Times New Roman"/>
            </w:rPr>
            <w:fldChar w:fldCharType="end"/>
          </w:r>
        </w:p>
        <w:p w14:paraId="2C133342">
          <w:pPr>
            <w:pStyle w:val="21"/>
            <w:tabs>
              <w:tab w:val="right" w:leader="dot" w:pos="8306"/>
              <w:tab w:val="clear" w:pos="426"/>
              <w:tab w:val="clear" w:pos="8296"/>
            </w:tabs>
          </w:pPr>
          <w:r>
            <w:rPr>
              <w:rFonts w:cs="Times New Roman"/>
            </w:rPr>
            <w:fldChar w:fldCharType="begin"/>
          </w:r>
          <w:r>
            <w:rPr>
              <w:rFonts w:cs="Times New Roman"/>
            </w:rPr>
            <w:instrText xml:space="preserve"> HYPERLINK \l _Toc16597 </w:instrText>
          </w:r>
          <w:r>
            <w:rPr>
              <w:rFonts w:cs="Times New Roman"/>
            </w:rPr>
            <w:fldChar w:fldCharType="separate"/>
          </w:r>
          <w:r>
            <w:rPr>
              <w:rFonts w:hint="default" w:ascii="Times New Roman" w:hAnsi="Times New Roman" w:eastAsia="宋体" w:cs="Arial"/>
              <w:i w:val="0"/>
              <w:szCs w:val="24"/>
            </w:rPr>
            <w:t xml:space="preserve">2 </w:t>
          </w:r>
          <w:r>
            <w:rPr>
              <w:rFonts w:cs="Times New Roman"/>
            </w:rPr>
            <w:t>工程概况</w:t>
          </w:r>
          <w:r>
            <w:tab/>
          </w:r>
          <w:r>
            <w:fldChar w:fldCharType="begin"/>
          </w:r>
          <w:r>
            <w:instrText xml:space="preserve"> PAGEREF _Toc16597 \h </w:instrText>
          </w:r>
          <w:r>
            <w:fldChar w:fldCharType="separate"/>
          </w:r>
          <w:r>
            <w:t>6</w:t>
          </w:r>
          <w:r>
            <w:fldChar w:fldCharType="end"/>
          </w:r>
          <w:r>
            <w:rPr>
              <w:rFonts w:cs="Times New Roman"/>
            </w:rPr>
            <w:fldChar w:fldCharType="end"/>
          </w:r>
        </w:p>
        <w:p w14:paraId="0C2423BE">
          <w:pPr>
            <w:pStyle w:val="23"/>
            <w:tabs>
              <w:tab w:val="right" w:leader="dot" w:pos="8306"/>
            </w:tabs>
          </w:pPr>
          <w:r>
            <w:rPr>
              <w:rFonts w:cs="Times New Roman"/>
            </w:rPr>
            <w:fldChar w:fldCharType="begin"/>
          </w:r>
          <w:r>
            <w:rPr>
              <w:rFonts w:cs="Times New Roman"/>
            </w:rPr>
            <w:instrText xml:space="preserve"> HYPERLINK \l _Toc30962 </w:instrText>
          </w:r>
          <w:r>
            <w:rPr>
              <w:rFonts w:cs="Times New Roman"/>
            </w:rPr>
            <w:fldChar w:fldCharType="separate"/>
          </w:r>
          <w:r>
            <w:rPr>
              <w:rFonts w:hint="eastAsia" w:cs="Times New Roman"/>
            </w:rPr>
            <w:t>2.1工程概况</w:t>
          </w:r>
          <w:r>
            <w:tab/>
          </w:r>
          <w:r>
            <w:fldChar w:fldCharType="begin"/>
          </w:r>
          <w:r>
            <w:instrText xml:space="preserve"> PAGEREF _Toc30962 \h </w:instrText>
          </w:r>
          <w:r>
            <w:fldChar w:fldCharType="separate"/>
          </w:r>
          <w:r>
            <w:t>6</w:t>
          </w:r>
          <w:r>
            <w:fldChar w:fldCharType="end"/>
          </w:r>
          <w:r>
            <w:rPr>
              <w:rFonts w:cs="Times New Roman"/>
            </w:rPr>
            <w:fldChar w:fldCharType="end"/>
          </w:r>
        </w:p>
        <w:p w14:paraId="096780E2">
          <w:pPr>
            <w:pStyle w:val="23"/>
            <w:tabs>
              <w:tab w:val="right" w:leader="dot" w:pos="8306"/>
            </w:tabs>
          </w:pPr>
          <w:r>
            <w:rPr>
              <w:rFonts w:cs="Times New Roman"/>
            </w:rPr>
            <w:fldChar w:fldCharType="begin"/>
          </w:r>
          <w:r>
            <w:rPr>
              <w:rFonts w:cs="Times New Roman"/>
            </w:rPr>
            <w:instrText xml:space="preserve"> HYPERLINK \l _Toc2736 </w:instrText>
          </w:r>
          <w:r>
            <w:rPr>
              <w:rFonts w:cs="Times New Roman"/>
            </w:rPr>
            <w:fldChar w:fldCharType="separate"/>
          </w:r>
          <w:r>
            <w:rPr>
              <w:rFonts w:hint="eastAsia"/>
            </w:rPr>
            <w:t>2.2待</w:t>
          </w:r>
          <w:r>
            <w:rPr>
              <w:rFonts w:hint="eastAsia"/>
              <w:lang w:val="en-US" w:eastAsia="zh-CN"/>
            </w:rPr>
            <w:t>安装</w:t>
          </w:r>
          <w:r>
            <w:rPr>
              <w:rFonts w:hint="eastAsia"/>
            </w:rPr>
            <w:t>塔机参数</w:t>
          </w:r>
          <w:r>
            <w:tab/>
          </w:r>
          <w:r>
            <w:fldChar w:fldCharType="begin"/>
          </w:r>
          <w:r>
            <w:instrText xml:space="preserve"> PAGEREF _Toc2736 \h </w:instrText>
          </w:r>
          <w:r>
            <w:fldChar w:fldCharType="separate"/>
          </w:r>
          <w:r>
            <w:t>7</w:t>
          </w:r>
          <w:r>
            <w:fldChar w:fldCharType="end"/>
          </w:r>
          <w:r>
            <w:rPr>
              <w:rFonts w:cs="Times New Roman"/>
            </w:rPr>
            <w:fldChar w:fldCharType="end"/>
          </w:r>
        </w:p>
        <w:p w14:paraId="6DD3AD83">
          <w:pPr>
            <w:pStyle w:val="23"/>
            <w:tabs>
              <w:tab w:val="right" w:leader="dot" w:pos="8306"/>
            </w:tabs>
          </w:pPr>
          <w:r>
            <w:rPr>
              <w:rFonts w:cs="Times New Roman"/>
            </w:rPr>
            <w:fldChar w:fldCharType="begin"/>
          </w:r>
          <w:r>
            <w:rPr>
              <w:rFonts w:cs="Times New Roman"/>
            </w:rPr>
            <w:instrText xml:space="preserve"> HYPERLINK \l _Toc11816 </w:instrText>
          </w:r>
          <w:r>
            <w:rPr>
              <w:rFonts w:cs="Times New Roman"/>
            </w:rPr>
            <w:fldChar w:fldCharType="separate"/>
          </w:r>
          <w:r>
            <w:rPr>
              <w:rFonts w:hint="eastAsia"/>
              <w:lang w:val="en-US" w:eastAsia="zh-CN"/>
            </w:rPr>
            <w:t>2.3塔机的技术参数</w:t>
          </w:r>
          <w:r>
            <w:tab/>
          </w:r>
          <w:r>
            <w:fldChar w:fldCharType="begin"/>
          </w:r>
          <w:r>
            <w:instrText xml:space="preserve"> PAGEREF _Toc11816 \h </w:instrText>
          </w:r>
          <w:r>
            <w:fldChar w:fldCharType="separate"/>
          </w:r>
          <w:r>
            <w:t>7</w:t>
          </w:r>
          <w:r>
            <w:fldChar w:fldCharType="end"/>
          </w:r>
          <w:r>
            <w:rPr>
              <w:rFonts w:cs="Times New Roman"/>
            </w:rPr>
            <w:fldChar w:fldCharType="end"/>
          </w:r>
        </w:p>
        <w:p w14:paraId="697FED88">
          <w:pPr>
            <w:pStyle w:val="21"/>
            <w:tabs>
              <w:tab w:val="right" w:leader="dot" w:pos="8306"/>
              <w:tab w:val="clear" w:pos="426"/>
              <w:tab w:val="clear" w:pos="8296"/>
            </w:tabs>
          </w:pPr>
          <w:r>
            <w:rPr>
              <w:rFonts w:cs="Times New Roman"/>
            </w:rPr>
            <w:fldChar w:fldCharType="begin"/>
          </w:r>
          <w:r>
            <w:rPr>
              <w:rFonts w:cs="Times New Roman"/>
            </w:rPr>
            <w:instrText xml:space="preserve"> HYPERLINK \l _Toc25819 </w:instrText>
          </w:r>
          <w:r>
            <w:rPr>
              <w:rFonts w:cs="Times New Roman"/>
            </w:rPr>
            <w:fldChar w:fldCharType="separate"/>
          </w:r>
          <w:r>
            <w:rPr>
              <w:rFonts w:hint="default" w:ascii="Times New Roman" w:hAnsi="Times New Roman" w:eastAsia="宋体" w:cs="Arial"/>
              <w:i w:val="0"/>
              <w:szCs w:val="24"/>
            </w:rPr>
            <w:t xml:space="preserve">3 </w:t>
          </w:r>
          <w:r>
            <w:rPr>
              <w:rFonts w:hint="eastAsia" w:cs="Times New Roman"/>
              <w:lang w:eastAsia="zh-CN"/>
            </w:rPr>
            <w:t>塔机</w:t>
          </w:r>
          <w:r>
            <w:rPr>
              <w:rFonts w:cs="Times New Roman"/>
            </w:rPr>
            <w:t>位置的平面图和立面图</w:t>
          </w:r>
          <w:r>
            <w:tab/>
          </w:r>
          <w:r>
            <w:fldChar w:fldCharType="begin"/>
          </w:r>
          <w:r>
            <w:instrText xml:space="preserve"> PAGEREF _Toc25819 \h </w:instrText>
          </w:r>
          <w:r>
            <w:fldChar w:fldCharType="separate"/>
          </w:r>
          <w:r>
            <w:t>8</w:t>
          </w:r>
          <w:r>
            <w:fldChar w:fldCharType="end"/>
          </w:r>
          <w:r>
            <w:rPr>
              <w:rFonts w:cs="Times New Roman"/>
            </w:rPr>
            <w:fldChar w:fldCharType="end"/>
          </w:r>
        </w:p>
        <w:p w14:paraId="717F1BDE">
          <w:pPr>
            <w:pStyle w:val="23"/>
            <w:tabs>
              <w:tab w:val="right" w:leader="dot" w:pos="8306"/>
            </w:tabs>
          </w:pPr>
          <w:r>
            <w:rPr>
              <w:rFonts w:cs="Times New Roman"/>
            </w:rPr>
            <w:fldChar w:fldCharType="begin"/>
          </w:r>
          <w:r>
            <w:rPr>
              <w:rFonts w:cs="Times New Roman"/>
            </w:rPr>
            <w:instrText xml:space="preserve"> HYPERLINK \l _Toc7131 </w:instrText>
          </w:r>
          <w:r>
            <w:rPr>
              <w:rFonts w:cs="Times New Roman"/>
            </w:rPr>
            <w:fldChar w:fldCharType="separate"/>
          </w:r>
          <w:r>
            <w:rPr>
              <w:rFonts w:hint="eastAsia"/>
              <w:lang w:val="en-US" w:eastAsia="zh-CN"/>
            </w:rPr>
            <w:t>3.1平面图</w:t>
          </w:r>
          <w:r>
            <w:tab/>
          </w:r>
          <w:r>
            <w:fldChar w:fldCharType="begin"/>
          </w:r>
          <w:r>
            <w:instrText xml:space="preserve"> PAGEREF _Toc7131 \h </w:instrText>
          </w:r>
          <w:r>
            <w:fldChar w:fldCharType="separate"/>
          </w:r>
          <w:r>
            <w:t>8</w:t>
          </w:r>
          <w:r>
            <w:fldChar w:fldCharType="end"/>
          </w:r>
          <w:r>
            <w:rPr>
              <w:rFonts w:cs="Times New Roman"/>
            </w:rPr>
            <w:fldChar w:fldCharType="end"/>
          </w:r>
        </w:p>
        <w:p w14:paraId="2C58C1C4">
          <w:pPr>
            <w:pStyle w:val="23"/>
            <w:tabs>
              <w:tab w:val="right" w:leader="dot" w:pos="8306"/>
            </w:tabs>
          </w:pPr>
          <w:r>
            <w:rPr>
              <w:rFonts w:cs="Times New Roman"/>
            </w:rPr>
            <w:fldChar w:fldCharType="begin"/>
          </w:r>
          <w:r>
            <w:rPr>
              <w:rFonts w:cs="Times New Roman"/>
            </w:rPr>
            <w:instrText xml:space="preserve"> HYPERLINK \l _Toc27200 </w:instrText>
          </w:r>
          <w:r>
            <w:rPr>
              <w:rFonts w:cs="Times New Roman"/>
            </w:rPr>
            <w:fldChar w:fldCharType="separate"/>
          </w:r>
          <w:r>
            <w:rPr>
              <w:rFonts w:hint="eastAsia"/>
              <w:lang w:val="en-US" w:eastAsia="zh-CN"/>
            </w:rPr>
            <w:t>3.2立面图</w:t>
          </w:r>
          <w:r>
            <w:tab/>
          </w:r>
          <w:r>
            <w:fldChar w:fldCharType="begin"/>
          </w:r>
          <w:r>
            <w:instrText xml:space="preserve"> PAGEREF _Toc27200 \h </w:instrText>
          </w:r>
          <w:r>
            <w:fldChar w:fldCharType="separate"/>
          </w:r>
          <w:r>
            <w:t>9</w:t>
          </w:r>
          <w:r>
            <w:fldChar w:fldCharType="end"/>
          </w:r>
          <w:r>
            <w:rPr>
              <w:rFonts w:cs="Times New Roman"/>
            </w:rPr>
            <w:fldChar w:fldCharType="end"/>
          </w:r>
        </w:p>
        <w:p w14:paraId="620ABA24">
          <w:pPr>
            <w:pStyle w:val="21"/>
            <w:tabs>
              <w:tab w:val="right" w:leader="dot" w:pos="8306"/>
              <w:tab w:val="clear" w:pos="426"/>
              <w:tab w:val="clear" w:pos="8296"/>
            </w:tabs>
          </w:pPr>
          <w:r>
            <w:rPr>
              <w:rFonts w:cs="Times New Roman"/>
            </w:rPr>
            <w:fldChar w:fldCharType="begin"/>
          </w:r>
          <w:r>
            <w:rPr>
              <w:rFonts w:cs="Times New Roman"/>
            </w:rPr>
            <w:instrText xml:space="preserve"> HYPERLINK \l _Toc22230 </w:instrText>
          </w:r>
          <w:r>
            <w:rPr>
              <w:rFonts w:cs="Times New Roman"/>
            </w:rPr>
            <w:fldChar w:fldCharType="separate"/>
          </w:r>
          <w:r>
            <w:rPr>
              <w:rFonts w:hint="default" w:ascii="Times New Roman" w:hAnsi="Times New Roman" w:eastAsia="宋体" w:cs="Arial"/>
              <w:i w:val="0"/>
              <w:szCs w:val="24"/>
            </w:rPr>
            <w:t xml:space="preserve">4 </w:t>
          </w:r>
          <w:r>
            <w:rPr>
              <w:rFonts w:hint="eastAsia" w:cs="Times New Roman"/>
            </w:rPr>
            <w:t>部件的重量和吊点位置</w:t>
          </w:r>
          <w:r>
            <w:tab/>
          </w:r>
          <w:r>
            <w:fldChar w:fldCharType="begin"/>
          </w:r>
          <w:r>
            <w:instrText xml:space="preserve"> PAGEREF _Toc22230 \h </w:instrText>
          </w:r>
          <w:r>
            <w:fldChar w:fldCharType="separate"/>
          </w:r>
          <w:r>
            <w:t>10</w:t>
          </w:r>
          <w:r>
            <w:fldChar w:fldCharType="end"/>
          </w:r>
          <w:r>
            <w:rPr>
              <w:rFonts w:cs="Times New Roman"/>
            </w:rPr>
            <w:fldChar w:fldCharType="end"/>
          </w:r>
        </w:p>
        <w:p w14:paraId="6BF5EE00">
          <w:pPr>
            <w:pStyle w:val="21"/>
            <w:tabs>
              <w:tab w:val="right" w:leader="dot" w:pos="8306"/>
              <w:tab w:val="clear" w:pos="426"/>
              <w:tab w:val="clear" w:pos="8296"/>
            </w:tabs>
          </w:pPr>
          <w:r>
            <w:rPr>
              <w:rFonts w:cs="Times New Roman"/>
            </w:rPr>
            <w:fldChar w:fldCharType="begin"/>
          </w:r>
          <w:r>
            <w:rPr>
              <w:rFonts w:cs="Times New Roman"/>
            </w:rPr>
            <w:instrText xml:space="preserve"> HYPERLINK \l _Toc13300 </w:instrText>
          </w:r>
          <w:r>
            <w:rPr>
              <w:rFonts w:cs="Times New Roman"/>
            </w:rPr>
            <w:fldChar w:fldCharType="separate"/>
          </w:r>
          <w:r>
            <w:rPr>
              <w:rFonts w:hint="default" w:ascii="Times New Roman" w:hAnsi="Times New Roman" w:eastAsia="宋体" w:cs="Arial"/>
              <w:i w:val="0"/>
              <w:szCs w:val="24"/>
            </w:rPr>
            <w:t xml:space="preserve">5 </w:t>
          </w:r>
          <w:r>
            <w:rPr>
              <w:rFonts w:hint="eastAsia" w:cs="Times New Roman"/>
              <w:lang w:val="en-US" w:eastAsia="zh-CN"/>
            </w:rPr>
            <w:t>安拆</w:t>
          </w:r>
          <w:r>
            <w:rPr>
              <w:rFonts w:hint="eastAsia" w:cs="Times New Roman"/>
            </w:rPr>
            <w:t>辅助设备的型号、性能和布置位置</w:t>
          </w:r>
          <w:r>
            <w:tab/>
          </w:r>
          <w:r>
            <w:fldChar w:fldCharType="begin"/>
          </w:r>
          <w:r>
            <w:instrText xml:space="preserve"> PAGEREF _Toc13300 \h </w:instrText>
          </w:r>
          <w:r>
            <w:fldChar w:fldCharType="separate"/>
          </w:r>
          <w:r>
            <w:t>11</w:t>
          </w:r>
          <w:r>
            <w:fldChar w:fldCharType="end"/>
          </w:r>
          <w:r>
            <w:rPr>
              <w:rFonts w:cs="Times New Roman"/>
            </w:rPr>
            <w:fldChar w:fldCharType="end"/>
          </w:r>
        </w:p>
        <w:p w14:paraId="42BB0EFF">
          <w:pPr>
            <w:pStyle w:val="23"/>
            <w:tabs>
              <w:tab w:val="right" w:leader="dot" w:pos="8306"/>
            </w:tabs>
          </w:pPr>
          <w:r>
            <w:rPr>
              <w:rFonts w:cs="Times New Roman"/>
            </w:rPr>
            <w:fldChar w:fldCharType="begin"/>
          </w:r>
          <w:r>
            <w:rPr>
              <w:rFonts w:cs="Times New Roman"/>
            </w:rPr>
            <w:instrText xml:space="preserve"> HYPERLINK \l _Toc30055 </w:instrText>
          </w:r>
          <w:r>
            <w:rPr>
              <w:rFonts w:cs="Times New Roman"/>
            </w:rPr>
            <w:fldChar w:fldCharType="separate"/>
          </w:r>
          <w:r>
            <w:rPr>
              <w:rFonts w:hint="default" w:ascii="Times New Roman" w:hAnsi="Times New Roman" w:cs="Times New Roman"/>
              <w:szCs w:val="28"/>
              <w:lang w:val="en-US" w:eastAsia="zh-CN"/>
            </w:rPr>
            <w:t xml:space="preserve">5.1 </w:t>
          </w:r>
          <w:r>
            <w:rPr>
              <w:rFonts w:hint="eastAsia" w:cs="Times New Roman"/>
              <w:bCs/>
              <w:kern w:val="2"/>
              <w:szCs w:val="32"/>
              <w:lang w:val="en-US" w:eastAsia="zh-CN" w:bidi="ar-SA"/>
            </w:rPr>
            <w:t>T1200-64Q塔式起重机70m性能参数</w:t>
          </w:r>
          <w:r>
            <w:tab/>
          </w:r>
          <w:r>
            <w:fldChar w:fldCharType="begin"/>
          </w:r>
          <w:r>
            <w:instrText xml:space="preserve"> PAGEREF _Toc30055 \h </w:instrText>
          </w:r>
          <w:r>
            <w:fldChar w:fldCharType="separate"/>
          </w:r>
          <w:r>
            <w:t>11</w:t>
          </w:r>
          <w:r>
            <w:fldChar w:fldCharType="end"/>
          </w:r>
          <w:r>
            <w:rPr>
              <w:rFonts w:cs="Times New Roman"/>
            </w:rPr>
            <w:fldChar w:fldCharType="end"/>
          </w:r>
        </w:p>
        <w:p w14:paraId="71A25C30">
          <w:pPr>
            <w:pStyle w:val="23"/>
            <w:tabs>
              <w:tab w:val="right" w:leader="dot" w:pos="8306"/>
            </w:tabs>
          </w:pPr>
          <w:r>
            <w:rPr>
              <w:rFonts w:cs="Times New Roman"/>
            </w:rPr>
            <w:fldChar w:fldCharType="begin"/>
          </w:r>
          <w:r>
            <w:rPr>
              <w:rFonts w:cs="Times New Roman"/>
            </w:rPr>
            <w:instrText xml:space="preserve"> HYPERLINK \l _Toc8797 </w:instrText>
          </w:r>
          <w:r>
            <w:rPr>
              <w:rFonts w:cs="Times New Roman"/>
            </w:rPr>
            <w:fldChar w:fldCharType="separate"/>
          </w:r>
          <w:r>
            <w:rPr>
              <w:rFonts w:hint="default" w:ascii="Times New Roman" w:hAnsi="Times New Roman" w:cs="Times New Roman"/>
              <w:szCs w:val="28"/>
            </w:rPr>
            <w:t xml:space="preserve">5.2 </w:t>
          </w:r>
          <w:r>
            <w:rPr>
              <w:rFonts w:hint="eastAsia" w:cs="Times New Roman"/>
              <w:highlight w:val="none"/>
              <w:lang w:val="en-US" w:eastAsia="zh-CN"/>
            </w:rPr>
            <w:t>35t</w:t>
          </w:r>
          <w:r>
            <w:rPr>
              <w:rFonts w:hint="eastAsia" w:cs="Times New Roman"/>
              <w:highlight w:val="none"/>
            </w:rPr>
            <w:t>汽车吊性能参数</w:t>
          </w:r>
          <w:r>
            <w:tab/>
          </w:r>
          <w:r>
            <w:fldChar w:fldCharType="begin"/>
          </w:r>
          <w:r>
            <w:instrText xml:space="preserve"> PAGEREF _Toc8797 \h </w:instrText>
          </w:r>
          <w:r>
            <w:fldChar w:fldCharType="separate"/>
          </w:r>
          <w:r>
            <w:t>12</w:t>
          </w:r>
          <w:r>
            <w:fldChar w:fldCharType="end"/>
          </w:r>
          <w:r>
            <w:rPr>
              <w:rFonts w:cs="Times New Roman"/>
            </w:rPr>
            <w:fldChar w:fldCharType="end"/>
          </w:r>
        </w:p>
        <w:p w14:paraId="7B93043E">
          <w:pPr>
            <w:pStyle w:val="23"/>
            <w:tabs>
              <w:tab w:val="right" w:leader="dot" w:pos="8306"/>
            </w:tabs>
          </w:pPr>
          <w:r>
            <w:rPr>
              <w:rFonts w:cs="Times New Roman"/>
            </w:rPr>
            <w:fldChar w:fldCharType="begin"/>
          </w:r>
          <w:r>
            <w:rPr>
              <w:rFonts w:cs="Times New Roman"/>
            </w:rPr>
            <w:instrText xml:space="preserve"> HYPERLINK \l _Toc5246 </w:instrText>
          </w:r>
          <w:r>
            <w:rPr>
              <w:rFonts w:cs="Times New Roman"/>
            </w:rPr>
            <w:fldChar w:fldCharType="separate"/>
          </w:r>
          <w:r>
            <w:rPr>
              <w:rFonts w:hint="default" w:ascii="Times New Roman" w:hAnsi="Times New Roman" w:cs="Times New Roman"/>
              <w:szCs w:val="28"/>
            </w:rPr>
            <w:t xml:space="preserve">5.3 </w:t>
          </w:r>
          <w:r>
            <w:rPr>
              <w:rFonts w:hint="eastAsia" w:cs="Times New Roman"/>
              <w:highlight w:val="none"/>
            </w:rPr>
            <w:t>汽车吊汽车吊进场行驶路线</w:t>
          </w:r>
          <w:r>
            <w:tab/>
          </w:r>
          <w:r>
            <w:fldChar w:fldCharType="begin"/>
          </w:r>
          <w:r>
            <w:instrText xml:space="preserve"> PAGEREF _Toc5246 \h </w:instrText>
          </w:r>
          <w:r>
            <w:fldChar w:fldCharType="separate"/>
          </w:r>
          <w:r>
            <w:t>14</w:t>
          </w:r>
          <w:r>
            <w:fldChar w:fldCharType="end"/>
          </w:r>
          <w:r>
            <w:rPr>
              <w:rFonts w:cs="Times New Roman"/>
            </w:rPr>
            <w:fldChar w:fldCharType="end"/>
          </w:r>
        </w:p>
        <w:p w14:paraId="33254DA9">
          <w:pPr>
            <w:pStyle w:val="21"/>
            <w:tabs>
              <w:tab w:val="right" w:leader="dot" w:pos="8306"/>
              <w:tab w:val="clear" w:pos="426"/>
              <w:tab w:val="clear" w:pos="8296"/>
            </w:tabs>
          </w:pPr>
          <w:r>
            <w:rPr>
              <w:rFonts w:cs="Times New Roman"/>
            </w:rPr>
            <w:fldChar w:fldCharType="begin"/>
          </w:r>
          <w:r>
            <w:rPr>
              <w:rFonts w:cs="Times New Roman"/>
            </w:rPr>
            <w:instrText xml:space="preserve"> HYPERLINK \l _Toc11325 </w:instrText>
          </w:r>
          <w:r>
            <w:rPr>
              <w:rFonts w:cs="Times New Roman"/>
            </w:rPr>
            <w:fldChar w:fldCharType="separate"/>
          </w:r>
          <w:r>
            <w:rPr>
              <w:rFonts w:hint="default" w:ascii="Times New Roman" w:hAnsi="Times New Roman" w:eastAsia="宋体" w:cs="Arial"/>
              <w:i w:val="0"/>
              <w:szCs w:val="24"/>
            </w:rPr>
            <w:t xml:space="preserve">6 </w:t>
          </w:r>
          <w:r>
            <w:rPr>
              <w:rFonts w:hint="eastAsia" w:cs="Times New Roman"/>
            </w:rPr>
            <w:t>施工</w:t>
          </w:r>
          <w:r>
            <w:rPr>
              <w:rFonts w:cs="Times New Roman"/>
            </w:rPr>
            <w:t>人员</w:t>
          </w:r>
          <w:r>
            <w:rPr>
              <w:rFonts w:hint="eastAsia" w:cs="Times New Roman"/>
              <w:lang w:val="en-US" w:eastAsia="zh-CN"/>
            </w:rPr>
            <w:t>配置与</w:t>
          </w:r>
          <w:r>
            <w:rPr>
              <w:rFonts w:hint="eastAsia" w:cs="Times New Roman"/>
            </w:rPr>
            <w:t>专用工具的配备</w:t>
          </w:r>
          <w:r>
            <w:tab/>
          </w:r>
          <w:r>
            <w:fldChar w:fldCharType="begin"/>
          </w:r>
          <w:r>
            <w:instrText xml:space="preserve"> PAGEREF _Toc11325 \h </w:instrText>
          </w:r>
          <w:r>
            <w:fldChar w:fldCharType="separate"/>
          </w:r>
          <w:r>
            <w:t>21</w:t>
          </w:r>
          <w:r>
            <w:fldChar w:fldCharType="end"/>
          </w:r>
          <w:r>
            <w:rPr>
              <w:rFonts w:cs="Times New Roman"/>
            </w:rPr>
            <w:fldChar w:fldCharType="end"/>
          </w:r>
        </w:p>
        <w:p w14:paraId="660890EF">
          <w:pPr>
            <w:pStyle w:val="23"/>
            <w:tabs>
              <w:tab w:val="right" w:leader="dot" w:pos="8306"/>
            </w:tabs>
          </w:pPr>
          <w:r>
            <w:rPr>
              <w:rFonts w:cs="Times New Roman"/>
            </w:rPr>
            <w:fldChar w:fldCharType="begin"/>
          </w:r>
          <w:r>
            <w:rPr>
              <w:rFonts w:cs="Times New Roman"/>
            </w:rPr>
            <w:instrText xml:space="preserve"> HYPERLINK \l _Toc20233 </w:instrText>
          </w:r>
          <w:r>
            <w:rPr>
              <w:rFonts w:cs="Times New Roman"/>
            </w:rPr>
            <w:fldChar w:fldCharType="separate"/>
          </w:r>
          <w:r>
            <w:rPr>
              <w:rFonts w:hint="eastAsia" w:cs="Times New Roman"/>
              <w:lang w:val="en-US" w:eastAsia="zh-CN"/>
            </w:rPr>
            <w:t>6.1塔机安拆前应检查</w:t>
          </w:r>
          <w:r>
            <w:tab/>
          </w:r>
          <w:r>
            <w:fldChar w:fldCharType="begin"/>
          </w:r>
          <w:r>
            <w:instrText xml:space="preserve"> PAGEREF _Toc20233 \h </w:instrText>
          </w:r>
          <w:r>
            <w:fldChar w:fldCharType="separate"/>
          </w:r>
          <w:r>
            <w:t>21</w:t>
          </w:r>
          <w:r>
            <w:fldChar w:fldCharType="end"/>
          </w:r>
          <w:r>
            <w:rPr>
              <w:rFonts w:cs="Times New Roman"/>
            </w:rPr>
            <w:fldChar w:fldCharType="end"/>
          </w:r>
        </w:p>
        <w:p w14:paraId="7A138991">
          <w:pPr>
            <w:pStyle w:val="23"/>
            <w:tabs>
              <w:tab w:val="right" w:leader="dot" w:pos="8306"/>
            </w:tabs>
          </w:pPr>
          <w:r>
            <w:rPr>
              <w:rFonts w:cs="Times New Roman"/>
            </w:rPr>
            <w:fldChar w:fldCharType="begin"/>
          </w:r>
          <w:r>
            <w:rPr>
              <w:rFonts w:cs="Times New Roman"/>
            </w:rPr>
            <w:instrText xml:space="preserve"> HYPERLINK \l _Toc19260 </w:instrText>
          </w:r>
          <w:r>
            <w:rPr>
              <w:rFonts w:cs="Times New Roman"/>
            </w:rPr>
            <w:fldChar w:fldCharType="separate"/>
          </w:r>
          <w:r>
            <w:rPr>
              <w:rFonts w:hint="eastAsia" w:cs="Times New Roman"/>
              <w:lang w:val="en-US" w:eastAsia="zh-CN"/>
            </w:rPr>
            <w:t>6.2施工机械及材料</w:t>
          </w:r>
          <w:r>
            <w:tab/>
          </w:r>
          <w:r>
            <w:fldChar w:fldCharType="begin"/>
          </w:r>
          <w:r>
            <w:instrText xml:space="preserve"> PAGEREF _Toc19260 \h </w:instrText>
          </w:r>
          <w:r>
            <w:fldChar w:fldCharType="separate"/>
          </w:r>
          <w:r>
            <w:t>22</w:t>
          </w:r>
          <w:r>
            <w:fldChar w:fldCharType="end"/>
          </w:r>
          <w:r>
            <w:rPr>
              <w:rFonts w:cs="Times New Roman"/>
            </w:rPr>
            <w:fldChar w:fldCharType="end"/>
          </w:r>
        </w:p>
        <w:p w14:paraId="4FAF1EA9">
          <w:pPr>
            <w:pStyle w:val="21"/>
            <w:tabs>
              <w:tab w:val="right" w:leader="dot" w:pos="8306"/>
              <w:tab w:val="clear" w:pos="426"/>
              <w:tab w:val="clear" w:pos="8296"/>
            </w:tabs>
          </w:pPr>
          <w:r>
            <w:rPr>
              <w:rFonts w:cs="Times New Roman"/>
            </w:rPr>
            <w:fldChar w:fldCharType="begin"/>
          </w:r>
          <w:r>
            <w:rPr>
              <w:rFonts w:cs="Times New Roman"/>
            </w:rPr>
            <w:instrText xml:space="preserve"> HYPERLINK \l _Toc210 </w:instrText>
          </w:r>
          <w:r>
            <w:rPr>
              <w:rFonts w:cs="Times New Roman"/>
            </w:rPr>
            <w:fldChar w:fldCharType="separate"/>
          </w:r>
          <w:r>
            <w:rPr>
              <w:rFonts w:hint="default" w:ascii="Times New Roman" w:hAnsi="Times New Roman" w:eastAsia="宋体" w:cs="Arial"/>
              <w:i w:val="0"/>
              <w:szCs w:val="24"/>
            </w:rPr>
            <w:t xml:space="preserve">7 </w:t>
          </w:r>
          <w:r>
            <w:rPr>
              <w:rFonts w:hint="eastAsia" w:cs="Times New Roman"/>
            </w:rPr>
            <w:t>施工安全保证措施</w:t>
          </w:r>
          <w:r>
            <w:tab/>
          </w:r>
          <w:r>
            <w:fldChar w:fldCharType="begin"/>
          </w:r>
          <w:r>
            <w:instrText xml:space="preserve"> PAGEREF _Toc210 \h </w:instrText>
          </w:r>
          <w:r>
            <w:fldChar w:fldCharType="separate"/>
          </w:r>
          <w:r>
            <w:t>23</w:t>
          </w:r>
          <w:r>
            <w:fldChar w:fldCharType="end"/>
          </w:r>
          <w:r>
            <w:rPr>
              <w:rFonts w:cs="Times New Roman"/>
            </w:rPr>
            <w:fldChar w:fldCharType="end"/>
          </w:r>
        </w:p>
        <w:p w14:paraId="5D05116B">
          <w:pPr>
            <w:pStyle w:val="23"/>
            <w:tabs>
              <w:tab w:val="right" w:leader="dot" w:pos="8306"/>
            </w:tabs>
          </w:pPr>
          <w:r>
            <w:rPr>
              <w:rFonts w:cs="Times New Roman"/>
            </w:rPr>
            <w:fldChar w:fldCharType="begin"/>
          </w:r>
          <w:r>
            <w:rPr>
              <w:rFonts w:cs="Times New Roman"/>
            </w:rPr>
            <w:instrText xml:space="preserve"> HYPERLINK \l _Toc6575 </w:instrText>
          </w:r>
          <w:r>
            <w:rPr>
              <w:rFonts w:cs="Times New Roman"/>
            </w:rPr>
            <w:fldChar w:fldCharType="separate"/>
          </w:r>
          <w:r>
            <w:rPr>
              <w:rFonts w:hint="default" w:cs="Times New Roman"/>
              <w:lang w:val="en-US" w:eastAsia="zh-CN"/>
            </w:rPr>
            <w:t xml:space="preserve">7.1 </w:t>
          </w:r>
          <w:r>
            <w:rPr>
              <w:rFonts w:hint="eastAsia" w:cs="Times New Roman"/>
              <w:lang w:val="en-US" w:eastAsia="zh-CN"/>
            </w:rPr>
            <w:t>组织保障</w:t>
          </w:r>
          <w:r>
            <w:tab/>
          </w:r>
          <w:r>
            <w:fldChar w:fldCharType="begin"/>
          </w:r>
          <w:r>
            <w:instrText xml:space="preserve"> PAGEREF _Toc6575 \h </w:instrText>
          </w:r>
          <w:r>
            <w:fldChar w:fldCharType="separate"/>
          </w:r>
          <w:r>
            <w:t>23</w:t>
          </w:r>
          <w:r>
            <w:fldChar w:fldCharType="end"/>
          </w:r>
          <w:r>
            <w:rPr>
              <w:rFonts w:cs="Times New Roman"/>
            </w:rPr>
            <w:fldChar w:fldCharType="end"/>
          </w:r>
        </w:p>
        <w:p w14:paraId="6C01447F">
          <w:pPr>
            <w:pStyle w:val="23"/>
            <w:tabs>
              <w:tab w:val="right" w:leader="dot" w:pos="8306"/>
            </w:tabs>
          </w:pPr>
          <w:r>
            <w:rPr>
              <w:rFonts w:cs="Times New Roman"/>
            </w:rPr>
            <w:fldChar w:fldCharType="begin"/>
          </w:r>
          <w:r>
            <w:rPr>
              <w:rFonts w:cs="Times New Roman"/>
            </w:rPr>
            <w:instrText xml:space="preserve"> HYPERLINK \l _Toc14764 </w:instrText>
          </w:r>
          <w:r>
            <w:rPr>
              <w:rFonts w:cs="Times New Roman"/>
            </w:rPr>
            <w:fldChar w:fldCharType="separate"/>
          </w:r>
          <w:r>
            <w:rPr>
              <w:rFonts w:hint="default" w:cs="Times New Roman"/>
              <w:lang w:val="en-US" w:eastAsia="zh-CN"/>
            </w:rPr>
            <w:t xml:space="preserve">7.2 </w:t>
          </w:r>
          <w:r>
            <w:rPr>
              <w:rFonts w:hint="eastAsia" w:cs="Times New Roman"/>
              <w:lang w:val="en-US" w:eastAsia="zh-CN"/>
            </w:rPr>
            <w:t>技术措施</w:t>
          </w:r>
          <w:r>
            <w:tab/>
          </w:r>
          <w:r>
            <w:fldChar w:fldCharType="begin"/>
          </w:r>
          <w:r>
            <w:instrText xml:space="preserve"> PAGEREF _Toc14764 \h </w:instrText>
          </w:r>
          <w:r>
            <w:fldChar w:fldCharType="separate"/>
          </w:r>
          <w:r>
            <w:t>23</w:t>
          </w:r>
          <w:r>
            <w:fldChar w:fldCharType="end"/>
          </w:r>
          <w:r>
            <w:rPr>
              <w:rFonts w:cs="Times New Roman"/>
            </w:rPr>
            <w:fldChar w:fldCharType="end"/>
          </w:r>
        </w:p>
        <w:p w14:paraId="2E5F3309">
          <w:pPr>
            <w:pStyle w:val="23"/>
            <w:tabs>
              <w:tab w:val="right" w:leader="dot" w:pos="8306"/>
            </w:tabs>
          </w:pPr>
          <w:r>
            <w:rPr>
              <w:rFonts w:cs="Times New Roman"/>
            </w:rPr>
            <w:fldChar w:fldCharType="begin"/>
          </w:r>
          <w:r>
            <w:rPr>
              <w:rFonts w:cs="Times New Roman"/>
            </w:rPr>
            <w:instrText xml:space="preserve"> HYPERLINK \l _Toc5035 </w:instrText>
          </w:r>
          <w:r>
            <w:rPr>
              <w:rFonts w:cs="Times New Roman"/>
            </w:rPr>
            <w:fldChar w:fldCharType="separate"/>
          </w:r>
          <w:r>
            <w:rPr>
              <w:rFonts w:hint="default" w:cs="Times New Roman"/>
              <w:lang w:val="en-US" w:eastAsia="zh-CN"/>
            </w:rPr>
            <w:t xml:space="preserve">7.3 </w:t>
          </w:r>
          <w:r>
            <w:rPr>
              <w:rFonts w:hint="eastAsia" w:cs="Times New Roman"/>
              <w:lang w:val="en-US" w:eastAsia="zh-CN"/>
            </w:rPr>
            <w:t>安全管理制度</w:t>
          </w:r>
          <w:r>
            <w:tab/>
          </w:r>
          <w:r>
            <w:fldChar w:fldCharType="begin"/>
          </w:r>
          <w:r>
            <w:instrText xml:space="preserve"> PAGEREF _Toc5035 \h </w:instrText>
          </w:r>
          <w:r>
            <w:fldChar w:fldCharType="separate"/>
          </w:r>
          <w:r>
            <w:t>24</w:t>
          </w:r>
          <w:r>
            <w:fldChar w:fldCharType="end"/>
          </w:r>
          <w:r>
            <w:rPr>
              <w:rFonts w:cs="Times New Roman"/>
            </w:rPr>
            <w:fldChar w:fldCharType="end"/>
          </w:r>
        </w:p>
        <w:p w14:paraId="20D9D24A">
          <w:pPr>
            <w:pStyle w:val="23"/>
            <w:tabs>
              <w:tab w:val="right" w:leader="dot" w:pos="8306"/>
            </w:tabs>
          </w:pPr>
          <w:r>
            <w:rPr>
              <w:rFonts w:cs="Times New Roman"/>
            </w:rPr>
            <w:fldChar w:fldCharType="begin"/>
          </w:r>
          <w:r>
            <w:rPr>
              <w:rFonts w:cs="Times New Roman"/>
            </w:rPr>
            <w:instrText xml:space="preserve"> HYPERLINK \l _Toc10935 </w:instrText>
          </w:r>
          <w:r>
            <w:rPr>
              <w:rFonts w:cs="Times New Roman"/>
            </w:rPr>
            <w:fldChar w:fldCharType="separate"/>
          </w:r>
          <w:r>
            <w:rPr>
              <w:rFonts w:hint="default" w:cs="Times New Roman"/>
              <w:bCs/>
              <w:kern w:val="2"/>
              <w:szCs w:val="32"/>
              <w:lang w:val="en-US" w:eastAsia="zh-CN" w:bidi="ar-SA"/>
            </w:rPr>
            <w:t xml:space="preserve">7.4 </w:t>
          </w:r>
          <w:r>
            <w:rPr>
              <w:rFonts w:hint="eastAsia" w:cs="Times New Roman"/>
              <w:bCs/>
              <w:kern w:val="2"/>
              <w:szCs w:val="32"/>
              <w:lang w:val="en-US" w:eastAsia="zh-CN" w:bidi="ar-SA"/>
            </w:rPr>
            <w:t>防高坠措施</w:t>
          </w:r>
          <w:r>
            <w:tab/>
          </w:r>
          <w:r>
            <w:fldChar w:fldCharType="begin"/>
          </w:r>
          <w:r>
            <w:instrText xml:space="preserve"> PAGEREF _Toc10935 \h </w:instrText>
          </w:r>
          <w:r>
            <w:fldChar w:fldCharType="separate"/>
          </w:r>
          <w:r>
            <w:t>24</w:t>
          </w:r>
          <w:r>
            <w:fldChar w:fldCharType="end"/>
          </w:r>
          <w:r>
            <w:rPr>
              <w:rFonts w:cs="Times New Roman"/>
            </w:rPr>
            <w:fldChar w:fldCharType="end"/>
          </w:r>
        </w:p>
        <w:p w14:paraId="24C89B93">
          <w:pPr>
            <w:pStyle w:val="23"/>
            <w:tabs>
              <w:tab w:val="right" w:leader="dot" w:pos="8306"/>
            </w:tabs>
          </w:pPr>
          <w:r>
            <w:rPr>
              <w:rFonts w:cs="Times New Roman"/>
            </w:rPr>
            <w:fldChar w:fldCharType="begin"/>
          </w:r>
          <w:r>
            <w:rPr>
              <w:rFonts w:cs="Times New Roman"/>
            </w:rPr>
            <w:instrText xml:space="preserve"> HYPERLINK \l _Toc15787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7.5 </w:t>
          </w:r>
          <w:r>
            <w:rPr>
              <w:rFonts w:hint="eastAsia" w:cs="Times New Roman"/>
              <w:bCs/>
              <w:kern w:val="2"/>
              <w:szCs w:val="32"/>
              <w:highlight w:val="none"/>
              <w:lang w:val="en-US" w:eastAsia="zh-CN" w:bidi="ar-SA"/>
            </w:rPr>
            <w:t>起重吊装作业保障措施</w:t>
          </w:r>
          <w:r>
            <w:tab/>
          </w:r>
          <w:r>
            <w:fldChar w:fldCharType="begin"/>
          </w:r>
          <w:r>
            <w:instrText xml:space="preserve"> PAGEREF _Toc15787 \h </w:instrText>
          </w:r>
          <w:r>
            <w:fldChar w:fldCharType="separate"/>
          </w:r>
          <w:r>
            <w:t>26</w:t>
          </w:r>
          <w:r>
            <w:fldChar w:fldCharType="end"/>
          </w:r>
          <w:r>
            <w:rPr>
              <w:rFonts w:cs="Times New Roman"/>
            </w:rPr>
            <w:fldChar w:fldCharType="end"/>
          </w:r>
        </w:p>
        <w:p w14:paraId="3976540B">
          <w:pPr>
            <w:pStyle w:val="23"/>
            <w:tabs>
              <w:tab w:val="right" w:leader="dot" w:pos="8306"/>
            </w:tabs>
          </w:pPr>
          <w:r>
            <w:rPr>
              <w:rFonts w:cs="Times New Roman"/>
            </w:rPr>
            <w:fldChar w:fldCharType="begin"/>
          </w:r>
          <w:r>
            <w:rPr>
              <w:rFonts w:cs="Times New Roman"/>
            </w:rPr>
            <w:instrText xml:space="preserve"> HYPERLINK \l _Toc26360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7.6 </w:t>
          </w:r>
          <w:r>
            <w:rPr>
              <w:rFonts w:hint="eastAsia" w:cs="Times New Roman"/>
              <w:bCs/>
              <w:kern w:val="2"/>
              <w:szCs w:val="32"/>
              <w:highlight w:val="none"/>
              <w:lang w:val="en-US" w:eastAsia="zh-CN" w:bidi="ar-SA"/>
            </w:rPr>
            <w:t>高空作业保障措施</w:t>
          </w:r>
          <w:r>
            <w:tab/>
          </w:r>
          <w:r>
            <w:fldChar w:fldCharType="begin"/>
          </w:r>
          <w:r>
            <w:instrText xml:space="preserve"> PAGEREF _Toc26360 \h </w:instrText>
          </w:r>
          <w:r>
            <w:fldChar w:fldCharType="separate"/>
          </w:r>
          <w:r>
            <w:t>26</w:t>
          </w:r>
          <w:r>
            <w:fldChar w:fldCharType="end"/>
          </w:r>
          <w:r>
            <w:rPr>
              <w:rFonts w:cs="Times New Roman"/>
            </w:rPr>
            <w:fldChar w:fldCharType="end"/>
          </w:r>
        </w:p>
        <w:p w14:paraId="2FC96823">
          <w:pPr>
            <w:pStyle w:val="23"/>
            <w:tabs>
              <w:tab w:val="right" w:leader="dot" w:pos="8306"/>
            </w:tabs>
          </w:pPr>
          <w:r>
            <w:rPr>
              <w:rFonts w:cs="Times New Roman"/>
            </w:rPr>
            <w:fldChar w:fldCharType="begin"/>
          </w:r>
          <w:r>
            <w:rPr>
              <w:rFonts w:cs="Times New Roman"/>
            </w:rPr>
            <w:instrText xml:space="preserve"> HYPERLINK \l _Toc17735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7.7 </w:t>
          </w:r>
          <w:r>
            <w:rPr>
              <w:rFonts w:hint="eastAsia" w:cs="Times New Roman"/>
              <w:bCs/>
              <w:kern w:val="2"/>
              <w:szCs w:val="32"/>
              <w:highlight w:val="none"/>
              <w:lang w:val="en-US" w:eastAsia="zh-CN" w:bidi="ar-SA"/>
            </w:rPr>
            <w:t>施工用电保障措施</w:t>
          </w:r>
          <w:r>
            <w:tab/>
          </w:r>
          <w:r>
            <w:fldChar w:fldCharType="begin"/>
          </w:r>
          <w:r>
            <w:instrText xml:space="preserve"> PAGEREF _Toc17735 \h </w:instrText>
          </w:r>
          <w:r>
            <w:fldChar w:fldCharType="separate"/>
          </w:r>
          <w:r>
            <w:t>28</w:t>
          </w:r>
          <w:r>
            <w:fldChar w:fldCharType="end"/>
          </w:r>
          <w:r>
            <w:rPr>
              <w:rFonts w:cs="Times New Roman"/>
            </w:rPr>
            <w:fldChar w:fldCharType="end"/>
          </w:r>
        </w:p>
        <w:p w14:paraId="2DAC1371">
          <w:pPr>
            <w:pStyle w:val="23"/>
            <w:tabs>
              <w:tab w:val="right" w:leader="dot" w:pos="8306"/>
            </w:tabs>
          </w:pPr>
          <w:r>
            <w:rPr>
              <w:rFonts w:cs="Times New Roman"/>
            </w:rPr>
            <w:fldChar w:fldCharType="begin"/>
          </w:r>
          <w:r>
            <w:rPr>
              <w:rFonts w:cs="Times New Roman"/>
            </w:rPr>
            <w:instrText xml:space="preserve"> HYPERLINK \l _Toc22950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7.8 </w:t>
          </w:r>
          <w:r>
            <w:rPr>
              <w:rFonts w:hint="eastAsia" w:cs="Times New Roman"/>
              <w:bCs/>
              <w:kern w:val="2"/>
              <w:szCs w:val="32"/>
              <w:highlight w:val="none"/>
              <w:lang w:val="en-US" w:eastAsia="zh-CN" w:bidi="ar-SA"/>
            </w:rPr>
            <w:t>恶劣天气保障措施</w:t>
          </w:r>
          <w:r>
            <w:tab/>
          </w:r>
          <w:r>
            <w:fldChar w:fldCharType="begin"/>
          </w:r>
          <w:r>
            <w:instrText xml:space="preserve"> PAGEREF _Toc22950 \h </w:instrText>
          </w:r>
          <w:r>
            <w:fldChar w:fldCharType="separate"/>
          </w:r>
          <w:r>
            <w:t>30</w:t>
          </w:r>
          <w:r>
            <w:fldChar w:fldCharType="end"/>
          </w:r>
          <w:r>
            <w:rPr>
              <w:rFonts w:cs="Times New Roman"/>
            </w:rPr>
            <w:fldChar w:fldCharType="end"/>
          </w:r>
        </w:p>
        <w:p w14:paraId="35E4B718">
          <w:pPr>
            <w:pStyle w:val="21"/>
            <w:tabs>
              <w:tab w:val="right" w:leader="dot" w:pos="8306"/>
              <w:tab w:val="clear" w:pos="426"/>
              <w:tab w:val="clear" w:pos="8296"/>
            </w:tabs>
          </w:pPr>
          <w:r>
            <w:rPr>
              <w:rFonts w:cs="Times New Roman"/>
            </w:rPr>
            <w:fldChar w:fldCharType="begin"/>
          </w:r>
          <w:r>
            <w:rPr>
              <w:rFonts w:cs="Times New Roman"/>
            </w:rPr>
            <w:instrText xml:space="preserve"> HYPERLINK \l _Toc5333 </w:instrText>
          </w:r>
          <w:r>
            <w:rPr>
              <w:rFonts w:cs="Times New Roman"/>
            </w:rPr>
            <w:fldChar w:fldCharType="separate"/>
          </w:r>
          <w:r>
            <w:rPr>
              <w:rFonts w:hint="default" w:ascii="Times New Roman" w:hAnsi="Times New Roman" w:eastAsia="宋体" w:cs="Arial"/>
              <w:i w:val="0"/>
              <w:szCs w:val="24"/>
              <w:lang w:val="en-US" w:eastAsia="zh-CN"/>
            </w:rPr>
            <w:t xml:space="preserve">8 </w:t>
          </w:r>
          <w:r>
            <w:rPr>
              <w:rFonts w:hint="eastAsia" w:cs="Times New Roman"/>
              <w:bCs/>
              <w:kern w:val="44"/>
              <w:szCs w:val="44"/>
              <w:lang w:val="en-US" w:eastAsia="zh-CN" w:bidi="ar-SA"/>
            </w:rPr>
            <w:t>安装顺序</w:t>
          </w:r>
          <w:r>
            <w:tab/>
          </w:r>
          <w:r>
            <w:fldChar w:fldCharType="begin"/>
          </w:r>
          <w:r>
            <w:instrText xml:space="preserve"> PAGEREF _Toc5333 \h </w:instrText>
          </w:r>
          <w:r>
            <w:fldChar w:fldCharType="separate"/>
          </w:r>
          <w:r>
            <w:t>33</w:t>
          </w:r>
          <w:r>
            <w:fldChar w:fldCharType="end"/>
          </w:r>
          <w:r>
            <w:rPr>
              <w:rFonts w:cs="Times New Roman"/>
            </w:rPr>
            <w:fldChar w:fldCharType="end"/>
          </w:r>
        </w:p>
        <w:p w14:paraId="72E0751B">
          <w:pPr>
            <w:pStyle w:val="23"/>
            <w:tabs>
              <w:tab w:val="right" w:leader="dot" w:pos="8306"/>
            </w:tabs>
          </w:pPr>
          <w:r>
            <w:rPr>
              <w:rFonts w:cs="Times New Roman"/>
            </w:rPr>
            <w:fldChar w:fldCharType="begin"/>
          </w:r>
          <w:r>
            <w:rPr>
              <w:rFonts w:cs="Times New Roman"/>
            </w:rPr>
            <w:instrText xml:space="preserve"> HYPERLINK \l _Toc10193 </w:instrText>
          </w:r>
          <w:r>
            <w:rPr>
              <w:rFonts w:cs="Times New Roman"/>
            </w:rPr>
            <w:fldChar w:fldCharType="separate"/>
          </w:r>
          <w:r>
            <w:rPr>
              <w:rFonts w:hint="eastAsia"/>
              <w:lang w:val="en-US" w:eastAsia="zh-CN"/>
            </w:rPr>
            <w:t>8.1</w:t>
          </w:r>
          <w:r>
            <w:rPr>
              <w:rFonts w:cs="Times New Roman"/>
            </w:rPr>
            <w:t>项目现场准备工作</w:t>
          </w:r>
          <w:r>
            <w:tab/>
          </w:r>
          <w:r>
            <w:fldChar w:fldCharType="begin"/>
          </w:r>
          <w:r>
            <w:instrText xml:space="preserve"> PAGEREF _Toc10193 \h </w:instrText>
          </w:r>
          <w:r>
            <w:fldChar w:fldCharType="separate"/>
          </w:r>
          <w:r>
            <w:t>33</w:t>
          </w:r>
          <w:r>
            <w:fldChar w:fldCharType="end"/>
          </w:r>
          <w:r>
            <w:rPr>
              <w:rFonts w:cs="Times New Roman"/>
            </w:rPr>
            <w:fldChar w:fldCharType="end"/>
          </w:r>
        </w:p>
        <w:p w14:paraId="20D537C9">
          <w:pPr>
            <w:pStyle w:val="23"/>
            <w:tabs>
              <w:tab w:val="right" w:leader="dot" w:pos="8306"/>
            </w:tabs>
          </w:pPr>
          <w:r>
            <w:rPr>
              <w:rFonts w:cs="Times New Roman"/>
            </w:rPr>
            <w:fldChar w:fldCharType="begin"/>
          </w:r>
          <w:r>
            <w:rPr>
              <w:rFonts w:cs="Times New Roman"/>
            </w:rPr>
            <w:instrText xml:space="preserve"> HYPERLINK \l _Toc22767 </w:instrText>
          </w:r>
          <w:r>
            <w:rPr>
              <w:rFonts w:cs="Times New Roman"/>
            </w:rPr>
            <w:fldChar w:fldCharType="separate"/>
          </w:r>
          <w:r>
            <w:rPr>
              <w:rFonts w:hint="eastAsia" w:cs="Times New Roman"/>
            </w:rPr>
            <w:t>8.</w:t>
          </w:r>
          <w:r>
            <w:rPr>
              <w:rFonts w:hint="eastAsia" w:cs="Times New Roman"/>
              <w:lang w:val="en-US" w:eastAsia="zh-CN"/>
            </w:rPr>
            <w:t>2</w:t>
          </w:r>
          <w:r>
            <w:rPr>
              <w:rFonts w:hint="eastAsia" w:cs="Times New Roman"/>
              <w:highlight w:val="none"/>
              <w:lang w:val="en-US" w:eastAsia="zh-CN"/>
            </w:rPr>
            <w:t>安拆</w:t>
          </w:r>
          <w:r>
            <w:rPr>
              <w:rFonts w:cs="Times New Roman"/>
              <w:highlight w:val="none"/>
            </w:rPr>
            <w:t>施工进度计划</w:t>
          </w:r>
          <w:r>
            <w:tab/>
          </w:r>
          <w:r>
            <w:fldChar w:fldCharType="begin"/>
          </w:r>
          <w:r>
            <w:instrText xml:space="preserve"> PAGEREF _Toc22767 \h </w:instrText>
          </w:r>
          <w:r>
            <w:fldChar w:fldCharType="separate"/>
          </w:r>
          <w:r>
            <w:t>34</w:t>
          </w:r>
          <w:r>
            <w:fldChar w:fldCharType="end"/>
          </w:r>
          <w:r>
            <w:rPr>
              <w:rFonts w:cs="Times New Roman"/>
            </w:rPr>
            <w:fldChar w:fldCharType="end"/>
          </w:r>
        </w:p>
        <w:p w14:paraId="0154F89B">
          <w:pPr>
            <w:pStyle w:val="23"/>
            <w:tabs>
              <w:tab w:val="right" w:leader="dot" w:pos="8306"/>
            </w:tabs>
          </w:pPr>
          <w:r>
            <w:rPr>
              <w:rFonts w:cs="Times New Roman"/>
            </w:rPr>
            <w:fldChar w:fldCharType="begin"/>
          </w:r>
          <w:r>
            <w:rPr>
              <w:rFonts w:cs="Times New Roman"/>
            </w:rPr>
            <w:instrText xml:space="preserve"> HYPERLINK \l _Toc8274 </w:instrText>
          </w:r>
          <w:r>
            <w:rPr>
              <w:rFonts w:cs="Times New Roman"/>
            </w:rPr>
            <w:fldChar w:fldCharType="separate"/>
          </w:r>
          <w:r>
            <w:rPr>
              <w:rFonts w:hint="eastAsia" w:cs="Times New Roman"/>
              <w:lang w:val="en-US" w:eastAsia="zh-CN"/>
            </w:rPr>
            <w:t>8.3 安拆塔计算</w:t>
          </w:r>
          <w:r>
            <w:tab/>
          </w:r>
          <w:r>
            <w:fldChar w:fldCharType="begin"/>
          </w:r>
          <w:r>
            <w:instrText xml:space="preserve"> PAGEREF _Toc8274 \h </w:instrText>
          </w:r>
          <w:r>
            <w:fldChar w:fldCharType="separate"/>
          </w:r>
          <w:r>
            <w:t>35</w:t>
          </w:r>
          <w:r>
            <w:fldChar w:fldCharType="end"/>
          </w:r>
          <w:r>
            <w:rPr>
              <w:rFonts w:cs="Times New Roman"/>
            </w:rPr>
            <w:fldChar w:fldCharType="end"/>
          </w:r>
        </w:p>
        <w:p w14:paraId="14732434">
          <w:pPr>
            <w:pStyle w:val="23"/>
            <w:tabs>
              <w:tab w:val="right" w:leader="dot" w:pos="8306"/>
            </w:tabs>
          </w:pPr>
          <w:r>
            <w:rPr>
              <w:rFonts w:cs="Times New Roman"/>
            </w:rPr>
            <w:fldChar w:fldCharType="begin"/>
          </w:r>
          <w:r>
            <w:rPr>
              <w:rFonts w:cs="Times New Roman"/>
            </w:rPr>
            <w:instrText xml:space="preserve"> HYPERLINK \l _Toc12070 </w:instrText>
          </w:r>
          <w:r>
            <w:rPr>
              <w:rFonts w:cs="Times New Roman"/>
            </w:rPr>
            <w:fldChar w:fldCharType="separate"/>
          </w:r>
          <w:r>
            <w:rPr>
              <w:rFonts w:hint="eastAsia" w:cs="Times New Roman"/>
              <w:bCs/>
              <w:kern w:val="2"/>
              <w:szCs w:val="32"/>
              <w:lang w:val="en-US" w:eastAsia="zh-CN" w:bidi="ar-SA"/>
            </w:rPr>
            <w:t>8.4安装工艺流程及步骤</w:t>
          </w:r>
          <w:r>
            <w:tab/>
          </w:r>
          <w:r>
            <w:fldChar w:fldCharType="begin"/>
          </w:r>
          <w:r>
            <w:instrText xml:space="preserve"> PAGEREF _Toc12070 \h </w:instrText>
          </w:r>
          <w:r>
            <w:fldChar w:fldCharType="separate"/>
          </w:r>
          <w:r>
            <w:t>38</w:t>
          </w:r>
          <w:r>
            <w:fldChar w:fldCharType="end"/>
          </w:r>
          <w:r>
            <w:rPr>
              <w:rFonts w:cs="Times New Roman"/>
            </w:rPr>
            <w:fldChar w:fldCharType="end"/>
          </w:r>
        </w:p>
        <w:p w14:paraId="794885F3">
          <w:pPr>
            <w:pStyle w:val="21"/>
            <w:tabs>
              <w:tab w:val="right" w:leader="dot" w:pos="8306"/>
              <w:tab w:val="clear" w:pos="426"/>
              <w:tab w:val="clear" w:pos="8296"/>
            </w:tabs>
          </w:pPr>
          <w:r>
            <w:rPr>
              <w:rFonts w:cs="Times New Roman"/>
            </w:rPr>
            <w:fldChar w:fldCharType="begin"/>
          </w:r>
          <w:r>
            <w:rPr>
              <w:rFonts w:cs="Times New Roman"/>
            </w:rPr>
            <w:instrText xml:space="preserve"> HYPERLINK \l _Toc13345 </w:instrText>
          </w:r>
          <w:r>
            <w:rPr>
              <w:rFonts w:cs="Times New Roman"/>
            </w:rPr>
            <w:fldChar w:fldCharType="separate"/>
          </w:r>
          <w:r>
            <w:rPr>
              <w:rFonts w:hint="default" w:ascii="Times New Roman" w:hAnsi="Times New Roman" w:eastAsia="宋体" w:cs="Arial"/>
              <w:i w:val="0"/>
              <w:szCs w:val="24"/>
            </w:rPr>
            <w:t xml:space="preserve">9 </w:t>
          </w:r>
          <w:r>
            <w:rPr>
              <w:rFonts w:cs="Times New Roman"/>
            </w:rPr>
            <w:t>拆除</w:t>
          </w:r>
          <w:r>
            <w:rPr>
              <w:rFonts w:hint="eastAsia" w:cs="Times New Roman"/>
            </w:rPr>
            <w:t>顺序</w:t>
          </w:r>
          <w:r>
            <w:tab/>
          </w:r>
          <w:r>
            <w:fldChar w:fldCharType="begin"/>
          </w:r>
          <w:r>
            <w:instrText xml:space="preserve"> PAGEREF _Toc13345 \h </w:instrText>
          </w:r>
          <w:r>
            <w:fldChar w:fldCharType="separate"/>
          </w:r>
          <w:r>
            <w:t>72</w:t>
          </w:r>
          <w:r>
            <w:fldChar w:fldCharType="end"/>
          </w:r>
          <w:r>
            <w:rPr>
              <w:rFonts w:cs="Times New Roman"/>
            </w:rPr>
            <w:fldChar w:fldCharType="end"/>
          </w:r>
        </w:p>
        <w:p w14:paraId="201E0710">
          <w:pPr>
            <w:pStyle w:val="23"/>
            <w:tabs>
              <w:tab w:val="right" w:leader="dot" w:pos="8306"/>
            </w:tabs>
          </w:pPr>
          <w:r>
            <w:rPr>
              <w:rFonts w:cs="Times New Roman"/>
            </w:rPr>
            <w:fldChar w:fldCharType="begin"/>
          </w:r>
          <w:r>
            <w:rPr>
              <w:rFonts w:cs="Times New Roman"/>
            </w:rPr>
            <w:instrText xml:space="preserve"> HYPERLINK \l _Toc12152 </w:instrText>
          </w:r>
          <w:r>
            <w:rPr>
              <w:rFonts w:cs="Times New Roman"/>
            </w:rPr>
            <w:fldChar w:fldCharType="separate"/>
          </w:r>
          <w:r>
            <w:rPr>
              <w:rFonts w:hint="default" w:cs="Times New Roman"/>
            </w:rPr>
            <w:t xml:space="preserve">9.1 </w:t>
          </w:r>
          <w:r>
            <w:rPr>
              <w:rFonts w:cs="Times New Roman"/>
            </w:rPr>
            <w:t>项目现场准备工作</w:t>
          </w:r>
          <w:r>
            <w:tab/>
          </w:r>
          <w:r>
            <w:fldChar w:fldCharType="begin"/>
          </w:r>
          <w:r>
            <w:instrText xml:space="preserve"> PAGEREF _Toc12152 \h </w:instrText>
          </w:r>
          <w:r>
            <w:fldChar w:fldCharType="separate"/>
          </w:r>
          <w:r>
            <w:t>72</w:t>
          </w:r>
          <w:r>
            <w:fldChar w:fldCharType="end"/>
          </w:r>
          <w:r>
            <w:rPr>
              <w:rFonts w:cs="Times New Roman"/>
            </w:rPr>
            <w:fldChar w:fldCharType="end"/>
          </w:r>
        </w:p>
        <w:p w14:paraId="3637E47E">
          <w:pPr>
            <w:pStyle w:val="23"/>
            <w:tabs>
              <w:tab w:val="right" w:leader="dot" w:pos="8306"/>
            </w:tabs>
          </w:pPr>
          <w:r>
            <w:rPr>
              <w:rFonts w:cs="Times New Roman"/>
            </w:rPr>
            <w:fldChar w:fldCharType="begin"/>
          </w:r>
          <w:r>
            <w:rPr>
              <w:rFonts w:cs="Times New Roman"/>
            </w:rPr>
            <w:instrText xml:space="preserve"> HYPERLINK \l _Toc651 </w:instrText>
          </w:r>
          <w:r>
            <w:rPr>
              <w:rFonts w:cs="Times New Roman"/>
            </w:rPr>
            <w:fldChar w:fldCharType="separate"/>
          </w:r>
          <w:r>
            <w:rPr>
              <w:rFonts w:hint="default" w:cs="Times New Roman"/>
            </w:rPr>
            <w:t xml:space="preserve">9.2 </w:t>
          </w:r>
          <w:r>
            <w:rPr>
              <w:rFonts w:hint="eastAsia" w:cs="Times New Roman"/>
            </w:rPr>
            <w:t>拆卸前进行塔机设备检查</w:t>
          </w:r>
          <w:r>
            <w:tab/>
          </w:r>
          <w:r>
            <w:fldChar w:fldCharType="begin"/>
          </w:r>
          <w:r>
            <w:instrText xml:space="preserve"> PAGEREF _Toc651 \h </w:instrText>
          </w:r>
          <w:r>
            <w:fldChar w:fldCharType="separate"/>
          </w:r>
          <w:r>
            <w:t>72</w:t>
          </w:r>
          <w:r>
            <w:fldChar w:fldCharType="end"/>
          </w:r>
          <w:r>
            <w:rPr>
              <w:rFonts w:cs="Times New Roman"/>
            </w:rPr>
            <w:fldChar w:fldCharType="end"/>
          </w:r>
        </w:p>
        <w:p w14:paraId="528D9606">
          <w:pPr>
            <w:pStyle w:val="23"/>
            <w:tabs>
              <w:tab w:val="right" w:leader="dot" w:pos="8306"/>
            </w:tabs>
          </w:pPr>
          <w:r>
            <w:rPr>
              <w:rFonts w:cs="Times New Roman"/>
            </w:rPr>
            <w:fldChar w:fldCharType="begin"/>
          </w:r>
          <w:r>
            <w:rPr>
              <w:rFonts w:cs="Times New Roman"/>
            </w:rPr>
            <w:instrText xml:space="preserve"> HYPERLINK \l _Toc20029 </w:instrText>
          </w:r>
          <w:r>
            <w:rPr>
              <w:rFonts w:cs="Times New Roman"/>
            </w:rPr>
            <w:fldChar w:fldCharType="separate"/>
          </w:r>
          <w:r>
            <w:rPr>
              <w:rFonts w:hint="default" w:cs="Times New Roman"/>
            </w:rPr>
            <w:t xml:space="preserve">9.3 </w:t>
          </w:r>
          <w:r>
            <w:rPr>
              <w:rFonts w:hint="eastAsia" w:cs="Times New Roman"/>
              <w:lang w:val="en-US" w:eastAsia="zh-CN"/>
            </w:rPr>
            <w:t>拆塔工艺流程</w:t>
          </w:r>
          <w:r>
            <w:tab/>
          </w:r>
          <w:r>
            <w:fldChar w:fldCharType="begin"/>
          </w:r>
          <w:r>
            <w:instrText xml:space="preserve"> PAGEREF _Toc20029 \h </w:instrText>
          </w:r>
          <w:r>
            <w:fldChar w:fldCharType="separate"/>
          </w:r>
          <w:r>
            <w:t>73</w:t>
          </w:r>
          <w:r>
            <w:fldChar w:fldCharType="end"/>
          </w:r>
          <w:r>
            <w:rPr>
              <w:rFonts w:cs="Times New Roman"/>
            </w:rPr>
            <w:fldChar w:fldCharType="end"/>
          </w:r>
        </w:p>
        <w:p w14:paraId="5EE7281B">
          <w:pPr>
            <w:pStyle w:val="23"/>
            <w:tabs>
              <w:tab w:val="right" w:leader="dot" w:pos="8306"/>
            </w:tabs>
          </w:pPr>
          <w:r>
            <w:rPr>
              <w:rFonts w:cs="Times New Roman"/>
            </w:rPr>
            <w:fldChar w:fldCharType="begin"/>
          </w:r>
          <w:r>
            <w:rPr>
              <w:rFonts w:cs="Times New Roman"/>
            </w:rPr>
            <w:instrText xml:space="preserve"> HYPERLINK \l _Toc8152 </w:instrText>
          </w:r>
          <w:r>
            <w:rPr>
              <w:rFonts w:cs="Times New Roman"/>
            </w:rPr>
            <w:fldChar w:fldCharType="separate"/>
          </w:r>
          <w:r>
            <w:rPr>
              <w:rFonts w:hint="default"/>
              <w:lang w:val="en-US" w:eastAsia="zh-CN"/>
            </w:rPr>
            <w:t xml:space="preserve">9.4 </w:t>
          </w:r>
          <w:r>
            <w:rPr>
              <w:rFonts w:hint="eastAsia"/>
              <w:lang w:val="en-US" w:eastAsia="zh-CN"/>
            </w:rPr>
            <w:t>降</w:t>
          </w:r>
          <w:r>
            <w:rPr>
              <w:rFonts w:hint="eastAsia" w:asciiTheme="minorHAnsi" w:hAnsiTheme="minorHAnsi" w:eastAsiaTheme="majorEastAsia" w:cstheme="majorBidi"/>
              <w:bCs/>
              <w:kern w:val="2"/>
              <w:szCs w:val="32"/>
              <w:lang w:val="en-US" w:eastAsia="zh-CN" w:bidi="ar-SA"/>
            </w:rPr>
            <w:t>塔</w:t>
          </w:r>
          <w:r>
            <w:tab/>
          </w:r>
          <w:r>
            <w:fldChar w:fldCharType="begin"/>
          </w:r>
          <w:r>
            <w:instrText xml:space="preserve"> PAGEREF _Toc8152 \h </w:instrText>
          </w:r>
          <w:r>
            <w:fldChar w:fldCharType="separate"/>
          </w:r>
          <w:r>
            <w:t>73</w:t>
          </w:r>
          <w:r>
            <w:fldChar w:fldCharType="end"/>
          </w:r>
          <w:r>
            <w:rPr>
              <w:rFonts w:cs="Times New Roman"/>
            </w:rPr>
            <w:fldChar w:fldCharType="end"/>
          </w:r>
        </w:p>
        <w:p w14:paraId="09E8A16C">
          <w:pPr>
            <w:pStyle w:val="23"/>
            <w:tabs>
              <w:tab w:val="right" w:leader="dot" w:pos="8306"/>
            </w:tabs>
          </w:pPr>
          <w:r>
            <w:rPr>
              <w:rFonts w:cs="Times New Roman"/>
            </w:rPr>
            <w:fldChar w:fldCharType="begin"/>
          </w:r>
          <w:r>
            <w:rPr>
              <w:rFonts w:cs="Times New Roman"/>
            </w:rPr>
            <w:instrText xml:space="preserve"> HYPERLINK \l _Toc17058 </w:instrText>
          </w:r>
          <w:r>
            <w:rPr>
              <w:rFonts w:cs="Times New Roman"/>
            </w:rPr>
            <w:fldChar w:fldCharType="separate"/>
          </w:r>
          <w:r>
            <w:rPr>
              <w:rFonts w:hint="default" w:ascii="Times New Roman" w:hAnsi="Times New Roman" w:eastAsiaTheme="majorEastAsia" w:cstheme="majorBidi"/>
              <w:bCs/>
              <w:kern w:val="2"/>
              <w:szCs w:val="32"/>
              <w:lang w:val="en-US" w:eastAsia="zh-CN" w:bidi="ar-SA"/>
            </w:rPr>
            <w:t xml:space="preserve">9.5 </w:t>
          </w:r>
          <w:r>
            <w:rPr>
              <w:rFonts w:hint="eastAsia" w:cstheme="majorBidi"/>
              <w:bCs/>
              <w:kern w:val="2"/>
              <w:szCs w:val="32"/>
              <w:lang w:val="en-US" w:eastAsia="zh-CN" w:bidi="ar-SA"/>
            </w:rPr>
            <w:t>拆除电气系统</w:t>
          </w:r>
          <w:r>
            <w:tab/>
          </w:r>
          <w:r>
            <w:fldChar w:fldCharType="begin"/>
          </w:r>
          <w:r>
            <w:instrText xml:space="preserve"> PAGEREF _Toc17058 \h </w:instrText>
          </w:r>
          <w:r>
            <w:fldChar w:fldCharType="separate"/>
          </w:r>
          <w:r>
            <w:t>74</w:t>
          </w:r>
          <w:r>
            <w:fldChar w:fldCharType="end"/>
          </w:r>
          <w:r>
            <w:rPr>
              <w:rFonts w:cs="Times New Roman"/>
            </w:rPr>
            <w:fldChar w:fldCharType="end"/>
          </w:r>
        </w:p>
        <w:p w14:paraId="07ADF64F">
          <w:pPr>
            <w:pStyle w:val="23"/>
            <w:tabs>
              <w:tab w:val="right" w:leader="dot" w:pos="8306"/>
            </w:tabs>
          </w:pPr>
          <w:r>
            <w:rPr>
              <w:rFonts w:cs="Times New Roman"/>
            </w:rPr>
            <w:fldChar w:fldCharType="begin"/>
          </w:r>
          <w:r>
            <w:rPr>
              <w:rFonts w:cs="Times New Roman"/>
            </w:rPr>
            <w:instrText xml:space="preserve"> HYPERLINK \l _Toc12898 </w:instrText>
          </w:r>
          <w:r>
            <w:rPr>
              <w:rFonts w:cs="Times New Roman"/>
            </w:rPr>
            <w:fldChar w:fldCharType="separate"/>
          </w:r>
          <w:r>
            <w:rPr>
              <w:rFonts w:hint="default"/>
              <w:lang w:val="en-US" w:eastAsia="zh-CN"/>
            </w:rPr>
            <w:t xml:space="preserve">9.6 </w:t>
          </w:r>
          <w:r>
            <w:rPr>
              <w:rFonts w:hint="eastAsia" w:cstheme="majorBidi"/>
              <w:bCs/>
              <w:kern w:val="2"/>
              <w:szCs w:val="32"/>
              <w:lang w:val="en-US" w:eastAsia="zh-CN" w:bidi="ar-SA"/>
            </w:rPr>
            <w:t>拆除吊钩和钢丝绳</w:t>
          </w:r>
          <w:r>
            <w:tab/>
          </w:r>
          <w:r>
            <w:fldChar w:fldCharType="begin"/>
          </w:r>
          <w:r>
            <w:instrText xml:space="preserve"> PAGEREF _Toc12898 \h </w:instrText>
          </w:r>
          <w:r>
            <w:fldChar w:fldCharType="separate"/>
          </w:r>
          <w:r>
            <w:t>74</w:t>
          </w:r>
          <w:r>
            <w:fldChar w:fldCharType="end"/>
          </w:r>
          <w:r>
            <w:rPr>
              <w:rFonts w:cs="Times New Roman"/>
            </w:rPr>
            <w:fldChar w:fldCharType="end"/>
          </w:r>
        </w:p>
        <w:p w14:paraId="56956647">
          <w:pPr>
            <w:pStyle w:val="23"/>
            <w:tabs>
              <w:tab w:val="right" w:leader="dot" w:pos="8306"/>
            </w:tabs>
          </w:pPr>
          <w:r>
            <w:rPr>
              <w:rFonts w:cs="Times New Roman"/>
            </w:rPr>
            <w:fldChar w:fldCharType="begin"/>
          </w:r>
          <w:r>
            <w:rPr>
              <w:rFonts w:cs="Times New Roman"/>
            </w:rPr>
            <w:instrText xml:space="preserve"> HYPERLINK \l _Toc15862 </w:instrText>
          </w:r>
          <w:r>
            <w:rPr>
              <w:rFonts w:cs="Times New Roman"/>
            </w:rPr>
            <w:fldChar w:fldCharType="separate"/>
          </w:r>
          <w:r>
            <w:rPr>
              <w:rFonts w:hint="default"/>
              <w:lang w:val="en-US" w:eastAsia="zh-CN"/>
            </w:rPr>
            <w:t xml:space="preserve">9.7 </w:t>
          </w:r>
          <w:r>
            <w:rPr>
              <w:rFonts w:hint="eastAsia"/>
              <w:lang w:val="en-US" w:eastAsia="zh-CN"/>
            </w:rPr>
            <w:t>拆除部分平衡重</w:t>
          </w:r>
          <w:r>
            <w:tab/>
          </w:r>
          <w:r>
            <w:fldChar w:fldCharType="begin"/>
          </w:r>
          <w:r>
            <w:instrText xml:space="preserve"> PAGEREF _Toc15862 \h </w:instrText>
          </w:r>
          <w:r>
            <w:fldChar w:fldCharType="separate"/>
          </w:r>
          <w:r>
            <w:t>75</w:t>
          </w:r>
          <w:r>
            <w:fldChar w:fldCharType="end"/>
          </w:r>
          <w:r>
            <w:rPr>
              <w:rFonts w:cs="Times New Roman"/>
            </w:rPr>
            <w:fldChar w:fldCharType="end"/>
          </w:r>
        </w:p>
        <w:p w14:paraId="59A72A56">
          <w:pPr>
            <w:pStyle w:val="23"/>
            <w:tabs>
              <w:tab w:val="right" w:leader="dot" w:pos="8306"/>
            </w:tabs>
          </w:pPr>
          <w:r>
            <w:rPr>
              <w:rFonts w:cs="Times New Roman"/>
            </w:rPr>
            <w:fldChar w:fldCharType="begin"/>
          </w:r>
          <w:r>
            <w:rPr>
              <w:rFonts w:cs="Times New Roman"/>
            </w:rPr>
            <w:instrText xml:space="preserve"> HYPERLINK \l _Toc8497 </w:instrText>
          </w:r>
          <w:r>
            <w:rPr>
              <w:rFonts w:cs="Times New Roman"/>
            </w:rPr>
            <w:fldChar w:fldCharType="separate"/>
          </w:r>
          <w:r>
            <w:rPr>
              <w:rFonts w:hint="default"/>
              <w:lang w:val="en-US" w:eastAsia="zh-CN"/>
            </w:rPr>
            <w:t xml:space="preserve">9.8 </w:t>
          </w:r>
          <w:r>
            <w:rPr>
              <w:rFonts w:hint="eastAsia"/>
              <w:lang w:val="en-US" w:eastAsia="zh-CN"/>
            </w:rPr>
            <w:t>拆除部分起重臂</w:t>
          </w:r>
          <w:r>
            <w:tab/>
          </w:r>
          <w:r>
            <w:fldChar w:fldCharType="begin"/>
          </w:r>
          <w:r>
            <w:instrText xml:space="preserve"> PAGEREF _Toc8497 \h </w:instrText>
          </w:r>
          <w:r>
            <w:fldChar w:fldCharType="separate"/>
          </w:r>
          <w:r>
            <w:t>77</w:t>
          </w:r>
          <w:r>
            <w:fldChar w:fldCharType="end"/>
          </w:r>
          <w:r>
            <w:rPr>
              <w:rFonts w:cs="Times New Roman"/>
            </w:rPr>
            <w:fldChar w:fldCharType="end"/>
          </w:r>
        </w:p>
        <w:p w14:paraId="282EAE1C">
          <w:pPr>
            <w:pStyle w:val="23"/>
            <w:tabs>
              <w:tab w:val="right" w:leader="dot" w:pos="8306"/>
            </w:tabs>
          </w:pPr>
          <w:r>
            <w:rPr>
              <w:rFonts w:cs="Times New Roman"/>
            </w:rPr>
            <w:fldChar w:fldCharType="begin"/>
          </w:r>
          <w:r>
            <w:rPr>
              <w:rFonts w:cs="Times New Roman"/>
            </w:rPr>
            <w:instrText xml:space="preserve"> HYPERLINK \l _Toc25163 </w:instrText>
          </w:r>
          <w:r>
            <w:rPr>
              <w:rFonts w:cs="Times New Roman"/>
            </w:rPr>
            <w:fldChar w:fldCharType="separate"/>
          </w:r>
          <w:r>
            <w:rPr>
              <w:rFonts w:hint="default"/>
              <w:lang w:val="en-US" w:eastAsia="zh-CN"/>
            </w:rPr>
            <w:t xml:space="preserve">9.9 </w:t>
          </w:r>
          <w:r>
            <w:rPr>
              <w:rFonts w:hint="eastAsia"/>
              <w:lang w:val="en-US" w:eastAsia="zh-CN"/>
            </w:rPr>
            <w:t>拆除剩余1块3.2t平衡重</w:t>
          </w:r>
          <w:r>
            <w:tab/>
          </w:r>
          <w:r>
            <w:fldChar w:fldCharType="begin"/>
          </w:r>
          <w:r>
            <w:instrText xml:space="preserve"> PAGEREF _Toc25163 \h </w:instrText>
          </w:r>
          <w:r>
            <w:fldChar w:fldCharType="separate"/>
          </w:r>
          <w:r>
            <w:t>81</w:t>
          </w:r>
          <w:r>
            <w:fldChar w:fldCharType="end"/>
          </w:r>
          <w:r>
            <w:rPr>
              <w:rFonts w:cs="Times New Roman"/>
            </w:rPr>
            <w:fldChar w:fldCharType="end"/>
          </w:r>
        </w:p>
        <w:p w14:paraId="2683EC54">
          <w:pPr>
            <w:pStyle w:val="23"/>
            <w:tabs>
              <w:tab w:val="right" w:leader="dot" w:pos="8306"/>
            </w:tabs>
          </w:pPr>
          <w:r>
            <w:rPr>
              <w:rFonts w:cs="Times New Roman"/>
            </w:rPr>
            <w:fldChar w:fldCharType="begin"/>
          </w:r>
          <w:r>
            <w:rPr>
              <w:rFonts w:cs="Times New Roman"/>
            </w:rPr>
            <w:instrText xml:space="preserve"> HYPERLINK \l _Toc10382 </w:instrText>
          </w:r>
          <w:r>
            <w:rPr>
              <w:rFonts w:cs="Times New Roman"/>
            </w:rPr>
            <w:fldChar w:fldCharType="separate"/>
          </w:r>
          <w:r>
            <w:rPr>
              <w:rFonts w:hint="default"/>
              <w:lang w:val="en-US" w:eastAsia="zh-CN"/>
            </w:rPr>
            <w:t xml:space="preserve">9.10 </w:t>
          </w:r>
          <w:r>
            <w:rPr>
              <w:rFonts w:hint="eastAsia"/>
              <w:lang w:val="en-US" w:eastAsia="zh-CN"/>
            </w:rPr>
            <w:t>拆除平衡臂</w:t>
          </w:r>
          <w:r>
            <w:tab/>
          </w:r>
          <w:r>
            <w:fldChar w:fldCharType="begin"/>
          </w:r>
          <w:r>
            <w:instrText xml:space="preserve"> PAGEREF _Toc10382 \h </w:instrText>
          </w:r>
          <w:r>
            <w:fldChar w:fldCharType="separate"/>
          </w:r>
          <w:r>
            <w:t>82</w:t>
          </w:r>
          <w:r>
            <w:fldChar w:fldCharType="end"/>
          </w:r>
          <w:r>
            <w:rPr>
              <w:rFonts w:cs="Times New Roman"/>
            </w:rPr>
            <w:fldChar w:fldCharType="end"/>
          </w:r>
        </w:p>
        <w:p w14:paraId="2BCEF717">
          <w:pPr>
            <w:pStyle w:val="23"/>
            <w:tabs>
              <w:tab w:val="right" w:leader="dot" w:pos="8306"/>
            </w:tabs>
          </w:pPr>
          <w:r>
            <w:rPr>
              <w:rFonts w:cs="Times New Roman"/>
            </w:rPr>
            <w:fldChar w:fldCharType="begin"/>
          </w:r>
          <w:r>
            <w:rPr>
              <w:rFonts w:cs="Times New Roman"/>
            </w:rPr>
            <w:instrText xml:space="preserve"> HYPERLINK \l _Toc6974 </w:instrText>
          </w:r>
          <w:r>
            <w:rPr>
              <w:rFonts w:cs="Times New Roman"/>
            </w:rPr>
            <w:fldChar w:fldCharType="separate"/>
          </w:r>
          <w:r>
            <w:rPr>
              <w:rFonts w:hint="default"/>
            </w:rPr>
            <w:t xml:space="preserve">9.11 </w:t>
          </w:r>
          <w:r>
            <w:rPr>
              <w:rFonts w:hint="eastAsia"/>
              <w:lang w:val="en-US" w:eastAsia="zh-CN"/>
            </w:rPr>
            <w:t>拆除起重臂臂根节</w:t>
          </w:r>
          <w:r>
            <w:tab/>
          </w:r>
          <w:r>
            <w:fldChar w:fldCharType="begin"/>
          </w:r>
          <w:r>
            <w:instrText xml:space="preserve"> PAGEREF _Toc6974 \h </w:instrText>
          </w:r>
          <w:r>
            <w:fldChar w:fldCharType="separate"/>
          </w:r>
          <w:r>
            <w:t>84</w:t>
          </w:r>
          <w:r>
            <w:fldChar w:fldCharType="end"/>
          </w:r>
          <w:r>
            <w:rPr>
              <w:rFonts w:cs="Times New Roman"/>
            </w:rPr>
            <w:fldChar w:fldCharType="end"/>
          </w:r>
        </w:p>
        <w:p w14:paraId="4141600A">
          <w:pPr>
            <w:pStyle w:val="23"/>
            <w:tabs>
              <w:tab w:val="right" w:leader="dot" w:pos="8306"/>
            </w:tabs>
          </w:pPr>
          <w:r>
            <w:rPr>
              <w:rFonts w:cs="Times New Roman"/>
            </w:rPr>
            <w:fldChar w:fldCharType="begin"/>
          </w:r>
          <w:r>
            <w:rPr>
              <w:rFonts w:cs="Times New Roman"/>
            </w:rPr>
            <w:instrText xml:space="preserve"> HYPERLINK \l _Toc3126 </w:instrText>
          </w:r>
          <w:r>
            <w:rPr>
              <w:rFonts w:cs="Times New Roman"/>
            </w:rPr>
            <w:fldChar w:fldCharType="separate"/>
          </w:r>
          <w:r>
            <w:rPr>
              <w:rFonts w:hint="default"/>
              <w:lang w:val="en-US" w:eastAsia="zh-CN"/>
            </w:rPr>
            <w:t xml:space="preserve">9.12 </w:t>
          </w:r>
          <w:r>
            <w:rPr>
              <w:rFonts w:hint="eastAsia"/>
              <w:lang w:val="en-US" w:eastAsia="zh-CN"/>
            </w:rPr>
            <w:t>拆卸回转总成</w:t>
          </w:r>
          <w:r>
            <w:tab/>
          </w:r>
          <w:r>
            <w:fldChar w:fldCharType="begin"/>
          </w:r>
          <w:r>
            <w:instrText xml:space="preserve"> PAGEREF _Toc3126 \h </w:instrText>
          </w:r>
          <w:r>
            <w:fldChar w:fldCharType="separate"/>
          </w:r>
          <w:r>
            <w:t>85</w:t>
          </w:r>
          <w:r>
            <w:fldChar w:fldCharType="end"/>
          </w:r>
          <w:r>
            <w:rPr>
              <w:rFonts w:cs="Times New Roman"/>
            </w:rPr>
            <w:fldChar w:fldCharType="end"/>
          </w:r>
        </w:p>
        <w:p w14:paraId="004982A0">
          <w:pPr>
            <w:pStyle w:val="23"/>
            <w:tabs>
              <w:tab w:val="right" w:leader="dot" w:pos="8306"/>
            </w:tabs>
          </w:pPr>
          <w:r>
            <w:rPr>
              <w:rFonts w:cs="Times New Roman"/>
            </w:rPr>
            <w:fldChar w:fldCharType="begin"/>
          </w:r>
          <w:r>
            <w:rPr>
              <w:rFonts w:cs="Times New Roman"/>
            </w:rPr>
            <w:instrText xml:space="preserve"> HYPERLINK \l _Toc20963 </w:instrText>
          </w:r>
          <w:r>
            <w:rPr>
              <w:rFonts w:cs="Times New Roman"/>
            </w:rPr>
            <w:fldChar w:fldCharType="separate"/>
          </w:r>
          <w:r>
            <w:rPr>
              <w:rFonts w:hint="default"/>
              <w:lang w:val="en-US" w:eastAsia="zh-CN"/>
            </w:rPr>
            <w:t xml:space="preserve">9.13 </w:t>
          </w:r>
          <w:r>
            <w:rPr>
              <w:rFonts w:hint="eastAsia"/>
              <w:lang w:val="en-US" w:eastAsia="zh-CN"/>
            </w:rPr>
            <w:t>拆除特殊节</w:t>
          </w:r>
          <w:r>
            <w:tab/>
          </w:r>
          <w:r>
            <w:fldChar w:fldCharType="begin"/>
          </w:r>
          <w:r>
            <w:instrText xml:space="preserve"> PAGEREF _Toc20963 \h </w:instrText>
          </w:r>
          <w:r>
            <w:fldChar w:fldCharType="separate"/>
          </w:r>
          <w:r>
            <w:t>87</w:t>
          </w:r>
          <w:r>
            <w:fldChar w:fldCharType="end"/>
          </w:r>
          <w:r>
            <w:rPr>
              <w:rFonts w:cs="Times New Roman"/>
            </w:rPr>
            <w:fldChar w:fldCharType="end"/>
          </w:r>
        </w:p>
        <w:p w14:paraId="3BBE2D1A">
          <w:pPr>
            <w:pStyle w:val="23"/>
            <w:tabs>
              <w:tab w:val="right" w:leader="dot" w:pos="8306"/>
            </w:tabs>
          </w:pPr>
          <w:r>
            <w:rPr>
              <w:rFonts w:cs="Times New Roman"/>
            </w:rPr>
            <w:fldChar w:fldCharType="begin"/>
          </w:r>
          <w:r>
            <w:rPr>
              <w:rFonts w:cs="Times New Roman"/>
            </w:rPr>
            <w:instrText xml:space="preserve"> HYPERLINK \l _Toc7182 </w:instrText>
          </w:r>
          <w:r>
            <w:rPr>
              <w:rFonts w:cs="Times New Roman"/>
            </w:rPr>
            <w:fldChar w:fldCharType="separate"/>
          </w:r>
          <w:r>
            <w:rPr>
              <w:rFonts w:hint="default"/>
              <w:lang w:val="en-US" w:eastAsia="zh-CN"/>
            </w:rPr>
            <w:t xml:space="preserve">9.14 </w:t>
          </w:r>
          <w:r>
            <w:rPr>
              <w:rFonts w:hint="eastAsia"/>
              <w:lang w:val="en-US" w:eastAsia="zh-CN"/>
            </w:rPr>
            <w:t>拆除爬升架</w:t>
          </w:r>
          <w:r>
            <w:tab/>
          </w:r>
          <w:r>
            <w:fldChar w:fldCharType="begin"/>
          </w:r>
          <w:r>
            <w:instrText xml:space="preserve"> PAGEREF _Toc7182 \h </w:instrText>
          </w:r>
          <w:r>
            <w:fldChar w:fldCharType="separate"/>
          </w:r>
          <w:r>
            <w:t>88</w:t>
          </w:r>
          <w:r>
            <w:fldChar w:fldCharType="end"/>
          </w:r>
          <w:r>
            <w:rPr>
              <w:rFonts w:cs="Times New Roman"/>
            </w:rPr>
            <w:fldChar w:fldCharType="end"/>
          </w:r>
        </w:p>
        <w:p w14:paraId="79402747">
          <w:pPr>
            <w:pStyle w:val="23"/>
            <w:tabs>
              <w:tab w:val="right" w:leader="dot" w:pos="8306"/>
            </w:tabs>
          </w:pPr>
          <w:r>
            <w:rPr>
              <w:rFonts w:cs="Times New Roman"/>
            </w:rPr>
            <w:fldChar w:fldCharType="begin"/>
          </w:r>
          <w:r>
            <w:rPr>
              <w:rFonts w:cs="Times New Roman"/>
            </w:rPr>
            <w:instrText xml:space="preserve"> HYPERLINK \l _Toc32038 </w:instrText>
          </w:r>
          <w:r>
            <w:rPr>
              <w:rFonts w:cs="Times New Roman"/>
            </w:rPr>
            <w:fldChar w:fldCharType="separate"/>
          </w:r>
          <w:r>
            <w:rPr>
              <w:rFonts w:hint="default"/>
              <w:lang w:val="en-US" w:eastAsia="zh-CN"/>
            </w:rPr>
            <w:t xml:space="preserve">9.15 </w:t>
          </w:r>
          <w:r>
            <w:rPr>
              <w:rFonts w:hint="eastAsia"/>
              <w:lang w:val="en-US" w:eastAsia="zh-CN"/>
            </w:rPr>
            <w:t>拆除标准节及基础节</w:t>
          </w:r>
          <w:r>
            <w:tab/>
          </w:r>
          <w:r>
            <w:fldChar w:fldCharType="begin"/>
          </w:r>
          <w:r>
            <w:instrText xml:space="preserve"> PAGEREF _Toc32038 \h </w:instrText>
          </w:r>
          <w:r>
            <w:fldChar w:fldCharType="separate"/>
          </w:r>
          <w:r>
            <w:t>90</w:t>
          </w:r>
          <w:r>
            <w:fldChar w:fldCharType="end"/>
          </w:r>
          <w:r>
            <w:rPr>
              <w:rFonts w:cs="Times New Roman"/>
            </w:rPr>
            <w:fldChar w:fldCharType="end"/>
          </w:r>
        </w:p>
        <w:p w14:paraId="49CFBB40">
          <w:pPr>
            <w:pStyle w:val="23"/>
            <w:tabs>
              <w:tab w:val="right" w:leader="dot" w:pos="8306"/>
            </w:tabs>
          </w:pPr>
          <w:r>
            <w:rPr>
              <w:rFonts w:cs="Times New Roman"/>
            </w:rPr>
            <w:fldChar w:fldCharType="begin"/>
          </w:r>
          <w:r>
            <w:rPr>
              <w:rFonts w:cs="Times New Roman"/>
            </w:rPr>
            <w:instrText xml:space="preserve"> HYPERLINK \l _Toc10118 </w:instrText>
          </w:r>
          <w:r>
            <w:rPr>
              <w:rFonts w:cs="Times New Roman"/>
            </w:rPr>
            <w:fldChar w:fldCharType="separate"/>
          </w:r>
          <w:r>
            <w:rPr>
              <w:rFonts w:hint="default"/>
              <w:lang w:val="en-US" w:eastAsia="zh-CN"/>
            </w:rPr>
            <w:t xml:space="preserve">9.16 </w:t>
          </w:r>
          <w:r>
            <w:rPr>
              <w:rFonts w:hint="eastAsia"/>
              <w:lang w:val="en-US" w:eastAsia="zh-CN"/>
            </w:rPr>
            <w:t>塔机拆散后的注意事项</w:t>
          </w:r>
          <w:r>
            <w:tab/>
          </w:r>
          <w:r>
            <w:fldChar w:fldCharType="begin"/>
          </w:r>
          <w:r>
            <w:instrText xml:space="preserve"> PAGEREF _Toc10118 \h </w:instrText>
          </w:r>
          <w:r>
            <w:fldChar w:fldCharType="separate"/>
          </w:r>
          <w:r>
            <w:t>91</w:t>
          </w:r>
          <w:r>
            <w:fldChar w:fldCharType="end"/>
          </w:r>
          <w:r>
            <w:rPr>
              <w:rFonts w:cs="Times New Roman"/>
            </w:rPr>
            <w:fldChar w:fldCharType="end"/>
          </w:r>
        </w:p>
        <w:p w14:paraId="06794AC2">
          <w:pPr>
            <w:pStyle w:val="21"/>
            <w:tabs>
              <w:tab w:val="right" w:leader="dot" w:pos="8306"/>
              <w:tab w:val="clear" w:pos="426"/>
              <w:tab w:val="clear" w:pos="8296"/>
            </w:tabs>
          </w:pPr>
          <w:r>
            <w:rPr>
              <w:rFonts w:cs="Times New Roman"/>
            </w:rPr>
            <w:fldChar w:fldCharType="begin"/>
          </w:r>
          <w:r>
            <w:rPr>
              <w:rFonts w:cs="Times New Roman"/>
            </w:rPr>
            <w:instrText xml:space="preserve"> HYPERLINK \l _Toc23072 </w:instrText>
          </w:r>
          <w:r>
            <w:rPr>
              <w:rFonts w:cs="Times New Roman"/>
            </w:rPr>
            <w:fldChar w:fldCharType="separate"/>
          </w:r>
          <w:r>
            <w:rPr>
              <w:rFonts w:hint="default" w:ascii="Times New Roman" w:hAnsi="Times New Roman" w:eastAsia="宋体" w:cs="Arial"/>
              <w:i w:val="0"/>
              <w:szCs w:val="24"/>
            </w:rPr>
            <w:t xml:space="preserve">10 </w:t>
          </w:r>
          <w:r>
            <w:rPr>
              <w:rFonts w:cs="Times New Roman"/>
            </w:rPr>
            <w:t>重大危险源和安全技术措施</w:t>
          </w:r>
          <w:r>
            <w:tab/>
          </w:r>
          <w:r>
            <w:fldChar w:fldCharType="begin"/>
          </w:r>
          <w:r>
            <w:instrText xml:space="preserve"> PAGEREF _Toc23072 \h </w:instrText>
          </w:r>
          <w:r>
            <w:fldChar w:fldCharType="separate"/>
          </w:r>
          <w:r>
            <w:t>92</w:t>
          </w:r>
          <w:r>
            <w:fldChar w:fldCharType="end"/>
          </w:r>
          <w:r>
            <w:rPr>
              <w:rFonts w:cs="Times New Roman"/>
            </w:rPr>
            <w:fldChar w:fldCharType="end"/>
          </w:r>
        </w:p>
        <w:p w14:paraId="034CD9B6">
          <w:pPr>
            <w:pStyle w:val="23"/>
            <w:tabs>
              <w:tab w:val="right" w:leader="dot" w:pos="8306"/>
            </w:tabs>
          </w:pPr>
          <w:r>
            <w:rPr>
              <w:rFonts w:cs="Times New Roman"/>
            </w:rPr>
            <w:fldChar w:fldCharType="begin"/>
          </w:r>
          <w:r>
            <w:rPr>
              <w:rFonts w:cs="Times New Roman"/>
            </w:rPr>
            <w:instrText xml:space="preserve"> HYPERLINK \l _Toc7440 </w:instrText>
          </w:r>
          <w:r>
            <w:rPr>
              <w:rFonts w:cs="Times New Roman"/>
            </w:rPr>
            <w:fldChar w:fldCharType="separate"/>
          </w:r>
          <w:r>
            <w:rPr>
              <w:rFonts w:hint="default" w:cs="Times New Roman"/>
            </w:rPr>
            <w:t xml:space="preserve">10.1 </w:t>
          </w:r>
          <w:r>
            <w:rPr>
              <w:rFonts w:hint="eastAsia" w:cs="Times New Roman"/>
              <w:highlight w:val="none"/>
              <w:lang w:val="en-US" w:eastAsia="zh-CN"/>
            </w:rPr>
            <w:t>风险源辨识及分析</w:t>
          </w:r>
          <w:r>
            <w:tab/>
          </w:r>
          <w:r>
            <w:fldChar w:fldCharType="begin"/>
          </w:r>
          <w:r>
            <w:instrText xml:space="preserve"> PAGEREF _Toc7440 \h </w:instrText>
          </w:r>
          <w:r>
            <w:fldChar w:fldCharType="separate"/>
          </w:r>
          <w:r>
            <w:t>92</w:t>
          </w:r>
          <w:r>
            <w:fldChar w:fldCharType="end"/>
          </w:r>
          <w:r>
            <w:rPr>
              <w:rFonts w:cs="Times New Roman"/>
            </w:rPr>
            <w:fldChar w:fldCharType="end"/>
          </w:r>
        </w:p>
        <w:p w14:paraId="3D767B2D">
          <w:pPr>
            <w:pStyle w:val="23"/>
            <w:tabs>
              <w:tab w:val="right" w:leader="dot" w:pos="8306"/>
            </w:tabs>
          </w:pPr>
          <w:r>
            <w:rPr>
              <w:rFonts w:cs="Times New Roman"/>
            </w:rPr>
            <w:fldChar w:fldCharType="begin"/>
          </w:r>
          <w:r>
            <w:rPr>
              <w:rFonts w:cs="Times New Roman"/>
            </w:rPr>
            <w:instrText xml:space="preserve"> HYPERLINK \l _Toc13366 </w:instrText>
          </w:r>
          <w:r>
            <w:rPr>
              <w:rFonts w:cs="Times New Roman"/>
            </w:rPr>
            <w:fldChar w:fldCharType="separate"/>
          </w:r>
          <w:r>
            <w:rPr>
              <w:rFonts w:hint="default" w:cs="Times New Roman"/>
            </w:rPr>
            <w:t xml:space="preserve">10.2 </w:t>
          </w:r>
          <w:r>
            <w:rPr>
              <w:rFonts w:cs="Times New Roman"/>
            </w:rPr>
            <w:t>质量、环保、安全管理措施</w:t>
          </w:r>
          <w:r>
            <w:tab/>
          </w:r>
          <w:r>
            <w:fldChar w:fldCharType="begin"/>
          </w:r>
          <w:r>
            <w:instrText xml:space="preserve"> PAGEREF _Toc13366 \h </w:instrText>
          </w:r>
          <w:r>
            <w:fldChar w:fldCharType="separate"/>
          </w:r>
          <w:r>
            <w:t>96</w:t>
          </w:r>
          <w:r>
            <w:fldChar w:fldCharType="end"/>
          </w:r>
          <w:r>
            <w:rPr>
              <w:rFonts w:cs="Times New Roman"/>
            </w:rPr>
            <w:fldChar w:fldCharType="end"/>
          </w:r>
        </w:p>
        <w:p w14:paraId="6A11FAAB">
          <w:pPr>
            <w:pStyle w:val="23"/>
            <w:tabs>
              <w:tab w:val="right" w:leader="dot" w:pos="8306"/>
            </w:tabs>
          </w:pPr>
          <w:r>
            <w:rPr>
              <w:rFonts w:cs="Times New Roman"/>
            </w:rPr>
            <w:fldChar w:fldCharType="begin"/>
          </w:r>
          <w:r>
            <w:rPr>
              <w:rFonts w:cs="Times New Roman"/>
            </w:rPr>
            <w:instrText xml:space="preserve"> HYPERLINK \l _Toc15958 </w:instrText>
          </w:r>
          <w:r>
            <w:rPr>
              <w:rFonts w:cs="Times New Roman"/>
            </w:rPr>
            <w:fldChar w:fldCharType="separate"/>
          </w:r>
          <w:r>
            <w:rPr>
              <w:rFonts w:hint="default" w:cs="Times New Roman"/>
            </w:rPr>
            <w:t xml:space="preserve">10.3 </w:t>
          </w:r>
          <w:r>
            <w:rPr>
              <w:rFonts w:cs="Times New Roman"/>
            </w:rPr>
            <w:t>安全规程</w:t>
          </w:r>
          <w:r>
            <w:tab/>
          </w:r>
          <w:r>
            <w:fldChar w:fldCharType="begin"/>
          </w:r>
          <w:r>
            <w:instrText xml:space="preserve"> PAGEREF _Toc15958 \h </w:instrText>
          </w:r>
          <w:r>
            <w:fldChar w:fldCharType="separate"/>
          </w:r>
          <w:r>
            <w:t>98</w:t>
          </w:r>
          <w:r>
            <w:fldChar w:fldCharType="end"/>
          </w:r>
          <w:r>
            <w:rPr>
              <w:rFonts w:cs="Times New Roman"/>
            </w:rPr>
            <w:fldChar w:fldCharType="end"/>
          </w:r>
        </w:p>
        <w:p w14:paraId="31B6DC4B">
          <w:pPr>
            <w:pStyle w:val="23"/>
            <w:tabs>
              <w:tab w:val="right" w:leader="dot" w:pos="8306"/>
            </w:tabs>
          </w:pPr>
          <w:r>
            <w:rPr>
              <w:rFonts w:cs="Times New Roman"/>
            </w:rPr>
            <w:fldChar w:fldCharType="begin"/>
          </w:r>
          <w:r>
            <w:rPr>
              <w:rFonts w:cs="Times New Roman"/>
            </w:rPr>
            <w:instrText xml:space="preserve"> HYPERLINK \l _Toc8947 </w:instrText>
          </w:r>
          <w:r>
            <w:rPr>
              <w:rFonts w:cs="Times New Roman"/>
            </w:rPr>
            <w:fldChar w:fldCharType="separate"/>
          </w:r>
          <w:r>
            <w:rPr>
              <w:rFonts w:hint="default" w:cs="Times New Roman"/>
            </w:rPr>
            <w:t xml:space="preserve">10.4 </w:t>
          </w:r>
          <w:r>
            <w:rPr>
              <w:rFonts w:cs="Times New Roman"/>
            </w:rPr>
            <w:t>吊装钢丝绳的使用</w:t>
          </w:r>
          <w:r>
            <w:tab/>
          </w:r>
          <w:r>
            <w:fldChar w:fldCharType="begin"/>
          </w:r>
          <w:r>
            <w:instrText xml:space="preserve"> PAGEREF _Toc8947 \h </w:instrText>
          </w:r>
          <w:r>
            <w:fldChar w:fldCharType="separate"/>
          </w:r>
          <w:r>
            <w:t>99</w:t>
          </w:r>
          <w:r>
            <w:fldChar w:fldCharType="end"/>
          </w:r>
          <w:r>
            <w:rPr>
              <w:rFonts w:cs="Times New Roman"/>
            </w:rPr>
            <w:fldChar w:fldCharType="end"/>
          </w:r>
        </w:p>
        <w:p w14:paraId="568C86E6">
          <w:pPr>
            <w:pStyle w:val="21"/>
            <w:tabs>
              <w:tab w:val="right" w:leader="dot" w:pos="8306"/>
              <w:tab w:val="clear" w:pos="426"/>
              <w:tab w:val="clear" w:pos="8296"/>
            </w:tabs>
          </w:pPr>
          <w:r>
            <w:rPr>
              <w:rFonts w:cs="Times New Roman"/>
            </w:rPr>
            <w:fldChar w:fldCharType="begin"/>
          </w:r>
          <w:r>
            <w:rPr>
              <w:rFonts w:cs="Times New Roman"/>
            </w:rPr>
            <w:instrText xml:space="preserve"> HYPERLINK \l _Toc22290 </w:instrText>
          </w:r>
          <w:r>
            <w:rPr>
              <w:rFonts w:cs="Times New Roman"/>
            </w:rPr>
            <w:fldChar w:fldCharType="separate"/>
          </w:r>
          <w:r>
            <w:rPr>
              <w:rFonts w:hint="default" w:ascii="Times New Roman" w:hAnsi="Times New Roman" w:eastAsia="宋体" w:cs="Arial"/>
              <w:i w:val="0"/>
              <w:szCs w:val="24"/>
            </w:rPr>
            <w:t xml:space="preserve">11 </w:t>
          </w:r>
          <w:r>
            <w:rPr>
              <w:rFonts w:hint="eastAsia" w:cs="Times New Roman"/>
            </w:rPr>
            <w:t>监测监控</w:t>
          </w:r>
          <w:r>
            <w:rPr>
              <w:rFonts w:cs="Times New Roman"/>
            </w:rPr>
            <w:t>措施</w:t>
          </w:r>
          <w:r>
            <w:rPr>
              <w:rFonts w:hint="eastAsia" w:cs="Times New Roman"/>
              <w:lang w:val="en-US" w:eastAsia="zh-CN"/>
            </w:rPr>
            <w:t>与验收要求</w:t>
          </w:r>
          <w:r>
            <w:tab/>
          </w:r>
          <w:r>
            <w:fldChar w:fldCharType="begin"/>
          </w:r>
          <w:r>
            <w:instrText xml:space="preserve"> PAGEREF _Toc22290 \h </w:instrText>
          </w:r>
          <w:r>
            <w:fldChar w:fldCharType="separate"/>
          </w:r>
          <w:r>
            <w:t>99</w:t>
          </w:r>
          <w:r>
            <w:fldChar w:fldCharType="end"/>
          </w:r>
          <w:r>
            <w:rPr>
              <w:rFonts w:cs="Times New Roman"/>
            </w:rPr>
            <w:fldChar w:fldCharType="end"/>
          </w:r>
        </w:p>
        <w:p w14:paraId="3A080FDE">
          <w:pPr>
            <w:pStyle w:val="23"/>
            <w:tabs>
              <w:tab w:val="right" w:leader="dot" w:pos="8306"/>
            </w:tabs>
          </w:pPr>
          <w:r>
            <w:rPr>
              <w:rFonts w:cs="Times New Roman"/>
            </w:rPr>
            <w:fldChar w:fldCharType="begin"/>
          </w:r>
          <w:r>
            <w:rPr>
              <w:rFonts w:cs="Times New Roman"/>
            </w:rPr>
            <w:instrText xml:space="preserve"> HYPERLINK \l _Toc5123 </w:instrText>
          </w:r>
          <w:r>
            <w:rPr>
              <w:rFonts w:cs="Times New Roman"/>
            </w:rPr>
            <w:fldChar w:fldCharType="separate"/>
          </w:r>
          <w:r>
            <w:rPr>
              <w:rFonts w:hint="default" w:cs="Times New Roman"/>
            </w:rPr>
            <w:t xml:space="preserve">11.1 </w:t>
          </w:r>
          <w:r>
            <w:rPr>
              <w:rFonts w:hint="eastAsia" w:cs="Times New Roman"/>
            </w:rPr>
            <w:t>监测点的设置</w:t>
          </w:r>
          <w:r>
            <w:tab/>
          </w:r>
          <w:r>
            <w:fldChar w:fldCharType="begin"/>
          </w:r>
          <w:r>
            <w:instrText xml:space="preserve"> PAGEREF _Toc5123 \h </w:instrText>
          </w:r>
          <w:r>
            <w:fldChar w:fldCharType="separate"/>
          </w:r>
          <w:r>
            <w:t>99</w:t>
          </w:r>
          <w:r>
            <w:fldChar w:fldCharType="end"/>
          </w:r>
          <w:r>
            <w:rPr>
              <w:rFonts w:cs="Times New Roman"/>
            </w:rPr>
            <w:fldChar w:fldCharType="end"/>
          </w:r>
        </w:p>
        <w:p w14:paraId="04FAD4B7">
          <w:pPr>
            <w:pStyle w:val="23"/>
            <w:tabs>
              <w:tab w:val="right" w:leader="dot" w:pos="8306"/>
            </w:tabs>
          </w:pPr>
          <w:r>
            <w:rPr>
              <w:rFonts w:cs="Times New Roman"/>
            </w:rPr>
            <w:fldChar w:fldCharType="begin"/>
          </w:r>
          <w:r>
            <w:rPr>
              <w:rFonts w:cs="Times New Roman"/>
            </w:rPr>
            <w:instrText xml:space="preserve"> HYPERLINK \l _Toc5046 </w:instrText>
          </w:r>
          <w:r>
            <w:rPr>
              <w:rFonts w:cs="Times New Roman"/>
            </w:rPr>
            <w:fldChar w:fldCharType="separate"/>
          </w:r>
          <w:r>
            <w:rPr>
              <w:rFonts w:hint="default" w:cs="Times New Roman"/>
            </w:rPr>
            <w:t xml:space="preserve">11.2 </w:t>
          </w:r>
          <w:r>
            <w:rPr>
              <w:rFonts w:hint="eastAsia" w:cs="Times New Roman"/>
            </w:rPr>
            <w:t>监测仪器、设备和人员的配备</w:t>
          </w:r>
          <w:r>
            <w:tab/>
          </w:r>
          <w:r>
            <w:fldChar w:fldCharType="begin"/>
          </w:r>
          <w:r>
            <w:instrText xml:space="preserve"> PAGEREF _Toc5046 \h </w:instrText>
          </w:r>
          <w:r>
            <w:fldChar w:fldCharType="separate"/>
          </w:r>
          <w:r>
            <w:t>99</w:t>
          </w:r>
          <w:r>
            <w:fldChar w:fldCharType="end"/>
          </w:r>
          <w:r>
            <w:rPr>
              <w:rFonts w:cs="Times New Roman"/>
            </w:rPr>
            <w:fldChar w:fldCharType="end"/>
          </w:r>
        </w:p>
        <w:p w14:paraId="2C5CD339">
          <w:pPr>
            <w:pStyle w:val="23"/>
            <w:tabs>
              <w:tab w:val="right" w:leader="dot" w:pos="8306"/>
            </w:tabs>
          </w:pPr>
          <w:r>
            <w:rPr>
              <w:rFonts w:cs="Times New Roman"/>
            </w:rPr>
            <w:fldChar w:fldCharType="begin"/>
          </w:r>
          <w:r>
            <w:rPr>
              <w:rFonts w:cs="Times New Roman"/>
            </w:rPr>
            <w:instrText xml:space="preserve"> HYPERLINK \l _Toc27066 </w:instrText>
          </w:r>
          <w:r>
            <w:rPr>
              <w:rFonts w:cs="Times New Roman"/>
            </w:rPr>
            <w:fldChar w:fldCharType="separate"/>
          </w:r>
          <w:r>
            <w:rPr>
              <w:rFonts w:hint="default" w:cs="Times New Roman"/>
            </w:rPr>
            <w:t xml:space="preserve">11.3 </w:t>
          </w:r>
          <w:r>
            <w:rPr>
              <w:rFonts w:hint="eastAsia" w:cs="Times New Roman"/>
            </w:rPr>
            <w:t>监测方式、方法、频率、信息反馈</w:t>
          </w:r>
          <w:r>
            <w:tab/>
          </w:r>
          <w:r>
            <w:fldChar w:fldCharType="begin"/>
          </w:r>
          <w:r>
            <w:instrText xml:space="preserve"> PAGEREF _Toc27066 \h </w:instrText>
          </w:r>
          <w:r>
            <w:fldChar w:fldCharType="separate"/>
          </w:r>
          <w:r>
            <w:t>99</w:t>
          </w:r>
          <w:r>
            <w:fldChar w:fldCharType="end"/>
          </w:r>
          <w:r>
            <w:rPr>
              <w:rFonts w:cs="Times New Roman"/>
            </w:rPr>
            <w:fldChar w:fldCharType="end"/>
          </w:r>
        </w:p>
        <w:p w14:paraId="01281FD4">
          <w:pPr>
            <w:pStyle w:val="23"/>
            <w:tabs>
              <w:tab w:val="right" w:leader="dot" w:pos="8306"/>
            </w:tabs>
          </w:pPr>
          <w:r>
            <w:rPr>
              <w:rFonts w:cs="Times New Roman"/>
            </w:rPr>
            <w:fldChar w:fldCharType="begin"/>
          </w:r>
          <w:r>
            <w:rPr>
              <w:rFonts w:cs="Times New Roman"/>
            </w:rPr>
            <w:instrText xml:space="preserve"> HYPERLINK \l _Toc15943 </w:instrText>
          </w:r>
          <w:r>
            <w:rPr>
              <w:rFonts w:cs="Times New Roman"/>
            </w:rPr>
            <w:fldChar w:fldCharType="separate"/>
          </w:r>
          <w:r>
            <w:rPr>
              <w:rFonts w:hint="default" w:cs="Times New Roman" w:eastAsiaTheme="majorEastAsia"/>
              <w:lang w:val="en-US" w:eastAsia="zh-CN"/>
            </w:rPr>
            <w:t xml:space="preserve">11.4 </w:t>
          </w:r>
          <w:r>
            <w:rPr>
              <w:rFonts w:hint="eastAsia" w:cs="Times New Roman"/>
              <w:lang w:val="en-US" w:eastAsia="zh-CN"/>
            </w:rPr>
            <w:t>验收表格</w:t>
          </w:r>
          <w:r>
            <w:tab/>
          </w:r>
          <w:r>
            <w:fldChar w:fldCharType="begin"/>
          </w:r>
          <w:r>
            <w:instrText xml:space="preserve"> PAGEREF _Toc15943 \h </w:instrText>
          </w:r>
          <w:r>
            <w:fldChar w:fldCharType="separate"/>
          </w:r>
          <w:r>
            <w:t>100</w:t>
          </w:r>
          <w:r>
            <w:fldChar w:fldCharType="end"/>
          </w:r>
          <w:r>
            <w:rPr>
              <w:rFonts w:cs="Times New Roman"/>
            </w:rPr>
            <w:fldChar w:fldCharType="end"/>
          </w:r>
        </w:p>
        <w:p w14:paraId="34115423">
          <w:pPr>
            <w:pStyle w:val="21"/>
            <w:tabs>
              <w:tab w:val="right" w:leader="dot" w:pos="8306"/>
              <w:tab w:val="clear" w:pos="426"/>
              <w:tab w:val="clear" w:pos="8296"/>
            </w:tabs>
          </w:pPr>
          <w:r>
            <w:rPr>
              <w:rFonts w:cs="Times New Roman"/>
            </w:rPr>
            <w:fldChar w:fldCharType="begin"/>
          </w:r>
          <w:r>
            <w:rPr>
              <w:rFonts w:cs="Times New Roman"/>
            </w:rPr>
            <w:instrText xml:space="preserve"> HYPERLINK \l _Toc31491 </w:instrText>
          </w:r>
          <w:r>
            <w:rPr>
              <w:rFonts w:cs="Times New Roman"/>
            </w:rPr>
            <w:fldChar w:fldCharType="separate"/>
          </w:r>
          <w:r>
            <w:rPr>
              <w:rFonts w:hint="default" w:ascii="Times New Roman" w:hAnsi="Times New Roman" w:eastAsia="宋体" w:cs="Arial"/>
              <w:i w:val="0"/>
              <w:szCs w:val="24"/>
            </w:rPr>
            <w:t xml:space="preserve">12 </w:t>
          </w:r>
          <w:r>
            <w:rPr>
              <w:rFonts w:cs="Times New Roman"/>
            </w:rPr>
            <w:t>应急预案</w:t>
          </w:r>
          <w:r>
            <w:tab/>
          </w:r>
          <w:r>
            <w:fldChar w:fldCharType="begin"/>
          </w:r>
          <w:r>
            <w:instrText xml:space="preserve"> PAGEREF _Toc31491 \h </w:instrText>
          </w:r>
          <w:r>
            <w:fldChar w:fldCharType="separate"/>
          </w:r>
          <w:r>
            <w:t>101</w:t>
          </w:r>
          <w:r>
            <w:fldChar w:fldCharType="end"/>
          </w:r>
          <w:r>
            <w:rPr>
              <w:rFonts w:cs="Times New Roman"/>
            </w:rPr>
            <w:fldChar w:fldCharType="end"/>
          </w:r>
        </w:p>
        <w:p w14:paraId="2F47DEF5">
          <w:pPr>
            <w:pStyle w:val="23"/>
            <w:tabs>
              <w:tab w:val="right" w:leader="dot" w:pos="8306"/>
            </w:tabs>
          </w:pPr>
          <w:r>
            <w:rPr>
              <w:rFonts w:cs="Times New Roman"/>
            </w:rPr>
            <w:fldChar w:fldCharType="begin"/>
          </w:r>
          <w:r>
            <w:rPr>
              <w:rFonts w:cs="Times New Roman"/>
            </w:rPr>
            <w:instrText xml:space="preserve"> HYPERLINK \l _Toc6933 </w:instrText>
          </w:r>
          <w:r>
            <w:rPr>
              <w:rFonts w:cs="Times New Roman"/>
            </w:rPr>
            <w:fldChar w:fldCharType="separate"/>
          </w:r>
          <w:r>
            <w:rPr>
              <w:rFonts w:hint="default" w:cs="Times New Roman"/>
            </w:rPr>
            <w:t xml:space="preserve">12.1 </w:t>
          </w:r>
          <w:r>
            <w:rPr>
              <w:rFonts w:cs="Times New Roman"/>
            </w:rPr>
            <w:t>应急机构及职责</w:t>
          </w:r>
          <w:r>
            <w:tab/>
          </w:r>
          <w:r>
            <w:fldChar w:fldCharType="begin"/>
          </w:r>
          <w:r>
            <w:instrText xml:space="preserve"> PAGEREF _Toc6933 \h </w:instrText>
          </w:r>
          <w:r>
            <w:fldChar w:fldCharType="separate"/>
          </w:r>
          <w:r>
            <w:t>101</w:t>
          </w:r>
          <w:r>
            <w:fldChar w:fldCharType="end"/>
          </w:r>
          <w:r>
            <w:rPr>
              <w:rFonts w:cs="Times New Roman"/>
            </w:rPr>
            <w:fldChar w:fldCharType="end"/>
          </w:r>
        </w:p>
        <w:p w14:paraId="14875011">
          <w:pPr>
            <w:pStyle w:val="23"/>
            <w:tabs>
              <w:tab w:val="right" w:leader="dot" w:pos="8306"/>
            </w:tabs>
          </w:pPr>
          <w:r>
            <w:rPr>
              <w:rFonts w:cs="Times New Roman"/>
            </w:rPr>
            <w:fldChar w:fldCharType="begin"/>
          </w:r>
          <w:r>
            <w:rPr>
              <w:rFonts w:cs="Times New Roman"/>
            </w:rPr>
            <w:instrText xml:space="preserve"> HYPERLINK \l _Toc26551 </w:instrText>
          </w:r>
          <w:r>
            <w:rPr>
              <w:rFonts w:cs="Times New Roman"/>
            </w:rPr>
            <w:fldChar w:fldCharType="separate"/>
          </w:r>
          <w:r>
            <w:rPr>
              <w:rFonts w:hint="default"/>
            </w:rPr>
            <w:t xml:space="preserve">12.2 </w:t>
          </w:r>
          <w:r>
            <w:t>应急小组及其人员组成</w:t>
          </w:r>
          <w:r>
            <w:tab/>
          </w:r>
          <w:r>
            <w:fldChar w:fldCharType="begin"/>
          </w:r>
          <w:r>
            <w:instrText xml:space="preserve"> PAGEREF _Toc26551 \h </w:instrText>
          </w:r>
          <w:r>
            <w:fldChar w:fldCharType="separate"/>
          </w:r>
          <w:r>
            <w:t>101</w:t>
          </w:r>
          <w:r>
            <w:fldChar w:fldCharType="end"/>
          </w:r>
          <w:r>
            <w:rPr>
              <w:rFonts w:cs="Times New Roman"/>
            </w:rPr>
            <w:fldChar w:fldCharType="end"/>
          </w:r>
        </w:p>
        <w:p w14:paraId="78476E80">
          <w:pPr>
            <w:pStyle w:val="23"/>
            <w:tabs>
              <w:tab w:val="right" w:leader="dot" w:pos="8306"/>
            </w:tabs>
          </w:pPr>
          <w:r>
            <w:rPr>
              <w:rFonts w:cs="Times New Roman"/>
            </w:rPr>
            <w:fldChar w:fldCharType="begin"/>
          </w:r>
          <w:r>
            <w:rPr>
              <w:rFonts w:cs="Times New Roman"/>
            </w:rPr>
            <w:instrText xml:space="preserve"> HYPERLINK \l _Toc11324 </w:instrText>
          </w:r>
          <w:r>
            <w:rPr>
              <w:rFonts w:cs="Times New Roman"/>
            </w:rPr>
            <w:fldChar w:fldCharType="separate"/>
          </w:r>
          <w:r>
            <w:rPr>
              <w:rFonts w:hint="default" w:cs="Times New Roman"/>
            </w:rPr>
            <w:t xml:space="preserve">12.3 </w:t>
          </w:r>
          <w:r>
            <w:rPr>
              <w:rFonts w:cs="Times New Roman"/>
            </w:rPr>
            <w:t>预防与预警</w:t>
          </w:r>
          <w:r>
            <w:tab/>
          </w:r>
          <w:r>
            <w:fldChar w:fldCharType="begin"/>
          </w:r>
          <w:r>
            <w:instrText xml:space="preserve"> PAGEREF _Toc11324 \h </w:instrText>
          </w:r>
          <w:r>
            <w:fldChar w:fldCharType="separate"/>
          </w:r>
          <w:r>
            <w:t>105</w:t>
          </w:r>
          <w:r>
            <w:fldChar w:fldCharType="end"/>
          </w:r>
          <w:r>
            <w:rPr>
              <w:rFonts w:cs="Times New Roman"/>
            </w:rPr>
            <w:fldChar w:fldCharType="end"/>
          </w:r>
        </w:p>
        <w:p w14:paraId="2641A951">
          <w:pPr>
            <w:pStyle w:val="23"/>
            <w:tabs>
              <w:tab w:val="right" w:leader="dot" w:pos="8306"/>
            </w:tabs>
          </w:pPr>
          <w:r>
            <w:rPr>
              <w:rFonts w:cs="Times New Roman"/>
            </w:rPr>
            <w:fldChar w:fldCharType="begin"/>
          </w:r>
          <w:r>
            <w:rPr>
              <w:rFonts w:cs="Times New Roman"/>
            </w:rPr>
            <w:instrText xml:space="preserve"> HYPERLINK \l _Toc3233 </w:instrText>
          </w:r>
          <w:r>
            <w:rPr>
              <w:rFonts w:cs="Times New Roman"/>
            </w:rPr>
            <w:fldChar w:fldCharType="separate"/>
          </w:r>
          <w:r>
            <w:rPr>
              <w:rFonts w:hint="default" w:cs="Times New Roman"/>
            </w:rPr>
            <w:t xml:space="preserve">12.4 </w:t>
          </w:r>
          <w:r>
            <w:rPr>
              <w:rFonts w:cs="Times New Roman"/>
            </w:rPr>
            <w:t>应急响应</w:t>
          </w:r>
          <w:r>
            <w:tab/>
          </w:r>
          <w:r>
            <w:fldChar w:fldCharType="begin"/>
          </w:r>
          <w:r>
            <w:instrText xml:space="preserve"> PAGEREF _Toc3233 \h </w:instrText>
          </w:r>
          <w:r>
            <w:fldChar w:fldCharType="separate"/>
          </w:r>
          <w:r>
            <w:t>106</w:t>
          </w:r>
          <w:r>
            <w:fldChar w:fldCharType="end"/>
          </w:r>
          <w:r>
            <w:rPr>
              <w:rFonts w:cs="Times New Roman"/>
            </w:rPr>
            <w:fldChar w:fldCharType="end"/>
          </w:r>
        </w:p>
        <w:p w14:paraId="7D44C7EF">
          <w:pPr>
            <w:pStyle w:val="21"/>
            <w:tabs>
              <w:tab w:val="right" w:leader="dot" w:pos="8306"/>
              <w:tab w:val="clear" w:pos="426"/>
              <w:tab w:val="clear" w:pos="8296"/>
            </w:tabs>
          </w:pPr>
          <w:r>
            <w:rPr>
              <w:rFonts w:cs="Times New Roman"/>
            </w:rPr>
            <w:fldChar w:fldCharType="begin"/>
          </w:r>
          <w:r>
            <w:rPr>
              <w:rFonts w:cs="Times New Roman"/>
            </w:rPr>
            <w:instrText xml:space="preserve"> HYPERLINK \l _Toc6664 </w:instrText>
          </w:r>
          <w:r>
            <w:rPr>
              <w:rFonts w:cs="Times New Roman"/>
            </w:rPr>
            <w:fldChar w:fldCharType="separate"/>
          </w:r>
          <w:r>
            <w:rPr>
              <w:rFonts w:hint="default" w:ascii="Times New Roman" w:hAnsi="Times New Roman" w:eastAsia="宋体" w:cs="Arial"/>
              <w:i w:val="0"/>
              <w:szCs w:val="24"/>
            </w:rPr>
            <w:t xml:space="preserve">13 </w:t>
          </w:r>
          <w:r>
            <w:rPr>
              <w:rFonts w:cs="Times New Roman"/>
            </w:rPr>
            <w:t>附件</w:t>
          </w:r>
          <w:r>
            <w:tab/>
          </w:r>
          <w:r>
            <w:fldChar w:fldCharType="begin"/>
          </w:r>
          <w:r>
            <w:instrText xml:space="preserve"> PAGEREF _Toc6664 \h </w:instrText>
          </w:r>
          <w:r>
            <w:fldChar w:fldCharType="separate"/>
          </w:r>
          <w:r>
            <w:t>110</w:t>
          </w:r>
          <w:r>
            <w:fldChar w:fldCharType="end"/>
          </w:r>
          <w:r>
            <w:rPr>
              <w:rFonts w:cs="Times New Roman"/>
            </w:rPr>
            <w:fldChar w:fldCharType="end"/>
          </w:r>
        </w:p>
        <w:p w14:paraId="6553B1D5">
          <w:pPr>
            <w:pStyle w:val="23"/>
            <w:tabs>
              <w:tab w:val="right" w:leader="dot" w:pos="8306"/>
            </w:tabs>
          </w:pPr>
          <w:r>
            <w:rPr>
              <w:rFonts w:cs="Times New Roman"/>
            </w:rPr>
            <w:fldChar w:fldCharType="begin"/>
          </w:r>
          <w:r>
            <w:rPr>
              <w:rFonts w:cs="Times New Roman"/>
            </w:rPr>
            <w:instrText xml:space="preserve"> HYPERLINK \l _Toc31937 </w:instrText>
          </w:r>
          <w:r>
            <w:rPr>
              <w:rFonts w:cs="Times New Roman"/>
            </w:rPr>
            <w:fldChar w:fldCharType="separate"/>
          </w:r>
          <w:r>
            <w:rPr>
              <w:rFonts w:hint="default" w:cs="Times New Roman"/>
            </w:rPr>
            <w:t xml:space="preserve">13.1 </w:t>
          </w:r>
          <w:r>
            <w:rPr>
              <w:rFonts w:cs="Times New Roman"/>
            </w:rPr>
            <w:t>吊索</w:t>
          </w:r>
          <w:r>
            <w:rPr>
              <w:rFonts w:hint="eastAsia" w:cs="Times New Roman"/>
              <w:lang w:val="en-US" w:eastAsia="zh-CN"/>
            </w:rPr>
            <w:t>及卸扣的</w:t>
          </w:r>
          <w:r>
            <w:rPr>
              <w:rFonts w:cs="Times New Roman"/>
            </w:rPr>
            <w:t>选型</w:t>
          </w:r>
          <w:r>
            <w:tab/>
          </w:r>
          <w:r>
            <w:fldChar w:fldCharType="begin"/>
          </w:r>
          <w:r>
            <w:instrText xml:space="preserve"> PAGEREF _Toc31937 \h </w:instrText>
          </w:r>
          <w:r>
            <w:fldChar w:fldCharType="separate"/>
          </w:r>
          <w:r>
            <w:t>110</w:t>
          </w:r>
          <w:r>
            <w:fldChar w:fldCharType="end"/>
          </w:r>
          <w:r>
            <w:rPr>
              <w:rFonts w:cs="Times New Roman"/>
            </w:rPr>
            <w:fldChar w:fldCharType="end"/>
          </w:r>
        </w:p>
        <w:p w14:paraId="220AC2C3">
          <w:pPr>
            <w:pStyle w:val="23"/>
            <w:tabs>
              <w:tab w:val="right" w:leader="dot" w:pos="8306"/>
            </w:tabs>
          </w:pPr>
          <w:r>
            <w:rPr>
              <w:rFonts w:cs="Times New Roman"/>
            </w:rPr>
            <w:fldChar w:fldCharType="begin"/>
          </w:r>
          <w:r>
            <w:rPr>
              <w:rFonts w:cs="Times New Roman"/>
            </w:rPr>
            <w:instrText xml:space="preserve"> HYPERLINK \l _Toc12219 </w:instrText>
          </w:r>
          <w:r>
            <w:rPr>
              <w:rFonts w:cs="Times New Roman"/>
            </w:rPr>
            <w:fldChar w:fldCharType="separate"/>
          </w:r>
          <w:r>
            <w:rPr>
              <w:rFonts w:hint="default" w:ascii="Times New Roman" w:hAnsi="Times New Roman" w:cs="Times New Roman" w:eastAsiaTheme="majorEastAsia"/>
              <w:bCs/>
              <w:kern w:val="2"/>
              <w:szCs w:val="32"/>
              <w:lang w:val="en-US" w:eastAsia="zh-CN" w:bidi="ar-SA"/>
            </w:rPr>
            <w:t xml:space="preserve">13.2 </w:t>
          </w:r>
          <w:r>
            <w:rPr>
              <w:rFonts w:hint="eastAsia" w:cs="Times New Roman"/>
              <w:bCs/>
              <w:kern w:val="2"/>
              <w:szCs w:val="32"/>
              <w:lang w:val="en-US" w:eastAsia="zh-CN" w:bidi="ar-SA"/>
            </w:rPr>
            <w:t>附件</w:t>
          </w:r>
          <w:r>
            <w:tab/>
          </w:r>
          <w:r>
            <w:fldChar w:fldCharType="begin"/>
          </w:r>
          <w:r>
            <w:instrText xml:space="preserve"> PAGEREF _Toc12219 \h </w:instrText>
          </w:r>
          <w:r>
            <w:fldChar w:fldCharType="separate"/>
          </w:r>
          <w:r>
            <w:t>112</w:t>
          </w:r>
          <w:r>
            <w:fldChar w:fldCharType="end"/>
          </w:r>
          <w:r>
            <w:rPr>
              <w:rFonts w:cs="Times New Roman"/>
            </w:rPr>
            <w:fldChar w:fldCharType="end"/>
          </w:r>
        </w:p>
        <w:p w14:paraId="4330C230">
          <w:pPr>
            <w:pStyle w:val="23"/>
            <w:tabs>
              <w:tab w:val="right" w:leader="dot" w:pos="8306"/>
            </w:tabs>
          </w:pPr>
          <w:r>
            <w:rPr>
              <w:rFonts w:cs="Times New Roman"/>
            </w:rPr>
            <w:fldChar w:fldCharType="begin"/>
          </w:r>
          <w:r>
            <w:rPr>
              <w:rFonts w:cs="Times New Roman"/>
            </w:rPr>
            <w:instrText xml:space="preserve"> HYPERLINK \l _Toc20877 </w:instrText>
          </w:r>
          <w:r>
            <w:rPr>
              <w:rFonts w:cs="Times New Roman"/>
            </w:rPr>
            <w:fldChar w:fldCharType="separate"/>
          </w:r>
          <w:r>
            <w:rPr>
              <w:rFonts w:hint="eastAsia" w:ascii="宋体" w:hAnsi="宋体" w:cs="宋体"/>
              <w:lang w:val="en-US" w:eastAsia="zh-CN"/>
            </w:rPr>
            <w:t>附件1  安拆单位资质</w:t>
          </w:r>
          <w:r>
            <w:tab/>
          </w:r>
          <w:r>
            <w:fldChar w:fldCharType="begin"/>
          </w:r>
          <w:r>
            <w:instrText xml:space="preserve"> PAGEREF _Toc20877 \h </w:instrText>
          </w:r>
          <w:r>
            <w:fldChar w:fldCharType="separate"/>
          </w:r>
          <w:r>
            <w:t>112</w:t>
          </w:r>
          <w:r>
            <w:fldChar w:fldCharType="end"/>
          </w:r>
          <w:r>
            <w:rPr>
              <w:rFonts w:cs="Times New Roman"/>
            </w:rPr>
            <w:fldChar w:fldCharType="end"/>
          </w:r>
        </w:p>
        <w:p w14:paraId="31AF31D4">
          <w:pPr>
            <w:pStyle w:val="23"/>
            <w:tabs>
              <w:tab w:val="right" w:leader="dot" w:pos="8306"/>
            </w:tabs>
          </w:pPr>
          <w:r>
            <w:rPr>
              <w:rFonts w:cs="Times New Roman"/>
            </w:rPr>
            <w:fldChar w:fldCharType="begin"/>
          </w:r>
          <w:r>
            <w:rPr>
              <w:rFonts w:cs="Times New Roman"/>
            </w:rPr>
            <w:instrText xml:space="preserve"> HYPERLINK \l _Toc5959 </w:instrText>
          </w:r>
          <w:r>
            <w:rPr>
              <w:rFonts w:cs="Times New Roman"/>
            </w:rPr>
            <w:fldChar w:fldCharType="separate"/>
          </w:r>
          <w:r>
            <w:rPr>
              <w:rFonts w:hint="eastAsia" w:ascii="宋体" w:hAnsi="宋体" w:cs="宋体"/>
              <w:lang w:val="en-US" w:eastAsia="zh-CN"/>
            </w:rPr>
            <w:t>附件2  人员资格证书</w:t>
          </w:r>
          <w:r>
            <w:tab/>
          </w:r>
          <w:r>
            <w:fldChar w:fldCharType="begin"/>
          </w:r>
          <w:r>
            <w:instrText xml:space="preserve"> PAGEREF _Toc5959 \h </w:instrText>
          </w:r>
          <w:r>
            <w:fldChar w:fldCharType="separate"/>
          </w:r>
          <w:r>
            <w:t>112</w:t>
          </w:r>
          <w:r>
            <w:fldChar w:fldCharType="end"/>
          </w:r>
          <w:r>
            <w:rPr>
              <w:rFonts w:cs="Times New Roman"/>
            </w:rPr>
            <w:fldChar w:fldCharType="end"/>
          </w:r>
        </w:p>
        <w:p w14:paraId="050BE53B">
          <w:pPr>
            <w:pStyle w:val="23"/>
            <w:tabs>
              <w:tab w:val="right" w:leader="dot" w:pos="8306"/>
            </w:tabs>
          </w:pPr>
          <w:r>
            <w:rPr>
              <w:rFonts w:cs="Times New Roman"/>
            </w:rPr>
            <w:fldChar w:fldCharType="begin"/>
          </w:r>
          <w:r>
            <w:rPr>
              <w:rFonts w:cs="Times New Roman"/>
            </w:rPr>
            <w:instrText xml:space="preserve"> HYPERLINK \l _Toc29241 </w:instrText>
          </w:r>
          <w:r>
            <w:rPr>
              <w:rFonts w:cs="Times New Roman"/>
            </w:rPr>
            <w:fldChar w:fldCharType="separate"/>
          </w:r>
          <w:r>
            <w:rPr>
              <w:rFonts w:hint="eastAsia" w:ascii="宋体" w:hAnsi="宋体" w:cs="宋体"/>
              <w:lang w:val="en-US" w:eastAsia="zh-CN"/>
            </w:rPr>
            <w:t>附件3  XGT6515-10S安拆手册</w:t>
          </w:r>
          <w:r>
            <w:tab/>
          </w:r>
          <w:r>
            <w:fldChar w:fldCharType="begin"/>
          </w:r>
          <w:r>
            <w:instrText xml:space="preserve"> PAGEREF _Toc29241 \h </w:instrText>
          </w:r>
          <w:r>
            <w:fldChar w:fldCharType="separate"/>
          </w:r>
          <w:r>
            <w:t>112</w:t>
          </w:r>
          <w:r>
            <w:fldChar w:fldCharType="end"/>
          </w:r>
          <w:r>
            <w:rPr>
              <w:rFonts w:cs="Times New Roman"/>
            </w:rPr>
            <w:fldChar w:fldCharType="end"/>
          </w:r>
        </w:p>
        <w:p w14:paraId="2108ED94">
          <w:pPr>
            <w:pStyle w:val="23"/>
            <w:tabs>
              <w:tab w:val="right" w:leader="dot" w:pos="8306"/>
            </w:tabs>
          </w:pPr>
          <w:r>
            <w:rPr>
              <w:rFonts w:cs="Times New Roman"/>
            </w:rPr>
            <w:fldChar w:fldCharType="begin"/>
          </w:r>
          <w:r>
            <w:rPr>
              <w:rFonts w:cs="Times New Roman"/>
            </w:rPr>
            <w:instrText xml:space="preserve"> HYPERLINK \l _Toc5104 </w:instrText>
          </w:r>
          <w:r>
            <w:rPr>
              <w:rFonts w:cs="Times New Roman"/>
            </w:rPr>
            <w:fldChar w:fldCharType="separate"/>
          </w:r>
          <w:r>
            <w:rPr>
              <w:rFonts w:hint="eastAsia" w:ascii="宋体" w:hAnsi="宋体" w:cs="宋体"/>
              <w:lang w:val="en-US" w:eastAsia="zh-CN"/>
            </w:rPr>
            <w:t>附件4  T1200-64Q塔式起重机操作手册</w:t>
          </w:r>
          <w:r>
            <w:tab/>
          </w:r>
          <w:r>
            <w:fldChar w:fldCharType="begin"/>
          </w:r>
          <w:r>
            <w:instrText xml:space="preserve"> PAGEREF _Toc5104 \h </w:instrText>
          </w:r>
          <w:r>
            <w:fldChar w:fldCharType="separate"/>
          </w:r>
          <w:r>
            <w:t>112</w:t>
          </w:r>
          <w:r>
            <w:fldChar w:fldCharType="end"/>
          </w:r>
          <w:r>
            <w:rPr>
              <w:rFonts w:cs="Times New Roman"/>
            </w:rPr>
            <w:fldChar w:fldCharType="end"/>
          </w:r>
        </w:p>
        <w:p w14:paraId="7A1625A9">
          <w:pPr>
            <w:pStyle w:val="23"/>
            <w:tabs>
              <w:tab w:val="right" w:leader="dot" w:pos="8306"/>
            </w:tabs>
          </w:pPr>
          <w:r>
            <w:rPr>
              <w:rFonts w:cs="Times New Roman"/>
            </w:rPr>
            <w:fldChar w:fldCharType="begin"/>
          </w:r>
          <w:r>
            <w:rPr>
              <w:rFonts w:cs="Times New Roman"/>
            </w:rPr>
            <w:instrText xml:space="preserve"> HYPERLINK \l _Toc12886 </w:instrText>
          </w:r>
          <w:r>
            <w:rPr>
              <w:rFonts w:cs="Times New Roman"/>
            </w:rPr>
            <w:fldChar w:fldCharType="separate"/>
          </w:r>
          <w:r>
            <w:rPr>
              <w:rFonts w:hint="eastAsia" w:ascii="宋体" w:hAnsi="宋体" w:cs="宋体"/>
              <w:lang w:val="en-US" w:eastAsia="zh-CN"/>
            </w:rPr>
            <w:t>附件5  基础计算书</w:t>
          </w:r>
          <w:r>
            <w:tab/>
          </w:r>
          <w:r>
            <w:fldChar w:fldCharType="begin"/>
          </w:r>
          <w:r>
            <w:instrText xml:space="preserve"> PAGEREF _Toc12886 \h </w:instrText>
          </w:r>
          <w:r>
            <w:fldChar w:fldCharType="separate"/>
          </w:r>
          <w:r>
            <w:t>112</w:t>
          </w:r>
          <w:r>
            <w:fldChar w:fldCharType="end"/>
          </w:r>
          <w:r>
            <w:rPr>
              <w:rFonts w:cs="Times New Roman"/>
            </w:rPr>
            <w:fldChar w:fldCharType="end"/>
          </w:r>
        </w:p>
        <w:p w14:paraId="6C7C2020">
          <w:pPr>
            <w:pStyle w:val="23"/>
            <w:tabs>
              <w:tab w:val="right" w:leader="dot" w:pos="8306"/>
            </w:tabs>
          </w:pPr>
          <w:r>
            <w:rPr>
              <w:rFonts w:cs="Times New Roman"/>
            </w:rPr>
            <w:fldChar w:fldCharType="begin"/>
          </w:r>
          <w:r>
            <w:rPr>
              <w:rFonts w:cs="Times New Roman"/>
            </w:rPr>
            <w:instrText xml:space="preserve"> HYPERLINK \l _Toc15096 </w:instrText>
          </w:r>
          <w:r>
            <w:rPr>
              <w:rFonts w:cs="Times New Roman"/>
            </w:rPr>
            <w:fldChar w:fldCharType="separate"/>
          </w:r>
          <w:r>
            <w:rPr>
              <w:rFonts w:hint="eastAsia" w:ascii="宋体" w:hAnsi="宋体" w:cs="宋体"/>
              <w:lang w:val="en-US" w:eastAsia="zh-CN"/>
            </w:rPr>
            <w:t>附件6  基础设计单位资质</w:t>
          </w:r>
          <w:r>
            <w:tab/>
          </w:r>
          <w:r>
            <w:fldChar w:fldCharType="begin"/>
          </w:r>
          <w:r>
            <w:instrText xml:space="preserve"> PAGEREF _Toc15096 \h </w:instrText>
          </w:r>
          <w:r>
            <w:fldChar w:fldCharType="separate"/>
          </w:r>
          <w:r>
            <w:t>112</w:t>
          </w:r>
          <w:r>
            <w:fldChar w:fldCharType="end"/>
          </w:r>
          <w:r>
            <w:rPr>
              <w:rFonts w:cs="Times New Roman"/>
            </w:rPr>
            <w:fldChar w:fldCharType="end"/>
          </w:r>
        </w:p>
        <w:p w14:paraId="09A54094">
          <w:pPr>
            <w:pStyle w:val="23"/>
            <w:tabs>
              <w:tab w:val="right" w:leader="dot" w:pos="8306"/>
            </w:tabs>
          </w:pPr>
          <w:r>
            <w:rPr>
              <w:rFonts w:cs="Times New Roman"/>
            </w:rPr>
            <w:fldChar w:fldCharType="begin"/>
          </w:r>
          <w:r>
            <w:rPr>
              <w:rFonts w:cs="Times New Roman"/>
            </w:rPr>
            <w:instrText xml:space="preserve"> HYPERLINK \l _Toc25290 </w:instrText>
          </w:r>
          <w:r>
            <w:rPr>
              <w:rFonts w:cs="Times New Roman"/>
            </w:rPr>
            <w:fldChar w:fldCharType="separate"/>
          </w:r>
          <w:r>
            <w:rPr>
              <w:rFonts w:hint="eastAsia" w:ascii="宋体" w:hAnsi="宋体" w:cs="宋体"/>
              <w:lang w:val="en-US" w:eastAsia="zh-CN"/>
            </w:rPr>
            <w:t>附件7  设备合格证</w:t>
          </w:r>
          <w:r>
            <w:tab/>
          </w:r>
          <w:r>
            <w:fldChar w:fldCharType="begin"/>
          </w:r>
          <w:r>
            <w:instrText xml:space="preserve"> PAGEREF _Toc25290 \h </w:instrText>
          </w:r>
          <w:r>
            <w:fldChar w:fldCharType="separate"/>
          </w:r>
          <w:r>
            <w:t>113</w:t>
          </w:r>
          <w:r>
            <w:fldChar w:fldCharType="end"/>
          </w:r>
          <w:r>
            <w:rPr>
              <w:rFonts w:cs="Times New Roman"/>
            </w:rPr>
            <w:fldChar w:fldCharType="end"/>
          </w:r>
        </w:p>
        <w:p w14:paraId="0238F93C">
          <w:pPr>
            <w:pStyle w:val="23"/>
            <w:tabs>
              <w:tab w:val="right" w:leader="dot" w:pos="8306"/>
            </w:tabs>
          </w:pPr>
          <w:r>
            <w:rPr>
              <w:rFonts w:cs="Times New Roman"/>
            </w:rPr>
            <w:fldChar w:fldCharType="begin"/>
          </w:r>
          <w:r>
            <w:rPr>
              <w:rFonts w:cs="Times New Roman"/>
            </w:rPr>
            <w:instrText xml:space="preserve"> HYPERLINK \l _Toc58 </w:instrText>
          </w:r>
          <w:r>
            <w:rPr>
              <w:rFonts w:cs="Times New Roman"/>
            </w:rPr>
            <w:fldChar w:fldCharType="separate"/>
          </w:r>
          <w:r>
            <w:rPr>
              <w:rFonts w:hint="eastAsia" w:ascii="宋体" w:hAnsi="宋体" w:cs="宋体"/>
              <w:lang w:val="en-US" w:eastAsia="zh-CN"/>
            </w:rPr>
            <w:t>附件8  群塔作业防碰撞方案</w:t>
          </w:r>
          <w:r>
            <w:tab/>
          </w:r>
          <w:r>
            <w:fldChar w:fldCharType="begin"/>
          </w:r>
          <w:r>
            <w:instrText xml:space="preserve"> PAGEREF _Toc58 \h </w:instrText>
          </w:r>
          <w:r>
            <w:fldChar w:fldCharType="separate"/>
          </w:r>
          <w:r>
            <w:t>113</w:t>
          </w:r>
          <w:r>
            <w:fldChar w:fldCharType="end"/>
          </w:r>
          <w:r>
            <w:rPr>
              <w:rFonts w:cs="Times New Roman"/>
            </w:rPr>
            <w:fldChar w:fldCharType="end"/>
          </w:r>
        </w:p>
        <w:p w14:paraId="5286444C">
          <w:pPr>
            <w:rPr>
              <w:rFonts w:cs="Times New Roman"/>
            </w:rPr>
          </w:pPr>
          <w:r>
            <w:rPr>
              <w:rFonts w:cs="Times New Roman"/>
            </w:rPr>
            <w:fldChar w:fldCharType="end"/>
          </w:r>
        </w:p>
      </w:sdtContent>
    </w:sdt>
    <w:p w14:paraId="2B96DB33">
      <w:pPr>
        <w:widowControl/>
        <w:spacing w:line="240" w:lineRule="auto"/>
        <w:jc w:val="both"/>
        <w:rPr>
          <w:rFonts w:cs="Times New Roman"/>
          <w:b/>
          <w:bCs/>
          <w:kern w:val="44"/>
          <w:sz w:val="32"/>
          <w:szCs w:val="44"/>
        </w:rPr>
      </w:pPr>
      <w:r>
        <w:rPr>
          <w:rFonts w:cs="Times New Roman"/>
        </w:rPr>
        <w:br w:type="page"/>
      </w:r>
    </w:p>
    <w:p w14:paraId="53F78F27">
      <w:pPr>
        <w:pStyle w:val="3"/>
        <w:ind w:left="562" w:hanging="562"/>
        <w:rPr>
          <w:rFonts w:cs="Times New Roman"/>
        </w:rPr>
      </w:pPr>
      <w:bookmarkStart w:id="1" w:name="_Toc29355"/>
      <w:r>
        <w:rPr>
          <w:rFonts w:cs="Times New Roman"/>
        </w:rPr>
        <w:t>编制依据</w:t>
      </w:r>
      <w:bookmarkEnd w:id="0"/>
      <w:bookmarkEnd w:id="1"/>
    </w:p>
    <w:p w14:paraId="385A3B5A">
      <w:pPr>
        <w:pStyle w:val="5"/>
        <w:numPr>
          <w:ilvl w:val="0"/>
          <w:numId w:val="3"/>
        </w:numPr>
        <w:tabs>
          <w:tab w:val="left" w:pos="567"/>
        </w:tabs>
        <w:ind w:left="0" w:firstLine="0"/>
        <w:rPr>
          <w:rFonts w:cs="Times New Roman"/>
        </w:rPr>
      </w:pPr>
      <w:bookmarkStart w:id="2" w:name="_Toc450922359"/>
      <w:bookmarkStart w:id="3" w:name="_Toc460833574"/>
      <w:bookmarkStart w:id="4" w:name="_Toc448225837"/>
      <w:bookmarkStart w:id="5" w:name="_Toc448225287"/>
      <w:bookmarkStart w:id="6" w:name="_Toc14878"/>
      <w:r>
        <w:rPr>
          <w:rFonts w:cs="Times New Roman"/>
        </w:rPr>
        <w:t>法律法规及技术规程规范</w:t>
      </w:r>
      <w:bookmarkEnd w:id="2"/>
      <w:bookmarkEnd w:id="3"/>
      <w:bookmarkEnd w:id="4"/>
      <w:bookmarkEnd w:id="5"/>
      <w:bookmarkEnd w:id="6"/>
    </w:p>
    <w:p w14:paraId="5373B861">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《中华人民共和国安全生产法》</w:t>
      </w:r>
      <w:r>
        <w:rPr>
          <w:rFonts w:ascii="Times New Roman" w:hAnsi="Times New Roman" w:cs="Times New Roman"/>
          <w:sz w:val="24"/>
          <w:szCs w:val="24"/>
        </w:rPr>
        <w:t>——2014</w:t>
      </w:r>
      <w:r>
        <w:rPr>
          <w:rFonts w:ascii="Times New Roman" w:cs="Times New Roman"/>
          <w:sz w:val="24"/>
          <w:szCs w:val="24"/>
        </w:rPr>
        <w:t>年</w:t>
      </w:r>
      <w:r>
        <w:rPr>
          <w:rFonts w:ascii="Times New Roman" w:hAnsi="Times New Roman" w:cs="Times New Roman"/>
          <w:sz w:val="24"/>
          <w:szCs w:val="24"/>
        </w:rPr>
        <w:t>12</w:t>
      </w:r>
      <w:r>
        <w:rPr>
          <w:rFonts w:ascii="Times New Roman" w:cs="Times New Roman"/>
          <w:sz w:val="24"/>
          <w:szCs w:val="24"/>
        </w:rPr>
        <w:t>月</w:t>
      </w:r>
      <w:r>
        <w:rPr>
          <w:rFonts w:ascii="Times New Roman" w:hAnsi="Times New Roman" w:cs="Times New Roman"/>
          <w:sz w:val="24"/>
          <w:szCs w:val="24"/>
        </w:rPr>
        <w:t>1</w:t>
      </w:r>
      <w:r>
        <w:rPr>
          <w:rFonts w:ascii="Times New Roman" w:cs="Times New Roman"/>
          <w:sz w:val="24"/>
          <w:szCs w:val="24"/>
        </w:rPr>
        <w:t>日</w:t>
      </w:r>
    </w:p>
    <w:p w14:paraId="0D232F3C">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《中华人民共和国建筑法》</w:t>
      </w:r>
      <w:r>
        <w:rPr>
          <w:rFonts w:ascii="Times New Roman" w:hAnsi="Times New Roman" w:cs="Times New Roman"/>
          <w:sz w:val="24"/>
          <w:szCs w:val="24"/>
        </w:rPr>
        <w:t>——</w:t>
      </w:r>
      <w:r>
        <w:rPr>
          <w:rFonts w:ascii="Times New Roman" w:cs="Times New Roman"/>
          <w:sz w:val="24"/>
          <w:szCs w:val="24"/>
        </w:rPr>
        <w:t>主席令第</w:t>
      </w:r>
      <w:r>
        <w:rPr>
          <w:rFonts w:ascii="Times New Roman" w:hAnsi="Times New Roman" w:cs="Times New Roman"/>
          <w:sz w:val="24"/>
          <w:szCs w:val="24"/>
        </w:rPr>
        <w:t>91</w:t>
      </w:r>
      <w:r>
        <w:rPr>
          <w:rFonts w:ascii="Times New Roman" w:cs="Times New Roman"/>
          <w:sz w:val="24"/>
          <w:szCs w:val="24"/>
        </w:rPr>
        <w:t>号</w:t>
      </w:r>
    </w:p>
    <w:p w14:paraId="3756B387">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《中华人民共和国环境保护法》</w:t>
      </w:r>
      <w:r>
        <w:rPr>
          <w:rFonts w:ascii="Times New Roman" w:hAnsi="Times New Roman" w:cs="Times New Roman"/>
          <w:sz w:val="24"/>
          <w:szCs w:val="24"/>
        </w:rPr>
        <w:t>——</w:t>
      </w:r>
      <w:r>
        <w:rPr>
          <w:rFonts w:ascii="Times New Roman" w:cs="Times New Roman"/>
          <w:sz w:val="24"/>
          <w:szCs w:val="24"/>
        </w:rPr>
        <w:t>主席令第</w:t>
      </w:r>
      <w:r>
        <w:rPr>
          <w:rFonts w:ascii="Times New Roman" w:hAnsi="Times New Roman" w:cs="Times New Roman"/>
          <w:sz w:val="24"/>
          <w:szCs w:val="24"/>
        </w:rPr>
        <w:t>22</w:t>
      </w:r>
      <w:r>
        <w:rPr>
          <w:rFonts w:ascii="Times New Roman" w:cs="Times New Roman"/>
          <w:sz w:val="24"/>
          <w:szCs w:val="24"/>
        </w:rPr>
        <w:t>号</w:t>
      </w:r>
    </w:p>
    <w:p w14:paraId="7BD9AB9D">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《建设工程安全生产管理条例》</w:t>
      </w:r>
      <w:r>
        <w:rPr>
          <w:rFonts w:ascii="Times New Roman" w:hAnsi="Times New Roman" w:cs="Times New Roman"/>
          <w:sz w:val="24"/>
          <w:szCs w:val="24"/>
        </w:rPr>
        <w:t>——</w:t>
      </w:r>
      <w:r>
        <w:rPr>
          <w:rFonts w:ascii="Times New Roman" w:cs="Times New Roman"/>
          <w:sz w:val="24"/>
          <w:szCs w:val="24"/>
        </w:rPr>
        <w:t>国务院第</w:t>
      </w:r>
      <w:r>
        <w:rPr>
          <w:rFonts w:ascii="Times New Roman" w:hAnsi="Times New Roman" w:cs="Times New Roman"/>
          <w:sz w:val="24"/>
          <w:szCs w:val="24"/>
        </w:rPr>
        <w:t>393</w:t>
      </w:r>
      <w:r>
        <w:rPr>
          <w:rFonts w:ascii="Times New Roman" w:cs="Times New Roman"/>
          <w:sz w:val="24"/>
          <w:szCs w:val="24"/>
        </w:rPr>
        <w:t>号令</w:t>
      </w:r>
    </w:p>
    <w:p w14:paraId="14E9FF2D">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《特种设备监察条例》</w:t>
      </w:r>
      <w:r>
        <w:rPr>
          <w:rFonts w:ascii="Times New Roman" w:hAnsi="Times New Roman" w:cs="Times New Roman"/>
          <w:sz w:val="24"/>
          <w:szCs w:val="24"/>
        </w:rPr>
        <w:t>——</w:t>
      </w:r>
      <w:r>
        <w:rPr>
          <w:rFonts w:ascii="Times New Roman" w:cs="Times New Roman"/>
          <w:sz w:val="24"/>
          <w:szCs w:val="24"/>
        </w:rPr>
        <w:t>国务院</w:t>
      </w:r>
      <w:r>
        <w:rPr>
          <w:rFonts w:ascii="Times New Roman" w:hAnsi="Times New Roman" w:cs="Times New Roman"/>
          <w:sz w:val="24"/>
          <w:szCs w:val="24"/>
        </w:rPr>
        <w:t>549</w:t>
      </w:r>
      <w:r>
        <w:rPr>
          <w:rFonts w:ascii="Times New Roman" w:cs="Times New Roman"/>
          <w:sz w:val="24"/>
          <w:szCs w:val="24"/>
        </w:rPr>
        <w:t>号令</w:t>
      </w:r>
    </w:p>
    <w:p w14:paraId="3043D62B">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《建筑起重机械安全管理规范》</w:t>
      </w:r>
      <w:r>
        <w:rPr>
          <w:rFonts w:ascii="Times New Roman" w:hAnsi="Times New Roman" w:cs="Times New Roman"/>
          <w:sz w:val="24"/>
          <w:szCs w:val="24"/>
        </w:rPr>
        <w:t>——</w:t>
      </w:r>
      <w:r>
        <w:rPr>
          <w:rFonts w:ascii="Times New Roman" w:cs="Times New Roman"/>
          <w:sz w:val="24"/>
          <w:szCs w:val="24"/>
        </w:rPr>
        <w:t>建设部</w:t>
      </w:r>
      <w:r>
        <w:rPr>
          <w:rFonts w:ascii="Times New Roman" w:hAnsi="Times New Roman" w:cs="Times New Roman"/>
          <w:sz w:val="24"/>
          <w:szCs w:val="24"/>
        </w:rPr>
        <w:t>166</w:t>
      </w:r>
      <w:r>
        <w:rPr>
          <w:rFonts w:ascii="Times New Roman" w:cs="Times New Roman"/>
          <w:sz w:val="24"/>
          <w:szCs w:val="24"/>
        </w:rPr>
        <w:t>号</w:t>
      </w:r>
    </w:p>
    <w:p w14:paraId="54503C50">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《中华人民共和国特种设备安全法》</w:t>
      </w:r>
      <w:r>
        <w:rPr>
          <w:rFonts w:ascii="Times New Roman" w:hAnsi="Times New Roman" w:cs="Times New Roman"/>
          <w:sz w:val="24"/>
          <w:szCs w:val="24"/>
        </w:rPr>
        <w:t>——</w:t>
      </w:r>
      <w:r>
        <w:rPr>
          <w:rFonts w:ascii="Times New Roman" w:cs="Times New Roman"/>
          <w:sz w:val="24"/>
          <w:szCs w:val="24"/>
        </w:rPr>
        <w:t>主席令第</w:t>
      </w:r>
      <w:r>
        <w:rPr>
          <w:rFonts w:ascii="Times New Roman" w:hAnsi="Times New Roman" w:cs="Times New Roman"/>
          <w:sz w:val="24"/>
          <w:szCs w:val="24"/>
        </w:rPr>
        <w:t>4</w:t>
      </w:r>
      <w:r>
        <w:rPr>
          <w:rFonts w:ascii="Times New Roman" w:cs="Times New Roman"/>
          <w:sz w:val="24"/>
          <w:szCs w:val="24"/>
        </w:rPr>
        <w:t>号</w:t>
      </w:r>
    </w:p>
    <w:p w14:paraId="027AFD67">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w:t>
      </w:r>
      <w:r>
        <w:rPr>
          <w:rFonts w:ascii="Times New Roman" w:hAnsi="Times New Roman" w:cs="Times New Roman"/>
          <w:sz w:val="24"/>
          <w:szCs w:val="24"/>
        </w:rPr>
        <w:t>——GB/T 5031-20</w:t>
      </w:r>
      <w:r>
        <w:rPr>
          <w:rFonts w:hint="eastAsia" w:ascii="Times New Roman" w:hAnsi="Times New Roman" w:cs="Times New Roman"/>
          <w:sz w:val="24"/>
          <w:szCs w:val="24"/>
        </w:rPr>
        <w:t>19</w:t>
      </w:r>
    </w:p>
    <w:p w14:paraId="2D517C4F">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《塔式起重机安全规程》</w:t>
      </w:r>
      <w:r>
        <w:rPr>
          <w:rFonts w:ascii="Times New Roman" w:hAnsi="Times New Roman" w:cs="Times New Roman"/>
          <w:sz w:val="24"/>
          <w:szCs w:val="24"/>
        </w:rPr>
        <w:t>——GB 5144-2006</w:t>
      </w:r>
    </w:p>
    <w:p w14:paraId="6DB0D009">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《塔式起重机操作使用规程》</w:t>
      </w:r>
      <w:r>
        <w:rPr>
          <w:rFonts w:ascii="Times New Roman" w:hAnsi="Times New Roman" w:cs="Times New Roman"/>
          <w:sz w:val="24"/>
          <w:szCs w:val="24"/>
        </w:rPr>
        <w:t>——JG/T 100-1999</w:t>
      </w:r>
    </w:p>
    <w:p w14:paraId="5F3740BE">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《塔式起重机安装与拆卸规则》</w:t>
      </w:r>
      <w:r>
        <w:rPr>
          <w:rFonts w:ascii="Times New Roman" w:hAnsi="Times New Roman" w:cs="Times New Roman"/>
          <w:sz w:val="24"/>
          <w:szCs w:val="24"/>
        </w:rPr>
        <w:t>——GB/T2671-2011</w:t>
      </w:r>
    </w:p>
    <w:p w14:paraId="3BE930A5">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《塔式起重机设计规范》</w:t>
      </w:r>
      <w:r>
        <w:rPr>
          <w:rFonts w:ascii="Times New Roman" w:hAnsi="Times New Roman" w:cs="Times New Roman"/>
          <w:sz w:val="24"/>
          <w:szCs w:val="24"/>
        </w:rPr>
        <w:t>——GB/T13752-2017</w:t>
      </w:r>
    </w:p>
    <w:p w14:paraId="34CCEAD3">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《建筑施工高处作业安全技术规范》</w:t>
      </w:r>
      <w:r>
        <w:rPr>
          <w:rFonts w:ascii="Times New Roman" w:hAnsi="Times New Roman" w:cs="Times New Roman"/>
          <w:sz w:val="24"/>
          <w:szCs w:val="24"/>
        </w:rPr>
        <w:t>——JGJ80-2016</w:t>
      </w:r>
    </w:p>
    <w:p w14:paraId="1638AB31">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《建筑机械使用安全技术规程》</w:t>
      </w:r>
      <w:r>
        <w:rPr>
          <w:rFonts w:ascii="Times New Roman" w:hAnsi="Times New Roman" w:cs="Times New Roman"/>
          <w:sz w:val="24"/>
          <w:szCs w:val="24"/>
        </w:rPr>
        <w:t>——JGJ33-2012</w:t>
      </w:r>
    </w:p>
    <w:p w14:paraId="5AD08D0C">
      <w:pPr>
        <w:pStyle w:val="37"/>
        <w:numPr>
          <w:ilvl w:val="0"/>
          <w:numId w:val="4"/>
        </w:numPr>
        <w:spacing w:line="360" w:lineRule="auto"/>
        <w:ind w:left="709" w:hanging="425" w:firstLineChars="0"/>
        <w:rPr>
          <w:rFonts w:ascii="Times New Roman" w:cs="Times New Roman"/>
          <w:sz w:val="24"/>
          <w:szCs w:val="24"/>
        </w:rPr>
      </w:pPr>
      <w:r>
        <w:rPr>
          <w:rFonts w:ascii="Times New Roman" w:cs="Times New Roman"/>
          <w:sz w:val="24"/>
          <w:szCs w:val="24"/>
        </w:rPr>
        <w:t>《建筑施工塔式起重机</w:t>
      </w:r>
      <w:r>
        <w:rPr>
          <w:rFonts w:hint="eastAsia" w:ascii="Times New Roman" w:cs="Times New Roman"/>
          <w:sz w:val="24"/>
          <w:szCs w:val="24"/>
          <w:lang w:val="en-US" w:eastAsia="zh-CN"/>
        </w:rPr>
        <w:t>机械</w:t>
      </w:r>
      <w:r>
        <w:rPr>
          <w:rFonts w:ascii="Times New Roman" w:cs="Times New Roman"/>
          <w:sz w:val="24"/>
          <w:szCs w:val="24"/>
        </w:rPr>
        <w:t>安装、使用、拆卸安全技术规程》——JGJ196-2010</w:t>
      </w:r>
    </w:p>
    <w:p w14:paraId="73BDDC33">
      <w:pPr>
        <w:pStyle w:val="37"/>
        <w:numPr>
          <w:ilvl w:val="0"/>
          <w:numId w:val="4"/>
        </w:numPr>
        <w:spacing w:line="360" w:lineRule="auto"/>
        <w:ind w:left="709" w:hanging="425" w:firstLineChars="0"/>
        <w:rPr>
          <w:rFonts w:ascii="Times New Roman" w:cs="Times New Roman"/>
          <w:sz w:val="24"/>
          <w:szCs w:val="24"/>
        </w:rPr>
      </w:pPr>
      <w:r>
        <w:rPr>
          <w:rFonts w:ascii="å®‹ä½“" w:hAnsi="å®‹ä½“" w:eastAsia="å®‹ä½“" w:cs="å®‹ä½“"/>
          <w:i w:val="0"/>
          <w:iCs w:val="0"/>
          <w:caps w:val="0"/>
          <w:color w:val="000000"/>
          <w:spacing w:val="0"/>
          <w:sz w:val="24"/>
          <w:szCs w:val="24"/>
          <w:shd w:val="clear" w:fill="FFFFFF"/>
        </w:rPr>
        <w:t>《建筑与市政工程施工现场临时用电安全技术标准》</w:t>
      </w:r>
      <w:r>
        <w:rPr>
          <w:rFonts w:ascii="Times New Roman" w:cs="Times New Roman"/>
          <w:sz w:val="24"/>
          <w:szCs w:val="24"/>
        </w:rPr>
        <w:t>——</w:t>
      </w:r>
      <w:r>
        <w:rPr>
          <w:rFonts w:hint="eastAsia" w:ascii="Times New Roman" w:cs="Times New Roman"/>
          <w:sz w:val="24"/>
          <w:szCs w:val="24"/>
        </w:rPr>
        <w:t>JGJ46-2024</w:t>
      </w:r>
    </w:p>
    <w:p w14:paraId="253D8CE8">
      <w:pPr>
        <w:pStyle w:val="37"/>
        <w:numPr>
          <w:ilvl w:val="0"/>
          <w:numId w:val="4"/>
        </w:numPr>
        <w:spacing w:line="360" w:lineRule="auto"/>
        <w:ind w:left="709" w:hanging="425" w:firstLineChars="0"/>
        <w:rPr>
          <w:rFonts w:ascii="Times New Roman" w:cs="Times New Roman"/>
          <w:sz w:val="24"/>
          <w:szCs w:val="24"/>
        </w:rPr>
      </w:pPr>
      <w:r>
        <w:rPr>
          <w:rFonts w:ascii="Times New Roman" w:cs="Times New Roman"/>
          <w:sz w:val="24"/>
          <w:szCs w:val="24"/>
        </w:rPr>
        <w:t>《</w:t>
      </w:r>
      <w:r>
        <w:rPr>
          <w:rFonts w:hint="eastAsia" w:ascii="Times New Roman" w:cs="Times New Roman"/>
          <w:sz w:val="24"/>
          <w:szCs w:val="24"/>
        </w:rPr>
        <w:t>建筑工程安全检查标准</w:t>
      </w:r>
      <w:r>
        <w:rPr>
          <w:rFonts w:ascii="Times New Roman" w:cs="Times New Roman"/>
          <w:sz w:val="24"/>
          <w:szCs w:val="24"/>
        </w:rPr>
        <w:t>》——</w:t>
      </w:r>
      <w:r>
        <w:rPr>
          <w:rFonts w:hint="eastAsia" w:ascii="Times New Roman" w:cs="Times New Roman"/>
          <w:sz w:val="24"/>
          <w:szCs w:val="24"/>
        </w:rPr>
        <w:t>JGJ59-2011</w:t>
      </w:r>
    </w:p>
    <w:p w14:paraId="33D77B82">
      <w:pPr>
        <w:pStyle w:val="37"/>
        <w:numPr>
          <w:ilvl w:val="0"/>
          <w:numId w:val="4"/>
        </w:numPr>
        <w:spacing w:line="360" w:lineRule="auto"/>
        <w:ind w:left="709" w:hanging="425" w:firstLineChars="0"/>
        <w:rPr>
          <w:rFonts w:ascii="Times New Roman" w:cs="Times New Roman"/>
          <w:sz w:val="24"/>
          <w:szCs w:val="24"/>
        </w:rPr>
      </w:pPr>
      <w:r>
        <w:rPr>
          <w:rFonts w:ascii="Times New Roman" w:cs="Times New Roman"/>
          <w:sz w:val="24"/>
          <w:szCs w:val="24"/>
        </w:rPr>
        <w:t>《</w:t>
      </w:r>
      <w:r>
        <w:rPr>
          <w:rFonts w:hint="eastAsia" w:ascii="Times New Roman" w:cs="Times New Roman"/>
          <w:sz w:val="24"/>
          <w:szCs w:val="24"/>
        </w:rPr>
        <w:t>塔式起重机混凝土基础工程技术</w:t>
      </w:r>
      <w:r>
        <w:rPr>
          <w:rFonts w:hint="eastAsia" w:ascii="Times New Roman" w:cs="Times New Roman"/>
          <w:sz w:val="24"/>
          <w:szCs w:val="24"/>
          <w:lang w:val="en-US" w:eastAsia="zh-CN"/>
        </w:rPr>
        <w:t>标准</w:t>
      </w:r>
      <w:r>
        <w:rPr>
          <w:rFonts w:ascii="Times New Roman" w:cs="Times New Roman"/>
          <w:sz w:val="24"/>
          <w:szCs w:val="24"/>
        </w:rPr>
        <w:t>》——</w:t>
      </w:r>
      <w:r>
        <w:rPr>
          <w:rFonts w:hint="eastAsia" w:ascii="Times New Roman" w:cs="Times New Roman"/>
          <w:sz w:val="24"/>
          <w:szCs w:val="24"/>
        </w:rPr>
        <w:t>JGJ/T187-2019</w:t>
      </w:r>
    </w:p>
    <w:p w14:paraId="75137176">
      <w:pPr>
        <w:pStyle w:val="37"/>
        <w:numPr>
          <w:ilvl w:val="0"/>
          <w:numId w:val="4"/>
        </w:numPr>
        <w:spacing w:line="360" w:lineRule="auto"/>
        <w:ind w:left="709" w:hanging="425" w:firstLineChars="0"/>
        <w:rPr>
          <w:rFonts w:ascii="Times New Roman" w:cs="Times New Roman"/>
          <w:sz w:val="24"/>
          <w:szCs w:val="24"/>
        </w:rPr>
      </w:pPr>
      <w:r>
        <w:rPr>
          <w:rFonts w:ascii="Times New Roman" w:cs="Times New Roman"/>
          <w:sz w:val="24"/>
          <w:szCs w:val="24"/>
        </w:rPr>
        <w:t>《</w:t>
      </w:r>
      <w:r>
        <w:rPr>
          <w:rFonts w:hint="eastAsia" w:ascii="Times New Roman" w:cs="Times New Roman"/>
          <w:sz w:val="24"/>
          <w:szCs w:val="24"/>
        </w:rPr>
        <w:t>坠落防护安全带</w:t>
      </w:r>
      <w:r>
        <w:rPr>
          <w:rFonts w:ascii="Times New Roman" w:cs="Times New Roman"/>
          <w:sz w:val="24"/>
          <w:szCs w:val="24"/>
        </w:rPr>
        <w:t>》——</w:t>
      </w:r>
      <w:r>
        <w:rPr>
          <w:rFonts w:hint="eastAsia" w:ascii="Times New Roman" w:cs="Times New Roman"/>
          <w:sz w:val="24"/>
          <w:szCs w:val="24"/>
        </w:rPr>
        <w:t>GB6095-2021</w:t>
      </w:r>
    </w:p>
    <w:p w14:paraId="54C60927">
      <w:pPr>
        <w:pStyle w:val="37"/>
        <w:numPr>
          <w:ilvl w:val="0"/>
          <w:numId w:val="4"/>
        </w:numPr>
        <w:spacing w:line="360" w:lineRule="auto"/>
        <w:ind w:left="709" w:hanging="425" w:firstLineChars="0"/>
        <w:rPr>
          <w:rFonts w:ascii="Times New Roman" w:cs="Times New Roman"/>
          <w:sz w:val="24"/>
          <w:szCs w:val="24"/>
        </w:rPr>
      </w:pPr>
      <w:r>
        <w:rPr>
          <w:rFonts w:ascii="Times New Roman" w:cs="Times New Roman"/>
          <w:sz w:val="24"/>
          <w:szCs w:val="24"/>
        </w:rPr>
        <w:t>《头部防护安全帽》——</w:t>
      </w:r>
      <w:r>
        <w:rPr>
          <w:rFonts w:hint="eastAsia" w:ascii="Times New Roman" w:cs="Times New Roman"/>
          <w:sz w:val="24"/>
          <w:szCs w:val="24"/>
        </w:rPr>
        <w:t>GB2811-2019</w:t>
      </w:r>
    </w:p>
    <w:p w14:paraId="37BD4A42">
      <w:pPr>
        <w:pStyle w:val="37"/>
        <w:numPr>
          <w:ilvl w:val="0"/>
          <w:numId w:val="4"/>
        </w:numPr>
        <w:spacing w:line="360" w:lineRule="auto"/>
        <w:ind w:left="709" w:hanging="425" w:firstLineChars="0"/>
        <w:rPr>
          <w:rFonts w:ascii="Times New Roman" w:hAnsi="Times New Roman" w:cs="Times New Roman"/>
          <w:sz w:val="24"/>
          <w:szCs w:val="24"/>
        </w:rPr>
      </w:pPr>
      <w:r>
        <w:rPr>
          <w:rFonts w:ascii="Times New Roman" w:cs="Times New Roman"/>
          <w:sz w:val="24"/>
          <w:szCs w:val="24"/>
        </w:rPr>
        <w:t>《</w:t>
      </w:r>
      <w:r>
        <w:rPr>
          <w:rFonts w:hint="eastAsia" w:ascii="Times New Roman" w:cs="Times New Roman"/>
          <w:sz w:val="24"/>
          <w:szCs w:val="24"/>
        </w:rPr>
        <w:t>重要用途钢丝绳</w:t>
      </w:r>
      <w:r>
        <w:rPr>
          <w:rFonts w:ascii="Times New Roman" w:cs="Times New Roman"/>
          <w:sz w:val="24"/>
          <w:szCs w:val="24"/>
        </w:rPr>
        <w:t>》——</w:t>
      </w:r>
      <w:r>
        <w:rPr>
          <w:rFonts w:hint="eastAsia" w:ascii="Times New Roman" w:hAnsi="Times New Roman" w:cs="Times New Roman"/>
          <w:sz w:val="24"/>
          <w:szCs w:val="24"/>
        </w:rPr>
        <w:t>GB8918-2006</w:t>
      </w:r>
    </w:p>
    <w:p w14:paraId="794639AA">
      <w:pPr>
        <w:pStyle w:val="37"/>
        <w:numPr>
          <w:ilvl w:val="0"/>
          <w:numId w:val="4"/>
        </w:numPr>
        <w:spacing w:line="360" w:lineRule="auto"/>
        <w:ind w:left="709" w:hanging="425" w:firstLineChars="0"/>
        <w:rPr>
          <w:rFonts w:ascii="Times New Roman" w:hAnsi="Times New Roman" w:cs="Times New Roman"/>
          <w:sz w:val="24"/>
          <w:szCs w:val="24"/>
        </w:rPr>
      </w:pPr>
      <w:r>
        <w:rPr>
          <w:rFonts w:hint="eastAsia" w:ascii="Times New Roman" w:hAnsi="Times New Roman" w:cs="Times New Roman"/>
          <w:sz w:val="24"/>
          <w:szCs w:val="24"/>
        </w:rPr>
        <w:t>《建筑施工起重吊装工程安全技术规范》——JGJ276-2012</w:t>
      </w:r>
    </w:p>
    <w:p w14:paraId="47867236">
      <w:pPr>
        <w:pStyle w:val="5"/>
        <w:numPr>
          <w:ilvl w:val="0"/>
          <w:numId w:val="3"/>
        </w:numPr>
        <w:tabs>
          <w:tab w:val="left" w:pos="567"/>
        </w:tabs>
        <w:ind w:left="0" w:firstLine="0"/>
        <w:rPr>
          <w:rFonts w:cs="Times New Roman"/>
        </w:rPr>
      </w:pPr>
      <w:bookmarkStart w:id="7" w:name="_Toc460833575"/>
      <w:bookmarkStart w:id="8" w:name="_Toc448225838"/>
      <w:bookmarkStart w:id="9" w:name="_Toc448225288"/>
      <w:bookmarkStart w:id="10" w:name="_Toc450922360"/>
      <w:bookmarkStart w:id="11" w:name="_Toc32205"/>
      <w:r>
        <w:rPr>
          <w:rFonts w:cs="Times New Roman"/>
        </w:rPr>
        <w:t>其他</w:t>
      </w:r>
      <w:bookmarkEnd w:id="7"/>
      <w:bookmarkEnd w:id="8"/>
      <w:bookmarkEnd w:id="9"/>
      <w:bookmarkEnd w:id="10"/>
      <w:bookmarkEnd w:id="11"/>
    </w:p>
    <w:p w14:paraId="7CA512A7">
      <w:pPr>
        <w:pStyle w:val="37"/>
        <w:numPr>
          <w:ilvl w:val="0"/>
          <w:numId w:val="5"/>
        </w:numPr>
        <w:spacing w:line="360" w:lineRule="auto"/>
        <w:ind w:left="709" w:hanging="425" w:firstLineChars="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XGT6515-10S</w:t>
      </w:r>
      <w:r>
        <w:rPr>
          <w:rFonts w:ascii="Times New Roman" w:hAnsi="Times New Roman" w:cs="Times New Roman"/>
          <w:sz w:val="24"/>
          <w:szCs w:val="24"/>
        </w:rPr>
        <w:t>塔式起重机使用说明书》</w:t>
      </w:r>
    </w:p>
    <w:p w14:paraId="2FD96DE2">
      <w:pPr>
        <w:pStyle w:val="37"/>
        <w:numPr>
          <w:ilvl w:val="0"/>
          <w:numId w:val="5"/>
        </w:numPr>
        <w:spacing w:line="360" w:lineRule="auto"/>
        <w:ind w:left="709" w:hanging="425" w:firstLineChars="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T1200-64Q</w:t>
      </w:r>
      <w:r>
        <w:rPr>
          <w:rFonts w:ascii="Times New Roman" w:hAnsi="Times New Roman" w:cs="Times New Roman"/>
          <w:sz w:val="24"/>
          <w:szCs w:val="24"/>
        </w:rPr>
        <w:t>塔式起重机</w:t>
      </w:r>
      <w:r>
        <w:rPr>
          <w:rFonts w:hint="eastAsia" w:ascii="Times New Roman" w:hAnsi="Times New Roman" w:cs="Times New Roman"/>
          <w:sz w:val="24"/>
          <w:szCs w:val="24"/>
          <w:lang w:val="en-US" w:eastAsia="zh-CN"/>
        </w:rPr>
        <w:t>操作手册</w:t>
      </w:r>
      <w:r>
        <w:rPr>
          <w:rFonts w:ascii="Times New Roman" w:hAnsi="Times New Roman" w:cs="Times New Roman"/>
          <w:sz w:val="24"/>
          <w:szCs w:val="24"/>
        </w:rPr>
        <w:t>》</w:t>
      </w:r>
    </w:p>
    <w:p w14:paraId="1D736666">
      <w:pPr>
        <w:pStyle w:val="37"/>
        <w:numPr>
          <w:ilvl w:val="0"/>
          <w:numId w:val="5"/>
        </w:numPr>
        <w:spacing w:line="360" w:lineRule="auto"/>
        <w:ind w:left="709" w:hanging="425" w:firstLineChars="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S</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lang w:val="en-US" w:eastAsia="zh-CN"/>
        </w:rPr>
        <w:t>C</w:t>
      </w:r>
      <w:r>
        <w:rPr>
          <w:rFonts w:hint="eastAsia" w:ascii="Times New Roman" w:hAnsi="Times New Roman" w:cs="Times New Roman"/>
          <w:color w:val="auto"/>
          <w:sz w:val="24"/>
          <w:szCs w:val="24"/>
          <w:highlight w:val="none"/>
          <w:lang w:val="en-US" w:eastAsia="zh-CN"/>
        </w:rPr>
        <w:t>350C5-1</w:t>
      </w:r>
      <w:r>
        <w:rPr>
          <w:rFonts w:hint="eastAsia" w:ascii="Times New Roman" w:hAnsi="Times New Roman" w:cs="Times New Roman"/>
          <w:color w:val="auto"/>
          <w:sz w:val="24"/>
          <w:szCs w:val="24"/>
          <w:highlight w:val="none"/>
        </w:rPr>
        <w:t>汽车吊</w:t>
      </w:r>
      <w:r>
        <w:rPr>
          <w:rFonts w:ascii="Times New Roman" w:hAnsi="Times New Roman" w:cs="Times New Roman"/>
          <w:color w:val="auto"/>
          <w:sz w:val="24"/>
          <w:szCs w:val="24"/>
          <w:highlight w:val="none"/>
        </w:rPr>
        <w:t>使用说明书》</w:t>
      </w:r>
    </w:p>
    <w:p w14:paraId="07ADABE0">
      <w:pPr>
        <w:pStyle w:val="37"/>
        <w:numPr>
          <w:ilvl w:val="0"/>
          <w:numId w:val="5"/>
        </w:numPr>
        <w:spacing w:line="360" w:lineRule="auto"/>
        <w:ind w:left="709" w:hanging="425" w:firstLineChars="0"/>
        <w:rPr>
          <w:rFonts w:ascii="Times New Roman" w:hAnsi="Times New Roman" w:cs="Times New Roman"/>
          <w:sz w:val="24"/>
          <w:szCs w:val="24"/>
        </w:rPr>
      </w:pPr>
      <w:r>
        <w:rPr>
          <w:rFonts w:ascii="Times New Roman" w:hAnsi="Times New Roman" w:cs="Times New Roman"/>
          <w:sz w:val="24"/>
          <w:szCs w:val="24"/>
        </w:rPr>
        <w:t>本工程施工图及现场实际情况</w:t>
      </w:r>
    </w:p>
    <w:p w14:paraId="440CC77F">
      <w:pPr>
        <w:pStyle w:val="37"/>
        <w:numPr>
          <w:ilvl w:val="0"/>
          <w:numId w:val="5"/>
        </w:numPr>
        <w:spacing w:line="360" w:lineRule="auto"/>
        <w:ind w:left="709" w:hanging="425" w:firstLineChars="0"/>
        <w:rPr>
          <w:rFonts w:ascii="Times New Roman" w:hAnsi="Times New Roman" w:cs="Times New Roman"/>
          <w:sz w:val="24"/>
          <w:szCs w:val="24"/>
        </w:rPr>
      </w:pPr>
      <w:r>
        <w:rPr>
          <w:rFonts w:ascii="Times New Roman" w:hAnsi="Times New Roman" w:cs="Times New Roman"/>
          <w:sz w:val="24"/>
          <w:szCs w:val="24"/>
        </w:rPr>
        <w:t>中华人民共和国住房和城乡建设部令第37号《危险性较大的分部分项工程安全管理</w:t>
      </w:r>
      <w:r>
        <w:rPr>
          <w:rFonts w:hint="eastAsia" w:ascii="Times New Roman" w:hAnsi="Times New Roman" w:cs="Times New Roman"/>
          <w:sz w:val="24"/>
          <w:szCs w:val="24"/>
        </w:rPr>
        <w:t>规定</w:t>
      </w:r>
      <w:r>
        <w:rPr>
          <w:rFonts w:ascii="Times New Roman" w:hAnsi="Times New Roman" w:cs="Times New Roman"/>
          <w:sz w:val="24"/>
          <w:szCs w:val="24"/>
        </w:rPr>
        <w:t>》</w:t>
      </w:r>
    </w:p>
    <w:p w14:paraId="345AEFD1">
      <w:pPr>
        <w:pStyle w:val="37"/>
        <w:numPr>
          <w:ilvl w:val="0"/>
          <w:numId w:val="5"/>
        </w:numPr>
        <w:spacing w:line="360" w:lineRule="auto"/>
        <w:ind w:left="709" w:hanging="425" w:firstLineChars="0"/>
        <w:rPr>
          <w:rFonts w:ascii="Times New Roman" w:hAnsi="Times New Roman" w:cs="Times New Roman"/>
          <w:sz w:val="24"/>
          <w:szCs w:val="24"/>
        </w:rPr>
      </w:pPr>
      <w:r>
        <w:rPr>
          <w:rFonts w:hint="eastAsia" w:ascii="Times New Roman" w:hAnsi="Times New Roman" w:cs="Times New Roman"/>
          <w:sz w:val="24"/>
          <w:szCs w:val="24"/>
        </w:rPr>
        <w:t>建办质</w:t>
      </w:r>
      <w:r>
        <w:rPr>
          <w:rFonts w:ascii="Times New Roman" w:hAnsi="Times New Roman" w:cs="Times New Roman"/>
          <w:sz w:val="24"/>
          <w:szCs w:val="24"/>
        </w:rPr>
        <w:t>〔</w:t>
      </w:r>
      <w:r>
        <w:rPr>
          <w:rFonts w:hint="eastAsia" w:ascii="Times New Roman" w:hAnsi="Times New Roman" w:cs="Times New Roman"/>
          <w:sz w:val="24"/>
          <w:szCs w:val="24"/>
        </w:rPr>
        <w:t>2021</w:t>
      </w:r>
      <w:r>
        <w:rPr>
          <w:rFonts w:ascii="Times New Roman" w:hAnsi="Times New Roman" w:cs="Times New Roman"/>
          <w:sz w:val="24"/>
          <w:szCs w:val="24"/>
        </w:rPr>
        <w:t>〕</w:t>
      </w:r>
      <w:r>
        <w:rPr>
          <w:rFonts w:hint="eastAsia" w:ascii="Times New Roman" w:hAnsi="Times New Roman" w:cs="Times New Roman"/>
          <w:sz w:val="24"/>
          <w:szCs w:val="24"/>
        </w:rPr>
        <w:t>48号</w:t>
      </w:r>
      <w:r>
        <w:rPr>
          <w:rFonts w:ascii="Times New Roman" w:hAnsi="Times New Roman" w:cs="Times New Roman"/>
          <w:sz w:val="24"/>
          <w:szCs w:val="24"/>
        </w:rPr>
        <w:t>《</w:t>
      </w:r>
      <w:r>
        <w:rPr>
          <w:rFonts w:hint="eastAsia" w:ascii="Times New Roman" w:hAnsi="Times New Roman" w:cs="Times New Roman"/>
          <w:sz w:val="24"/>
          <w:szCs w:val="24"/>
        </w:rPr>
        <w:t>住房和城乡建设部办公厅关于印发危险性较大的分部分项工程专项施工方案编制指南的通知</w:t>
      </w:r>
      <w:r>
        <w:rPr>
          <w:rFonts w:ascii="Times New Roman" w:hAnsi="Times New Roman" w:cs="Times New Roman"/>
          <w:sz w:val="24"/>
          <w:szCs w:val="24"/>
        </w:rPr>
        <w:t>》</w:t>
      </w:r>
    </w:p>
    <w:p w14:paraId="5DBDE587">
      <w:pPr>
        <w:pStyle w:val="37"/>
        <w:numPr>
          <w:ilvl w:val="0"/>
          <w:numId w:val="5"/>
        </w:numPr>
        <w:spacing w:line="360" w:lineRule="auto"/>
        <w:ind w:left="709" w:hanging="425" w:firstLineChars="0"/>
        <w:rPr>
          <w:rFonts w:ascii="Times New Roman" w:hAnsi="Times New Roman" w:cs="Times New Roman"/>
          <w:sz w:val="24"/>
          <w:szCs w:val="24"/>
        </w:rPr>
      </w:pPr>
      <w:r>
        <w:rPr>
          <w:rFonts w:hint="eastAsia" w:ascii="Times New Roman" w:hAnsi="Times New Roman" w:cs="Times New Roman"/>
          <w:sz w:val="24"/>
          <w:szCs w:val="24"/>
        </w:rPr>
        <w:t>建办质〔2024〕63号 住房城乡建设部办公厅关于印发《危险性较大的分部分项工程专项施工方案严重缺陷清单</w:t>
      </w:r>
      <w:r>
        <w:rPr>
          <w:rFonts w:ascii="Times New Roman" w:hAnsi="Times New Roman" w:cs="Times New Roman"/>
          <w:sz w:val="24"/>
          <w:szCs w:val="24"/>
        </w:rPr>
        <w:t>》</w:t>
      </w:r>
    </w:p>
    <w:p w14:paraId="6C294FC0">
      <w:pPr>
        <w:pStyle w:val="3"/>
        <w:ind w:left="562" w:hanging="562"/>
        <w:rPr>
          <w:rFonts w:cs="Times New Roman"/>
        </w:rPr>
      </w:pPr>
      <w:bookmarkStart w:id="12" w:name="_Toc460833576"/>
      <w:bookmarkStart w:id="13" w:name="_Toc16597"/>
      <w:r>
        <w:rPr>
          <w:rFonts w:cs="Times New Roman"/>
        </w:rPr>
        <w:t>工程概况</w:t>
      </w:r>
      <w:bookmarkEnd w:id="12"/>
      <w:bookmarkEnd w:id="13"/>
    </w:p>
    <w:p w14:paraId="75280E53">
      <w:pPr>
        <w:pStyle w:val="5"/>
        <w:rPr>
          <w:rFonts w:cs="Times New Roman"/>
        </w:rPr>
      </w:pPr>
      <w:bookmarkStart w:id="14" w:name="_Toc30962"/>
      <w:r>
        <w:rPr>
          <w:rFonts w:hint="eastAsia" w:cs="Times New Roman"/>
        </w:rPr>
        <w:t>2.1工程概况</w:t>
      </w:r>
      <w:bookmarkEnd w:id="14"/>
    </w:p>
    <w:p w14:paraId="6A798C2D">
      <w:pPr>
        <w:pStyle w:val="65"/>
        <w:ind w:firstLine="480"/>
        <w:rPr>
          <w:rFonts w:hint="eastAsia" w:ascii="宋体" w:hAnsi="宋体" w:eastAsia="宋体"/>
          <w:szCs w:val="24"/>
          <w:lang w:val="en-US" w:eastAsia="zh-CN"/>
        </w:rPr>
      </w:pPr>
      <w:r>
        <w:rPr>
          <w:rFonts w:hint="eastAsia" w:ascii="宋体" w:hAnsi="宋体" w:eastAsia="宋体"/>
          <w:szCs w:val="24"/>
          <w:lang w:val="en-US" w:eastAsia="zh-CN"/>
        </w:rPr>
        <w:t>渠江风洞子航运工程是渠江梯级渠化最后一个未建梯级，按照最新《渠江航运规划》“七级改六级”、“二合一”要求，工程将新建风洞子枢纽、拆除超期服役的南阳滩老旧枢纽（建于50年代）以及相应的库区航道工程，新建枢纽坝址位于渠县流江河口上游2.8公里白蹟滩处，下距渠江三桥约2公里。</w:t>
      </w:r>
    </w:p>
    <w:p w14:paraId="5D505E86">
      <w:pPr>
        <w:pStyle w:val="65"/>
        <w:ind w:firstLine="480"/>
        <w:rPr>
          <w:rFonts w:hint="eastAsia" w:ascii="宋体" w:hAnsi="宋体" w:eastAsia="宋体"/>
          <w:szCs w:val="24"/>
          <w:lang w:val="en-US" w:eastAsia="zh-CN"/>
        </w:rPr>
      </w:pPr>
      <w:r>
        <w:rPr>
          <w:rFonts w:hint="eastAsia" w:ascii="宋体" w:hAnsi="宋体" w:eastAsia="宋体"/>
          <w:szCs w:val="24"/>
          <w:lang w:val="en-US" w:eastAsia="zh-CN"/>
        </w:rPr>
        <w:t>风洞子航运工程的建设，可打通渠江航道的最后瓶颈、扫除渠江高等级航道建设的障碍，实现渠江全江贯通，千吨级船舶可直达长江，对补齐达州水运短板，带动渠江航运复苏、促进达州融入成渝地区双城经济圈至关重要；通过拆除南阳滩老旧枢纽，可以消除坝体安全隐患、增强河道行洪能力，对于上、下游河道防洪安全具有明显作用；与此同时，通过抬高河道水位，可以改善渠县城市水环境，对于提升城市品质、开发沿渡坝湿地公园亦有巨大的益处。</w:t>
      </w:r>
    </w:p>
    <w:p w14:paraId="0078B1C7">
      <w:pPr>
        <w:pStyle w:val="65"/>
        <w:ind w:left="0" w:leftChars="0" w:firstLine="0" w:firstLineChars="0"/>
        <w:jc w:val="center"/>
        <w:rPr>
          <w:rFonts w:hint="eastAsia" w:ascii="宋体" w:hAnsi="宋体" w:eastAsia="宋体"/>
          <w:szCs w:val="24"/>
          <w:lang w:val="en-US" w:eastAsia="zh-CN"/>
        </w:rPr>
      </w:pPr>
      <w:r>
        <w:rPr>
          <w:rFonts w:hint="eastAsia" w:ascii="宋体" w:hAnsi="宋体" w:eastAsia="宋体"/>
          <w:szCs w:val="24"/>
          <w:lang w:val="en-US" w:eastAsia="zh-CN"/>
        </w:rPr>
        <w:drawing>
          <wp:inline distT="0" distB="0" distL="114300" distR="114300">
            <wp:extent cx="4158615" cy="2338705"/>
            <wp:effectExtent l="0" t="0" r="13335" b="4445"/>
            <wp:docPr id="35" name="图片 35" descr="d39286b0d5b878612842160b6049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39286b0d5b878612842160b6049ace"/>
                    <pic:cNvPicPr>
                      <a:picLocks noChangeAspect="1"/>
                    </pic:cNvPicPr>
                  </pic:nvPicPr>
                  <pic:blipFill>
                    <a:blip r:embed="rId9"/>
                    <a:stretch>
                      <a:fillRect/>
                    </a:stretch>
                  </pic:blipFill>
                  <pic:spPr>
                    <a:xfrm>
                      <a:off x="0" y="0"/>
                      <a:ext cx="4158615" cy="2338705"/>
                    </a:xfrm>
                    <a:prstGeom prst="rect">
                      <a:avLst/>
                    </a:prstGeom>
                  </pic:spPr>
                </pic:pic>
              </a:graphicData>
            </a:graphic>
          </wp:inline>
        </w:drawing>
      </w:r>
    </w:p>
    <w:p w14:paraId="7D5F49DF">
      <w:pPr>
        <w:pStyle w:val="65"/>
        <w:ind w:firstLine="480"/>
        <w:jc w:val="center"/>
        <w:rPr>
          <w:rFonts w:hint="eastAsia" w:ascii="宋体" w:hAnsi="宋体" w:eastAsia="宋体"/>
          <w:b/>
          <w:bCs/>
          <w:szCs w:val="24"/>
          <w:lang w:val="en-US" w:eastAsia="zh-CN"/>
        </w:rPr>
      </w:pPr>
      <w:r>
        <w:rPr>
          <w:rFonts w:hint="eastAsia" w:ascii="宋体" w:hAnsi="宋体" w:eastAsia="宋体"/>
          <w:b/>
          <w:bCs/>
          <w:szCs w:val="24"/>
          <w:lang w:val="en-US" w:eastAsia="zh-CN"/>
        </w:rPr>
        <w:t>图2.1-1渠江风洞子航运工程地理位置</w:t>
      </w:r>
    </w:p>
    <w:p w14:paraId="04CF3A33">
      <w:pPr>
        <w:pStyle w:val="65"/>
        <w:ind w:firstLine="480"/>
        <w:rPr>
          <w:rFonts w:hint="eastAsia" w:ascii="宋体" w:hAnsi="宋体" w:eastAsia="宋体"/>
          <w:szCs w:val="24"/>
          <w:lang w:val="en-US" w:eastAsia="zh-CN"/>
        </w:rPr>
      </w:pPr>
      <w:r>
        <w:rPr>
          <w:rFonts w:hint="eastAsia" w:ascii="宋体" w:hAnsi="宋体" w:eastAsia="宋体"/>
          <w:szCs w:val="24"/>
          <w:lang w:val="en-US" w:eastAsia="zh-CN"/>
        </w:rPr>
        <w:t>渠江风洞子航运工程开发任务：以航为主，兼顾发电、防洪与改善城市水环境。</w:t>
      </w:r>
    </w:p>
    <w:p w14:paraId="6B357DCC">
      <w:pPr>
        <w:pStyle w:val="65"/>
        <w:ind w:firstLine="480"/>
        <w:rPr>
          <w:rFonts w:hint="eastAsia" w:ascii="宋体" w:hAnsi="宋体" w:eastAsia="宋体"/>
          <w:szCs w:val="24"/>
          <w:lang w:val="en-US" w:eastAsia="zh-CN"/>
        </w:rPr>
      </w:pPr>
      <w:r>
        <w:rPr>
          <w:rFonts w:hint="eastAsia" w:ascii="宋体" w:hAnsi="宋体" w:eastAsia="宋体"/>
          <w:szCs w:val="24"/>
          <w:lang w:val="en-US" w:eastAsia="zh-CN"/>
        </w:rPr>
        <w:t>枢纽工程等级为二等工程，采用河床式开发，枢纽从左至右依次布置接头坝、船闸、非溢流坝、鱼道、电站厂房、泄洪冲沙闸右岸接头坝等，坝轴线长度845.5米。</w:t>
      </w:r>
    </w:p>
    <w:p w14:paraId="1D3FC843">
      <w:pPr>
        <w:pStyle w:val="65"/>
        <w:ind w:firstLine="480"/>
        <w:rPr>
          <w:rFonts w:hint="eastAsia" w:ascii="宋体" w:hAnsi="宋体" w:eastAsia="宋体"/>
          <w:szCs w:val="24"/>
          <w:lang w:val="en-US" w:eastAsia="zh-CN"/>
        </w:rPr>
      </w:pPr>
      <w:r>
        <w:rPr>
          <w:rFonts w:hint="eastAsia" w:ascii="宋体" w:hAnsi="宋体" w:eastAsia="宋体"/>
          <w:szCs w:val="24"/>
          <w:lang w:val="en-US" w:eastAsia="zh-CN"/>
        </w:rPr>
        <w:t>水库正常蓄水位243.00米，相应库容1.79亿立方米，渠江10年一遇洪水位高程位256米，大临设施最低高程位257.5米，确保大临设施安全。航道建设标准为Ⅲ级，航道尺度60×480×2.4米，渠化航道57公里，可常年通行1000吨级船舶；通航建筑物为Ⅲ级船闸，有效尺度200×23×4.2米，单向年通过能力1154万吨；发电厂房为河床式，装机容量75兆瓦，多年平均发电量2.363亿度；建设工期48个月。</w:t>
      </w:r>
    </w:p>
    <w:p w14:paraId="6E20D7E8">
      <w:pPr>
        <w:ind w:firstLine="480"/>
        <w:rPr>
          <w:rFonts w:hAnsi="宋体" w:cs="Times New Roman"/>
          <w:szCs w:val="24"/>
        </w:rPr>
      </w:pPr>
      <w:r>
        <w:rPr>
          <w:rFonts w:hint="eastAsia" w:hAnsi="宋体" w:cs="Times New Roman"/>
          <w:szCs w:val="24"/>
        </w:rPr>
        <w:t>本公司负责在中交第四航务工程局有限公司渠江风洞子航运工程项目发电厂房位置</w:t>
      </w:r>
      <w:r>
        <w:rPr>
          <w:rFonts w:hint="eastAsia" w:hAnsi="宋体" w:cs="Times New Roman"/>
          <w:szCs w:val="24"/>
          <w:lang w:val="en-US" w:eastAsia="zh-CN"/>
        </w:rPr>
        <w:t>安拆</w:t>
      </w:r>
      <w:r>
        <w:rPr>
          <w:rFonts w:hint="eastAsia" w:hAnsi="宋体" w:cs="Times New Roman"/>
          <w:szCs w:val="24"/>
        </w:rPr>
        <w:t>1台</w:t>
      </w:r>
      <w:r>
        <w:rPr>
          <w:rFonts w:hint="eastAsia" w:hAnsi="宋体" w:cs="Times New Roman"/>
          <w:szCs w:val="24"/>
          <w:lang w:val="en-US" w:eastAsia="zh-CN"/>
        </w:rPr>
        <w:t>XGT6515-10S</w:t>
      </w:r>
      <w:r>
        <w:rPr>
          <w:rFonts w:hint="eastAsia" w:hAnsi="宋体" w:cs="Times New Roman"/>
          <w:szCs w:val="24"/>
        </w:rPr>
        <w:t>平头塔式起重机，本方案负责实施的为</w:t>
      </w:r>
      <w:r>
        <w:rPr>
          <w:rFonts w:hint="eastAsia" w:hAnsi="宋体" w:cs="Times New Roman"/>
          <w:szCs w:val="24"/>
          <w:lang w:val="en-US" w:eastAsia="zh-CN"/>
        </w:rPr>
        <w:t>XGT6515-10S</w:t>
      </w:r>
      <w:r>
        <w:rPr>
          <w:rFonts w:hint="eastAsia" w:hAnsi="宋体" w:cs="Times New Roman"/>
          <w:szCs w:val="24"/>
        </w:rPr>
        <w:t>塔式起重机的</w:t>
      </w:r>
      <w:r>
        <w:rPr>
          <w:rFonts w:hint="eastAsia" w:hAnsi="宋体" w:cs="Times New Roman"/>
          <w:szCs w:val="24"/>
          <w:lang w:val="en-US" w:eastAsia="zh-CN"/>
        </w:rPr>
        <w:t>安拆</w:t>
      </w:r>
      <w:r>
        <w:rPr>
          <w:rFonts w:hint="eastAsia" w:hAnsi="宋体" w:cs="Times New Roman"/>
          <w:szCs w:val="24"/>
        </w:rPr>
        <w:t>方案。现场将图中的靠近塔机基础周边作业平面整平，便于汽车吊站位平衡。地下无管线，周围无建筑障碍，吊车臂可以在作业平面内任意旋转。</w:t>
      </w:r>
      <w:r>
        <w:rPr>
          <w:rFonts w:hint="eastAsia"/>
        </w:rPr>
        <w:t>为认真、全面、系统地做好起重机的</w:t>
      </w:r>
      <w:r>
        <w:rPr>
          <w:rFonts w:hint="eastAsia"/>
          <w:lang w:val="en-US" w:eastAsia="zh-CN"/>
        </w:rPr>
        <w:t>安拆</w:t>
      </w:r>
      <w:r>
        <w:rPr>
          <w:rFonts w:hint="eastAsia"/>
        </w:rPr>
        <w:t>作业，确保过程质量和安全，合理安排施工工期，四川科斗文智能装备有限公司受项目部委托特编制本塔式起重机安拆专项施工方案。</w:t>
      </w:r>
    </w:p>
    <w:p w14:paraId="7A0BE96E">
      <w:pPr>
        <w:pStyle w:val="5"/>
        <w:rPr>
          <w:rFonts w:hint="eastAsia"/>
        </w:rPr>
      </w:pPr>
      <w:bookmarkStart w:id="15" w:name="_Toc2736"/>
      <w:r>
        <w:rPr>
          <w:rFonts w:hint="eastAsia"/>
        </w:rPr>
        <w:t>2.2待</w:t>
      </w:r>
      <w:r>
        <w:rPr>
          <w:rFonts w:hint="eastAsia"/>
          <w:lang w:val="en-US" w:eastAsia="zh-CN"/>
        </w:rPr>
        <w:t>安装</w:t>
      </w:r>
      <w:r>
        <w:rPr>
          <w:rFonts w:hint="eastAsia"/>
        </w:rPr>
        <w:t>塔机参数</w:t>
      </w:r>
      <w:bookmarkEnd w:id="15"/>
    </w:p>
    <w:p w14:paraId="5F51F422">
      <w:pPr>
        <w:ind w:firstLine="480"/>
        <w:rPr>
          <w:rFonts w:hint="eastAsia" w:ascii="Times New Roman" w:hAnsi="宋体" w:cs="Times New Roman"/>
          <w:szCs w:val="24"/>
        </w:rPr>
      </w:pPr>
      <w:r>
        <w:rPr>
          <w:rFonts w:hint="eastAsia" w:ascii="Times New Roman" w:hAnsi="宋体" w:cs="Times New Roman"/>
          <w:szCs w:val="24"/>
          <w:lang w:eastAsia="zh-CN"/>
        </w:rPr>
        <w:t>XGT6515-10S</w:t>
      </w:r>
      <w:r>
        <w:rPr>
          <w:rFonts w:hint="eastAsia" w:ascii="Times New Roman" w:hAnsi="宋体" w:cs="Times New Roman"/>
          <w:szCs w:val="24"/>
        </w:rPr>
        <w:t>支腿固定式最大独立起升高度为</w:t>
      </w:r>
      <w:r>
        <w:rPr>
          <w:rFonts w:hint="eastAsia" w:ascii="Times New Roman" w:hAnsi="宋体" w:cs="Times New Roman"/>
          <w:szCs w:val="24"/>
          <w:lang w:val="en-US" w:eastAsia="zh-CN"/>
        </w:rPr>
        <w:t>60.2</w:t>
      </w:r>
      <w:r>
        <w:rPr>
          <w:rFonts w:hint="eastAsia" w:ascii="Times New Roman" w:hAnsi="宋体" w:cs="Times New Roman"/>
          <w:szCs w:val="24"/>
        </w:rPr>
        <w:t>m，安装高度</w:t>
      </w:r>
      <w:r>
        <w:rPr>
          <w:rFonts w:hint="eastAsia" w:hAnsi="宋体" w:cs="Times New Roman"/>
          <w:szCs w:val="24"/>
          <w:lang w:val="en-US" w:eastAsia="zh-CN"/>
        </w:rPr>
        <w:t>36.2</w:t>
      </w:r>
      <w:r>
        <w:rPr>
          <w:rFonts w:hint="eastAsia" w:ascii="Times New Roman" w:hAnsi="宋体" w:cs="Times New Roman"/>
          <w:szCs w:val="24"/>
        </w:rPr>
        <w:t>m，起重臂臂长为</w:t>
      </w:r>
      <w:r>
        <w:rPr>
          <w:rFonts w:hint="eastAsia" w:hAnsi="宋体" w:cs="Times New Roman"/>
          <w:szCs w:val="24"/>
          <w:lang w:val="en-US" w:eastAsia="zh-CN"/>
        </w:rPr>
        <w:t>65</w:t>
      </w:r>
      <w:r>
        <w:rPr>
          <w:rFonts w:hint="eastAsia" w:ascii="Times New Roman" w:hAnsi="宋体" w:cs="Times New Roman"/>
          <w:szCs w:val="24"/>
        </w:rPr>
        <w:t>m，最大起重量为</w:t>
      </w:r>
      <w:r>
        <w:rPr>
          <w:rFonts w:hint="eastAsia" w:ascii="Times New Roman" w:hAnsi="宋体" w:cs="Times New Roman"/>
          <w:szCs w:val="24"/>
          <w:lang w:val="en-US" w:eastAsia="zh-CN"/>
        </w:rPr>
        <w:t>10</w:t>
      </w:r>
      <w:r>
        <w:rPr>
          <w:rFonts w:hint="eastAsia" w:ascii="Times New Roman" w:hAnsi="宋体" w:cs="Times New Roman"/>
          <w:szCs w:val="24"/>
        </w:rPr>
        <w:t>吨，配置单小车，可采用2、4倍率使用。塔身标准节为</w:t>
      </w:r>
      <w:r>
        <w:rPr>
          <w:rFonts w:hint="eastAsia" w:hAnsi="宋体" w:cs="Times New Roman"/>
          <w:szCs w:val="24"/>
          <w:lang w:val="en-US" w:eastAsia="zh-CN"/>
        </w:rPr>
        <w:t>片式标准节</w:t>
      </w:r>
      <w:r>
        <w:rPr>
          <w:rFonts w:hint="eastAsia" w:ascii="Times New Roman" w:hAnsi="宋体" w:cs="Times New Roman"/>
          <w:szCs w:val="24"/>
        </w:rPr>
        <w:t>，</w:t>
      </w:r>
      <w:r>
        <w:rPr>
          <w:rFonts w:hint="eastAsia" w:hAnsi="宋体" w:cs="Times New Roman"/>
          <w:szCs w:val="24"/>
          <w:lang w:val="en-US" w:eastAsia="zh-CN"/>
        </w:rPr>
        <w:t>塔机预埋件预埋于主体墩身内，</w:t>
      </w:r>
      <w:r>
        <w:rPr>
          <w:rFonts w:hint="eastAsia" w:ascii="Times New Roman" w:hAnsi="宋体" w:cs="Times New Roman"/>
          <w:szCs w:val="24"/>
        </w:rPr>
        <w:t>塔身下部与</w:t>
      </w:r>
      <w:r>
        <w:rPr>
          <w:rFonts w:hint="eastAsia" w:hAnsi="宋体" w:cs="Times New Roman"/>
          <w:szCs w:val="24"/>
          <w:lang w:val="en-US" w:eastAsia="zh-CN"/>
        </w:rPr>
        <w:t>主体墩身</w:t>
      </w:r>
      <w:r>
        <w:rPr>
          <w:rFonts w:hint="eastAsia" w:ascii="Times New Roman" w:hAnsi="宋体" w:cs="Times New Roman"/>
          <w:szCs w:val="24"/>
        </w:rPr>
        <w:t>相连，塔身上部通过</w:t>
      </w:r>
      <w:r>
        <w:rPr>
          <w:rFonts w:hint="eastAsia" w:hAnsi="宋体" w:cs="Times New Roman"/>
          <w:szCs w:val="24"/>
          <w:lang w:val="en-US" w:eastAsia="zh-CN"/>
        </w:rPr>
        <w:t>标准</w:t>
      </w:r>
      <w:r>
        <w:rPr>
          <w:rFonts w:hint="eastAsia" w:ascii="Times New Roman" w:hAnsi="宋体" w:cs="Times New Roman"/>
          <w:szCs w:val="24"/>
          <w:lang w:val="en-US" w:eastAsia="zh-CN"/>
        </w:rPr>
        <w:t>节</w:t>
      </w:r>
      <w:r>
        <w:rPr>
          <w:rFonts w:hint="eastAsia" w:ascii="Times New Roman" w:hAnsi="宋体" w:cs="Times New Roman"/>
          <w:szCs w:val="24"/>
        </w:rPr>
        <w:t>、</w:t>
      </w:r>
      <w:r>
        <w:rPr>
          <w:rFonts w:hint="eastAsia" w:hAnsi="宋体" w:cs="Times New Roman"/>
          <w:szCs w:val="24"/>
          <w:lang w:val="en-US" w:eastAsia="zh-CN"/>
        </w:rPr>
        <w:t>特殊节、</w:t>
      </w:r>
      <w:r>
        <w:rPr>
          <w:rFonts w:hint="eastAsia" w:ascii="Times New Roman" w:hAnsi="宋体" w:cs="Times New Roman"/>
          <w:szCs w:val="24"/>
        </w:rPr>
        <w:t>下支座及回转支承与上支座相连。司机室置于上支座右前方，前方是起重臂，后方是平衡臂，起升机构设在平衡臂上层的后部，变幅机构设在起重臂臂节2上，回转机构置于上支座两侧。载重小车由变幅机构牵引，以起重臂下弦杆为轨道做变幅运动，起重臂直接与上支座和平衡臂连接。</w:t>
      </w:r>
      <w:r>
        <w:rPr>
          <w:rFonts w:hint="eastAsia" w:ascii="Times New Roman" w:hAnsi="宋体" w:cs="Times New Roman"/>
          <w:szCs w:val="24"/>
          <w:lang w:val="en-US" w:eastAsia="zh-CN"/>
        </w:rPr>
        <w:t>标准节</w:t>
      </w:r>
      <w:r>
        <w:rPr>
          <w:rFonts w:hint="eastAsia" w:ascii="Times New Roman" w:hAnsi="宋体" w:cs="Times New Roman"/>
          <w:szCs w:val="24"/>
        </w:rPr>
        <w:t>下端是爬升架，围在塔身四周，塔机需要通过顶升机构顶起塔机</w:t>
      </w:r>
      <w:r>
        <w:rPr>
          <w:rFonts w:hint="eastAsia" w:ascii="Times New Roman" w:hAnsi="宋体" w:cs="Times New Roman"/>
          <w:szCs w:val="24"/>
          <w:lang w:val="en-US" w:eastAsia="zh-CN"/>
        </w:rPr>
        <w:t>标准</w:t>
      </w:r>
      <w:r>
        <w:rPr>
          <w:rFonts w:hint="eastAsia" w:ascii="Times New Roman" w:hAnsi="宋体" w:cs="Times New Roman"/>
          <w:szCs w:val="24"/>
        </w:rPr>
        <w:t>节及以上部分，通过引进标准节，升高塔机的高度。</w:t>
      </w:r>
    </w:p>
    <w:p w14:paraId="5396E9EE">
      <w:pPr>
        <w:outlineLvl w:val="1"/>
        <w:rPr>
          <w:rStyle w:val="41"/>
          <w:rFonts w:hint="eastAsia"/>
          <w:lang w:val="en-US" w:eastAsia="zh-CN"/>
        </w:rPr>
      </w:pPr>
      <w:bookmarkStart w:id="16" w:name="_Toc11816"/>
      <w:r>
        <w:rPr>
          <w:rStyle w:val="41"/>
          <w:rFonts w:hint="eastAsia"/>
          <w:lang w:val="en-US" w:eastAsia="zh-CN"/>
        </w:rPr>
        <w:t>2.3塔机的技术参数</w:t>
      </w:r>
      <w:bookmarkEnd w:id="16"/>
    </w:p>
    <w:p w14:paraId="4C0EE61C">
      <w:pPr>
        <w:bidi w:val="0"/>
        <w:jc w:val="center"/>
        <w:rPr>
          <w:rFonts w:hint="eastAsia" w:ascii="宋体" w:hAnsi="宋体" w:eastAsia="宋体" w:cs="宋体"/>
          <w:b/>
          <w:bCs/>
          <w:lang w:eastAsia="zh-CN"/>
        </w:rPr>
      </w:pPr>
      <w:r>
        <w:rPr>
          <w:rFonts w:hint="eastAsia" w:ascii="宋体" w:hAnsi="宋体" w:eastAsia="宋体" w:cs="宋体"/>
          <w:b/>
          <w:bCs/>
          <w:lang w:eastAsia="zh-CN"/>
        </w:rPr>
        <w:t>表</w:t>
      </w:r>
      <w:r>
        <w:rPr>
          <w:rFonts w:hint="eastAsia" w:ascii="宋体" w:hAnsi="宋体" w:eastAsia="宋体" w:cs="宋体"/>
          <w:b/>
          <w:bCs/>
          <w:lang w:val="en-US" w:eastAsia="zh-CN"/>
        </w:rPr>
        <w:t>2.3</w:t>
      </w:r>
      <w:r>
        <w:rPr>
          <w:rFonts w:hint="eastAsia" w:ascii="宋体" w:hAnsi="宋体" w:eastAsia="宋体" w:cs="宋体"/>
          <w:b/>
          <w:bCs/>
          <w:lang w:eastAsia="zh-CN"/>
        </w:rPr>
        <w:t>-1：</w:t>
      </w:r>
      <w:r>
        <w:rPr>
          <w:rFonts w:hint="eastAsia" w:ascii="宋体" w:hAnsi="宋体" w:cs="宋体"/>
          <w:b/>
          <w:bCs/>
          <w:lang w:val="en-US" w:eastAsia="zh-CN"/>
        </w:rPr>
        <w:t>塔式起重机</w:t>
      </w:r>
      <w:r>
        <w:rPr>
          <w:rFonts w:hint="eastAsia" w:ascii="宋体" w:hAnsi="宋体" w:eastAsia="宋体" w:cs="宋体"/>
          <w:b/>
          <w:bCs/>
          <w:lang w:eastAsia="zh-CN"/>
        </w:rPr>
        <w:t>主要性能参数</w:t>
      </w:r>
    </w:p>
    <w:p w14:paraId="16BBFEB0">
      <w:r>
        <w:drawing>
          <wp:inline distT="0" distB="0" distL="114300" distR="114300">
            <wp:extent cx="5271770" cy="6891020"/>
            <wp:effectExtent l="0" t="0" r="5080" b="50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5271770" cy="6891020"/>
                    </a:xfrm>
                    <a:prstGeom prst="rect">
                      <a:avLst/>
                    </a:prstGeom>
                    <a:noFill/>
                    <a:ln>
                      <a:noFill/>
                    </a:ln>
                  </pic:spPr>
                </pic:pic>
              </a:graphicData>
            </a:graphic>
          </wp:inline>
        </w:drawing>
      </w:r>
    </w:p>
    <w:p w14:paraId="1E77ECF6">
      <w:pPr>
        <w:pStyle w:val="37"/>
        <w:ind w:firstLine="0" w:firstLineChars="0"/>
      </w:pPr>
    </w:p>
    <w:p w14:paraId="681A6629">
      <w:pPr>
        <w:pStyle w:val="3"/>
        <w:ind w:left="562" w:hanging="562"/>
        <w:rPr>
          <w:rFonts w:cs="Times New Roman"/>
        </w:rPr>
      </w:pPr>
      <w:bookmarkStart w:id="17" w:name="_Toc460833577"/>
      <w:bookmarkStart w:id="18" w:name="_Toc25819"/>
      <w:r>
        <w:rPr>
          <w:rFonts w:hint="eastAsia" w:cs="Times New Roman"/>
          <w:lang w:eastAsia="zh-CN"/>
        </w:rPr>
        <w:t>塔机</w:t>
      </w:r>
      <w:r>
        <w:rPr>
          <w:rFonts w:cs="Times New Roman"/>
        </w:rPr>
        <w:t>位置的平面图和立面图</w:t>
      </w:r>
      <w:bookmarkEnd w:id="17"/>
      <w:bookmarkEnd w:id="18"/>
    </w:p>
    <w:p w14:paraId="0E20CA63">
      <w:pPr>
        <w:rPr>
          <w:rStyle w:val="41"/>
          <w:rFonts w:hint="eastAsia"/>
          <w:lang w:val="en-US" w:eastAsia="zh-CN"/>
        </w:rPr>
      </w:pPr>
      <w:bookmarkStart w:id="19" w:name="_Toc460833578"/>
      <w:bookmarkStart w:id="20" w:name="_Toc7131"/>
      <w:r>
        <w:rPr>
          <w:rStyle w:val="41"/>
          <w:rFonts w:hint="eastAsia"/>
          <w:lang w:val="en-US" w:eastAsia="zh-CN"/>
        </w:rPr>
        <w:t>3.1平面图</w:t>
      </w:r>
      <w:bookmarkEnd w:id="19"/>
      <w:bookmarkStart w:id="21" w:name="_Toc460833579"/>
    </w:p>
    <w:bookmarkEnd w:id="20"/>
    <w:p w14:paraId="2F331B53">
      <w:pPr>
        <w:pStyle w:val="10"/>
        <w:jc w:val="center"/>
      </w:pPr>
      <w:r>
        <w:drawing>
          <wp:inline distT="0" distB="0" distL="114300" distR="114300">
            <wp:extent cx="3900805" cy="3679190"/>
            <wp:effectExtent l="0" t="0" r="4445"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3900805" cy="3679190"/>
                    </a:xfrm>
                    <a:prstGeom prst="rect">
                      <a:avLst/>
                    </a:prstGeom>
                    <a:noFill/>
                    <a:ln>
                      <a:noFill/>
                    </a:ln>
                  </pic:spPr>
                </pic:pic>
              </a:graphicData>
            </a:graphic>
          </wp:inline>
        </w:drawing>
      </w:r>
    </w:p>
    <w:p w14:paraId="1D2A8FCE">
      <w:pPr>
        <w:rPr>
          <w:rStyle w:val="41"/>
          <w:rFonts w:hint="eastAsia"/>
          <w:lang w:val="en-US" w:eastAsia="zh-CN"/>
        </w:rPr>
      </w:pPr>
      <w:bookmarkStart w:id="22" w:name="_Toc27200"/>
      <w:r>
        <w:rPr>
          <w:rStyle w:val="41"/>
          <w:rFonts w:hint="eastAsia"/>
          <w:lang w:val="en-US" w:eastAsia="zh-CN"/>
        </w:rPr>
        <w:t>3.2立面图</w:t>
      </w:r>
      <w:bookmarkEnd w:id="21"/>
    </w:p>
    <w:bookmarkEnd w:id="22"/>
    <w:p w14:paraId="038F7820">
      <w:pPr>
        <w:jc w:val="center"/>
        <w:rPr>
          <w:rFonts w:hint="eastAsia" w:ascii="宋体" w:hAnsi="宋体" w:eastAsia="宋体"/>
          <w:szCs w:val="24"/>
          <w:lang w:val="en-US" w:eastAsia="zh-CN"/>
        </w:rPr>
      </w:pPr>
      <w:r>
        <w:drawing>
          <wp:inline distT="0" distB="0" distL="114300" distR="114300">
            <wp:extent cx="5273675" cy="3701415"/>
            <wp:effectExtent l="0" t="0" r="3175" b="1333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2"/>
                    <a:stretch>
                      <a:fillRect/>
                    </a:stretch>
                  </pic:blipFill>
                  <pic:spPr>
                    <a:xfrm>
                      <a:off x="0" y="0"/>
                      <a:ext cx="5273675" cy="3701415"/>
                    </a:xfrm>
                    <a:prstGeom prst="rect">
                      <a:avLst/>
                    </a:prstGeom>
                    <a:noFill/>
                    <a:ln>
                      <a:noFill/>
                    </a:ln>
                  </pic:spPr>
                </pic:pic>
              </a:graphicData>
            </a:graphic>
          </wp:inline>
        </w:drawing>
      </w:r>
    </w:p>
    <w:p w14:paraId="550988DD">
      <w:pPr>
        <w:jc w:val="both"/>
        <w:rPr>
          <w:rFonts w:hint="eastAsia" w:cs="Times New Roman" w:eastAsiaTheme="minorEastAsia"/>
          <w:szCs w:val="28"/>
          <w:lang w:eastAsia="zh-CN"/>
        </w:rPr>
      </w:pPr>
    </w:p>
    <w:p w14:paraId="591D6DCF">
      <w:pPr>
        <w:pStyle w:val="3"/>
        <w:ind w:left="562" w:hanging="562"/>
        <w:rPr>
          <w:rFonts w:cs="Times New Roman"/>
        </w:rPr>
      </w:pPr>
      <w:bookmarkStart w:id="23" w:name="_Toc22230"/>
      <w:r>
        <w:rPr>
          <w:rFonts w:hint="eastAsia" w:cs="Times New Roman"/>
        </w:rPr>
        <w:t>部件的重量和吊点位置</w:t>
      </w:r>
      <w:bookmarkEnd w:id="23"/>
    </w:p>
    <w:p w14:paraId="43C673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szCs w:val="24"/>
          <w:lang w:val="en-US" w:eastAsia="zh-CN"/>
        </w:rPr>
      </w:pPr>
      <w:r>
        <w:rPr>
          <w:rFonts w:hint="eastAsia" w:ascii="宋体" w:hAnsi="宋体" w:eastAsia="宋体"/>
          <w:szCs w:val="24"/>
          <w:lang w:eastAsia="zh-CN"/>
        </w:rPr>
        <w:t>各</w:t>
      </w:r>
      <w:r>
        <w:rPr>
          <w:rFonts w:hint="eastAsia" w:ascii="宋体" w:hAnsi="宋体" w:eastAsia="宋体"/>
          <w:szCs w:val="24"/>
          <w:lang w:val="en-US" w:eastAsia="zh-CN"/>
        </w:rPr>
        <w:t>安拆</w:t>
      </w:r>
      <w:r>
        <w:rPr>
          <w:rFonts w:hint="eastAsia" w:ascii="宋体" w:hAnsi="宋体" w:eastAsia="宋体"/>
          <w:szCs w:val="24"/>
          <w:lang w:eastAsia="zh-CN"/>
        </w:rPr>
        <w:t>部件的重量及起吊高度见表</w:t>
      </w:r>
      <w:r>
        <w:rPr>
          <w:rFonts w:hint="eastAsia" w:ascii="宋体" w:hAnsi="宋体" w:eastAsia="宋体"/>
          <w:szCs w:val="24"/>
          <w:lang w:val="en-US" w:eastAsia="zh-CN"/>
        </w:rPr>
        <w:t>4-1。</w:t>
      </w:r>
    </w:p>
    <w:p w14:paraId="6F39F73B">
      <w:pPr>
        <w:pStyle w:val="11"/>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 xml:space="preserve">表 </w:t>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STYLEREF 1 \s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eastAsia="zh-CN"/>
        </w:rPr>
        <w:t>-</w:t>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SEQ 表 \* ARABIC \s 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lang w:val="en-US" w:eastAsia="zh-CN"/>
        </w:rPr>
        <w:t xml:space="preserve"> 各部件安拆重量及高度</w:t>
      </w:r>
    </w:p>
    <w:p w14:paraId="3CD58046">
      <w:r>
        <w:drawing>
          <wp:inline distT="0" distB="0" distL="114300" distR="114300">
            <wp:extent cx="5271770" cy="2842895"/>
            <wp:effectExtent l="0" t="0" r="5080" b="1460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3"/>
                    <a:stretch>
                      <a:fillRect/>
                    </a:stretch>
                  </pic:blipFill>
                  <pic:spPr>
                    <a:xfrm>
                      <a:off x="0" y="0"/>
                      <a:ext cx="5271770" cy="2842895"/>
                    </a:xfrm>
                    <a:prstGeom prst="rect">
                      <a:avLst/>
                    </a:prstGeom>
                    <a:noFill/>
                    <a:ln>
                      <a:noFill/>
                    </a:ln>
                  </pic:spPr>
                </pic:pic>
              </a:graphicData>
            </a:graphic>
          </wp:inline>
        </w:drawing>
      </w:r>
    </w:p>
    <w:p w14:paraId="2FBE02FD">
      <w:pPr>
        <w:pStyle w:val="3"/>
        <w:ind w:left="562" w:hanging="562"/>
        <w:rPr>
          <w:rFonts w:cs="Times New Roman"/>
        </w:rPr>
      </w:pPr>
      <w:bookmarkStart w:id="24" w:name="_Toc13300"/>
      <w:r>
        <w:rPr>
          <w:rFonts w:hint="eastAsia" w:cs="Times New Roman"/>
          <w:lang w:val="en-US" w:eastAsia="zh-CN"/>
        </w:rPr>
        <w:t>安拆</w:t>
      </w:r>
      <w:r>
        <w:rPr>
          <w:rFonts w:hint="eastAsia" w:cs="Times New Roman"/>
        </w:rPr>
        <w:t>辅助设备的型号、性能和布置位置</w:t>
      </w:r>
      <w:bookmarkEnd w:id="24"/>
    </w:p>
    <w:p w14:paraId="789526DB">
      <w:pPr>
        <w:pStyle w:val="5"/>
        <w:numPr>
          <w:ilvl w:val="0"/>
          <w:numId w:val="6"/>
        </w:numPr>
        <w:rPr>
          <w:rFonts w:hint="eastAsia"/>
          <w:lang w:val="en-US" w:eastAsia="zh-CN"/>
        </w:rPr>
      </w:pPr>
      <w:bookmarkStart w:id="25" w:name="_Toc30055"/>
      <w:r>
        <w:rPr>
          <w:rFonts w:hint="eastAsia" w:cs="Times New Roman"/>
          <w:b/>
          <w:bCs/>
          <w:kern w:val="2"/>
          <w:sz w:val="28"/>
          <w:szCs w:val="32"/>
          <w:lang w:val="en-US" w:eastAsia="zh-CN" w:bidi="ar-SA"/>
        </w:rPr>
        <w:t>T1200-64Q塔式起重机70m性能参数</w:t>
      </w:r>
      <w:bookmarkEnd w:id="25"/>
    </w:p>
    <w:p w14:paraId="24A223C6">
      <w:pPr>
        <w:pStyle w:val="6"/>
        <w:rPr>
          <w:rFonts w:hint="eastAsia" w:cstheme="majorBidi"/>
          <w:b/>
          <w:bCs/>
          <w:kern w:val="2"/>
          <w:sz w:val="28"/>
          <w:szCs w:val="32"/>
          <w:lang w:val="en-US" w:eastAsia="zh-CN" w:bidi="ar-SA"/>
        </w:rPr>
      </w:pPr>
      <w:r>
        <w:rPr>
          <w:rFonts w:hint="eastAsia"/>
        </w:rPr>
        <w:t>5.1.1</w:t>
      </w:r>
      <w:r>
        <w:rPr>
          <w:rFonts w:hint="eastAsia" w:cstheme="majorBidi"/>
          <w:b/>
          <w:bCs/>
          <w:kern w:val="2"/>
          <w:sz w:val="28"/>
          <w:szCs w:val="32"/>
          <w:lang w:val="en-US" w:eastAsia="zh-CN" w:bidi="ar-SA"/>
        </w:rPr>
        <w:t>整机性能参数表</w:t>
      </w:r>
    </w:p>
    <w:p w14:paraId="7A52F923">
      <w:pPr>
        <w:rPr>
          <w:rFonts w:hint="default"/>
          <w:lang w:val="en-US" w:eastAsia="zh-CN"/>
        </w:rPr>
      </w:pPr>
      <w:r>
        <w:drawing>
          <wp:inline distT="0" distB="0" distL="114300" distR="114300">
            <wp:extent cx="5273675" cy="6925945"/>
            <wp:effectExtent l="0" t="0" r="3175" b="825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4"/>
                    <a:stretch>
                      <a:fillRect/>
                    </a:stretch>
                  </pic:blipFill>
                  <pic:spPr>
                    <a:xfrm>
                      <a:off x="0" y="0"/>
                      <a:ext cx="5273675" cy="6925945"/>
                    </a:xfrm>
                    <a:prstGeom prst="rect">
                      <a:avLst/>
                    </a:prstGeom>
                    <a:noFill/>
                    <a:ln>
                      <a:noFill/>
                    </a:ln>
                  </pic:spPr>
                </pic:pic>
              </a:graphicData>
            </a:graphic>
          </wp:inline>
        </w:drawing>
      </w:r>
    </w:p>
    <w:p w14:paraId="04066F92">
      <w:pPr>
        <w:pStyle w:val="6"/>
        <w:rPr>
          <w:rFonts w:hint="eastAsia"/>
          <w:lang w:val="en-US" w:eastAsia="zh-CN"/>
        </w:rPr>
      </w:pPr>
      <w:r>
        <w:rPr>
          <w:rFonts w:hint="eastAsia"/>
        </w:rPr>
        <w:t>5.1.</w:t>
      </w:r>
      <w:r>
        <w:rPr>
          <w:rFonts w:hint="eastAsia"/>
          <w:lang w:val="en-US" w:eastAsia="zh-CN"/>
        </w:rPr>
        <w:t>2起重性能参数</w:t>
      </w:r>
    </w:p>
    <w:p w14:paraId="41BDEA0E">
      <w:pPr>
        <w:rPr>
          <w:rFonts w:hint="default"/>
          <w:lang w:val="en-US" w:eastAsia="zh-CN"/>
        </w:rPr>
      </w:pPr>
      <w:r>
        <w:drawing>
          <wp:inline distT="0" distB="0" distL="114300" distR="114300">
            <wp:extent cx="5271135" cy="2399665"/>
            <wp:effectExtent l="0" t="0" r="5715" b="6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5"/>
                    <a:stretch>
                      <a:fillRect/>
                    </a:stretch>
                  </pic:blipFill>
                  <pic:spPr>
                    <a:xfrm>
                      <a:off x="0" y="0"/>
                      <a:ext cx="5271135" cy="2399665"/>
                    </a:xfrm>
                    <a:prstGeom prst="rect">
                      <a:avLst/>
                    </a:prstGeom>
                    <a:noFill/>
                    <a:ln>
                      <a:noFill/>
                    </a:ln>
                  </pic:spPr>
                </pic:pic>
              </a:graphicData>
            </a:graphic>
          </wp:inline>
        </w:drawing>
      </w:r>
    </w:p>
    <w:p w14:paraId="7A22CE6E">
      <w:pPr>
        <w:pStyle w:val="5"/>
        <w:numPr>
          <w:ilvl w:val="0"/>
          <w:numId w:val="6"/>
        </w:numPr>
        <w:rPr>
          <w:rFonts w:cs="Times New Roman"/>
          <w:highlight w:val="none"/>
        </w:rPr>
      </w:pPr>
      <w:bookmarkStart w:id="26" w:name="_Toc8797"/>
      <w:r>
        <w:rPr>
          <w:rFonts w:hint="eastAsia" w:cs="Times New Roman"/>
          <w:highlight w:val="none"/>
          <w:lang w:val="en-US" w:eastAsia="zh-CN"/>
        </w:rPr>
        <w:t>35t</w:t>
      </w:r>
      <w:r>
        <w:rPr>
          <w:rFonts w:hint="eastAsia" w:cs="Times New Roman"/>
          <w:highlight w:val="none"/>
        </w:rPr>
        <w:t>汽车吊性能参数</w:t>
      </w:r>
      <w:bookmarkEnd w:id="26"/>
    </w:p>
    <w:p w14:paraId="73A483A3">
      <w:pPr>
        <w:pStyle w:val="6"/>
      </w:pPr>
      <w:r>
        <w:rPr>
          <w:rFonts w:hint="eastAsia"/>
        </w:rPr>
        <w:t>5.</w:t>
      </w:r>
      <w:r>
        <w:rPr>
          <w:rFonts w:hint="eastAsia"/>
          <w:lang w:val="en-US" w:eastAsia="zh-CN"/>
        </w:rPr>
        <w:t>2</w:t>
      </w:r>
      <w:r>
        <w:rPr>
          <w:rFonts w:hint="eastAsia"/>
        </w:rPr>
        <w:t>.1主要</w:t>
      </w:r>
      <w:r>
        <w:rPr>
          <w:rFonts w:hint="eastAsia" w:cs="Times New Roman"/>
        </w:rPr>
        <w:t>性能参数</w:t>
      </w:r>
    </w:p>
    <w:p w14:paraId="783AD59A">
      <w:pPr>
        <w:jc w:val="center"/>
      </w:pPr>
      <w:r>
        <w:drawing>
          <wp:inline distT="0" distB="0" distL="114300" distR="114300">
            <wp:extent cx="5274310" cy="4342765"/>
            <wp:effectExtent l="0" t="0" r="2540" b="6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6"/>
                    <a:stretch>
                      <a:fillRect/>
                    </a:stretch>
                  </pic:blipFill>
                  <pic:spPr>
                    <a:xfrm>
                      <a:off x="0" y="0"/>
                      <a:ext cx="5274310" cy="4342765"/>
                    </a:xfrm>
                    <a:prstGeom prst="rect">
                      <a:avLst/>
                    </a:prstGeom>
                    <a:noFill/>
                    <a:ln>
                      <a:noFill/>
                    </a:ln>
                  </pic:spPr>
                </pic:pic>
              </a:graphicData>
            </a:graphic>
          </wp:inline>
        </w:drawing>
      </w:r>
    </w:p>
    <w:p w14:paraId="3999DCE9">
      <w:pPr>
        <w:pStyle w:val="6"/>
        <w:rPr>
          <w:rFonts w:eastAsia="宋体"/>
        </w:rPr>
      </w:pPr>
      <w:r>
        <w:rPr>
          <w:rFonts w:hint="eastAsia"/>
        </w:rPr>
        <w:t>5.</w:t>
      </w:r>
      <w:r>
        <w:rPr>
          <w:rFonts w:hint="eastAsia"/>
          <w:lang w:val="en-US" w:eastAsia="zh-CN"/>
        </w:rPr>
        <w:t>2</w:t>
      </w:r>
      <w:r>
        <w:rPr>
          <w:rFonts w:hint="eastAsia"/>
        </w:rPr>
        <w:t>.2</w:t>
      </w:r>
      <w:r>
        <w:rPr>
          <w:rFonts w:hint="eastAsia" w:eastAsia="宋体"/>
        </w:rPr>
        <w:t>起重性能表</w:t>
      </w:r>
    </w:p>
    <w:p w14:paraId="107B5D7E">
      <w:pPr>
        <w:ind w:left="-2" w:leftChars="-1" w:firstLine="2"/>
        <w:jc w:val="center"/>
        <w:rPr>
          <w:highlight w:val="none"/>
        </w:rPr>
      </w:pPr>
      <w:r>
        <w:drawing>
          <wp:inline distT="0" distB="0" distL="114300" distR="114300">
            <wp:extent cx="4830445" cy="3745230"/>
            <wp:effectExtent l="0" t="0" r="8255" b="7620"/>
            <wp:docPr id="10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3"/>
                    <pic:cNvPicPr>
                      <a:picLocks noChangeAspect="1"/>
                    </pic:cNvPicPr>
                  </pic:nvPicPr>
                  <pic:blipFill>
                    <a:blip r:embed="rId17"/>
                    <a:stretch>
                      <a:fillRect/>
                    </a:stretch>
                  </pic:blipFill>
                  <pic:spPr>
                    <a:xfrm>
                      <a:off x="0" y="0"/>
                      <a:ext cx="4830445" cy="3745230"/>
                    </a:xfrm>
                    <a:prstGeom prst="rect">
                      <a:avLst/>
                    </a:prstGeom>
                    <a:noFill/>
                    <a:ln>
                      <a:noFill/>
                    </a:ln>
                  </pic:spPr>
                </pic:pic>
              </a:graphicData>
            </a:graphic>
          </wp:inline>
        </w:drawing>
      </w:r>
    </w:p>
    <w:p w14:paraId="78223A3B">
      <w:pPr>
        <w:pStyle w:val="6"/>
        <w:rPr>
          <w:rFonts w:hint="eastAsia" w:eastAsia="宋体"/>
        </w:rPr>
      </w:pPr>
      <w:r>
        <w:rPr>
          <w:rFonts w:hint="eastAsia"/>
        </w:rPr>
        <w:t>5.</w:t>
      </w:r>
      <w:r>
        <w:rPr>
          <w:rFonts w:hint="eastAsia"/>
          <w:lang w:val="en-US" w:eastAsia="zh-CN"/>
        </w:rPr>
        <w:t>2</w:t>
      </w:r>
      <w:r>
        <w:rPr>
          <w:rFonts w:hint="eastAsia"/>
        </w:rPr>
        <w:t>.</w:t>
      </w:r>
      <w:r>
        <w:rPr>
          <w:rFonts w:hint="eastAsia"/>
          <w:lang w:val="en-US" w:eastAsia="zh-CN"/>
        </w:rPr>
        <w:t>3</w:t>
      </w:r>
      <w:r>
        <w:rPr>
          <w:rFonts w:hint="eastAsia" w:eastAsia="宋体"/>
          <w:lang w:val="en-US" w:eastAsia="zh-CN"/>
        </w:rPr>
        <w:t>高度曲线</w:t>
      </w:r>
      <w:r>
        <w:rPr>
          <w:rFonts w:hint="eastAsia" w:eastAsia="宋体"/>
        </w:rPr>
        <w:t>表</w:t>
      </w:r>
    </w:p>
    <w:p w14:paraId="22EC46CE">
      <w:pPr>
        <w:jc w:val="center"/>
      </w:pPr>
      <w:r>
        <w:drawing>
          <wp:inline distT="0" distB="0" distL="114300" distR="114300">
            <wp:extent cx="3529965" cy="4234815"/>
            <wp:effectExtent l="0" t="0" r="13335" b="13335"/>
            <wp:docPr id="10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5"/>
                    <pic:cNvPicPr>
                      <a:picLocks noChangeAspect="1"/>
                    </pic:cNvPicPr>
                  </pic:nvPicPr>
                  <pic:blipFill>
                    <a:blip r:embed="rId18"/>
                    <a:stretch>
                      <a:fillRect/>
                    </a:stretch>
                  </pic:blipFill>
                  <pic:spPr>
                    <a:xfrm>
                      <a:off x="0" y="0"/>
                      <a:ext cx="3529965" cy="4234815"/>
                    </a:xfrm>
                    <a:prstGeom prst="rect">
                      <a:avLst/>
                    </a:prstGeom>
                    <a:noFill/>
                    <a:ln>
                      <a:noFill/>
                    </a:ln>
                  </pic:spPr>
                </pic:pic>
              </a:graphicData>
            </a:graphic>
          </wp:inline>
        </w:drawing>
      </w:r>
    </w:p>
    <w:p w14:paraId="3B887265">
      <w:pPr>
        <w:pStyle w:val="5"/>
        <w:numPr>
          <w:ilvl w:val="0"/>
          <w:numId w:val="6"/>
        </w:numPr>
        <w:rPr>
          <w:highlight w:val="none"/>
        </w:rPr>
      </w:pPr>
      <w:bookmarkStart w:id="27" w:name="_Toc5246"/>
      <w:r>
        <w:rPr>
          <w:rFonts w:hint="eastAsia" w:cs="Times New Roman"/>
          <w:highlight w:val="none"/>
        </w:rPr>
        <w:t>汽车吊</w:t>
      </w:r>
      <w:bookmarkStart w:id="28" w:name="_Toc10275"/>
      <w:r>
        <w:rPr>
          <w:rFonts w:hint="eastAsia" w:cs="Times New Roman"/>
          <w:highlight w:val="none"/>
        </w:rPr>
        <w:t>汽车吊进场行驶路线</w:t>
      </w:r>
      <w:bookmarkEnd w:id="27"/>
      <w:bookmarkEnd w:id="28"/>
    </w:p>
    <w:p w14:paraId="79865E37">
      <w:pPr>
        <w:pStyle w:val="6"/>
        <w:rPr>
          <w:rFonts w:hint="eastAsia"/>
          <w:lang w:val="en-US" w:eastAsia="zh-CN"/>
        </w:rPr>
      </w:pPr>
      <w:r>
        <w:rPr>
          <w:rFonts w:hint="eastAsia"/>
          <w:lang w:val="en-US" w:eastAsia="zh-CN"/>
        </w:rPr>
        <w:t>5.3.1汽车吊进场行驶路线</w:t>
      </w:r>
    </w:p>
    <w:p w14:paraId="02D0B697">
      <w:pPr>
        <w:pStyle w:val="37"/>
        <w:ind w:left="0" w:leftChars="0" w:firstLine="480" w:firstLineChars="200"/>
        <w:jc w:val="both"/>
        <w:rPr>
          <w:rFonts w:hint="default" w:ascii="Times New Roman" w:hAnsi="Times New Roman" w:eastAsiaTheme="minorEastAsia" w:cstheme="minorBidi"/>
          <w:kern w:val="2"/>
          <w:sz w:val="24"/>
          <w:szCs w:val="22"/>
          <w:lang w:val="en-US" w:eastAsia="zh-CN" w:bidi="ar-SA"/>
        </w:rPr>
      </w:pPr>
      <w:r>
        <w:rPr>
          <w:rFonts w:hint="eastAsia" w:ascii="Times New Roman" w:hAnsi="Times New Roman" w:eastAsiaTheme="minorEastAsia" w:cstheme="minorBidi"/>
          <w:kern w:val="2"/>
          <w:sz w:val="24"/>
          <w:szCs w:val="22"/>
          <w:lang w:val="en-US" w:eastAsia="zh-CN" w:bidi="ar-SA"/>
        </w:rPr>
        <w:t>汽车吊经</w:t>
      </w:r>
      <w:r>
        <w:rPr>
          <w:rFonts w:hint="eastAsia" w:ascii="Times New Roman" w:hAnsi="Times New Roman" w:cstheme="minorBidi"/>
          <w:kern w:val="2"/>
          <w:sz w:val="24"/>
          <w:szCs w:val="22"/>
          <w:lang w:val="en-US" w:eastAsia="zh-CN" w:bidi="ar-SA"/>
        </w:rPr>
        <w:t>以下路线</w:t>
      </w:r>
      <w:r>
        <w:rPr>
          <w:rFonts w:hint="eastAsia" w:ascii="Times New Roman" w:hAnsi="Times New Roman" w:eastAsiaTheme="minorEastAsia" w:cstheme="minorBidi"/>
          <w:kern w:val="2"/>
          <w:sz w:val="24"/>
          <w:szCs w:val="22"/>
          <w:lang w:val="en-US" w:eastAsia="zh-CN" w:bidi="ar-SA"/>
        </w:rPr>
        <w:t>进入作业位置</w:t>
      </w:r>
    </w:p>
    <w:p w14:paraId="348255B6">
      <w:pPr>
        <w:bidi w:val="0"/>
        <w:jc w:val="center"/>
        <w:rPr>
          <w:rFonts w:hint="default"/>
          <w:lang w:val="en-US" w:eastAsia="zh-CN"/>
        </w:rPr>
      </w:pPr>
      <w:r>
        <w:rPr>
          <w:rFonts w:hint="default"/>
          <w:lang w:val="en-US" w:eastAsia="zh-CN"/>
        </w:rPr>
        <w:drawing>
          <wp:inline distT="0" distB="0" distL="114300" distR="114300">
            <wp:extent cx="4946650" cy="2570480"/>
            <wp:effectExtent l="0" t="0" r="6350" b="1270"/>
            <wp:docPr id="38" name="图片 38" descr="174548553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45485532369"/>
                    <pic:cNvPicPr>
                      <a:picLocks noChangeAspect="1"/>
                    </pic:cNvPicPr>
                  </pic:nvPicPr>
                  <pic:blipFill>
                    <a:blip r:embed="rId19"/>
                    <a:stretch>
                      <a:fillRect/>
                    </a:stretch>
                  </pic:blipFill>
                  <pic:spPr>
                    <a:xfrm>
                      <a:off x="0" y="0"/>
                      <a:ext cx="4946650" cy="2570480"/>
                    </a:xfrm>
                    <a:prstGeom prst="rect">
                      <a:avLst/>
                    </a:prstGeom>
                  </pic:spPr>
                </pic:pic>
              </a:graphicData>
            </a:graphic>
          </wp:inline>
        </w:drawing>
      </w:r>
    </w:p>
    <w:p w14:paraId="489B3E42">
      <w:pPr>
        <w:pStyle w:val="6"/>
      </w:pPr>
      <w:r>
        <w:rPr>
          <w:rFonts w:hint="eastAsia"/>
          <w:lang w:val="en-US" w:eastAsia="zh-CN"/>
        </w:rPr>
        <w:t>5.3.2汽车吊布置图</w:t>
      </w:r>
      <w:bookmarkStart w:id="29" w:name="_Toc3890"/>
      <w:bookmarkStart w:id="30" w:name="_Toc20725"/>
    </w:p>
    <w:p w14:paraId="50B2637B">
      <w:pPr>
        <w:bidi w:val="0"/>
        <w:jc w:val="center"/>
      </w:pPr>
      <w:r>
        <w:drawing>
          <wp:inline distT="0" distB="0" distL="114300" distR="114300">
            <wp:extent cx="5266055" cy="2761615"/>
            <wp:effectExtent l="0" t="0" r="1079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66055" cy="2761615"/>
                    </a:xfrm>
                    <a:prstGeom prst="rect">
                      <a:avLst/>
                    </a:prstGeom>
                    <a:noFill/>
                    <a:ln>
                      <a:noFill/>
                    </a:ln>
                  </pic:spPr>
                </pic:pic>
              </a:graphicData>
            </a:graphic>
          </wp:inline>
        </w:drawing>
      </w:r>
    </w:p>
    <w:p w14:paraId="65FC5BC3">
      <w:pPr>
        <w:pStyle w:val="6"/>
        <w:rPr>
          <w:rFonts w:hint="eastAsia"/>
          <w:lang w:val="zh-CN" w:eastAsia="zh-CN"/>
        </w:rPr>
      </w:pPr>
      <w:r>
        <w:rPr>
          <w:rFonts w:hint="eastAsia"/>
          <w:lang w:val="en-US" w:eastAsia="zh-CN"/>
        </w:rPr>
        <w:t>5.3.3</w:t>
      </w:r>
      <w:r>
        <w:rPr>
          <w:rFonts w:hint="eastAsia"/>
          <w:lang w:val="zh-CN" w:eastAsia="zh-CN"/>
        </w:rPr>
        <w:t>汽车吊地基承载力计算书</w:t>
      </w:r>
      <w:bookmarkEnd w:id="29"/>
      <w:bookmarkEnd w:id="30"/>
    </w:p>
    <w:p w14:paraId="75F29A04">
      <w:pPr>
        <w:spacing w:line="360" w:lineRule="auto"/>
      </w:pPr>
      <w:r>
        <w:rPr>
          <w:rFonts w:ascii="Times New Roman" w:hAnsi="Times New Roman"/>
          <w:color w:val="000000"/>
          <w:sz w:val="24"/>
        </w:rPr>
        <w:t xml:space="preserve">    计算依据：</w:t>
      </w:r>
    </w:p>
    <w:p w14:paraId="3D19C383">
      <w:pPr>
        <w:spacing w:line="360" w:lineRule="auto"/>
      </w:pPr>
      <w:r>
        <w:rPr>
          <w:rFonts w:ascii="Times New Roman" w:hAnsi="Times New Roman"/>
          <w:color w:val="000000"/>
          <w:sz w:val="24"/>
        </w:rPr>
        <w:t xml:space="preserve">    1、《建筑结构荷载规范》GB 50009-2012</w:t>
      </w:r>
    </w:p>
    <w:p w14:paraId="0F15862E">
      <w:pPr>
        <w:spacing w:line="360" w:lineRule="auto"/>
      </w:pPr>
      <w:r>
        <w:rPr>
          <w:rFonts w:ascii="Times New Roman" w:hAnsi="Times New Roman"/>
          <w:color w:val="000000"/>
          <w:sz w:val="24"/>
        </w:rPr>
        <w:t xml:space="preserve">    2、《建筑结构可靠性设计统一标准》GB50068-2018</w:t>
      </w:r>
    </w:p>
    <w:p w14:paraId="0C2DB430">
      <w:pPr>
        <w:spacing w:line="360" w:lineRule="auto"/>
      </w:pPr>
      <w:r>
        <w:rPr>
          <w:rFonts w:ascii="Times New Roman" w:hAnsi="Times New Roman"/>
          <w:color w:val="000000"/>
          <w:sz w:val="24"/>
        </w:rPr>
        <w:t xml:space="preserve">    3、《建筑地基基础设计规范》GB50007-2011</w:t>
      </w:r>
    </w:p>
    <w:p w14:paraId="1AD983FF">
      <w:pPr>
        <w:spacing w:line="360" w:lineRule="auto"/>
      </w:pPr>
      <w:r>
        <w:rPr>
          <w:rFonts w:ascii="Times New Roman" w:hAnsi="Times New Roman"/>
          <w:color w:val="000000"/>
          <w:sz w:val="24"/>
        </w:rPr>
        <w:t xml:space="preserve">    4、三一厂家STC350C5-1型号汽车起重机说明书</w:t>
      </w:r>
    </w:p>
    <w:p w14:paraId="22A9520D">
      <w:pPr>
        <w:spacing w:line="360" w:lineRule="auto"/>
      </w:pPr>
      <w:r>
        <w:rPr>
          <w:rFonts w:ascii="Times New Roman" w:hAnsi="Times New Roman"/>
          <w:b/>
          <w:color w:val="000000"/>
          <w:sz w:val="28"/>
        </w:rPr>
        <w:t xml:space="preserve"> 一、吊装要求</w:t>
      </w:r>
    </w:p>
    <w:tbl>
      <w:tblPr>
        <w:tblStyle w:val="3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38A83915">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A2ABAD3">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C7A379E">
            <w:pPr>
              <w:spacing w:line="360" w:lineRule="auto"/>
            </w:pPr>
            <w:r>
              <w:rPr>
                <w:rFonts w:ascii="Times New Roman" w:hAnsi="Times New Roman"/>
                <w:color w:val="000000"/>
                <w:sz w:val="18"/>
              </w:rPr>
              <w:t>5.35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87D4B16">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5C733EA">
            <w:pPr>
              <w:spacing w:line="360" w:lineRule="auto"/>
            </w:pPr>
            <w:r>
              <w:rPr>
                <w:rFonts w:ascii="Times New Roman" w:hAnsi="Times New Roman"/>
                <w:color w:val="000000"/>
                <w:sz w:val="18"/>
              </w:rPr>
              <w:t>1.2</w:t>
            </w:r>
          </w:p>
        </w:tc>
      </w:tr>
    </w:tbl>
    <w:p w14:paraId="4427EA52">
      <w:pPr>
        <w:spacing w:line="360" w:lineRule="auto"/>
      </w:pPr>
      <w:r>
        <w:rPr>
          <w:rFonts w:ascii="Times New Roman" w:hAnsi="Times New Roman"/>
          <w:b/>
          <w:color w:val="000000"/>
          <w:sz w:val="28"/>
        </w:rPr>
        <w:t xml:space="preserve"> 二、汽车式起重机支腿力计算</w:t>
      </w:r>
    </w:p>
    <w:p w14:paraId="3E5CEA6B">
      <w:pPr>
        <w:spacing w:line="360" w:lineRule="auto"/>
      </w:pPr>
      <w:r>
        <w:rPr>
          <w:rFonts w:ascii="Times New Roman" w:hAnsi="Times New Roman"/>
          <w:b/>
          <w:color w:val="000000"/>
          <w:sz w:val="24"/>
        </w:rPr>
        <w:t xml:space="preserve">  1、汽车式起重机参数</w:t>
      </w:r>
    </w:p>
    <w:tbl>
      <w:tblPr>
        <w:tblStyle w:val="3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58B3025A">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FA4AB83">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651DDB03">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65A9B720">
            <w:pPr>
              <w:spacing w:line="360" w:lineRule="auto"/>
            </w:pPr>
            <w:r>
              <w:rPr>
                <w:rFonts w:ascii="Times New Roman" w:hAnsi="Times New Roman"/>
                <w:color w:val="000000"/>
                <w:sz w:val="18"/>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4DA3592">
            <w:pPr>
              <w:spacing w:line="360" w:lineRule="auto"/>
            </w:pPr>
            <w:r>
              <w:rPr>
                <w:rFonts w:ascii="Times New Roman" w:hAnsi="Times New Roman"/>
                <w:color w:val="000000"/>
                <w:sz w:val="18"/>
              </w:rPr>
              <w:t>STC350C5-1</w:t>
            </w:r>
          </w:p>
        </w:tc>
      </w:tr>
      <w:tr w14:paraId="7A70806E">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CFECDA1">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shd w:val="clear" w:color="auto" w:fill="FFFFFF"/>
          </w:tcPr>
          <w:p w14:paraId="51DC5CCB">
            <w:pPr>
              <w:spacing w:line="360" w:lineRule="auto"/>
            </w:pPr>
            <w:r>
              <w:rPr>
                <w:rFonts w:ascii="Times New Roman" w:hAnsi="Times New Roman"/>
                <w:color w:val="000000"/>
                <w:sz w:val="18"/>
              </w:rPr>
              <w:t>5.35</w:t>
            </w:r>
          </w:p>
        </w:tc>
        <w:tc>
          <w:tcPr>
            <w:tcW w:w="3105" w:type="dxa"/>
            <w:shd w:val="clear" w:color="auto" w:fill="FFFFFF"/>
          </w:tcPr>
          <w:p w14:paraId="67E58233">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46E3354">
            <w:pPr>
              <w:spacing w:line="360" w:lineRule="auto"/>
            </w:pPr>
            <w:r>
              <w:rPr>
                <w:rFonts w:ascii="Times New Roman" w:hAnsi="Times New Roman"/>
                <w:color w:val="000000"/>
                <w:sz w:val="18"/>
              </w:rPr>
              <w:t>1.2</w:t>
            </w:r>
          </w:p>
        </w:tc>
      </w:tr>
      <w:tr w14:paraId="3B570F6D">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A7C05DE">
            <w:pPr>
              <w:spacing w:line="360" w:lineRule="auto"/>
            </w:pPr>
            <w:r>
              <w:rPr>
                <w:rFonts w:ascii="Times New Roman" w:hAnsi="Times New Roman"/>
                <w:color w:val="000000"/>
                <w:sz w:val="18"/>
              </w:rPr>
              <w:t>工作幅度R(m)</w:t>
            </w:r>
          </w:p>
        </w:tc>
        <w:tc>
          <w:tcPr>
            <w:tcW w:w="1605" w:type="dxa"/>
            <w:shd w:val="clear" w:color="auto" w:fill="FFFFFF"/>
          </w:tcPr>
          <w:p w14:paraId="13E327CD">
            <w:pPr>
              <w:spacing w:line="360" w:lineRule="auto"/>
            </w:pPr>
            <w:r>
              <w:rPr>
                <w:rFonts w:ascii="Times New Roman" w:hAnsi="Times New Roman"/>
                <w:color w:val="000000"/>
                <w:sz w:val="18"/>
              </w:rPr>
              <w:t>14</w:t>
            </w:r>
          </w:p>
        </w:tc>
        <w:tc>
          <w:tcPr>
            <w:tcW w:w="3105" w:type="dxa"/>
            <w:shd w:val="clear" w:color="auto" w:fill="FFFFFF"/>
          </w:tcPr>
          <w:p w14:paraId="744D00D8">
            <w:pPr>
              <w:spacing w:line="360" w:lineRule="auto"/>
            </w:pPr>
            <w:r>
              <w:rPr>
                <w:rFonts w:ascii="Times New Roman" w:hAnsi="Times New Roman"/>
                <w:color w:val="000000"/>
                <w:sz w:val="18"/>
              </w:rPr>
              <w:t>支腿纵向距离L(m)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4D8894A">
            <w:pPr>
              <w:spacing w:line="360" w:lineRule="auto"/>
            </w:pPr>
            <w:r>
              <w:rPr>
                <w:rFonts w:ascii="Times New Roman" w:hAnsi="Times New Roman"/>
                <w:color w:val="000000"/>
                <w:sz w:val="18"/>
              </w:rPr>
              <w:t>6.05</w:t>
            </w:r>
          </w:p>
        </w:tc>
      </w:tr>
      <w:tr w14:paraId="0AE626A3">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6F5B843">
            <w:pPr>
              <w:spacing w:line="360" w:lineRule="auto"/>
            </w:pPr>
            <w:r>
              <w:rPr>
                <w:rFonts w:ascii="Times New Roman" w:hAnsi="Times New Roman"/>
                <w:color w:val="000000"/>
                <w:sz w:val="18"/>
              </w:rPr>
              <w:t>支腿横向距离B(m)</w:t>
            </w:r>
          </w:p>
        </w:tc>
        <w:tc>
          <w:tcPr>
            <w:tcW w:w="1605" w:type="dxa"/>
            <w:shd w:val="clear" w:color="auto" w:fill="FFFFFF"/>
          </w:tcPr>
          <w:p w14:paraId="04C07F13">
            <w:pPr>
              <w:spacing w:line="360" w:lineRule="auto"/>
            </w:pPr>
            <w:r>
              <w:rPr>
                <w:rFonts w:ascii="Times New Roman" w:hAnsi="Times New Roman"/>
                <w:color w:val="000000"/>
                <w:sz w:val="18"/>
              </w:rPr>
              <w:t>7.46</w:t>
            </w:r>
          </w:p>
        </w:tc>
        <w:tc>
          <w:tcPr>
            <w:tcW w:w="3105" w:type="dxa"/>
            <w:shd w:val="clear" w:color="auto" w:fill="FFFFFF"/>
          </w:tcPr>
          <w:p w14:paraId="7502B33C">
            <w:pPr>
              <w:spacing w:line="360" w:lineRule="auto"/>
            </w:pPr>
            <w:r>
              <w:rPr>
                <w:rFonts w:ascii="Times New Roman" w:hAnsi="Times New Roman"/>
                <w:color w:val="000000"/>
                <w:sz w:val="18"/>
              </w:rPr>
              <w:t>后支腿距最后一排车轮距离s(m)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664E28C9">
            <w:pPr>
              <w:spacing w:line="360" w:lineRule="auto"/>
            </w:pPr>
            <w:r>
              <w:rPr>
                <w:rFonts w:ascii="Times New Roman" w:hAnsi="Times New Roman"/>
                <w:color w:val="000000"/>
                <w:sz w:val="18"/>
              </w:rPr>
              <w:t>1.5</w:t>
            </w:r>
          </w:p>
        </w:tc>
      </w:tr>
      <w:tr w14:paraId="543476EA">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78E0C96">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shd w:val="clear" w:color="auto" w:fill="FFFFFF"/>
          </w:tcPr>
          <w:p w14:paraId="38C774D0">
            <w:pPr>
              <w:spacing w:line="360" w:lineRule="auto"/>
            </w:pPr>
            <w:r>
              <w:rPr>
                <w:rFonts w:ascii="Times New Roman" w:hAnsi="Times New Roman"/>
                <w:color w:val="000000"/>
                <w:sz w:val="18"/>
              </w:rPr>
              <w:t>2.175</w:t>
            </w:r>
          </w:p>
        </w:tc>
        <w:tc>
          <w:tcPr>
            <w:tcW w:w="3105" w:type="dxa"/>
            <w:shd w:val="clear" w:color="auto" w:fill="FFFFFF"/>
          </w:tcPr>
          <w:p w14:paraId="02E6D96F">
            <w:pPr>
              <w:spacing w:line="360" w:lineRule="auto"/>
            </w:pPr>
            <w:r>
              <w:rPr>
                <w:rFonts w:ascii="Times New Roman" w:hAnsi="Times New Roman"/>
                <w:color w:val="000000"/>
                <w:sz w:val="18"/>
              </w:rPr>
              <w:t>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D8A913D">
            <w:pPr>
              <w:spacing w:line="360" w:lineRule="auto"/>
            </w:pPr>
            <w:r>
              <w:rPr>
                <w:rFonts w:ascii="Times New Roman" w:hAnsi="Times New Roman"/>
                <w:color w:val="000000"/>
                <w:sz w:val="18"/>
              </w:rPr>
              <w:t>39</w:t>
            </w:r>
          </w:p>
        </w:tc>
      </w:tr>
      <w:tr w14:paraId="72423F63">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F8DD5E1">
            <w:pPr>
              <w:spacing w:line="360" w:lineRule="auto"/>
            </w:pPr>
            <w:r>
              <w:rPr>
                <w:rFonts w:ascii="Times New Roman" w:hAnsi="Times New Roman"/>
                <w:color w:val="000000"/>
                <w:sz w:val="18"/>
              </w:rPr>
              <w:t>是否有活动配重</w:t>
            </w:r>
          </w:p>
        </w:tc>
        <w:tc>
          <w:tcPr>
            <w:tcW w:w="1605" w:type="dxa"/>
            <w:shd w:val="clear" w:color="auto" w:fill="FFFFFF"/>
          </w:tcPr>
          <w:p w14:paraId="28BFFE4A">
            <w:pPr>
              <w:spacing w:line="360" w:lineRule="auto"/>
            </w:pPr>
            <w:r>
              <w:rPr>
                <w:rFonts w:ascii="Times New Roman" w:hAnsi="Times New Roman"/>
                <w:color w:val="000000"/>
                <w:sz w:val="18"/>
              </w:rPr>
              <w:t>是</w:t>
            </w:r>
          </w:p>
        </w:tc>
        <w:tc>
          <w:tcPr>
            <w:tcW w:w="3105" w:type="dxa"/>
            <w:shd w:val="clear" w:color="auto" w:fill="FFFFFF"/>
          </w:tcPr>
          <w:p w14:paraId="36EEA4A4">
            <w:pPr>
              <w:spacing w:line="360" w:lineRule="auto"/>
            </w:pPr>
            <w:r>
              <w:rPr>
                <w:rFonts w:ascii="Times New Roman" w:hAnsi="Times New Roman"/>
                <w:color w:val="000000"/>
                <w:sz w:val="18"/>
              </w:rPr>
              <w:t>活动配重G</w:t>
            </w:r>
            <w:r>
              <w:rPr>
                <w:rFonts w:ascii="Times New Roman" w:hAnsi="Times New Roman"/>
                <w:color w:val="000000"/>
                <w:sz w:val="24"/>
                <w:vertAlign w:val="subscript"/>
              </w:rPr>
              <w:t>活</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3532BBA">
            <w:pPr>
              <w:spacing w:line="360" w:lineRule="auto"/>
            </w:pPr>
            <w:r>
              <w:rPr>
                <w:rFonts w:ascii="Times New Roman" w:hAnsi="Times New Roman"/>
                <w:color w:val="000000"/>
                <w:sz w:val="18"/>
              </w:rPr>
              <w:t>8.5</w:t>
            </w:r>
          </w:p>
        </w:tc>
      </w:tr>
      <w:tr w14:paraId="19D6AED5">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D76A5DC">
            <w:pPr>
              <w:spacing w:line="360" w:lineRule="auto"/>
            </w:pPr>
            <w:r>
              <w:rPr>
                <w:rFonts w:ascii="Times New Roman" w:hAnsi="Times New Roman"/>
                <w:color w:val="000000"/>
                <w:sz w:val="18"/>
              </w:rPr>
              <w:t>活动配重距旋转中心距离L</w:t>
            </w:r>
            <w:r>
              <w:rPr>
                <w:rFonts w:ascii="Times New Roman" w:hAnsi="Times New Roman"/>
                <w:color w:val="000000"/>
                <w:sz w:val="24"/>
                <w:vertAlign w:val="subscript"/>
              </w:rPr>
              <w:t>d</w:t>
            </w:r>
            <w:r>
              <w:rPr>
                <w:rFonts w:ascii="Times New Roman" w:hAnsi="Times New Roman"/>
                <w:color w:val="000000"/>
                <w:sz w:val="18"/>
              </w:rPr>
              <w:t>(m)</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3DCB4935">
            <w:pPr>
              <w:spacing w:line="360" w:lineRule="auto"/>
            </w:pPr>
            <w:r>
              <w:rPr>
                <w:rFonts w:ascii="Times New Roman" w:hAnsi="Times New Roman"/>
                <w:color w:val="000000"/>
                <w:sz w:val="18"/>
              </w:rPr>
              <w:t>2.175</w:t>
            </w:r>
          </w:p>
        </w:tc>
      </w:tr>
    </w:tbl>
    <w:p w14:paraId="16E13EB9">
      <w:pPr>
        <w:spacing w:line="360" w:lineRule="auto"/>
      </w:pPr>
      <w:r>
        <w:rPr>
          <w:rFonts w:ascii="Times New Roman" w:hAnsi="Times New Roman"/>
          <w:b/>
          <w:color w:val="000000"/>
          <w:sz w:val="24"/>
        </w:rPr>
        <w:t xml:space="preserve">  2、汽车起重机轴距及轴荷</w:t>
      </w:r>
    </w:p>
    <w:tbl>
      <w:tblPr>
        <w:tblStyle w:val="3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1F54A6DE">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2BB1B84">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A8ECC8A">
            <w:pPr>
              <w:spacing w:line="360" w:lineRule="auto"/>
            </w:pPr>
            <w:r>
              <w:rPr>
                <w:rFonts w:ascii="Times New Roman" w:hAnsi="Times New Roman"/>
                <w:color w:val="000000"/>
                <w:sz w:val="18"/>
              </w:rPr>
              <w:t>4</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51843891">
            <w:pPr>
              <w:spacing w:line="360" w:lineRule="auto"/>
            </w:pPr>
            <w:r>
              <w:rPr>
                <w:rFonts w:ascii="Times New Roman" w:hAnsi="Times New Roman"/>
                <w:color w:val="000000"/>
                <w:sz w:val="18"/>
              </w:rPr>
              <w:t>第1排车轮荷载(吨)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A19D9E7">
            <w:pPr>
              <w:spacing w:line="360" w:lineRule="auto"/>
            </w:pPr>
            <w:r>
              <w:rPr>
                <w:rFonts w:ascii="Times New Roman" w:hAnsi="Times New Roman"/>
                <w:color w:val="000000"/>
                <w:sz w:val="18"/>
              </w:rPr>
              <w:t>6.5</w:t>
            </w:r>
          </w:p>
        </w:tc>
      </w:tr>
    </w:tbl>
    <w:p w14:paraId="37E39DDE">
      <w:pPr>
        <w:spacing w:line="360" w:lineRule="auto"/>
      </w:pPr>
      <w:r>
        <w:rPr>
          <w:rFonts w:ascii="Times New Roman" w:hAnsi="Times New Roman"/>
          <w:color w:val="000000"/>
          <w:sz w:val="24"/>
        </w:rPr>
        <w:t xml:space="preserve">    </w:t>
      </w:r>
    </w:p>
    <w:tbl>
      <w:tblPr>
        <w:tblStyle w:val="30"/>
        <w:tblW w:w="7080" w:type="dxa"/>
        <w:jc w:val="center"/>
        <w:shd w:val="clear" w:color="auto" w:fill="FFFFFF"/>
        <w:tblLayout w:type="autofit"/>
        <w:tblCellMar>
          <w:top w:w="45" w:type="dxa"/>
          <w:left w:w="45" w:type="dxa"/>
          <w:bottom w:w="45" w:type="dxa"/>
          <w:right w:w="45" w:type="dxa"/>
        </w:tblCellMar>
      </w:tblPr>
      <w:tblGrid>
        <w:gridCol w:w="2360"/>
        <w:gridCol w:w="2360"/>
        <w:gridCol w:w="2360"/>
      </w:tblGrid>
      <w:tr w14:paraId="3E3F8E3C">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2B7C507">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E13D204">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9E29945">
            <w:pPr>
              <w:spacing w:line="360" w:lineRule="auto"/>
            </w:pPr>
            <w:r>
              <w:rPr>
                <w:rFonts w:ascii="Times New Roman" w:hAnsi="Times New Roman"/>
                <w:color w:val="000000"/>
                <w:sz w:val="18"/>
              </w:rPr>
              <w:t>轴荷(吨)</w:t>
            </w:r>
          </w:p>
        </w:tc>
      </w:tr>
      <w:tr w14:paraId="473460A9">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E5A0602">
            <w:pPr>
              <w:spacing w:line="360" w:lineRule="auto"/>
            </w:pPr>
            <w:r>
              <w:rPr>
                <w:rFonts w:ascii="Times New Roman" w:hAnsi="Times New Roman"/>
                <w:color w:val="000000"/>
                <w:sz w:val="18"/>
              </w:rPr>
              <w:t>2</w:t>
            </w:r>
          </w:p>
        </w:tc>
        <w:tc>
          <w:tcPr>
            <w:tcW w:w="2355" w:type="dxa"/>
            <w:shd w:val="clear" w:color="auto" w:fill="FFFFFF"/>
            <w:vAlign w:val="center"/>
          </w:tcPr>
          <w:p w14:paraId="63D7C592">
            <w:pPr>
              <w:spacing w:line="360" w:lineRule="auto"/>
            </w:pPr>
            <w:r>
              <w:rPr>
                <w:rFonts w:ascii="Times New Roman" w:hAnsi="Times New Roman"/>
                <w:color w:val="000000"/>
                <w:sz w:val="18"/>
              </w:rPr>
              <w:t>1450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4BDA1C7">
            <w:pPr>
              <w:spacing w:line="360" w:lineRule="auto"/>
            </w:pPr>
            <w:r>
              <w:rPr>
                <w:rFonts w:ascii="Times New Roman" w:hAnsi="Times New Roman"/>
                <w:color w:val="000000"/>
                <w:sz w:val="18"/>
              </w:rPr>
              <w:t>6.5</w:t>
            </w:r>
          </w:p>
        </w:tc>
      </w:tr>
      <w:tr w14:paraId="0146F533">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1457C28">
            <w:pPr>
              <w:spacing w:line="360" w:lineRule="auto"/>
            </w:pPr>
            <w:r>
              <w:rPr>
                <w:rFonts w:ascii="Times New Roman" w:hAnsi="Times New Roman"/>
                <w:color w:val="000000"/>
                <w:sz w:val="18"/>
              </w:rPr>
              <w:t>3</w:t>
            </w:r>
          </w:p>
        </w:tc>
        <w:tc>
          <w:tcPr>
            <w:tcW w:w="2355" w:type="dxa"/>
            <w:shd w:val="clear" w:color="auto" w:fill="FFFFFF"/>
            <w:vAlign w:val="center"/>
          </w:tcPr>
          <w:p w14:paraId="0EC7350B">
            <w:pPr>
              <w:spacing w:line="360" w:lineRule="auto"/>
            </w:pPr>
            <w:r>
              <w:rPr>
                <w:rFonts w:ascii="Times New Roman" w:hAnsi="Times New Roman"/>
                <w:color w:val="000000"/>
                <w:sz w:val="18"/>
              </w:rPr>
              <w:t>4075</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96C1FBF">
            <w:pPr>
              <w:spacing w:line="360" w:lineRule="auto"/>
            </w:pPr>
            <w:r>
              <w:rPr>
                <w:rFonts w:ascii="Times New Roman" w:hAnsi="Times New Roman"/>
                <w:color w:val="000000"/>
                <w:sz w:val="18"/>
              </w:rPr>
              <w:t>13</w:t>
            </w:r>
          </w:p>
        </w:tc>
      </w:tr>
      <w:tr w14:paraId="2F6C51B0">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F9CD717">
            <w:pPr>
              <w:spacing w:line="360" w:lineRule="auto"/>
            </w:pPr>
            <w:r>
              <w:rPr>
                <w:rFonts w:ascii="Times New Roman" w:hAnsi="Times New Roman"/>
                <w:color w:val="000000"/>
                <w:sz w:val="18"/>
              </w:rPr>
              <w:t>4</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902D850">
            <w:pPr>
              <w:spacing w:line="360" w:lineRule="auto"/>
            </w:pPr>
            <w:r>
              <w:rPr>
                <w:rFonts w:ascii="Times New Roman" w:hAnsi="Times New Roman"/>
                <w:color w:val="000000"/>
                <w:sz w:val="18"/>
              </w:rPr>
              <w:t>1350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111E0C5">
            <w:pPr>
              <w:spacing w:line="360" w:lineRule="auto"/>
            </w:pPr>
            <w:r>
              <w:rPr>
                <w:rFonts w:ascii="Times New Roman" w:hAnsi="Times New Roman"/>
                <w:color w:val="000000"/>
                <w:sz w:val="18"/>
              </w:rPr>
              <w:t>13</w:t>
            </w:r>
          </w:p>
        </w:tc>
      </w:tr>
    </w:tbl>
    <w:p w14:paraId="3BE4B379">
      <w:pPr>
        <w:spacing w:line="360" w:lineRule="auto"/>
        <w:jc w:val="center"/>
      </w:pPr>
      <w:r>
        <w:drawing>
          <wp:inline distT="0" distB="0" distL="0" distR="0">
            <wp:extent cx="4965700" cy="2428875"/>
            <wp:effectExtent l="0" t="0" r="6350" b="9525"/>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
                    <pic:cNvPicPr>
                      <a:picLocks noChangeAspect="1"/>
                    </pic:cNvPicPr>
                  </pic:nvPicPr>
                  <pic:blipFill>
                    <a:blip r:embed="rId21" cstate="print"/>
                    <a:stretch>
                      <a:fillRect/>
                    </a:stretch>
                  </pic:blipFill>
                  <pic:spPr>
                    <a:xfrm>
                      <a:off x="0" y="0"/>
                      <a:ext cx="4965700" cy="2428875"/>
                    </a:xfrm>
                    <a:prstGeom prst="rect">
                      <a:avLst/>
                    </a:prstGeom>
                  </pic:spPr>
                </pic:pic>
              </a:graphicData>
            </a:graphic>
          </wp:inline>
        </w:drawing>
      </w:r>
    </w:p>
    <w:p w14:paraId="36916FE3">
      <w:pPr>
        <w:spacing w:line="360" w:lineRule="auto"/>
        <w:jc w:val="center"/>
      </w:pPr>
      <w:r>
        <w:fldChar w:fldCharType="begin"/>
      </w:r>
      <w:r>
        <w:instrText xml:space="preserve"> HYPERLINK "file:///D:\\品茗软件\\品茗施工云安全计算软件2025版（V4.0）\\OutPut\\液压汽车起重机吊装计算_2_支腿力计算简图.dwg" \h </w:instrText>
      </w:r>
      <w:r>
        <w:fldChar w:fldCharType="separate"/>
      </w:r>
      <w:r>
        <w:rPr>
          <w:rFonts w:ascii="Times New Roman" w:hAnsi="Times New Roman"/>
          <w:color w:val="000080"/>
          <w:sz w:val="24"/>
          <w:u w:val="single"/>
        </w:rPr>
        <w:t>支腿力计算简图</w:t>
      </w:r>
      <w:r>
        <w:rPr>
          <w:rFonts w:ascii="Times New Roman" w:hAnsi="Times New Roman"/>
          <w:color w:val="000080"/>
          <w:sz w:val="24"/>
          <w:u w:val="single"/>
        </w:rPr>
        <w:fldChar w:fldCharType="end"/>
      </w:r>
    </w:p>
    <w:p w14:paraId="0D0E819C">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；吊重及活动配重分解到X方向对各支腿产生的荷载F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 吊重及活动配重分解到Y方向对各支腿产生的荷载F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2EC61652">
      <w:pPr>
        <w:spacing w:line="360" w:lineRule="auto"/>
        <w:jc w:val="center"/>
      </w:pPr>
      <w:r>
        <w:drawing>
          <wp:inline distT="0" distB="0" distL="0" distR="0">
            <wp:extent cx="4799330" cy="2895600"/>
            <wp:effectExtent l="0" t="0" r="127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2" cstate="print"/>
                    <a:stretch>
                      <a:fillRect/>
                    </a:stretch>
                  </pic:blipFill>
                  <pic:spPr>
                    <a:xfrm>
                      <a:off x="0" y="0"/>
                      <a:ext cx="4799330" cy="2895600"/>
                    </a:xfrm>
                    <a:prstGeom prst="rect">
                      <a:avLst/>
                    </a:prstGeom>
                  </pic:spPr>
                </pic:pic>
              </a:graphicData>
            </a:graphic>
          </wp:inline>
        </w:drawing>
      </w:r>
    </w:p>
    <w:p w14:paraId="09EF017E">
      <w:pPr>
        <w:spacing w:line="360" w:lineRule="auto"/>
      </w:pPr>
      <w:r>
        <w:rPr>
          <w:rFonts w:ascii="Times New Roman" w:hAnsi="Times New Roman"/>
          <w:b/>
          <w:color w:val="000000"/>
          <w:sz w:val="24"/>
        </w:rPr>
        <w:t xml:space="preserve">   1）起重机自重各支腿产生的荷载计算</w:t>
      </w:r>
    </w:p>
    <w:p w14:paraId="2BFE9B04">
      <w:pPr>
        <w:spacing w:line="360" w:lineRule="auto"/>
      </w:pPr>
      <w:r>
        <w:rPr>
          <w:rFonts w:ascii="Times New Roman" w:hAnsi="Times New Roman"/>
          <w:color w:val="000000"/>
          <w:sz w:val="24"/>
        </w:rPr>
        <w:t xml:space="preserve">    起重机自重G等于各轴荷载总和，G=39吨</w:t>
      </w:r>
    </w:p>
    <w:p w14:paraId="7791161E">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=6.5吨，距离后支腿距离L</w:t>
      </w:r>
      <w:r>
        <w:rPr>
          <w:rFonts w:ascii="Times New Roman" w:hAnsi="Times New Roman"/>
          <w:color w:val="000000"/>
          <w:sz w:val="24"/>
          <w:vertAlign w:val="subscript"/>
        </w:rPr>
        <w:t>1</w:t>
      </w:r>
      <w:r>
        <w:rPr>
          <w:rFonts w:ascii="Times New Roman" w:hAnsi="Times New Roman"/>
          <w:color w:val="000000"/>
          <w:sz w:val="24"/>
        </w:rPr>
        <w:t>=1.45+4.075+1.35+1.5=8.375m</w:t>
      </w:r>
    </w:p>
    <w:p w14:paraId="6F18A487">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=6.5吨，距离后支腿距离L</w:t>
      </w:r>
      <w:r>
        <w:rPr>
          <w:rFonts w:ascii="Times New Roman" w:hAnsi="Times New Roman"/>
          <w:color w:val="000000"/>
          <w:sz w:val="24"/>
          <w:vertAlign w:val="subscript"/>
        </w:rPr>
        <w:t>2</w:t>
      </w:r>
      <w:r>
        <w:rPr>
          <w:rFonts w:ascii="Times New Roman" w:hAnsi="Times New Roman"/>
          <w:color w:val="000000"/>
          <w:sz w:val="24"/>
        </w:rPr>
        <w:t>=4.075+1.35+1.5=6.925m</w:t>
      </w:r>
    </w:p>
    <w:p w14:paraId="36248617">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=13吨，距离后支腿距离L</w:t>
      </w:r>
      <w:r>
        <w:rPr>
          <w:rFonts w:ascii="Times New Roman" w:hAnsi="Times New Roman"/>
          <w:color w:val="000000"/>
          <w:sz w:val="24"/>
          <w:vertAlign w:val="subscript"/>
        </w:rPr>
        <w:t>3</w:t>
      </w:r>
      <w:r>
        <w:rPr>
          <w:rFonts w:ascii="Times New Roman" w:hAnsi="Times New Roman"/>
          <w:color w:val="000000"/>
          <w:sz w:val="24"/>
        </w:rPr>
        <w:t>=1.35+1.5=2.85m</w:t>
      </w:r>
    </w:p>
    <w:p w14:paraId="7A741E1B">
      <w:pPr>
        <w:spacing w:line="360" w:lineRule="auto"/>
      </w:pPr>
      <w:r>
        <w:rPr>
          <w:rFonts w:ascii="Times New Roman" w:hAnsi="Times New Roman"/>
          <w:color w:val="000000"/>
          <w:sz w:val="24"/>
        </w:rPr>
        <w:t xml:space="preserve">    第4轴：荷载为F</w:t>
      </w:r>
      <w:r>
        <w:rPr>
          <w:rFonts w:ascii="Times New Roman" w:hAnsi="Times New Roman"/>
          <w:color w:val="000000"/>
          <w:sz w:val="24"/>
          <w:vertAlign w:val="subscript"/>
        </w:rPr>
        <w:t>4</w:t>
      </w:r>
      <w:r>
        <w:rPr>
          <w:rFonts w:ascii="Times New Roman" w:hAnsi="Times New Roman"/>
          <w:color w:val="000000"/>
          <w:sz w:val="24"/>
        </w:rPr>
        <w:t>=13吨，距离后支腿距离L</w:t>
      </w:r>
      <w:r>
        <w:rPr>
          <w:rFonts w:ascii="Times New Roman" w:hAnsi="Times New Roman"/>
          <w:color w:val="000000"/>
          <w:sz w:val="24"/>
          <w:vertAlign w:val="subscript"/>
        </w:rPr>
        <w:t>4</w:t>
      </w:r>
      <w:r>
        <w:rPr>
          <w:rFonts w:ascii="Times New Roman" w:hAnsi="Times New Roman"/>
          <w:color w:val="000000"/>
          <w:sz w:val="24"/>
        </w:rPr>
        <w:t>=1.5m</w:t>
      </w:r>
    </w:p>
    <w:p w14:paraId="587A92E1">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0C609D00">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4</w:t>
      </w:r>
      <w:r>
        <w:rPr>
          <w:rFonts w:ascii="Times New Roman" w:hAnsi="Times New Roman"/>
          <w:color w:val="000000"/>
          <w:sz w:val="24"/>
        </w:rPr>
        <w:t>×L</w:t>
      </w:r>
      <w:r>
        <w:rPr>
          <w:rFonts w:ascii="Times New Roman" w:hAnsi="Times New Roman"/>
          <w:color w:val="000000"/>
          <w:sz w:val="24"/>
          <w:vertAlign w:val="subscript"/>
        </w:rPr>
        <w:t>4</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1413E7E2">
      <w:pPr>
        <w:spacing w:line="360" w:lineRule="auto"/>
      </w:pPr>
      <w:r>
        <w:rPr>
          <w:rFonts w:ascii="Times New Roman" w:hAnsi="Times New Roman"/>
          <w:color w:val="000000"/>
          <w:sz w:val="24"/>
        </w:rPr>
        <w:t xml:space="preserve">    6.5×8.375+6.5×6.925+13×2.85+13×1.5-(F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)×6.05=0</w:t>
      </w:r>
    </w:p>
    <w:p w14:paraId="67B95F87">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021ACA5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=12.893吨</w:t>
      </w:r>
    </w:p>
    <w:p w14:paraId="16F5D0FE">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)]/2=[39-(12.893+12.893)]/2=6.607吨</w:t>
      </w:r>
    </w:p>
    <w:p w14:paraId="15C8C69F">
      <w:pPr>
        <w:spacing w:line="360" w:lineRule="auto"/>
      </w:pPr>
      <w:r>
        <w:rPr>
          <w:rFonts w:ascii="Times New Roman" w:hAnsi="Times New Roman"/>
          <w:color w:val="000000"/>
          <w:sz w:val="24"/>
        </w:rPr>
        <w:t xml:space="preserve">    将吊重及活动配重对支腿产生的影响分成吊重及活动配重移动至回转中心后竖向力对支腿产生荷载+吊重及活动配重幅度产生的弯矩对支腿力荷载</w:t>
      </w:r>
    </w:p>
    <w:p w14:paraId="28BE161D">
      <w:pPr>
        <w:spacing w:line="360" w:lineRule="auto"/>
      </w:pPr>
      <w:r>
        <w:rPr>
          <w:rFonts w:ascii="Times New Roman" w:hAnsi="Times New Roman"/>
          <w:b/>
          <w:color w:val="000000"/>
          <w:sz w:val="24"/>
        </w:rPr>
        <w:t xml:space="preserve">  3、吊重及活动配重移至回转中心后竖向力对支腿产生荷载计算</w:t>
      </w:r>
    </w:p>
    <w:p w14:paraId="72A7BCA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)×L=0</w:t>
      </w:r>
    </w:p>
    <w:p w14:paraId="6EFDC490">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/(2L)=(1.2×5.35+8.5)×2.175/(2×6.05)=2.682吨</w:t>
      </w:r>
    </w:p>
    <w:p w14:paraId="7583042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)/(2L)=(1.2×5.35+8.5)×(6.05-2.175)/(2×6.05)=4.778吨</w:t>
      </w:r>
    </w:p>
    <w:p w14:paraId="19FFE20E">
      <w:pPr>
        <w:spacing w:line="360" w:lineRule="auto"/>
      </w:pPr>
      <w:r>
        <w:rPr>
          <w:rFonts w:ascii="Times New Roman" w:hAnsi="Times New Roman"/>
          <w:b/>
          <w:color w:val="000000"/>
          <w:sz w:val="24"/>
        </w:rPr>
        <w:t xml:space="preserve">   1）吊重及活动配重考虑幅度后的弯矩对各支腿产生的荷载计算</w:t>
      </w:r>
    </w:p>
    <w:p w14:paraId="4369CFC6">
      <w:pPr>
        <w:spacing w:line="360" w:lineRule="auto"/>
      </w:pPr>
      <w:r>
        <w:rPr>
          <w:rFonts w:ascii="Times New Roman" w:hAnsi="Times New Roman"/>
          <w:b/>
          <w:color w:val="000000"/>
          <w:sz w:val="24"/>
        </w:rPr>
        <w:t xml:space="preserve">     ①求X方向吊重、X方向活动配重考虑幅度后的弯矩对各支腿荷载影响计算，各支腿荷载为F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1D87860E">
      <w:pPr>
        <w:spacing w:line="360" w:lineRule="auto"/>
        <w:jc w:val="center"/>
      </w:pPr>
      <w:r>
        <w:drawing>
          <wp:inline distT="0" distB="0" distL="0" distR="0">
            <wp:extent cx="4152900" cy="2638425"/>
            <wp:effectExtent l="0" t="0" r="0" b="9525"/>
            <wp:docPr id="208"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 3"/>
                    <pic:cNvPicPr>
                      <a:picLocks noChangeAspect="1"/>
                    </pic:cNvPicPr>
                  </pic:nvPicPr>
                  <pic:blipFill>
                    <a:blip r:embed="rId23" cstate="print"/>
                    <a:stretch>
                      <a:fillRect/>
                    </a:stretch>
                  </pic:blipFill>
                  <pic:spPr>
                    <a:xfrm>
                      <a:off x="0" y="0"/>
                      <a:ext cx="4152900" cy="2638425"/>
                    </a:xfrm>
                    <a:prstGeom prst="rect">
                      <a:avLst/>
                    </a:prstGeom>
                  </pic:spPr>
                </pic:pic>
              </a:graphicData>
            </a:graphic>
          </wp:inline>
        </w:drawing>
      </w:r>
    </w:p>
    <w:p w14:paraId="7913D8C7">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)×L=0</w:t>
      </w:r>
    </w:p>
    <w:p w14:paraId="562961F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)×cosβ/(2L)=(1.2×5.35×14-8.5×2.175)×cosβ/(2×6.05)=5.9cosβ</w:t>
      </w:r>
    </w:p>
    <w:p w14:paraId="2AE82F1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=-5.9cosβ</w:t>
      </w:r>
    </w:p>
    <w:p w14:paraId="7FC5CB83">
      <w:pPr>
        <w:spacing w:line="360" w:lineRule="auto"/>
      </w:pPr>
      <w:r>
        <w:rPr>
          <w:rFonts w:ascii="Times New Roman" w:hAnsi="Times New Roman"/>
          <w:b/>
          <w:color w:val="000000"/>
          <w:sz w:val="24"/>
        </w:rPr>
        <w:t xml:space="preserve">     ②求Y方向吊重、Y方向活动配重考虑幅度后的弯矩对各支腿荷载影响计算，各支腿荷载为F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=F</w:t>
      </w:r>
      <w:r>
        <w:rPr>
          <w:rFonts w:ascii="Times New Roman" w:hAnsi="Times New Roman"/>
          <w:color w:val="000000"/>
          <w:sz w:val="24"/>
          <w:vertAlign w:val="subscript"/>
        </w:rPr>
        <w:t>dy</w:t>
      </w:r>
    </w:p>
    <w:p w14:paraId="6D516DD9">
      <w:pPr>
        <w:spacing w:line="360" w:lineRule="auto"/>
        <w:jc w:val="center"/>
      </w:pPr>
      <w:r>
        <w:drawing>
          <wp:inline distT="0" distB="0" distL="0" distR="0">
            <wp:extent cx="4152900" cy="2638425"/>
            <wp:effectExtent l="0" t="0" r="0" b="9525"/>
            <wp:docPr id="209"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 4"/>
                    <pic:cNvPicPr>
                      <a:picLocks noChangeAspect="1"/>
                    </pic:cNvPicPr>
                  </pic:nvPicPr>
                  <pic:blipFill>
                    <a:blip r:embed="rId24" cstate="print"/>
                    <a:stretch>
                      <a:fillRect/>
                    </a:stretch>
                  </pic:blipFill>
                  <pic:spPr>
                    <a:xfrm>
                      <a:off x="0" y="0"/>
                      <a:ext cx="4152900" cy="2638425"/>
                    </a:xfrm>
                    <a:prstGeom prst="rect">
                      <a:avLst/>
                    </a:prstGeom>
                  </pic:spPr>
                </pic:pic>
              </a:graphicData>
            </a:graphic>
          </wp:inline>
        </w:drawing>
      </w:r>
    </w:p>
    <w:p w14:paraId="3E0D4CA9">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)×L=0</w:t>
      </w:r>
    </w:p>
    <w:p w14:paraId="4FDCECD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×R-G</w:t>
      </w:r>
      <w:r>
        <w:rPr>
          <w:rFonts w:ascii="Times New Roman" w:hAnsi="Times New Roman"/>
          <w:color w:val="000000"/>
          <w:sz w:val="24"/>
          <w:vertAlign w:val="subscript"/>
        </w:rPr>
        <w:t>活</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)×sinβ/(2L)=(1.2×5.35×14-8.5×2.175)×sinβ/(2×6.05)=5.9sinβ</w:t>
      </w:r>
    </w:p>
    <w:p w14:paraId="354D1834">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=-5.9sinβ</w:t>
      </w:r>
    </w:p>
    <w:p w14:paraId="0E0A9AF4">
      <w:pPr>
        <w:spacing w:line="360" w:lineRule="auto"/>
      </w:pPr>
      <w:r>
        <w:rPr>
          <w:rFonts w:ascii="Times New Roman" w:hAnsi="Times New Roman"/>
          <w:b/>
          <w:color w:val="000000"/>
          <w:sz w:val="24"/>
        </w:rPr>
        <w:t xml:space="preserve">   2）考虑各因素影响后，各支腿的荷载分别为：</w:t>
      </w:r>
    </w:p>
    <w:p w14:paraId="4248B767">
      <w:pPr>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=12.893+2.682-5.9cosβ+5.9sinβ</w:t>
      </w:r>
    </w:p>
    <w:p w14:paraId="6A9371CC">
      <w:pPr>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=6.607+4.778+5.9cosβ+5.9sinβ</w:t>
      </w:r>
    </w:p>
    <w:p w14:paraId="3655DC6F">
      <w:pPr>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=6.607+4.778+5.9cosβ-5.9sinβ</w:t>
      </w:r>
    </w:p>
    <w:p w14:paraId="3E04611F">
      <w:pPr>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=12.893+2.682-5.9cosβ-5.9sinβ</w:t>
      </w:r>
    </w:p>
    <w:p w14:paraId="52E67B52">
      <w:pPr>
        <w:spacing w:line="360" w:lineRule="auto"/>
      </w:pPr>
      <w:r>
        <w:rPr>
          <w:rFonts w:ascii="Times New Roman" w:hAnsi="Times New Roman"/>
          <w:b/>
          <w:color w:val="000000"/>
          <w:sz w:val="24"/>
        </w:rPr>
        <w:t xml:space="preserve">   3）各吊装工况及最不利工况支腿荷载计算</w:t>
      </w:r>
    </w:p>
    <w:p w14:paraId="6787BC90">
      <w:pPr>
        <w:spacing w:line="360" w:lineRule="auto"/>
      </w:pPr>
      <w:r>
        <w:rPr>
          <w:rFonts w:ascii="Times New Roman" w:hAnsi="Times New Roman"/>
          <w:b/>
          <w:color w:val="000000"/>
          <w:sz w:val="24"/>
        </w:rPr>
        <w:t xml:space="preserve">     ①当β=0°时，此时吊物在起重机后方</w:t>
      </w:r>
    </w:p>
    <w:p w14:paraId="7CA17F8A">
      <w:pPr>
        <w:spacing w:line="360" w:lineRule="auto"/>
        <w:jc w:val="center"/>
      </w:pPr>
      <w:r>
        <w:drawing>
          <wp:inline distT="0" distB="0" distL="0" distR="0">
            <wp:extent cx="5086350" cy="3068955"/>
            <wp:effectExtent l="0" t="0" r="0" b="17145"/>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5"/>
                    <pic:cNvPicPr>
                      <a:picLocks noChangeAspect="1"/>
                    </pic:cNvPicPr>
                  </pic:nvPicPr>
                  <pic:blipFill>
                    <a:blip r:embed="rId22" cstate="print"/>
                    <a:stretch>
                      <a:fillRect/>
                    </a:stretch>
                  </pic:blipFill>
                  <pic:spPr>
                    <a:xfrm>
                      <a:off x="0" y="0"/>
                      <a:ext cx="5086350" cy="3068955"/>
                    </a:xfrm>
                    <a:prstGeom prst="rect">
                      <a:avLst/>
                    </a:prstGeom>
                  </pic:spPr>
                </pic:pic>
              </a:graphicData>
            </a:graphic>
          </wp:inline>
        </w:drawing>
      </w:r>
    </w:p>
    <w:p w14:paraId="7CA496C4">
      <w:pPr>
        <w:spacing w:line="360" w:lineRule="auto"/>
      </w:pPr>
      <w:r>
        <w:rPr>
          <w:rFonts w:ascii="Times New Roman" w:hAnsi="Times New Roman"/>
          <w:color w:val="000000"/>
          <w:sz w:val="24"/>
        </w:rPr>
        <w:t xml:space="preserve">    将β=0°代入得到：</w:t>
      </w:r>
    </w:p>
    <w:p w14:paraId="5483363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=9.674吨，F</w:t>
      </w:r>
      <w:r>
        <w:rPr>
          <w:rFonts w:ascii="Times New Roman" w:hAnsi="Times New Roman"/>
          <w:color w:val="000000"/>
          <w:sz w:val="24"/>
          <w:vertAlign w:val="subscript"/>
        </w:rPr>
        <w:t>b</w:t>
      </w:r>
      <w:r>
        <w:rPr>
          <w:rFonts w:ascii="Times New Roman" w:hAnsi="Times New Roman"/>
          <w:color w:val="000000"/>
          <w:sz w:val="24"/>
        </w:rPr>
        <w:t>=17.286吨，F</w:t>
      </w:r>
      <w:r>
        <w:rPr>
          <w:rFonts w:ascii="Times New Roman" w:hAnsi="Times New Roman"/>
          <w:color w:val="000000"/>
          <w:sz w:val="24"/>
          <w:vertAlign w:val="subscript"/>
        </w:rPr>
        <w:t>c</w:t>
      </w:r>
      <w:r>
        <w:rPr>
          <w:rFonts w:ascii="Times New Roman" w:hAnsi="Times New Roman"/>
          <w:color w:val="000000"/>
          <w:sz w:val="24"/>
        </w:rPr>
        <w:t>=17.286吨，F</w:t>
      </w:r>
      <w:r>
        <w:rPr>
          <w:rFonts w:ascii="Times New Roman" w:hAnsi="Times New Roman"/>
          <w:color w:val="000000"/>
          <w:sz w:val="24"/>
          <w:vertAlign w:val="subscript"/>
        </w:rPr>
        <w:t>d</w:t>
      </w:r>
      <w:r>
        <w:rPr>
          <w:rFonts w:ascii="Times New Roman" w:hAnsi="Times New Roman"/>
          <w:color w:val="000000"/>
          <w:sz w:val="24"/>
        </w:rPr>
        <w:t>=9.674吨</w:t>
      </w:r>
    </w:p>
    <w:p w14:paraId="302974E4">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)=max(9.674、17.286、17.286、9.674)=17.286吨</w:t>
      </w:r>
    </w:p>
    <w:p w14:paraId="31410364">
      <w:pPr>
        <w:spacing w:line="360" w:lineRule="auto"/>
      </w:pPr>
      <w:r>
        <w:rPr>
          <w:rFonts w:ascii="Times New Roman" w:hAnsi="Times New Roman"/>
          <w:b/>
          <w:color w:val="000000"/>
          <w:sz w:val="24"/>
        </w:rPr>
        <w:t xml:space="preserve">     ②当β=90°时，此时吊物在起重机侧方</w:t>
      </w:r>
    </w:p>
    <w:p w14:paraId="536331EE">
      <w:pPr>
        <w:spacing w:line="360" w:lineRule="auto"/>
        <w:jc w:val="center"/>
      </w:pPr>
      <w:r>
        <w:drawing>
          <wp:inline distT="0" distB="0" distL="0" distR="0">
            <wp:extent cx="5000625" cy="3443605"/>
            <wp:effectExtent l="0" t="0" r="9525" b="4445"/>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6"/>
                    <pic:cNvPicPr>
                      <a:picLocks noChangeAspect="1"/>
                    </pic:cNvPicPr>
                  </pic:nvPicPr>
                  <pic:blipFill>
                    <a:blip r:embed="rId25" cstate="print"/>
                    <a:stretch>
                      <a:fillRect/>
                    </a:stretch>
                  </pic:blipFill>
                  <pic:spPr>
                    <a:xfrm>
                      <a:off x="0" y="0"/>
                      <a:ext cx="5000625" cy="3443605"/>
                    </a:xfrm>
                    <a:prstGeom prst="rect">
                      <a:avLst/>
                    </a:prstGeom>
                  </pic:spPr>
                </pic:pic>
              </a:graphicData>
            </a:graphic>
          </wp:inline>
        </w:drawing>
      </w:r>
    </w:p>
    <w:p w14:paraId="439BF80B">
      <w:pPr>
        <w:spacing w:line="360" w:lineRule="auto"/>
      </w:pPr>
      <w:r>
        <w:rPr>
          <w:rFonts w:ascii="Times New Roman" w:hAnsi="Times New Roman"/>
          <w:color w:val="000000"/>
          <w:sz w:val="24"/>
        </w:rPr>
        <w:t xml:space="preserve">    将β=90°代入得到：</w:t>
      </w:r>
    </w:p>
    <w:p w14:paraId="551B191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=21.475吨，F</w:t>
      </w:r>
      <w:r>
        <w:rPr>
          <w:rFonts w:ascii="Times New Roman" w:hAnsi="Times New Roman"/>
          <w:color w:val="000000"/>
          <w:sz w:val="24"/>
          <w:vertAlign w:val="subscript"/>
        </w:rPr>
        <w:t>b</w:t>
      </w:r>
      <w:r>
        <w:rPr>
          <w:rFonts w:ascii="Times New Roman" w:hAnsi="Times New Roman"/>
          <w:color w:val="000000"/>
          <w:sz w:val="24"/>
        </w:rPr>
        <w:t>=17.286吨，F</w:t>
      </w:r>
      <w:r>
        <w:rPr>
          <w:rFonts w:ascii="Times New Roman" w:hAnsi="Times New Roman"/>
          <w:color w:val="000000"/>
          <w:sz w:val="24"/>
          <w:vertAlign w:val="subscript"/>
        </w:rPr>
        <w:t>c</w:t>
      </w:r>
      <w:r>
        <w:rPr>
          <w:rFonts w:ascii="Times New Roman" w:hAnsi="Times New Roman"/>
          <w:color w:val="000000"/>
          <w:sz w:val="24"/>
        </w:rPr>
        <w:t>=5.485吨，F</w:t>
      </w:r>
      <w:r>
        <w:rPr>
          <w:rFonts w:ascii="Times New Roman" w:hAnsi="Times New Roman"/>
          <w:color w:val="000000"/>
          <w:sz w:val="24"/>
          <w:vertAlign w:val="subscript"/>
        </w:rPr>
        <w:t>d</w:t>
      </w:r>
      <w:r>
        <w:rPr>
          <w:rFonts w:ascii="Times New Roman" w:hAnsi="Times New Roman"/>
          <w:color w:val="000000"/>
          <w:sz w:val="24"/>
        </w:rPr>
        <w:t>=9.674吨</w:t>
      </w:r>
    </w:p>
    <w:p w14:paraId="6ADCA8A4">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)=max(21.475、17.286、5.485、9.674)=21.475吨</w:t>
      </w:r>
    </w:p>
    <w:p w14:paraId="2885DC82">
      <w:pPr>
        <w:spacing w:line="360" w:lineRule="auto"/>
      </w:pPr>
      <w:r>
        <w:rPr>
          <w:rFonts w:ascii="Times New Roman" w:hAnsi="Times New Roman"/>
          <w:b/>
          <w:color w:val="000000"/>
          <w:sz w:val="24"/>
        </w:rPr>
        <w:t xml:space="preserve">     ③起重臂位于支腿b方向工况</w:t>
      </w:r>
    </w:p>
    <w:p w14:paraId="3A4382D0">
      <w:pPr>
        <w:spacing w:line="360" w:lineRule="auto"/>
        <w:jc w:val="center"/>
      </w:pPr>
      <w:r>
        <w:drawing>
          <wp:inline distT="0" distB="0" distL="0" distR="0">
            <wp:extent cx="4837430" cy="2923540"/>
            <wp:effectExtent l="0" t="0" r="1270" b="1016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7"/>
                    <pic:cNvPicPr>
                      <a:picLocks noChangeAspect="1"/>
                    </pic:cNvPicPr>
                  </pic:nvPicPr>
                  <pic:blipFill>
                    <a:blip r:embed="rId26" cstate="print"/>
                    <a:stretch>
                      <a:fillRect/>
                    </a:stretch>
                  </pic:blipFill>
                  <pic:spPr>
                    <a:xfrm>
                      <a:off x="0" y="0"/>
                      <a:ext cx="4837430" cy="2923540"/>
                    </a:xfrm>
                    <a:prstGeom prst="rect">
                      <a:avLst/>
                    </a:prstGeom>
                  </pic:spPr>
                </pic:pic>
              </a:graphicData>
            </a:graphic>
          </wp:inline>
        </w:drawing>
      </w:r>
    </w:p>
    <w:p w14:paraId="7A9DEA27">
      <w:pPr>
        <w:spacing w:line="360" w:lineRule="auto"/>
      </w:pPr>
      <w:r>
        <w:rPr>
          <w:rFonts w:ascii="Times New Roman" w:hAnsi="Times New Roman"/>
          <w:color w:val="000000"/>
          <w:sz w:val="24"/>
        </w:rPr>
        <w:t xml:space="preserve">    当β=59.753°时，起重臂在支腿b方向，此时：</w:t>
      </w:r>
    </w:p>
    <w:p w14:paraId="5CC62124">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=17.699吨，F</w:t>
      </w:r>
      <w:r>
        <w:rPr>
          <w:rFonts w:ascii="Times New Roman" w:hAnsi="Times New Roman"/>
          <w:color w:val="000000"/>
          <w:sz w:val="24"/>
          <w:vertAlign w:val="subscript"/>
        </w:rPr>
        <w:t>b</w:t>
      </w:r>
      <w:r>
        <w:rPr>
          <w:rFonts w:ascii="Times New Roman" w:hAnsi="Times New Roman"/>
          <w:color w:val="000000"/>
          <w:sz w:val="24"/>
        </w:rPr>
        <w:t>=19.455吨，F</w:t>
      </w:r>
      <w:r>
        <w:rPr>
          <w:rFonts w:ascii="Times New Roman" w:hAnsi="Times New Roman"/>
          <w:color w:val="000000"/>
          <w:sz w:val="24"/>
          <w:vertAlign w:val="subscript"/>
        </w:rPr>
        <w:t>c</w:t>
      </w:r>
      <w:r>
        <w:rPr>
          <w:rFonts w:ascii="Times New Roman" w:hAnsi="Times New Roman"/>
          <w:color w:val="000000"/>
          <w:sz w:val="24"/>
        </w:rPr>
        <w:t>=9.261吨，F</w:t>
      </w:r>
      <w:r>
        <w:rPr>
          <w:rFonts w:ascii="Times New Roman" w:hAnsi="Times New Roman"/>
          <w:color w:val="000000"/>
          <w:sz w:val="24"/>
          <w:vertAlign w:val="subscript"/>
        </w:rPr>
        <w:t>d</w:t>
      </w:r>
      <w:r>
        <w:rPr>
          <w:rFonts w:ascii="Times New Roman" w:hAnsi="Times New Roman"/>
          <w:color w:val="000000"/>
          <w:sz w:val="24"/>
        </w:rPr>
        <w:t>=7.505吨</w:t>
      </w:r>
    </w:p>
    <w:p w14:paraId="57C83039">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)=max(17.699、19.455、9.261、7.505)=19.455吨</w:t>
      </w:r>
    </w:p>
    <w:p w14:paraId="1AD09EAF">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)=max(17.286，21.475，19.455)=21.475吨</w:t>
      </w:r>
    </w:p>
    <w:p w14:paraId="0ADABDE9">
      <w:pPr>
        <w:spacing w:line="360" w:lineRule="auto"/>
      </w:pPr>
      <w:r>
        <w:rPr>
          <w:rFonts w:ascii="Times New Roman" w:hAnsi="Times New Roman"/>
          <w:b/>
          <w:color w:val="000000"/>
          <w:sz w:val="28"/>
        </w:rPr>
        <w:t xml:space="preserve"> 三、地基基础验算</w:t>
      </w:r>
    </w:p>
    <w:p w14:paraId="5992B103">
      <w:pPr>
        <w:spacing w:line="360" w:lineRule="auto"/>
      </w:pPr>
      <w:r>
        <w:rPr>
          <w:rFonts w:ascii="Times New Roman" w:hAnsi="Times New Roman"/>
          <w:b/>
          <w:color w:val="000000"/>
          <w:sz w:val="24"/>
        </w:rPr>
        <w:t xml:space="preserve">  1、地基参数</w:t>
      </w:r>
    </w:p>
    <w:tbl>
      <w:tblPr>
        <w:tblStyle w:val="3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26B8BC9">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CD2B7AA">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7F404B5">
            <w:pPr>
              <w:spacing w:line="360" w:lineRule="auto"/>
            </w:pPr>
            <w:r>
              <w:rPr>
                <w:rFonts w:ascii="Times New Roman" w:hAnsi="Times New Roman"/>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0337C4D4">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0EFF7E2B">
            <w:pPr>
              <w:spacing w:line="360" w:lineRule="auto"/>
              <w:rPr>
                <w:rFonts w:hint="default" w:eastAsiaTheme="minorEastAsia"/>
                <w:lang w:val="en-US" w:eastAsia="zh-CN"/>
              </w:rPr>
            </w:pPr>
            <w:r>
              <w:rPr>
                <w:rFonts w:hint="eastAsia"/>
                <w:color w:val="000000"/>
                <w:sz w:val="18"/>
                <w:lang w:val="en-US" w:eastAsia="zh-CN"/>
              </w:rPr>
              <w:t>混凝土路面(C35)</w:t>
            </w:r>
          </w:p>
        </w:tc>
      </w:tr>
      <w:tr w14:paraId="6CDC87FB">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25C1A9B">
            <w:pPr>
              <w:spacing w:line="360" w:lineRule="auto"/>
            </w:pPr>
            <w:r>
              <w:rPr>
                <w:rFonts w:ascii="Times New Roman" w:hAnsi="Times New Roman"/>
                <w:color w:val="000000"/>
                <w:sz w:val="18"/>
              </w:rPr>
              <w:t>地基承载力特征值fak(</w:t>
            </w:r>
            <w:r>
              <w:rPr>
                <w:rFonts w:hint="eastAsia"/>
                <w:color w:val="000000"/>
                <w:sz w:val="18"/>
                <w:lang w:val="en-US" w:eastAsia="zh-CN"/>
              </w:rPr>
              <w:t>m</w:t>
            </w:r>
            <w:r>
              <w:rPr>
                <w:rFonts w:ascii="Times New Roman" w:hAnsi="Times New Roman"/>
                <w:color w:val="000000"/>
                <w:sz w:val="18"/>
              </w:rPr>
              <w:t>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4DFAC9E8">
            <w:pPr>
              <w:spacing w:line="360" w:lineRule="auto"/>
              <w:rPr>
                <w:rFonts w:hint="default" w:eastAsiaTheme="minorEastAsia"/>
                <w:lang w:val="en-US" w:eastAsia="zh-CN"/>
              </w:rPr>
            </w:pPr>
            <w:r>
              <w:rPr>
                <w:rFonts w:hint="eastAsia"/>
                <w:color w:val="000000"/>
                <w:sz w:val="18"/>
                <w:lang w:val="en-US" w:eastAsia="zh-CN"/>
              </w:rPr>
              <w:t>16.7</w:t>
            </w:r>
          </w:p>
        </w:tc>
      </w:tr>
    </w:tbl>
    <w:p w14:paraId="4A1BA5EF">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=9.8×21.475=210.452kN</w:t>
      </w:r>
    </w:p>
    <w:p w14:paraId="50CCF73E">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=210.452/2.25=93.534kPa≤f</w:t>
      </w:r>
      <w:r>
        <w:rPr>
          <w:rFonts w:ascii="Times New Roman" w:hAnsi="Times New Roman"/>
          <w:color w:val="000000"/>
          <w:sz w:val="24"/>
          <w:vertAlign w:val="subscript"/>
        </w:rPr>
        <w:t>ak</w:t>
      </w:r>
      <w:r>
        <w:rPr>
          <w:rFonts w:ascii="Times New Roman" w:hAnsi="Times New Roman"/>
          <w:color w:val="000000"/>
          <w:sz w:val="24"/>
        </w:rPr>
        <w:t>=</w:t>
      </w:r>
      <w:r>
        <w:rPr>
          <w:rFonts w:hint="eastAsia"/>
          <w:color w:val="000000"/>
          <w:sz w:val="24"/>
          <w:lang w:val="en-US" w:eastAsia="zh-CN"/>
        </w:rPr>
        <w:t>16700</w:t>
      </w:r>
      <w:r>
        <w:rPr>
          <w:rFonts w:ascii="Times New Roman" w:hAnsi="Times New Roman"/>
          <w:color w:val="000000"/>
          <w:sz w:val="24"/>
        </w:rPr>
        <w:t>kPa</w:t>
      </w:r>
    </w:p>
    <w:p w14:paraId="1F85A3BE">
      <w:pPr>
        <w:spacing w:line="360" w:lineRule="auto"/>
      </w:pPr>
      <w:r>
        <w:rPr>
          <w:rFonts w:ascii="Times New Roman" w:hAnsi="Times New Roman"/>
          <w:color w:val="008000"/>
          <w:sz w:val="24"/>
        </w:rPr>
        <w:t xml:space="preserve">    满足要求！</w:t>
      </w:r>
    </w:p>
    <w:p w14:paraId="49024AAA">
      <w:pPr>
        <w:spacing w:line="360" w:lineRule="auto"/>
      </w:pPr>
      <w:r>
        <w:rPr>
          <w:rFonts w:ascii="Times New Roman" w:hAnsi="Times New Roman"/>
          <w:b/>
          <w:color w:val="000000"/>
          <w:sz w:val="28"/>
        </w:rPr>
        <w:t xml:space="preserve"> 四、汽车式起重机抗倾覆计算</w:t>
      </w:r>
    </w:p>
    <w:p w14:paraId="5C75DA1C">
      <w:pPr>
        <w:spacing w:line="360" w:lineRule="auto"/>
      </w:pPr>
      <w:r>
        <w:rPr>
          <w:rFonts w:ascii="Times New Roman" w:hAnsi="Times New Roman"/>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2778808B">
      <w:pPr>
        <w:spacing w:line="360" w:lineRule="auto"/>
      </w:pPr>
      <w:r>
        <w:rPr>
          <w:rFonts w:ascii="Times New Roman" w:hAnsi="Times New Roman"/>
          <w:b/>
          <w:color w:val="000000"/>
          <w:sz w:val="24"/>
        </w:rPr>
        <w:t xml:space="preserve">  1、吊物在起重机后方时</w:t>
      </w:r>
    </w:p>
    <w:p w14:paraId="66FC82AF">
      <w:pPr>
        <w:spacing w:line="360" w:lineRule="auto"/>
      </w:pPr>
      <w:r>
        <w:rPr>
          <w:rFonts w:ascii="Times New Roman" w:hAnsi="Times New Roman"/>
          <w:color w:val="000000"/>
          <w:sz w:val="24"/>
        </w:rPr>
        <w:t xml:space="preserve">    参考起重机支腿力计算章节，吊物在起重机后方时取β=0°，同时将吊重产生的倾覆力矩乘以k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=8.419吨，F</w:t>
      </w:r>
      <w:r>
        <w:rPr>
          <w:rFonts w:ascii="Times New Roman" w:hAnsi="Times New Roman"/>
          <w:color w:val="000000"/>
          <w:sz w:val="24"/>
          <w:vertAlign w:val="subscript"/>
        </w:rPr>
        <w:t>b</w:t>
      </w:r>
      <w:r>
        <w:rPr>
          <w:rFonts w:ascii="Times New Roman" w:hAnsi="Times New Roman"/>
          <w:color w:val="000000"/>
          <w:sz w:val="24"/>
        </w:rPr>
        <w:t>=19.183吨，F</w:t>
      </w:r>
      <w:r>
        <w:rPr>
          <w:rFonts w:ascii="Times New Roman" w:hAnsi="Times New Roman"/>
          <w:color w:val="000000"/>
          <w:sz w:val="24"/>
          <w:vertAlign w:val="subscript"/>
        </w:rPr>
        <w:t>c</w:t>
      </w:r>
      <w:r>
        <w:rPr>
          <w:rFonts w:ascii="Times New Roman" w:hAnsi="Times New Roman"/>
          <w:color w:val="000000"/>
          <w:sz w:val="24"/>
        </w:rPr>
        <w:t>=19.183吨，F</w:t>
      </w:r>
      <w:r>
        <w:rPr>
          <w:rFonts w:ascii="Times New Roman" w:hAnsi="Times New Roman"/>
          <w:color w:val="000000"/>
          <w:sz w:val="24"/>
          <w:vertAlign w:val="subscript"/>
        </w:rPr>
        <w:t>d</w:t>
      </w:r>
      <w:r>
        <w:rPr>
          <w:rFonts w:ascii="Times New Roman" w:hAnsi="Times New Roman"/>
          <w:color w:val="000000"/>
          <w:sz w:val="24"/>
        </w:rPr>
        <w:t>=8.419吨。</w:t>
      </w:r>
    </w:p>
    <w:p w14:paraId="2DBC8E5A">
      <w:pPr>
        <w:spacing w:line="360" w:lineRule="auto"/>
      </w:pPr>
      <w:r>
        <w:rPr>
          <w:rFonts w:ascii="Times New Roman" w:hAnsi="Times New Roman"/>
          <w:color w:val="000000"/>
          <w:sz w:val="24"/>
        </w:rPr>
        <w:t xml:space="preserve">    没有出现支腿荷载为负数。</w:t>
      </w:r>
    </w:p>
    <w:p w14:paraId="61FE0771">
      <w:pPr>
        <w:spacing w:line="360" w:lineRule="auto"/>
      </w:pPr>
      <w:r>
        <w:rPr>
          <w:rFonts w:ascii="Times New Roman" w:hAnsi="Times New Roman"/>
          <w:color w:val="008000"/>
          <w:sz w:val="24"/>
        </w:rPr>
        <w:t xml:space="preserve">    抗倾覆满足要求！</w:t>
      </w:r>
    </w:p>
    <w:p w14:paraId="0873E441">
      <w:pPr>
        <w:spacing w:line="360" w:lineRule="auto"/>
      </w:pPr>
      <w:r>
        <w:rPr>
          <w:rFonts w:ascii="Times New Roman" w:hAnsi="Times New Roman"/>
          <w:b/>
          <w:color w:val="000000"/>
          <w:sz w:val="24"/>
        </w:rPr>
        <w:t xml:space="preserve">  2、吊物在起重机侧方时</w:t>
      </w:r>
    </w:p>
    <w:p w14:paraId="32BA075D">
      <w:pPr>
        <w:spacing w:line="360" w:lineRule="auto"/>
      </w:pPr>
      <w:r>
        <w:rPr>
          <w:rFonts w:ascii="Times New Roman" w:hAnsi="Times New Roman"/>
          <w:color w:val="000000"/>
          <w:sz w:val="24"/>
        </w:rPr>
        <w:t xml:space="preserve">    参考起重机支腿力计算章节，吊物在起重机侧方时取β=90°，同时将吊重产生的倾覆力矩乘以k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=20.112吨，F</w:t>
      </w:r>
      <w:r>
        <w:rPr>
          <w:rFonts w:ascii="Times New Roman" w:hAnsi="Times New Roman"/>
          <w:color w:val="000000"/>
          <w:sz w:val="24"/>
          <w:vertAlign w:val="subscript"/>
        </w:rPr>
        <w:t>b</w:t>
      </w:r>
      <w:r>
        <w:rPr>
          <w:rFonts w:ascii="Times New Roman" w:hAnsi="Times New Roman"/>
          <w:color w:val="000000"/>
          <w:sz w:val="24"/>
        </w:rPr>
        <w:t>=19.47吨，F</w:t>
      </w:r>
      <w:r>
        <w:rPr>
          <w:rFonts w:ascii="Times New Roman" w:hAnsi="Times New Roman"/>
          <w:color w:val="000000"/>
          <w:sz w:val="24"/>
          <w:vertAlign w:val="subscript"/>
        </w:rPr>
        <w:t>c</w:t>
      </w:r>
      <w:r>
        <w:rPr>
          <w:rFonts w:ascii="Times New Roman" w:hAnsi="Times New Roman"/>
          <w:color w:val="000000"/>
          <w:sz w:val="24"/>
        </w:rPr>
        <w:t>=4.124吨，F</w:t>
      </w:r>
      <w:r>
        <w:rPr>
          <w:rFonts w:ascii="Times New Roman" w:hAnsi="Times New Roman"/>
          <w:color w:val="000000"/>
          <w:sz w:val="24"/>
          <w:vertAlign w:val="subscript"/>
        </w:rPr>
        <w:t>d</w:t>
      </w:r>
      <w:r>
        <w:rPr>
          <w:rFonts w:ascii="Times New Roman" w:hAnsi="Times New Roman"/>
          <w:color w:val="000000"/>
          <w:sz w:val="24"/>
        </w:rPr>
        <w:t>=11.499吨。</w:t>
      </w:r>
    </w:p>
    <w:p w14:paraId="778104CD">
      <w:pPr>
        <w:spacing w:line="360" w:lineRule="auto"/>
      </w:pPr>
      <w:r>
        <w:rPr>
          <w:rFonts w:ascii="Times New Roman" w:hAnsi="Times New Roman"/>
          <w:color w:val="000000"/>
          <w:sz w:val="24"/>
        </w:rPr>
        <w:t xml:space="preserve">    没有出现支腿荷载为负数。</w:t>
      </w:r>
    </w:p>
    <w:p w14:paraId="3A48C47D">
      <w:pPr>
        <w:spacing w:line="360" w:lineRule="auto"/>
      </w:pPr>
      <w:r>
        <w:rPr>
          <w:rFonts w:ascii="Times New Roman" w:hAnsi="Times New Roman"/>
          <w:color w:val="008000"/>
          <w:sz w:val="24"/>
        </w:rPr>
        <w:t xml:space="preserve">    抗倾覆满足要求！</w:t>
      </w:r>
    </w:p>
    <w:p w14:paraId="6B267F7C">
      <w:pPr>
        <w:pStyle w:val="3"/>
        <w:ind w:left="562" w:hanging="562"/>
        <w:rPr>
          <w:rFonts w:cs="Times New Roman"/>
        </w:rPr>
      </w:pPr>
      <w:bookmarkStart w:id="31" w:name="_Toc11325"/>
      <w:r>
        <w:rPr>
          <w:rFonts w:hint="eastAsia" w:cs="Times New Roman"/>
        </w:rPr>
        <w:t>施工</w:t>
      </w:r>
      <w:r>
        <w:rPr>
          <w:rFonts w:cs="Times New Roman"/>
        </w:rPr>
        <w:t>人员</w:t>
      </w:r>
      <w:r>
        <w:rPr>
          <w:rFonts w:hint="eastAsia" w:cs="Times New Roman"/>
          <w:lang w:val="en-US" w:eastAsia="zh-CN"/>
        </w:rPr>
        <w:t>配置与</w:t>
      </w:r>
      <w:r>
        <w:rPr>
          <w:rFonts w:hint="eastAsia" w:cs="Times New Roman"/>
        </w:rPr>
        <w:t>专用工具的配备</w:t>
      </w:r>
      <w:bookmarkEnd w:id="31"/>
    </w:p>
    <w:p w14:paraId="128C97C2">
      <w:pPr>
        <w:pStyle w:val="5"/>
        <w:rPr>
          <w:rFonts w:hint="eastAsia" w:cs="Times New Roman"/>
          <w:lang w:val="en-US" w:eastAsia="zh-CN"/>
        </w:rPr>
      </w:pPr>
      <w:bookmarkStart w:id="32" w:name="_Toc20233"/>
      <w:r>
        <w:rPr>
          <w:rFonts w:hint="eastAsia" w:cs="Times New Roman"/>
          <w:lang w:val="en-US" w:eastAsia="zh-CN"/>
        </w:rPr>
        <w:t>6.1塔机安拆前应检查</w:t>
      </w:r>
      <w:bookmarkEnd w:id="32"/>
    </w:p>
    <w:p w14:paraId="78C88AC1">
      <w:pPr>
        <w:pStyle w:val="65"/>
        <w:ind w:firstLine="480"/>
        <w:rPr>
          <w:rFonts w:hint="eastAsia" w:ascii="宋体" w:hAnsi="宋体" w:eastAsia="宋体"/>
          <w:szCs w:val="24"/>
          <w:lang w:val="en-US" w:eastAsia="zh-CN"/>
        </w:rPr>
      </w:pPr>
      <w:r>
        <w:rPr>
          <w:rFonts w:hint="eastAsia" w:ascii="宋体" w:hAnsi="宋体" w:eastAsia="宋体"/>
          <w:szCs w:val="24"/>
          <w:lang w:val="en-US" w:eastAsia="zh-CN"/>
        </w:rPr>
        <w:t>特种作业人员的操作资格证书；专项施工方案；辅助起重机械的合格证及操作人员资格证书。配齐塔机安拆施工人员并明确岗位职责。</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26"/>
        <w:gridCol w:w="1125"/>
        <w:gridCol w:w="5671"/>
      </w:tblGrid>
      <w:tr w14:paraId="112A6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shd w:val="clear" w:color="auto" w:fill="auto"/>
            <w:vAlign w:val="center"/>
          </w:tcPr>
          <w:p w14:paraId="5EEC18CC">
            <w:pPr>
              <w:pStyle w:val="63"/>
              <w:spacing w:line="360" w:lineRule="auto"/>
              <w:rPr>
                <w:rFonts w:ascii="Times New Roman" w:hAnsi="Times New Roman"/>
                <w:sz w:val="24"/>
                <w:szCs w:val="24"/>
              </w:rPr>
            </w:pPr>
            <w:r>
              <w:rPr>
                <w:rFonts w:ascii="Times New Roman" w:hAnsi="Times New Roman"/>
                <w:sz w:val="24"/>
                <w:szCs w:val="24"/>
              </w:rPr>
              <w:t>工作岗位</w:t>
            </w:r>
          </w:p>
        </w:tc>
        <w:tc>
          <w:tcPr>
            <w:tcW w:w="660" w:type="pct"/>
            <w:shd w:val="clear" w:color="auto" w:fill="auto"/>
            <w:vAlign w:val="center"/>
          </w:tcPr>
          <w:p w14:paraId="4EA67CA7">
            <w:pPr>
              <w:pStyle w:val="63"/>
              <w:spacing w:line="360" w:lineRule="auto"/>
              <w:rPr>
                <w:rFonts w:ascii="Times New Roman" w:hAnsi="Times New Roman"/>
                <w:sz w:val="24"/>
                <w:szCs w:val="24"/>
              </w:rPr>
            </w:pPr>
            <w:r>
              <w:rPr>
                <w:rFonts w:ascii="Times New Roman" w:hAnsi="Times New Roman"/>
                <w:sz w:val="24"/>
                <w:szCs w:val="24"/>
              </w:rPr>
              <w:t>姓  名</w:t>
            </w:r>
          </w:p>
        </w:tc>
        <w:tc>
          <w:tcPr>
            <w:tcW w:w="3326" w:type="pct"/>
            <w:shd w:val="clear" w:color="auto" w:fill="auto"/>
            <w:vAlign w:val="center"/>
          </w:tcPr>
          <w:p w14:paraId="36857581">
            <w:pPr>
              <w:pStyle w:val="63"/>
              <w:spacing w:line="360" w:lineRule="auto"/>
              <w:rPr>
                <w:rFonts w:ascii="Times New Roman" w:hAnsi="Times New Roman"/>
                <w:sz w:val="24"/>
                <w:szCs w:val="24"/>
              </w:rPr>
            </w:pPr>
            <w:r>
              <w:rPr>
                <w:rFonts w:ascii="Times New Roman" w:hAnsi="Times New Roman"/>
                <w:sz w:val="24"/>
                <w:szCs w:val="24"/>
              </w:rPr>
              <w:t>岗      位      职      责</w:t>
            </w:r>
          </w:p>
        </w:tc>
      </w:tr>
      <w:tr w14:paraId="222A5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1013" w:type="pct"/>
            <w:shd w:val="clear" w:color="auto" w:fill="auto"/>
            <w:vAlign w:val="center"/>
          </w:tcPr>
          <w:p w14:paraId="774EB61C">
            <w:pPr>
              <w:pStyle w:val="63"/>
              <w:spacing w:line="360" w:lineRule="auto"/>
              <w:rPr>
                <w:rFonts w:ascii="Times New Roman" w:hAnsi="Times New Roman"/>
                <w:sz w:val="24"/>
                <w:szCs w:val="24"/>
              </w:rPr>
            </w:pPr>
            <w:r>
              <w:rPr>
                <w:rFonts w:ascii="Times New Roman" w:hAnsi="Times New Roman"/>
                <w:sz w:val="24"/>
                <w:szCs w:val="24"/>
              </w:rPr>
              <w:t>现场总指挥</w:t>
            </w:r>
          </w:p>
        </w:tc>
        <w:tc>
          <w:tcPr>
            <w:tcW w:w="660" w:type="pct"/>
            <w:shd w:val="clear" w:color="auto" w:fill="auto"/>
            <w:vAlign w:val="center"/>
          </w:tcPr>
          <w:p w14:paraId="3C8674EA">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明兴富</w:t>
            </w:r>
          </w:p>
        </w:tc>
        <w:tc>
          <w:tcPr>
            <w:tcW w:w="3326" w:type="pct"/>
            <w:shd w:val="clear" w:color="auto" w:fill="auto"/>
            <w:vAlign w:val="center"/>
          </w:tcPr>
          <w:p w14:paraId="624CBFFA">
            <w:pPr>
              <w:pStyle w:val="63"/>
              <w:spacing w:line="360" w:lineRule="auto"/>
              <w:jc w:val="left"/>
              <w:rPr>
                <w:rFonts w:ascii="Times New Roman" w:hAnsi="Times New Roman"/>
                <w:sz w:val="24"/>
                <w:szCs w:val="24"/>
              </w:rPr>
            </w:pPr>
            <w:r>
              <w:rPr>
                <w:rFonts w:ascii="Times New Roman" w:hAnsi="Times New Roman"/>
                <w:sz w:val="24"/>
                <w:szCs w:val="24"/>
              </w:rPr>
              <w:t>负责</w:t>
            </w:r>
            <w:r>
              <w:rPr>
                <w:rFonts w:hint="eastAsia" w:ascii="Times New Roman" w:hAnsi="Times New Roman"/>
                <w:sz w:val="24"/>
                <w:szCs w:val="24"/>
                <w:lang w:val="en-US" w:eastAsia="zh-CN"/>
              </w:rPr>
              <w:t>安拆</w:t>
            </w:r>
            <w:r>
              <w:rPr>
                <w:rFonts w:ascii="Times New Roman" w:hAnsi="Times New Roman"/>
                <w:sz w:val="24"/>
                <w:szCs w:val="24"/>
              </w:rPr>
              <w:t>现场全面指挥、组织协调配合工作；负责辅助机具、辅助人员的组织分工；按方案组织</w:t>
            </w:r>
            <w:r>
              <w:rPr>
                <w:rFonts w:hint="eastAsia" w:ascii="Times New Roman" w:hAnsi="Times New Roman"/>
                <w:sz w:val="24"/>
                <w:szCs w:val="24"/>
                <w:lang w:val="en-US" w:eastAsia="zh-CN"/>
              </w:rPr>
              <w:t>安拆</w:t>
            </w:r>
            <w:r>
              <w:rPr>
                <w:rFonts w:ascii="Times New Roman" w:hAnsi="Times New Roman"/>
                <w:sz w:val="24"/>
                <w:szCs w:val="24"/>
              </w:rPr>
              <w:t>过程安排；</w:t>
            </w:r>
          </w:p>
        </w:tc>
      </w:tr>
      <w:tr w14:paraId="11071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1013" w:type="pct"/>
            <w:shd w:val="clear" w:color="auto" w:fill="auto"/>
            <w:vAlign w:val="center"/>
          </w:tcPr>
          <w:p w14:paraId="0D1C4708">
            <w:pPr>
              <w:pStyle w:val="63"/>
              <w:spacing w:line="360" w:lineRule="auto"/>
              <w:rPr>
                <w:rFonts w:ascii="Times New Roman" w:hAnsi="Times New Roman"/>
                <w:sz w:val="24"/>
                <w:szCs w:val="24"/>
              </w:rPr>
            </w:pPr>
            <w:r>
              <w:rPr>
                <w:rFonts w:ascii="Times New Roman" w:hAnsi="Times New Roman"/>
                <w:sz w:val="24"/>
                <w:szCs w:val="24"/>
              </w:rPr>
              <w:t>技术负责人</w:t>
            </w:r>
          </w:p>
        </w:tc>
        <w:tc>
          <w:tcPr>
            <w:tcW w:w="660" w:type="pct"/>
            <w:shd w:val="clear" w:color="auto" w:fill="auto"/>
            <w:vAlign w:val="center"/>
          </w:tcPr>
          <w:p w14:paraId="6F615FEF">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温涛</w:t>
            </w:r>
          </w:p>
        </w:tc>
        <w:tc>
          <w:tcPr>
            <w:tcW w:w="3326" w:type="pct"/>
            <w:shd w:val="clear" w:color="auto" w:fill="auto"/>
            <w:vAlign w:val="center"/>
          </w:tcPr>
          <w:p w14:paraId="67C26021">
            <w:pPr>
              <w:pStyle w:val="63"/>
              <w:spacing w:line="360" w:lineRule="auto"/>
              <w:jc w:val="left"/>
              <w:rPr>
                <w:rFonts w:ascii="Times New Roman" w:hAnsi="Times New Roman"/>
                <w:sz w:val="24"/>
                <w:szCs w:val="24"/>
              </w:rPr>
            </w:pPr>
            <w:r>
              <w:rPr>
                <w:rFonts w:hint="eastAsia" w:ascii="Times New Roman" w:hAnsi="Times New Roman"/>
                <w:sz w:val="24"/>
                <w:szCs w:val="24"/>
                <w:lang w:val="en-US" w:eastAsia="zh-CN"/>
              </w:rPr>
              <w:t>安拆</w:t>
            </w:r>
            <w:r>
              <w:rPr>
                <w:rFonts w:ascii="Times New Roman" w:hAnsi="Times New Roman"/>
                <w:sz w:val="24"/>
                <w:szCs w:val="24"/>
              </w:rPr>
              <w:t>工作总体部署协调，指导方案编制及具体</w:t>
            </w:r>
            <w:r>
              <w:rPr>
                <w:rFonts w:hint="eastAsia" w:ascii="Times New Roman" w:hAnsi="Times New Roman"/>
                <w:sz w:val="24"/>
                <w:szCs w:val="24"/>
                <w:lang w:val="en-US" w:eastAsia="zh-CN"/>
              </w:rPr>
              <w:t>安拆</w:t>
            </w:r>
            <w:r>
              <w:rPr>
                <w:rFonts w:ascii="Times New Roman" w:hAnsi="Times New Roman"/>
                <w:sz w:val="24"/>
                <w:szCs w:val="24"/>
              </w:rPr>
              <w:t>技术工作，审批方案，指导、决策处理重大技术问题。</w:t>
            </w:r>
          </w:p>
        </w:tc>
      </w:tr>
      <w:tr w14:paraId="56BEC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1013" w:type="pct"/>
            <w:shd w:val="clear" w:color="auto" w:fill="auto"/>
            <w:vAlign w:val="center"/>
          </w:tcPr>
          <w:p w14:paraId="7152DD12">
            <w:pPr>
              <w:pStyle w:val="63"/>
              <w:spacing w:line="360" w:lineRule="auto"/>
              <w:rPr>
                <w:rFonts w:ascii="Times New Roman" w:hAnsi="Times New Roman"/>
                <w:sz w:val="24"/>
                <w:szCs w:val="24"/>
              </w:rPr>
            </w:pPr>
            <w:r>
              <w:rPr>
                <w:rFonts w:ascii="Times New Roman" w:hAnsi="Times New Roman"/>
                <w:sz w:val="24"/>
                <w:szCs w:val="24"/>
              </w:rPr>
              <w:t>安全员</w:t>
            </w:r>
          </w:p>
        </w:tc>
        <w:tc>
          <w:tcPr>
            <w:tcW w:w="660" w:type="pct"/>
            <w:shd w:val="clear" w:color="auto" w:fill="auto"/>
            <w:vAlign w:val="center"/>
          </w:tcPr>
          <w:p w14:paraId="4DB18E3E">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白美富</w:t>
            </w:r>
          </w:p>
        </w:tc>
        <w:tc>
          <w:tcPr>
            <w:tcW w:w="3326" w:type="pct"/>
            <w:shd w:val="clear" w:color="auto" w:fill="auto"/>
            <w:vAlign w:val="center"/>
          </w:tcPr>
          <w:p w14:paraId="1FA955D5">
            <w:pPr>
              <w:pStyle w:val="63"/>
              <w:spacing w:line="360" w:lineRule="auto"/>
              <w:jc w:val="left"/>
              <w:rPr>
                <w:rFonts w:ascii="Times New Roman" w:hAnsi="Times New Roman"/>
                <w:sz w:val="24"/>
                <w:szCs w:val="24"/>
              </w:rPr>
            </w:pPr>
            <w:r>
              <w:rPr>
                <w:rFonts w:ascii="Times New Roman" w:hAnsi="Times New Roman"/>
                <w:sz w:val="24"/>
                <w:szCs w:val="24"/>
              </w:rPr>
              <w:t>负责</w:t>
            </w:r>
            <w:r>
              <w:rPr>
                <w:rFonts w:hint="eastAsia" w:ascii="Times New Roman" w:hAnsi="Times New Roman"/>
                <w:sz w:val="24"/>
                <w:szCs w:val="24"/>
                <w:lang w:val="en-US" w:eastAsia="zh-CN"/>
              </w:rPr>
              <w:t>安拆</w:t>
            </w:r>
            <w:r>
              <w:rPr>
                <w:rFonts w:ascii="Times New Roman" w:hAnsi="Times New Roman"/>
                <w:sz w:val="24"/>
                <w:szCs w:val="24"/>
              </w:rPr>
              <w:t>过程质量控制和安全监督、检查、验收，指挥</w:t>
            </w:r>
            <w:r>
              <w:rPr>
                <w:rFonts w:hint="eastAsia" w:ascii="Times New Roman" w:hAnsi="Times New Roman"/>
                <w:sz w:val="24"/>
                <w:szCs w:val="24"/>
                <w:lang w:val="en-US" w:eastAsia="zh-CN"/>
              </w:rPr>
              <w:t>安拆</w:t>
            </w:r>
            <w:r>
              <w:rPr>
                <w:rFonts w:ascii="Times New Roman" w:hAnsi="Times New Roman"/>
                <w:sz w:val="24"/>
                <w:szCs w:val="24"/>
              </w:rPr>
              <w:t>作业，监控危险源。</w:t>
            </w:r>
          </w:p>
        </w:tc>
      </w:tr>
      <w:tr w14:paraId="45F44D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shd w:val="clear" w:color="auto" w:fill="auto"/>
            <w:vAlign w:val="center"/>
          </w:tcPr>
          <w:p w14:paraId="5859944F">
            <w:pPr>
              <w:pStyle w:val="63"/>
              <w:spacing w:line="360" w:lineRule="auto"/>
              <w:rPr>
                <w:rFonts w:ascii="Times New Roman" w:hAnsi="Times New Roman"/>
                <w:sz w:val="24"/>
                <w:szCs w:val="24"/>
              </w:rPr>
            </w:pPr>
            <w:r>
              <w:rPr>
                <w:rFonts w:ascii="Times New Roman" w:hAnsi="Times New Roman"/>
                <w:sz w:val="24"/>
                <w:szCs w:val="24"/>
              </w:rPr>
              <w:t>电工</w:t>
            </w:r>
          </w:p>
        </w:tc>
        <w:tc>
          <w:tcPr>
            <w:tcW w:w="660" w:type="pct"/>
            <w:shd w:val="clear" w:color="auto" w:fill="auto"/>
            <w:vAlign w:val="center"/>
          </w:tcPr>
          <w:p w14:paraId="09733DCD">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陈刚</w:t>
            </w:r>
          </w:p>
        </w:tc>
        <w:tc>
          <w:tcPr>
            <w:tcW w:w="3326" w:type="pct"/>
            <w:shd w:val="clear" w:color="auto" w:fill="auto"/>
            <w:vAlign w:val="center"/>
          </w:tcPr>
          <w:p w14:paraId="09FEE7CD">
            <w:pPr>
              <w:pStyle w:val="63"/>
              <w:spacing w:line="360" w:lineRule="auto"/>
              <w:jc w:val="left"/>
              <w:rPr>
                <w:rFonts w:ascii="Times New Roman" w:hAnsi="Times New Roman"/>
                <w:sz w:val="24"/>
                <w:szCs w:val="24"/>
              </w:rPr>
            </w:pPr>
            <w:r>
              <w:rPr>
                <w:rFonts w:ascii="Times New Roman" w:hAnsi="Times New Roman"/>
                <w:sz w:val="24"/>
                <w:szCs w:val="24"/>
              </w:rPr>
              <w:t>负责塔机电气</w:t>
            </w:r>
            <w:r>
              <w:rPr>
                <w:rFonts w:hint="eastAsia" w:ascii="Times New Roman" w:hAnsi="Times New Roman"/>
                <w:sz w:val="24"/>
                <w:szCs w:val="24"/>
                <w:lang w:val="en-US" w:eastAsia="zh-CN"/>
              </w:rPr>
              <w:t>安拆</w:t>
            </w:r>
            <w:r>
              <w:rPr>
                <w:rFonts w:ascii="Times New Roman" w:hAnsi="Times New Roman"/>
                <w:sz w:val="24"/>
                <w:szCs w:val="24"/>
              </w:rPr>
              <w:t>、调试工作，配合</w:t>
            </w:r>
            <w:r>
              <w:rPr>
                <w:rFonts w:hint="eastAsia" w:ascii="Times New Roman" w:hAnsi="Times New Roman"/>
                <w:sz w:val="24"/>
                <w:szCs w:val="24"/>
                <w:lang w:val="en-US" w:eastAsia="zh-CN"/>
              </w:rPr>
              <w:t>安拆</w:t>
            </w:r>
            <w:r>
              <w:rPr>
                <w:rFonts w:ascii="Times New Roman" w:hAnsi="Times New Roman"/>
                <w:sz w:val="24"/>
                <w:szCs w:val="24"/>
              </w:rPr>
              <w:t>工作。</w:t>
            </w:r>
          </w:p>
        </w:tc>
      </w:tr>
      <w:tr w14:paraId="74C47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vMerge w:val="restart"/>
            <w:shd w:val="clear" w:color="auto" w:fill="auto"/>
            <w:vAlign w:val="center"/>
          </w:tcPr>
          <w:p w14:paraId="1F319F1F">
            <w:pPr>
              <w:pStyle w:val="63"/>
              <w:spacing w:line="360" w:lineRule="auto"/>
              <w:rPr>
                <w:rFonts w:ascii="Times New Roman" w:hAnsi="Times New Roman"/>
                <w:sz w:val="24"/>
                <w:szCs w:val="24"/>
              </w:rPr>
            </w:pPr>
            <w:r>
              <w:rPr>
                <w:rFonts w:hint="eastAsia" w:ascii="Times New Roman" w:hAnsi="Times New Roman"/>
                <w:sz w:val="24"/>
                <w:szCs w:val="24"/>
                <w:lang w:val="en-US" w:eastAsia="zh-CN"/>
              </w:rPr>
              <w:t>安拆</w:t>
            </w:r>
            <w:r>
              <w:rPr>
                <w:rFonts w:ascii="Times New Roman" w:hAnsi="Times New Roman"/>
                <w:sz w:val="24"/>
                <w:szCs w:val="24"/>
              </w:rPr>
              <w:t>作业</w:t>
            </w:r>
            <w:r>
              <w:rPr>
                <w:rFonts w:hint="eastAsia" w:ascii="Times New Roman" w:hAnsi="Times New Roman"/>
                <w:sz w:val="24"/>
                <w:szCs w:val="24"/>
                <w:lang w:val="en-US" w:eastAsia="zh-CN"/>
              </w:rPr>
              <w:t>人</w:t>
            </w:r>
            <w:r>
              <w:rPr>
                <w:rFonts w:ascii="Times New Roman" w:hAnsi="Times New Roman"/>
                <w:sz w:val="24"/>
                <w:szCs w:val="24"/>
              </w:rPr>
              <w:t>员</w:t>
            </w:r>
          </w:p>
        </w:tc>
        <w:tc>
          <w:tcPr>
            <w:tcW w:w="660" w:type="pct"/>
            <w:shd w:val="clear" w:color="auto" w:fill="auto"/>
            <w:vAlign w:val="center"/>
          </w:tcPr>
          <w:p w14:paraId="5114C996">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黄科</w:t>
            </w:r>
          </w:p>
        </w:tc>
        <w:tc>
          <w:tcPr>
            <w:tcW w:w="3326" w:type="pct"/>
            <w:vMerge w:val="restart"/>
            <w:shd w:val="clear" w:color="auto" w:fill="auto"/>
            <w:vAlign w:val="center"/>
          </w:tcPr>
          <w:p w14:paraId="38239EAB">
            <w:pPr>
              <w:pStyle w:val="63"/>
              <w:spacing w:line="360" w:lineRule="auto"/>
              <w:jc w:val="left"/>
              <w:rPr>
                <w:rFonts w:ascii="Times New Roman" w:hAnsi="Times New Roman"/>
                <w:sz w:val="24"/>
                <w:szCs w:val="24"/>
              </w:rPr>
            </w:pPr>
            <w:r>
              <w:rPr>
                <w:rFonts w:ascii="Times New Roman" w:hAnsi="Times New Roman"/>
                <w:sz w:val="24"/>
                <w:szCs w:val="24"/>
              </w:rPr>
              <w:t>在统一指挥、统一安排下进行</w:t>
            </w:r>
            <w:r>
              <w:rPr>
                <w:rFonts w:hint="eastAsia" w:ascii="Times New Roman" w:hAnsi="Times New Roman"/>
                <w:sz w:val="24"/>
                <w:szCs w:val="24"/>
                <w:lang w:val="en-US" w:eastAsia="zh-CN"/>
              </w:rPr>
              <w:t>安拆</w:t>
            </w:r>
            <w:r>
              <w:rPr>
                <w:rFonts w:ascii="Times New Roman" w:hAnsi="Times New Roman"/>
                <w:sz w:val="24"/>
                <w:szCs w:val="24"/>
              </w:rPr>
              <w:t>作业，做到分工明确，配合密切。</w:t>
            </w:r>
          </w:p>
        </w:tc>
      </w:tr>
      <w:tr w14:paraId="6FB9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vMerge w:val="continue"/>
            <w:shd w:val="clear" w:color="auto" w:fill="auto"/>
            <w:vAlign w:val="center"/>
          </w:tcPr>
          <w:p w14:paraId="4BDA3D92">
            <w:pPr>
              <w:pStyle w:val="63"/>
              <w:spacing w:line="360" w:lineRule="auto"/>
              <w:rPr>
                <w:rFonts w:ascii="Times New Roman" w:hAnsi="Times New Roman"/>
                <w:sz w:val="24"/>
                <w:szCs w:val="24"/>
              </w:rPr>
            </w:pPr>
          </w:p>
        </w:tc>
        <w:tc>
          <w:tcPr>
            <w:tcW w:w="660" w:type="pct"/>
            <w:shd w:val="clear" w:color="auto" w:fill="auto"/>
            <w:vAlign w:val="center"/>
          </w:tcPr>
          <w:p w14:paraId="04CFFE9F">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徐刚</w:t>
            </w:r>
          </w:p>
        </w:tc>
        <w:tc>
          <w:tcPr>
            <w:tcW w:w="3326" w:type="pct"/>
            <w:vMerge w:val="continue"/>
            <w:shd w:val="clear" w:color="auto" w:fill="auto"/>
            <w:vAlign w:val="center"/>
          </w:tcPr>
          <w:p w14:paraId="2FB47F93">
            <w:pPr>
              <w:pStyle w:val="63"/>
              <w:spacing w:line="360" w:lineRule="auto"/>
              <w:jc w:val="left"/>
              <w:rPr>
                <w:rFonts w:ascii="Times New Roman" w:hAnsi="Times New Roman"/>
                <w:sz w:val="24"/>
                <w:szCs w:val="24"/>
              </w:rPr>
            </w:pPr>
          </w:p>
        </w:tc>
      </w:tr>
      <w:tr w14:paraId="094B8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vMerge w:val="continue"/>
            <w:shd w:val="clear" w:color="auto" w:fill="auto"/>
            <w:vAlign w:val="center"/>
          </w:tcPr>
          <w:p w14:paraId="4556670E">
            <w:pPr>
              <w:pStyle w:val="63"/>
              <w:spacing w:line="360" w:lineRule="auto"/>
              <w:rPr>
                <w:rFonts w:ascii="Times New Roman" w:hAnsi="Times New Roman"/>
                <w:sz w:val="24"/>
                <w:szCs w:val="24"/>
              </w:rPr>
            </w:pPr>
          </w:p>
        </w:tc>
        <w:tc>
          <w:tcPr>
            <w:tcW w:w="660" w:type="pct"/>
            <w:shd w:val="clear" w:color="auto" w:fill="auto"/>
            <w:vAlign w:val="center"/>
          </w:tcPr>
          <w:p w14:paraId="3AC2717D">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王祯权</w:t>
            </w:r>
          </w:p>
        </w:tc>
        <w:tc>
          <w:tcPr>
            <w:tcW w:w="3326" w:type="pct"/>
            <w:vMerge w:val="continue"/>
            <w:shd w:val="clear" w:color="auto" w:fill="auto"/>
            <w:vAlign w:val="center"/>
          </w:tcPr>
          <w:p w14:paraId="5ACF91BC">
            <w:pPr>
              <w:pStyle w:val="63"/>
              <w:spacing w:line="360" w:lineRule="auto"/>
              <w:jc w:val="left"/>
              <w:rPr>
                <w:rFonts w:ascii="Times New Roman" w:hAnsi="Times New Roman"/>
                <w:sz w:val="24"/>
                <w:szCs w:val="24"/>
              </w:rPr>
            </w:pPr>
          </w:p>
        </w:tc>
      </w:tr>
      <w:tr w14:paraId="51B5D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013" w:type="pct"/>
            <w:vMerge w:val="continue"/>
            <w:shd w:val="clear" w:color="auto" w:fill="auto"/>
            <w:vAlign w:val="center"/>
          </w:tcPr>
          <w:p w14:paraId="1702046A">
            <w:pPr>
              <w:pStyle w:val="63"/>
              <w:spacing w:line="360" w:lineRule="auto"/>
              <w:rPr>
                <w:rFonts w:ascii="Times New Roman" w:hAnsi="Times New Roman"/>
                <w:sz w:val="24"/>
                <w:szCs w:val="24"/>
              </w:rPr>
            </w:pPr>
          </w:p>
        </w:tc>
        <w:tc>
          <w:tcPr>
            <w:tcW w:w="660" w:type="pct"/>
            <w:shd w:val="clear" w:color="auto" w:fill="auto"/>
            <w:vAlign w:val="center"/>
          </w:tcPr>
          <w:p w14:paraId="4591F72F">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黄仁训</w:t>
            </w:r>
          </w:p>
        </w:tc>
        <w:tc>
          <w:tcPr>
            <w:tcW w:w="3326" w:type="pct"/>
            <w:vMerge w:val="continue"/>
            <w:shd w:val="clear" w:color="auto" w:fill="auto"/>
            <w:vAlign w:val="center"/>
          </w:tcPr>
          <w:p w14:paraId="6AF18B2F">
            <w:pPr>
              <w:pStyle w:val="63"/>
              <w:spacing w:line="360" w:lineRule="auto"/>
              <w:jc w:val="left"/>
              <w:rPr>
                <w:rFonts w:ascii="Times New Roman" w:hAnsi="Times New Roman"/>
                <w:sz w:val="24"/>
                <w:szCs w:val="24"/>
              </w:rPr>
            </w:pPr>
          </w:p>
        </w:tc>
      </w:tr>
      <w:tr w14:paraId="19E8B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shd w:val="clear" w:color="auto" w:fill="auto"/>
            <w:vAlign w:val="center"/>
          </w:tcPr>
          <w:p w14:paraId="1901CE55">
            <w:pPr>
              <w:pStyle w:val="63"/>
              <w:spacing w:line="360" w:lineRule="auto"/>
              <w:rPr>
                <w:rFonts w:ascii="Times New Roman" w:hAnsi="Times New Roman"/>
                <w:sz w:val="24"/>
                <w:szCs w:val="24"/>
              </w:rPr>
            </w:pPr>
            <w:r>
              <w:rPr>
                <w:rFonts w:ascii="Times New Roman" w:hAnsi="Times New Roman"/>
                <w:sz w:val="24"/>
                <w:szCs w:val="24"/>
              </w:rPr>
              <w:t>塔司</w:t>
            </w:r>
          </w:p>
        </w:tc>
        <w:tc>
          <w:tcPr>
            <w:tcW w:w="660" w:type="pct"/>
            <w:shd w:val="clear" w:color="auto" w:fill="auto"/>
            <w:vAlign w:val="center"/>
          </w:tcPr>
          <w:p w14:paraId="7ABA0B17">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彭兴华</w:t>
            </w:r>
          </w:p>
        </w:tc>
        <w:tc>
          <w:tcPr>
            <w:tcW w:w="3326" w:type="pct"/>
            <w:shd w:val="clear" w:color="auto" w:fill="auto"/>
            <w:vAlign w:val="center"/>
          </w:tcPr>
          <w:p w14:paraId="5745A930">
            <w:pPr>
              <w:pStyle w:val="63"/>
              <w:spacing w:line="360" w:lineRule="auto"/>
              <w:jc w:val="left"/>
              <w:rPr>
                <w:rFonts w:ascii="Times New Roman" w:hAnsi="Times New Roman"/>
                <w:sz w:val="24"/>
                <w:szCs w:val="24"/>
              </w:rPr>
            </w:pPr>
            <w:r>
              <w:rPr>
                <w:rFonts w:ascii="Times New Roman" w:hAnsi="Times New Roman"/>
                <w:sz w:val="24"/>
                <w:szCs w:val="24"/>
              </w:rPr>
              <w:t>配合塔机</w:t>
            </w:r>
            <w:r>
              <w:rPr>
                <w:rFonts w:hint="eastAsia" w:ascii="Times New Roman" w:hAnsi="Times New Roman"/>
                <w:sz w:val="24"/>
                <w:szCs w:val="24"/>
                <w:lang w:val="en-US" w:eastAsia="zh-CN"/>
              </w:rPr>
              <w:t>安拆</w:t>
            </w:r>
            <w:r>
              <w:rPr>
                <w:rFonts w:ascii="Times New Roman" w:hAnsi="Times New Roman"/>
                <w:sz w:val="24"/>
                <w:szCs w:val="24"/>
              </w:rPr>
              <w:t>过程中的塔机操作。</w:t>
            </w:r>
          </w:p>
        </w:tc>
      </w:tr>
      <w:tr w14:paraId="0AB4A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shd w:val="clear" w:color="auto" w:fill="auto"/>
            <w:vAlign w:val="center"/>
          </w:tcPr>
          <w:p w14:paraId="52463C87">
            <w:pPr>
              <w:pStyle w:val="63"/>
              <w:spacing w:line="360" w:lineRule="auto"/>
              <w:rPr>
                <w:rFonts w:ascii="Times New Roman" w:hAnsi="Times New Roman"/>
                <w:sz w:val="24"/>
                <w:szCs w:val="24"/>
              </w:rPr>
            </w:pPr>
            <w:r>
              <w:rPr>
                <w:rFonts w:ascii="Times New Roman" w:hAnsi="Times New Roman"/>
                <w:sz w:val="24"/>
                <w:szCs w:val="24"/>
              </w:rPr>
              <w:t>信号、司索工</w:t>
            </w:r>
          </w:p>
        </w:tc>
        <w:tc>
          <w:tcPr>
            <w:tcW w:w="660" w:type="pct"/>
            <w:shd w:val="clear" w:color="auto" w:fill="auto"/>
            <w:vAlign w:val="center"/>
          </w:tcPr>
          <w:p w14:paraId="5C0B79FE">
            <w:pPr>
              <w:pStyle w:val="63"/>
              <w:spacing w:line="360" w:lineRule="auto"/>
              <w:rPr>
                <w:rFonts w:hint="eastAsia" w:ascii="Times New Roman" w:hAnsi="Times New Roman" w:eastAsia="宋体"/>
                <w:color w:val="FF0000"/>
                <w:sz w:val="24"/>
                <w:szCs w:val="24"/>
                <w:lang w:eastAsia="zh-CN"/>
              </w:rPr>
            </w:pPr>
            <w:r>
              <w:rPr>
                <w:rFonts w:hint="eastAsia" w:ascii="Times New Roman" w:hAnsi="Times New Roman"/>
                <w:color w:val="FF0000"/>
                <w:sz w:val="24"/>
                <w:szCs w:val="24"/>
                <w:lang w:val="en-US" w:eastAsia="zh-CN"/>
              </w:rPr>
              <w:t>张全超</w:t>
            </w:r>
          </w:p>
        </w:tc>
        <w:tc>
          <w:tcPr>
            <w:tcW w:w="3326" w:type="pct"/>
            <w:shd w:val="clear" w:color="auto" w:fill="auto"/>
            <w:vAlign w:val="center"/>
          </w:tcPr>
          <w:p w14:paraId="41A3073B">
            <w:pPr>
              <w:pStyle w:val="63"/>
              <w:spacing w:line="360" w:lineRule="auto"/>
              <w:jc w:val="left"/>
              <w:rPr>
                <w:rFonts w:ascii="Times New Roman" w:hAnsi="Times New Roman"/>
                <w:sz w:val="24"/>
                <w:szCs w:val="24"/>
              </w:rPr>
            </w:pPr>
            <w:r>
              <w:rPr>
                <w:rFonts w:ascii="Times New Roman" w:hAnsi="Times New Roman"/>
                <w:sz w:val="24"/>
                <w:szCs w:val="24"/>
              </w:rPr>
              <w:t>配合塔机</w:t>
            </w:r>
            <w:r>
              <w:rPr>
                <w:rFonts w:hint="eastAsia" w:ascii="Times New Roman" w:hAnsi="Times New Roman"/>
                <w:sz w:val="24"/>
                <w:szCs w:val="24"/>
                <w:lang w:val="en-US" w:eastAsia="zh-CN"/>
              </w:rPr>
              <w:t>安拆</w:t>
            </w:r>
            <w:r>
              <w:rPr>
                <w:rFonts w:ascii="Times New Roman" w:hAnsi="Times New Roman"/>
                <w:sz w:val="24"/>
                <w:szCs w:val="24"/>
              </w:rPr>
              <w:t>过程中的信号指挥。</w:t>
            </w:r>
          </w:p>
        </w:tc>
      </w:tr>
      <w:tr w14:paraId="3ED45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shd w:val="clear" w:color="auto" w:fill="auto"/>
            <w:vAlign w:val="center"/>
          </w:tcPr>
          <w:p w14:paraId="3FE262F2">
            <w:pPr>
              <w:pStyle w:val="63"/>
              <w:spacing w:line="360" w:lineRule="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辅助塔机</w:t>
            </w:r>
          </w:p>
        </w:tc>
        <w:tc>
          <w:tcPr>
            <w:tcW w:w="660" w:type="pct"/>
            <w:shd w:val="clear" w:color="auto" w:fill="auto"/>
            <w:vAlign w:val="center"/>
          </w:tcPr>
          <w:p w14:paraId="5DAF1CEC">
            <w:pPr>
              <w:pStyle w:val="63"/>
              <w:spacing w:line="360" w:lineRule="auto"/>
              <w:rPr>
                <w:rFonts w:hint="eastAsia" w:ascii="Times New Roman" w:hAnsi="Times New Roman"/>
                <w:color w:val="FF0000"/>
                <w:sz w:val="24"/>
                <w:szCs w:val="24"/>
                <w:lang w:val="en-US" w:eastAsia="zh-CN"/>
              </w:rPr>
            </w:pPr>
            <w:r>
              <w:rPr>
                <w:rFonts w:ascii="Times New Roman" w:hAnsi="Times New Roman"/>
                <w:sz w:val="24"/>
                <w:szCs w:val="24"/>
              </w:rPr>
              <w:t>——</w:t>
            </w:r>
          </w:p>
        </w:tc>
        <w:tc>
          <w:tcPr>
            <w:tcW w:w="3326" w:type="pct"/>
            <w:shd w:val="clear" w:color="auto" w:fill="auto"/>
            <w:vAlign w:val="center"/>
          </w:tcPr>
          <w:p w14:paraId="55C83B9B">
            <w:pPr>
              <w:pStyle w:val="63"/>
              <w:spacing w:line="360" w:lineRule="auto"/>
              <w:jc w:val="left"/>
              <w:rPr>
                <w:rFonts w:ascii="Times New Roman" w:hAnsi="Times New Roman"/>
                <w:sz w:val="24"/>
                <w:szCs w:val="24"/>
              </w:rPr>
            </w:pPr>
            <w:r>
              <w:rPr>
                <w:rFonts w:ascii="Times New Roman" w:hAnsi="Times New Roman"/>
                <w:sz w:val="24"/>
                <w:szCs w:val="24"/>
              </w:rPr>
              <w:t>密切配合塔机</w:t>
            </w:r>
            <w:r>
              <w:rPr>
                <w:rFonts w:hint="eastAsia" w:ascii="Times New Roman" w:hAnsi="Times New Roman"/>
                <w:sz w:val="24"/>
                <w:szCs w:val="24"/>
                <w:lang w:val="en-US" w:eastAsia="zh-CN"/>
              </w:rPr>
              <w:t>安装</w:t>
            </w:r>
            <w:r>
              <w:rPr>
                <w:rFonts w:ascii="Times New Roman" w:hAnsi="Times New Roman"/>
                <w:sz w:val="24"/>
                <w:szCs w:val="24"/>
              </w:rPr>
              <w:t>的吊装工作。</w:t>
            </w:r>
          </w:p>
        </w:tc>
      </w:tr>
      <w:tr w14:paraId="56C01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013" w:type="pct"/>
            <w:shd w:val="clear" w:color="auto" w:fill="auto"/>
            <w:vAlign w:val="center"/>
          </w:tcPr>
          <w:p w14:paraId="43ED91DE">
            <w:pPr>
              <w:pStyle w:val="63"/>
              <w:spacing w:line="360" w:lineRule="auto"/>
              <w:rPr>
                <w:rFonts w:ascii="Times New Roman" w:hAnsi="Times New Roman"/>
                <w:sz w:val="24"/>
                <w:szCs w:val="24"/>
              </w:rPr>
            </w:pPr>
            <w:r>
              <w:rPr>
                <w:rFonts w:ascii="Times New Roman" w:hAnsi="Times New Roman"/>
                <w:sz w:val="24"/>
                <w:szCs w:val="24"/>
              </w:rPr>
              <w:t>辅助吊车</w:t>
            </w:r>
          </w:p>
        </w:tc>
        <w:tc>
          <w:tcPr>
            <w:tcW w:w="660" w:type="pct"/>
            <w:shd w:val="clear" w:color="auto" w:fill="auto"/>
            <w:vAlign w:val="center"/>
          </w:tcPr>
          <w:p w14:paraId="4572C1E2">
            <w:pPr>
              <w:pStyle w:val="63"/>
              <w:spacing w:line="360" w:lineRule="auto"/>
              <w:rPr>
                <w:rFonts w:ascii="Times New Roman" w:hAnsi="Times New Roman"/>
                <w:sz w:val="24"/>
                <w:szCs w:val="24"/>
              </w:rPr>
            </w:pPr>
            <w:r>
              <w:rPr>
                <w:rFonts w:ascii="Times New Roman" w:hAnsi="Times New Roman"/>
                <w:sz w:val="24"/>
                <w:szCs w:val="24"/>
              </w:rPr>
              <w:t>——</w:t>
            </w:r>
          </w:p>
        </w:tc>
        <w:tc>
          <w:tcPr>
            <w:tcW w:w="3326" w:type="pct"/>
            <w:shd w:val="clear" w:color="auto" w:fill="auto"/>
            <w:vAlign w:val="center"/>
          </w:tcPr>
          <w:p w14:paraId="2696679B">
            <w:pPr>
              <w:pStyle w:val="63"/>
              <w:spacing w:line="360" w:lineRule="auto"/>
              <w:jc w:val="left"/>
              <w:rPr>
                <w:rFonts w:ascii="Times New Roman" w:hAnsi="Times New Roman"/>
                <w:sz w:val="24"/>
                <w:szCs w:val="24"/>
              </w:rPr>
            </w:pPr>
            <w:r>
              <w:rPr>
                <w:rFonts w:ascii="Times New Roman" w:hAnsi="Times New Roman"/>
                <w:sz w:val="24"/>
                <w:szCs w:val="24"/>
              </w:rPr>
              <w:t>密切配合塔机</w:t>
            </w:r>
            <w:r>
              <w:rPr>
                <w:rFonts w:hint="eastAsia" w:ascii="Times New Roman" w:hAnsi="Times New Roman"/>
                <w:sz w:val="24"/>
                <w:szCs w:val="24"/>
                <w:lang w:val="en-US" w:eastAsia="zh-CN"/>
              </w:rPr>
              <w:t>拆除</w:t>
            </w:r>
            <w:r>
              <w:rPr>
                <w:rFonts w:ascii="Times New Roman" w:hAnsi="Times New Roman"/>
                <w:sz w:val="24"/>
                <w:szCs w:val="24"/>
              </w:rPr>
              <w:t>的吊装工作。</w:t>
            </w:r>
          </w:p>
        </w:tc>
      </w:tr>
      <w:tr w14:paraId="4A4DD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5000" w:type="pct"/>
            <w:gridSpan w:val="3"/>
            <w:shd w:val="clear" w:color="auto" w:fill="auto"/>
            <w:vAlign w:val="center"/>
          </w:tcPr>
          <w:p w14:paraId="4B064941">
            <w:pPr>
              <w:pStyle w:val="63"/>
              <w:spacing w:line="360" w:lineRule="auto"/>
              <w:rPr>
                <w:rFonts w:ascii="Times New Roman" w:hAnsi="Times New Roman"/>
                <w:sz w:val="24"/>
                <w:szCs w:val="24"/>
              </w:rPr>
            </w:pPr>
            <w:r>
              <w:rPr>
                <w:rFonts w:ascii="Times New Roman" w:hAnsi="Times New Roman"/>
                <w:sz w:val="24"/>
                <w:szCs w:val="24"/>
              </w:rPr>
              <w:t>注：若因其它原因以上人员当天不能到现场，则必须安排具有安（拆）资质人员到岗作业。</w:t>
            </w:r>
          </w:p>
        </w:tc>
      </w:tr>
    </w:tbl>
    <w:p w14:paraId="4155DAC5">
      <w:pPr>
        <w:pStyle w:val="5"/>
        <w:rPr>
          <w:rFonts w:hint="eastAsia" w:cs="Times New Roman"/>
        </w:rPr>
      </w:pPr>
      <w:bookmarkStart w:id="33" w:name="_Toc19260"/>
      <w:r>
        <w:rPr>
          <w:rFonts w:hint="eastAsia" w:cs="Times New Roman"/>
          <w:lang w:val="en-US" w:eastAsia="zh-CN"/>
        </w:rPr>
        <w:t>6.2施工机械及材料</w:t>
      </w:r>
      <w:bookmarkEnd w:id="33"/>
    </w:p>
    <w:tbl>
      <w:tblPr>
        <w:tblStyle w:val="30"/>
        <w:tblW w:w="56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819"/>
        <w:gridCol w:w="3020"/>
        <w:gridCol w:w="1257"/>
        <w:gridCol w:w="1218"/>
        <w:gridCol w:w="1505"/>
      </w:tblGrid>
      <w:tr w14:paraId="0478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Align w:val="center"/>
          </w:tcPr>
          <w:p w14:paraId="13C00C3C">
            <w:pPr>
              <w:tabs>
                <w:tab w:val="left" w:pos="8100"/>
              </w:tabs>
              <w:jc w:val="center"/>
              <w:rPr>
                <w:rFonts w:eastAsia="宋体" w:cs="Times New Roman"/>
                <w:szCs w:val="24"/>
              </w:rPr>
            </w:pPr>
            <w:r>
              <w:rPr>
                <w:rFonts w:eastAsia="宋体" w:cs="Times New Roman"/>
                <w:szCs w:val="24"/>
              </w:rPr>
              <w:t>序号</w:t>
            </w:r>
          </w:p>
        </w:tc>
        <w:tc>
          <w:tcPr>
            <w:tcW w:w="952" w:type="pct"/>
            <w:vAlign w:val="center"/>
          </w:tcPr>
          <w:p w14:paraId="24D20D13">
            <w:pPr>
              <w:tabs>
                <w:tab w:val="left" w:pos="8100"/>
              </w:tabs>
              <w:jc w:val="center"/>
              <w:rPr>
                <w:rFonts w:eastAsia="宋体" w:cs="Times New Roman"/>
                <w:szCs w:val="24"/>
              </w:rPr>
            </w:pPr>
            <w:r>
              <w:rPr>
                <w:rFonts w:eastAsia="宋体" w:cs="Times New Roman"/>
                <w:szCs w:val="24"/>
              </w:rPr>
              <w:t>机具名称</w:t>
            </w:r>
          </w:p>
        </w:tc>
        <w:tc>
          <w:tcPr>
            <w:tcW w:w="1581" w:type="pct"/>
            <w:vAlign w:val="center"/>
          </w:tcPr>
          <w:p w14:paraId="6125BDE9">
            <w:pPr>
              <w:tabs>
                <w:tab w:val="left" w:pos="8100"/>
              </w:tabs>
              <w:jc w:val="center"/>
              <w:rPr>
                <w:rFonts w:eastAsia="宋体" w:cs="Times New Roman"/>
                <w:szCs w:val="24"/>
              </w:rPr>
            </w:pPr>
            <w:r>
              <w:rPr>
                <w:rFonts w:eastAsia="宋体" w:cs="Times New Roman"/>
                <w:szCs w:val="24"/>
              </w:rPr>
              <w:t>规格型号</w:t>
            </w:r>
          </w:p>
        </w:tc>
        <w:tc>
          <w:tcPr>
            <w:tcW w:w="658" w:type="pct"/>
            <w:vAlign w:val="center"/>
          </w:tcPr>
          <w:p w14:paraId="790452D4">
            <w:pPr>
              <w:tabs>
                <w:tab w:val="left" w:pos="8100"/>
              </w:tabs>
              <w:jc w:val="center"/>
              <w:rPr>
                <w:rFonts w:eastAsia="宋体" w:cs="Times New Roman"/>
                <w:szCs w:val="24"/>
              </w:rPr>
            </w:pPr>
            <w:r>
              <w:rPr>
                <w:rFonts w:eastAsia="宋体" w:cs="Times New Roman"/>
                <w:szCs w:val="24"/>
              </w:rPr>
              <w:t>单位</w:t>
            </w:r>
          </w:p>
        </w:tc>
        <w:tc>
          <w:tcPr>
            <w:tcW w:w="637" w:type="pct"/>
            <w:vAlign w:val="center"/>
          </w:tcPr>
          <w:p w14:paraId="2AA7C4AA">
            <w:pPr>
              <w:tabs>
                <w:tab w:val="left" w:pos="8100"/>
              </w:tabs>
              <w:jc w:val="center"/>
              <w:rPr>
                <w:rFonts w:eastAsia="宋体" w:cs="Times New Roman"/>
                <w:szCs w:val="24"/>
              </w:rPr>
            </w:pPr>
            <w:r>
              <w:rPr>
                <w:rFonts w:eastAsia="宋体" w:cs="Times New Roman"/>
                <w:szCs w:val="24"/>
              </w:rPr>
              <w:t>数量</w:t>
            </w:r>
          </w:p>
        </w:tc>
        <w:tc>
          <w:tcPr>
            <w:tcW w:w="788" w:type="pct"/>
            <w:vAlign w:val="center"/>
          </w:tcPr>
          <w:p w14:paraId="656707B6">
            <w:pPr>
              <w:tabs>
                <w:tab w:val="left" w:pos="8100"/>
              </w:tabs>
              <w:jc w:val="center"/>
              <w:rPr>
                <w:rFonts w:eastAsia="宋体" w:cs="Times New Roman"/>
                <w:szCs w:val="24"/>
              </w:rPr>
            </w:pPr>
            <w:r>
              <w:rPr>
                <w:rFonts w:eastAsia="宋体" w:cs="Times New Roman"/>
                <w:szCs w:val="24"/>
              </w:rPr>
              <w:t>备注</w:t>
            </w:r>
          </w:p>
        </w:tc>
      </w:tr>
      <w:tr w14:paraId="56C2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2D1933CC">
            <w:pPr>
              <w:tabs>
                <w:tab w:val="left" w:pos="8100"/>
              </w:tabs>
              <w:jc w:val="center"/>
              <w:rPr>
                <w:rFonts w:ascii="Times New Roman" w:hAnsi="Times New Roman" w:eastAsia="宋体" w:cs="Times New Roman"/>
                <w:kern w:val="2"/>
                <w:sz w:val="24"/>
                <w:szCs w:val="24"/>
                <w:lang w:val="en-US" w:eastAsia="zh-CN" w:bidi="ar-SA"/>
              </w:rPr>
            </w:pPr>
            <w:r>
              <w:rPr>
                <w:rFonts w:eastAsia="宋体" w:cs="Times New Roman"/>
                <w:szCs w:val="24"/>
              </w:rPr>
              <w:t>1</w:t>
            </w:r>
          </w:p>
        </w:tc>
        <w:tc>
          <w:tcPr>
            <w:tcW w:w="952" w:type="pct"/>
            <w:vAlign w:val="center"/>
          </w:tcPr>
          <w:p w14:paraId="4BE56DB9">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塔机</w:t>
            </w:r>
          </w:p>
        </w:tc>
        <w:tc>
          <w:tcPr>
            <w:tcW w:w="1581" w:type="pct"/>
            <w:vAlign w:val="center"/>
          </w:tcPr>
          <w:p w14:paraId="46475A43">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T1200-64Q塔式起重机</w:t>
            </w:r>
          </w:p>
        </w:tc>
        <w:tc>
          <w:tcPr>
            <w:tcW w:w="658" w:type="pct"/>
            <w:vAlign w:val="center"/>
          </w:tcPr>
          <w:p w14:paraId="4E626140">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台</w:t>
            </w:r>
          </w:p>
        </w:tc>
        <w:tc>
          <w:tcPr>
            <w:tcW w:w="637" w:type="pct"/>
            <w:vAlign w:val="center"/>
          </w:tcPr>
          <w:p w14:paraId="1E3F0E43">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1</w:t>
            </w:r>
          </w:p>
        </w:tc>
        <w:tc>
          <w:tcPr>
            <w:tcW w:w="788" w:type="pct"/>
            <w:vAlign w:val="center"/>
          </w:tcPr>
          <w:p w14:paraId="637D4B79">
            <w:pPr>
              <w:tabs>
                <w:tab w:val="left" w:pos="8100"/>
              </w:tabs>
              <w:jc w:val="center"/>
              <w:rPr>
                <w:rFonts w:hint="default" w:eastAsia="宋体" w:cs="Times New Roman"/>
                <w:szCs w:val="24"/>
                <w:lang w:val="en-US" w:eastAsia="zh-CN"/>
              </w:rPr>
            </w:pPr>
            <w:r>
              <w:rPr>
                <w:rFonts w:hint="eastAsia" w:eastAsia="宋体" w:cs="Times New Roman"/>
                <w:szCs w:val="24"/>
                <w:lang w:val="en-US" w:eastAsia="zh-CN"/>
              </w:rPr>
              <w:t>安装5#塔机</w:t>
            </w:r>
          </w:p>
        </w:tc>
      </w:tr>
      <w:tr w14:paraId="7221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05F9D0E5">
            <w:pPr>
              <w:tabs>
                <w:tab w:val="left" w:pos="8100"/>
              </w:tabs>
              <w:jc w:val="center"/>
              <w:rPr>
                <w:rFonts w:ascii="Times New Roman" w:hAnsi="Times New Roman" w:eastAsia="宋体" w:cs="Times New Roman"/>
                <w:kern w:val="2"/>
                <w:sz w:val="24"/>
                <w:szCs w:val="24"/>
                <w:lang w:val="en-US" w:eastAsia="zh-CN" w:bidi="ar-SA"/>
              </w:rPr>
            </w:pPr>
            <w:r>
              <w:rPr>
                <w:rFonts w:eastAsia="宋体" w:cs="Times New Roman"/>
                <w:szCs w:val="24"/>
              </w:rPr>
              <w:t>2</w:t>
            </w:r>
          </w:p>
        </w:tc>
        <w:tc>
          <w:tcPr>
            <w:tcW w:w="952" w:type="pct"/>
            <w:vAlign w:val="center"/>
          </w:tcPr>
          <w:p w14:paraId="104751EE">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汽车吊</w:t>
            </w:r>
          </w:p>
        </w:tc>
        <w:tc>
          <w:tcPr>
            <w:tcW w:w="1581" w:type="pct"/>
            <w:vAlign w:val="center"/>
          </w:tcPr>
          <w:p w14:paraId="5E2A790B">
            <w:pPr>
              <w:tabs>
                <w:tab w:val="left" w:pos="8100"/>
              </w:tabs>
              <w:jc w:val="center"/>
              <w:rPr>
                <w:rFonts w:hint="default" w:eastAsia="宋体" w:cs="Times New Roman"/>
                <w:szCs w:val="24"/>
                <w:lang w:val="en-US" w:eastAsia="zh-CN"/>
              </w:rPr>
            </w:pPr>
            <w:r>
              <w:rPr>
                <w:rFonts w:hint="eastAsia" w:eastAsia="宋体" w:cs="Times New Roman"/>
                <w:szCs w:val="24"/>
                <w:lang w:val="en-US" w:eastAsia="zh-CN"/>
              </w:rPr>
              <w:t>35t</w:t>
            </w:r>
          </w:p>
        </w:tc>
        <w:tc>
          <w:tcPr>
            <w:tcW w:w="658" w:type="pct"/>
            <w:vAlign w:val="center"/>
          </w:tcPr>
          <w:p w14:paraId="69233C98">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台</w:t>
            </w:r>
          </w:p>
        </w:tc>
        <w:tc>
          <w:tcPr>
            <w:tcW w:w="637" w:type="pct"/>
            <w:vAlign w:val="center"/>
          </w:tcPr>
          <w:p w14:paraId="2C8DF623">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1</w:t>
            </w:r>
          </w:p>
        </w:tc>
        <w:tc>
          <w:tcPr>
            <w:tcW w:w="788" w:type="pct"/>
            <w:vAlign w:val="center"/>
          </w:tcPr>
          <w:p w14:paraId="2E4BF12A">
            <w:pPr>
              <w:tabs>
                <w:tab w:val="left" w:pos="8100"/>
              </w:tabs>
              <w:jc w:val="center"/>
              <w:rPr>
                <w:rFonts w:hint="default" w:eastAsia="宋体" w:cs="Times New Roman"/>
                <w:szCs w:val="24"/>
                <w:lang w:val="en-US" w:eastAsia="zh-CN"/>
              </w:rPr>
            </w:pPr>
            <w:r>
              <w:rPr>
                <w:rFonts w:hint="eastAsia" w:eastAsia="宋体" w:cs="Times New Roman"/>
                <w:szCs w:val="24"/>
                <w:lang w:val="en-US" w:eastAsia="zh-CN"/>
              </w:rPr>
              <w:t>拆除5#塔机</w:t>
            </w:r>
          </w:p>
        </w:tc>
      </w:tr>
      <w:tr w14:paraId="1810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3AB8047D">
            <w:pPr>
              <w:tabs>
                <w:tab w:val="left" w:pos="8100"/>
              </w:tabs>
              <w:jc w:val="center"/>
              <w:rPr>
                <w:rFonts w:ascii="Times New Roman" w:hAnsi="Times New Roman" w:eastAsia="宋体" w:cs="Times New Roman"/>
                <w:kern w:val="2"/>
                <w:sz w:val="24"/>
                <w:szCs w:val="24"/>
                <w:lang w:val="en-US" w:eastAsia="zh-CN" w:bidi="ar-SA"/>
              </w:rPr>
            </w:pPr>
            <w:r>
              <w:rPr>
                <w:rFonts w:eastAsia="宋体" w:cs="Times New Roman"/>
                <w:szCs w:val="24"/>
              </w:rPr>
              <w:t>3</w:t>
            </w:r>
          </w:p>
        </w:tc>
        <w:tc>
          <w:tcPr>
            <w:tcW w:w="952" w:type="pct"/>
            <w:vAlign w:val="center"/>
          </w:tcPr>
          <w:p w14:paraId="289FD052">
            <w:pPr>
              <w:tabs>
                <w:tab w:val="left" w:pos="8100"/>
              </w:tabs>
              <w:jc w:val="center"/>
              <w:rPr>
                <w:rFonts w:eastAsia="宋体" w:cs="Times New Roman"/>
                <w:szCs w:val="24"/>
              </w:rPr>
            </w:pPr>
            <w:r>
              <w:rPr>
                <w:rFonts w:eastAsia="宋体" w:cs="Times New Roman"/>
                <w:szCs w:val="24"/>
              </w:rPr>
              <w:t>链条葫芦</w:t>
            </w:r>
          </w:p>
        </w:tc>
        <w:tc>
          <w:tcPr>
            <w:tcW w:w="1581" w:type="pct"/>
            <w:vAlign w:val="center"/>
          </w:tcPr>
          <w:p w14:paraId="47E16AB5">
            <w:pPr>
              <w:tabs>
                <w:tab w:val="left" w:pos="8100"/>
              </w:tabs>
              <w:jc w:val="center"/>
              <w:rPr>
                <w:rFonts w:hint="eastAsia" w:eastAsia="宋体" w:cs="Times New Roman"/>
                <w:szCs w:val="24"/>
                <w:lang w:val="en-US" w:eastAsia="zh-CN"/>
              </w:rPr>
            </w:pPr>
            <w:r>
              <w:rPr>
                <w:rFonts w:hint="eastAsia" w:eastAsia="宋体" w:cs="Times New Roman"/>
                <w:szCs w:val="24"/>
                <w:lang w:val="en-US" w:eastAsia="zh-CN"/>
              </w:rPr>
              <w:t>2t</w:t>
            </w:r>
          </w:p>
        </w:tc>
        <w:tc>
          <w:tcPr>
            <w:tcW w:w="658" w:type="pct"/>
            <w:vAlign w:val="center"/>
          </w:tcPr>
          <w:p w14:paraId="6A41607F">
            <w:pPr>
              <w:tabs>
                <w:tab w:val="left" w:pos="8100"/>
              </w:tabs>
              <w:jc w:val="center"/>
              <w:rPr>
                <w:rFonts w:eastAsia="宋体" w:cs="Times New Roman"/>
                <w:szCs w:val="24"/>
              </w:rPr>
            </w:pPr>
            <w:r>
              <w:rPr>
                <w:rFonts w:eastAsia="宋体" w:cs="Times New Roman"/>
                <w:szCs w:val="24"/>
              </w:rPr>
              <w:t>只</w:t>
            </w:r>
          </w:p>
        </w:tc>
        <w:tc>
          <w:tcPr>
            <w:tcW w:w="637" w:type="pct"/>
            <w:vAlign w:val="center"/>
          </w:tcPr>
          <w:p w14:paraId="55013233">
            <w:pPr>
              <w:tabs>
                <w:tab w:val="left" w:pos="8100"/>
              </w:tabs>
              <w:jc w:val="center"/>
              <w:rPr>
                <w:rFonts w:eastAsia="宋体" w:cs="Times New Roman"/>
                <w:szCs w:val="24"/>
              </w:rPr>
            </w:pPr>
            <w:r>
              <w:rPr>
                <w:rFonts w:eastAsia="宋体" w:cs="Times New Roman"/>
                <w:szCs w:val="24"/>
              </w:rPr>
              <w:t>1</w:t>
            </w:r>
          </w:p>
        </w:tc>
        <w:tc>
          <w:tcPr>
            <w:tcW w:w="788" w:type="pct"/>
            <w:vAlign w:val="center"/>
          </w:tcPr>
          <w:p w14:paraId="7AFF278A">
            <w:pPr>
              <w:tabs>
                <w:tab w:val="left" w:pos="8100"/>
              </w:tabs>
              <w:jc w:val="center"/>
              <w:rPr>
                <w:rFonts w:eastAsia="宋体" w:cs="Times New Roman"/>
                <w:szCs w:val="24"/>
              </w:rPr>
            </w:pPr>
          </w:p>
        </w:tc>
      </w:tr>
      <w:tr w14:paraId="64AA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48A61BE0">
            <w:pPr>
              <w:tabs>
                <w:tab w:val="left" w:pos="8100"/>
              </w:tabs>
              <w:jc w:val="center"/>
              <w:rPr>
                <w:rFonts w:ascii="Times New Roman" w:hAnsi="Times New Roman" w:eastAsia="宋体" w:cs="Times New Roman"/>
                <w:kern w:val="2"/>
                <w:sz w:val="24"/>
                <w:szCs w:val="24"/>
                <w:lang w:val="en-US" w:eastAsia="zh-CN" w:bidi="ar-SA"/>
              </w:rPr>
            </w:pPr>
            <w:r>
              <w:rPr>
                <w:rFonts w:eastAsia="宋体" w:cs="Times New Roman"/>
                <w:szCs w:val="24"/>
              </w:rPr>
              <w:t>4</w:t>
            </w:r>
          </w:p>
        </w:tc>
        <w:tc>
          <w:tcPr>
            <w:tcW w:w="952" w:type="pct"/>
            <w:vAlign w:val="center"/>
          </w:tcPr>
          <w:p w14:paraId="267DAE0A">
            <w:pPr>
              <w:tabs>
                <w:tab w:val="left" w:pos="8100"/>
              </w:tabs>
              <w:jc w:val="center"/>
              <w:rPr>
                <w:rFonts w:eastAsia="宋体" w:cs="Times New Roman"/>
                <w:szCs w:val="24"/>
              </w:rPr>
            </w:pPr>
            <w:r>
              <w:rPr>
                <w:rFonts w:eastAsia="宋体" w:cs="Times New Roman"/>
                <w:szCs w:val="24"/>
              </w:rPr>
              <w:t>重型套筒</w:t>
            </w:r>
          </w:p>
        </w:tc>
        <w:tc>
          <w:tcPr>
            <w:tcW w:w="1581" w:type="pct"/>
            <w:vAlign w:val="center"/>
          </w:tcPr>
          <w:p w14:paraId="3F7779CA">
            <w:pPr>
              <w:tabs>
                <w:tab w:val="left" w:pos="8100"/>
              </w:tabs>
              <w:jc w:val="center"/>
              <w:rPr>
                <w:rFonts w:eastAsia="宋体" w:cs="Times New Roman"/>
                <w:szCs w:val="24"/>
              </w:rPr>
            </w:pPr>
          </w:p>
        </w:tc>
        <w:tc>
          <w:tcPr>
            <w:tcW w:w="658" w:type="pct"/>
            <w:vAlign w:val="center"/>
          </w:tcPr>
          <w:p w14:paraId="7A962D62">
            <w:pPr>
              <w:tabs>
                <w:tab w:val="left" w:pos="8100"/>
              </w:tabs>
              <w:jc w:val="center"/>
              <w:rPr>
                <w:rFonts w:eastAsia="宋体" w:cs="Times New Roman"/>
                <w:szCs w:val="24"/>
              </w:rPr>
            </w:pPr>
            <w:r>
              <w:rPr>
                <w:rFonts w:eastAsia="宋体" w:cs="Times New Roman"/>
                <w:szCs w:val="24"/>
              </w:rPr>
              <w:t>套</w:t>
            </w:r>
          </w:p>
        </w:tc>
        <w:tc>
          <w:tcPr>
            <w:tcW w:w="637" w:type="pct"/>
            <w:vAlign w:val="center"/>
          </w:tcPr>
          <w:p w14:paraId="0ED1428C">
            <w:pPr>
              <w:tabs>
                <w:tab w:val="left" w:pos="8100"/>
              </w:tabs>
              <w:jc w:val="center"/>
              <w:rPr>
                <w:rFonts w:eastAsia="宋体" w:cs="Times New Roman"/>
                <w:szCs w:val="24"/>
              </w:rPr>
            </w:pPr>
            <w:r>
              <w:rPr>
                <w:rFonts w:eastAsia="宋体" w:cs="Times New Roman"/>
                <w:szCs w:val="24"/>
              </w:rPr>
              <w:t>1</w:t>
            </w:r>
          </w:p>
        </w:tc>
        <w:tc>
          <w:tcPr>
            <w:tcW w:w="788" w:type="pct"/>
            <w:vAlign w:val="center"/>
          </w:tcPr>
          <w:p w14:paraId="02BAED5E">
            <w:pPr>
              <w:tabs>
                <w:tab w:val="left" w:pos="8100"/>
              </w:tabs>
              <w:jc w:val="center"/>
              <w:rPr>
                <w:rFonts w:eastAsia="宋体" w:cs="Times New Roman"/>
                <w:szCs w:val="24"/>
              </w:rPr>
            </w:pPr>
          </w:p>
        </w:tc>
      </w:tr>
      <w:tr w14:paraId="29AB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06E2E47E">
            <w:pPr>
              <w:tabs>
                <w:tab w:val="left" w:pos="8100"/>
              </w:tabs>
              <w:jc w:val="center"/>
              <w:rPr>
                <w:rFonts w:ascii="Times New Roman" w:hAnsi="Times New Roman" w:eastAsia="宋体" w:cs="Times New Roman"/>
                <w:kern w:val="2"/>
                <w:sz w:val="24"/>
                <w:szCs w:val="24"/>
                <w:lang w:val="en-US" w:eastAsia="zh-CN" w:bidi="ar-SA"/>
              </w:rPr>
            </w:pPr>
            <w:r>
              <w:rPr>
                <w:rFonts w:eastAsia="宋体" w:cs="Times New Roman"/>
                <w:szCs w:val="24"/>
              </w:rPr>
              <w:t>5</w:t>
            </w:r>
          </w:p>
        </w:tc>
        <w:tc>
          <w:tcPr>
            <w:tcW w:w="952" w:type="pct"/>
            <w:vAlign w:val="center"/>
          </w:tcPr>
          <w:p w14:paraId="618144D7">
            <w:pPr>
              <w:tabs>
                <w:tab w:val="left" w:pos="8100"/>
              </w:tabs>
              <w:jc w:val="center"/>
              <w:rPr>
                <w:rFonts w:eastAsia="宋体" w:cs="Times New Roman"/>
                <w:szCs w:val="24"/>
              </w:rPr>
            </w:pPr>
            <w:r>
              <w:rPr>
                <w:rFonts w:eastAsia="宋体" w:cs="Times New Roman"/>
                <w:szCs w:val="24"/>
              </w:rPr>
              <w:t>活动扳手</w:t>
            </w:r>
          </w:p>
        </w:tc>
        <w:tc>
          <w:tcPr>
            <w:tcW w:w="1581" w:type="pct"/>
            <w:vAlign w:val="center"/>
          </w:tcPr>
          <w:p w14:paraId="787D108F">
            <w:pPr>
              <w:tabs>
                <w:tab w:val="left" w:pos="8100"/>
              </w:tabs>
              <w:jc w:val="center"/>
              <w:rPr>
                <w:rFonts w:eastAsia="宋体" w:cs="Times New Roman"/>
                <w:szCs w:val="24"/>
              </w:rPr>
            </w:pPr>
            <w:r>
              <w:rPr>
                <w:rFonts w:eastAsia="宋体" w:cs="Times New Roman"/>
                <w:szCs w:val="24"/>
              </w:rPr>
              <w:t>8-18</w:t>
            </w:r>
          </w:p>
        </w:tc>
        <w:tc>
          <w:tcPr>
            <w:tcW w:w="658" w:type="pct"/>
            <w:vAlign w:val="center"/>
          </w:tcPr>
          <w:p w14:paraId="0A7C8233">
            <w:pPr>
              <w:tabs>
                <w:tab w:val="left" w:pos="8100"/>
              </w:tabs>
              <w:jc w:val="center"/>
              <w:rPr>
                <w:rFonts w:eastAsia="宋体" w:cs="Times New Roman"/>
                <w:szCs w:val="24"/>
              </w:rPr>
            </w:pPr>
            <w:r>
              <w:rPr>
                <w:rFonts w:eastAsia="宋体" w:cs="Times New Roman"/>
                <w:szCs w:val="24"/>
              </w:rPr>
              <w:t>套（件）</w:t>
            </w:r>
          </w:p>
        </w:tc>
        <w:tc>
          <w:tcPr>
            <w:tcW w:w="637" w:type="pct"/>
            <w:vAlign w:val="center"/>
          </w:tcPr>
          <w:p w14:paraId="4117FAD1">
            <w:pPr>
              <w:tabs>
                <w:tab w:val="left" w:pos="8100"/>
              </w:tabs>
              <w:jc w:val="center"/>
              <w:rPr>
                <w:rFonts w:eastAsia="宋体" w:cs="Times New Roman"/>
                <w:szCs w:val="24"/>
              </w:rPr>
            </w:pPr>
            <w:r>
              <w:rPr>
                <w:rFonts w:eastAsia="宋体" w:cs="Times New Roman"/>
                <w:szCs w:val="24"/>
              </w:rPr>
              <w:t>1</w:t>
            </w:r>
          </w:p>
        </w:tc>
        <w:tc>
          <w:tcPr>
            <w:tcW w:w="788" w:type="pct"/>
            <w:vAlign w:val="center"/>
          </w:tcPr>
          <w:p w14:paraId="4C2B3B21">
            <w:pPr>
              <w:tabs>
                <w:tab w:val="left" w:pos="8100"/>
              </w:tabs>
              <w:jc w:val="center"/>
              <w:rPr>
                <w:rFonts w:eastAsia="宋体" w:cs="Times New Roman"/>
                <w:szCs w:val="24"/>
              </w:rPr>
            </w:pPr>
          </w:p>
        </w:tc>
      </w:tr>
      <w:tr w14:paraId="74AE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4916A2E6">
            <w:pPr>
              <w:tabs>
                <w:tab w:val="left" w:pos="8100"/>
              </w:tabs>
              <w:jc w:val="center"/>
              <w:rPr>
                <w:rFonts w:ascii="Times New Roman" w:hAnsi="Times New Roman" w:eastAsia="宋体" w:cs="Times New Roman"/>
                <w:kern w:val="2"/>
                <w:sz w:val="24"/>
                <w:szCs w:val="24"/>
                <w:lang w:val="en-US" w:eastAsia="zh-CN" w:bidi="ar-SA"/>
              </w:rPr>
            </w:pPr>
            <w:r>
              <w:rPr>
                <w:rFonts w:eastAsia="宋体" w:cs="Times New Roman"/>
                <w:szCs w:val="24"/>
              </w:rPr>
              <w:t>6</w:t>
            </w:r>
          </w:p>
        </w:tc>
        <w:tc>
          <w:tcPr>
            <w:tcW w:w="952" w:type="pct"/>
            <w:vAlign w:val="center"/>
          </w:tcPr>
          <w:p w14:paraId="7FE683AC">
            <w:pPr>
              <w:tabs>
                <w:tab w:val="left" w:pos="8100"/>
              </w:tabs>
              <w:jc w:val="center"/>
              <w:rPr>
                <w:rFonts w:eastAsia="宋体" w:cs="Times New Roman"/>
                <w:szCs w:val="24"/>
              </w:rPr>
            </w:pPr>
            <w:r>
              <w:rPr>
                <w:rFonts w:eastAsia="宋体" w:cs="Times New Roman"/>
                <w:szCs w:val="24"/>
              </w:rPr>
              <w:t>撬棍</w:t>
            </w:r>
          </w:p>
        </w:tc>
        <w:tc>
          <w:tcPr>
            <w:tcW w:w="1581" w:type="pct"/>
            <w:vAlign w:val="center"/>
          </w:tcPr>
          <w:p w14:paraId="19D02464">
            <w:pPr>
              <w:tabs>
                <w:tab w:val="left" w:pos="8100"/>
              </w:tabs>
              <w:jc w:val="center"/>
              <w:rPr>
                <w:rFonts w:eastAsia="宋体" w:cs="Times New Roman"/>
                <w:szCs w:val="24"/>
              </w:rPr>
            </w:pPr>
            <w:r>
              <w:rPr>
                <w:rFonts w:eastAsia="宋体" w:cs="Times New Roman"/>
                <w:szCs w:val="24"/>
              </w:rPr>
              <w:t>长/短</w:t>
            </w:r>
          </w:p>
        </w:tc>
        <w:tc>
          <w:tcPr>
            <w:tcW w:w="658" w:type="pct"/>
            <w:vAlign w:val="center"/>
          </w:tcPr>
          <w:p w14:paraId="19FF3434">
            <w:pPr>
              <w:tabs>
                <w:tab w:val="left" w:pos="8100"/>
              </w:tabs>
              <w:jc w:val="center"/>
              <w:rPr>
                <w:rFonts w:eastAsia="宋体" w:cs="Times New Roman"/>
                <w:szCs w:val="24"/>
              </w:rPr>
            </w:pPr>
            <w:r>
              <w:rPr>
                <w:rFonts w:eastAsia="宋体" w:cs="Times New Roman"/>
                <w:szCs w:val="24"/>
              </w:rPr>
              <w:t>根</w:t>
            </w:r>
          </w:p>
        </w:tc>
        <w:tc>
          <w:tcPr>
            <w:tcW w:w="637" w:type="pct"/>
            <w:vAlign w:val="center"/>
          </w:tcPr>
          <w:p w14:paraId="2941954F">
            <w:pPr>
              <w:tabs>
                <w:tab w:val="left" w:pos="8100"/>
              </w:tabs>
              <w:jc w:val="center"/>
              <w:rPr>
                <w:rFonts w:eastAsia="宋体" w:cs="Times New Roman"/>
                <w:szCs w:val="24"/>
              </w:rPr>
            </w:pPr>
            <w:r>
              <w:rPr>
                <w:rFonts w:eastAsia="宋体" w:cs="Times New Roman"/>
                <w:szCs w:val="24"/>
              </w:rPr>
              <w:t>2/3</w:t>
            </w:r>
          </w:p>
        </w:tc>
        <w:tc>
          <w:tcPr>
            <w:tcW w:w="788" w:type="pct"/>
            <w:vAlign w:val="center"/>
          </w:tcPr>
          <w:p w14:paraId="234D735E">
            <w:pPr>
              <w:tabs>
                <w:tab w:val="left" w:pos="8100"/>
              </w:tabs>
              <w:jc w:val="center"/>
              <w:rPr>
                <w:rFonts w:eastAsia="宋体" w:cs="Times New Roman"/>
                <w:szCs w:val="24"/>
              </w:rPr>
            </w:pPr>
          </w:p>
        </w:tc>
      </w:tr>
      <w:tr w14:paraId="52E7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18CB2503">
            <w:pPr>
              <w:tabs>
                <w:tab w:val="left" w:pos="8100"/>
              </w:tabs>
              <w:jc w:val="center"/>
              <w:rPr>
                <w:rFonts w:ascii="Times New Roman" w:hAnsi="Times New Roman" w:eastAsia="宋体" w:cs="Times New Roman"/>
                <w:kern w:val="2"/>
                <w:sz w:val="24"/>
                <w:szCs w:val="24"/>
                <w:lang w:val="en-US" w:eastAsia="zh-CN" w:bidi="ar-SA"/>
              </w:rPr>
            </w:pPr>
            <w:r>
              <w:rPr>
                <w:rFonts w:hint="eastAsia" w:eastAsia="宋体" w:cs="Times New Roman"/>
                <w:szCs w:val="24"/>
              </w:rPr>
              <w:t>7</w:t>
            </w:r>
          </w:p>
        </w:tc>
        <w:tc>
          <w:tcPr>
            <w:tcW w:w="952" w:type="pct"/>
            <w:vAlign w:val="center"/>
          </w:tcPr>
          <w:p w14:paraId="15AD8435">
            <w:pPr>
              <w:tabs>
                <w:tab w:val="left" w:pos="8100"/>
              </w:tabs>
              <w:jc w:val="center"/>
              <w:rPr>
                <w:rFonts w:eastAsia="宋体" w:cs="Times New Roman"/>
                <w:szCs w:val="24"/>
              </w:rPr>
            </w:pPr>
            <w:r>
              <w:rPr>
                <w:rFonts w:eastAsia="宋体" w:cs="Times New Roman"/>
                <w:szCs w:val="24"/>
              </w:rPr>
              <w:t>大锤</w:t>
            </w:r>
          </w:p>
        </w:tc>
        <w:tc>
          <w:tcPr>
            <w:tcW w:w="1581" w:type="pct"/>
            <w:vAlign w:val="center"/>
          </w:tcPr>
          <w:p w14:paraId="09D7AABE">
            <w:pPr>
              <w:tabs>
                <w:tab w:val="left" w:pos="8100"/>
              </w:tabs>
              <w:jc w:val="center"/>
              <w:rPr>
                <w:rFonts w:eastAsia="宋体" w:cs="Times New Roman"/>
                <w:szCs w:val="24"/>
              </w:rPr>
            </w:pPr>
            <w:r>
              <w:rPr>
                <w:rFonts w:eastAsia="宋体" w:cs="Times New Roman"/>
                <w:szCs w:val="24"/>
              </w:rPr>
              <w:t>6-12P</w:t>
            </w:r>
          </w:p>
        </w:tc>
        <w:tc>
          <w:tcPr>
            <w:tcW w:w="658" w:type="pct"/>
            <w:vAlign w:val="center"/>
          </w:tcPr>
          <w:p w14:paraId="6408A36B">
            <w:pPr>
              <w:tabs>
                <w:tab w:val="left" w:pos="8100"/>
              </w:tabs>
              <w:jc w:val="center"/>
              <w:rPr>
                <w:rFonts w:eastAsia="宋体" w:cs="Times New Roman"/>
                <w:szCs w:val="24"/>
              </w:rPr>
            </w:pPr>
            <w:r>
              <w:rPr>
                <w:rFonts w:eastAsia="宋体" w:cs="Times New Roman"/>
                <w:szCs w:val="24"/>
              </w:rPr>
              <w:t>套</w:t>
            </w:r>
          </w:p>
        </w:tc>
        <w:tc>
          <w:tcPr>
            <w:tcW w:w="637" w:type="pct"/>
            <w:vAlign w:val="center"/>
          </w:tcPr>
          <w:p w14:paraId="399D134C">
            <w:pPr>
              <w:tabs>
                <w:tab w:val="left" w:pos="8100"/>
              </w:tabs>
              <w:jc w:val="center"/>
              <w:rPr>
                <w:rFonts w:eastAsia="宋体" w:cs="Times New Roman"/>
                <w:szCs w:val="24"/>
              </w:rPr>
            </w:pPr>
            <w:r>
              <w:rPr>
                <w:rFonts w:eastAsia="宋体" w:cs="Times New Roman"/>
                <w:szCs w:val="24"/>
              </w:rPr>
              <w:t>1</w:t>
            </w:r>
          </w:p>
        </w:tc>
        <w:tc>
          <w:tcPr>
            <w:tcW w:w="788" w:type="pct"/>
            <w:vAlign w:val="center"/>
          </w:tcPr>
          <w:p w14:paraId="65F1038B">
            <w:pPr>
              <w:tabs>
                <w:tab w:val="left" w:pos="8100"/>
              </w:tabs>
              <w:jc w:val="center"/>
              <w:rPr>
                <w:rFonts w:eastAsia="宋体" w:cs="Times New Roman"/>
                <w:szCs w:val="24"/>
              </w:rPr>
            </w:pPr>
          </w:p>
        </w:tc>
      </w:tr>
      <w:tr w14:paraId="7EB5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5473BA08">
            <w:pPr>
              <w:tabs>
                <w:tab w:val="left" w:pos="8100"/>
              </w:tabs>
              <w:jc w:val="center"/>
              <w:rPr>
                <w:rFonts w:ascii="Times New Roman" w:hAnsi="Times New Roman" w:eastAsia="宋体" w:cs="Times New Roman"/>
                <w:kern w:val="2"/>
                <w:sz w:val="24"/>
                <w:szCs w:val="24"/>
                <w:lang w:val="en-US" w:eastAsia="zh-CN" w:bidi="ar-SA"/>
              </w:rPr>
            </w:pPr>
            <w:r>
              <w:rPr>
                <w:rFonts w:hint="eastAsia" w:eastAsia="宋体" w:cs="Times New Roman"/>
                <w:szCs w:val="24"/>
              </w:rPr>
              <w:t>8</w:t>
            </w:r>
          </w:p>
        </w:tc>
        <w:tc>
          <w:tcPr>
            <w:tcW w:w="952" w:type="pct"/>
            <w:vAlign w:val="center"/>
          </w:tcPr>
          <w:p w14:paraId="215D1966">
            <w:pPr>
              <w:tabs>
                <w:tab w:val="left" w:pos="8100"/>
              </w:tabs>
              <w:jc w:val="center"/>
              <w:rPr>
                <w:rFonts w:eastAsia="宋体" w:cs="Times New Roman"/>
                <w:szCs w:val="24"/>
              </w:rPr>
            </w:pPr>
            <w:r>
              <w:rPr>
                <w:rFonts w:eastAsia="宋体" w:cs="Times New Roman"/>
                <w:szCs w:val="24"/>
              </w:rPr>
              <w:t>万用电表</w:t>
            </w:r>
          </w:p>
        </w:tc>
        <w:tc>
          <w:tcPr>
            <w:tcW w:w="1581" w:type="pct"/>
            <w:vAlign w:val="center"/>
          </w:tcPr>
          <w:p w14:paraId="1F68E09E">
            <w:pPr>
              <w:tabs>
                <w:tab w:val="left" w:pos="8100"/>
              </w:tabs>
              <w:jc w:val="center"/>
              <w:rPr>
                <w:rFonts w:eastAsia="宋体" w:cs="Times New Roman"/>
                <w:szCs w:val="24"/>
              </w:rPr>
            </w:pPr>
          </w:p>
        </w:tc>
        <w:tc>
          <w:tcPr>
            <w:tcW w:w="658" w:type="pct"/>
            <w:vAlign w:val="center"/>
          </w:tcPr>
          <w:p w14:paraId="56C1EDF6">
            <w:pPr>
              <w:tabs>
                <w:tab w:val="left" w:pos="8100"/>
              </w:tabs>
              <w:jc w:val="center"/>
              <w:rPr>
                <w:rFonts w:eastAsia="宋体" w:cs="Times New Roman"/>
                <w:szCs w:val="24"/>
              </w:rPr>
            </w:pPr>
            <w:r>
              <w:rPr>
                <w:rFonts w:eastAsia="宋体" w:cs="Times New Roman"/>
                <w:szCs w:val="24"/>
              </w:rPr>
              <w:t>只</w:t>
            </w:r>
          </w:p>
        </w:tc>
        <w:tc>
          <w:tcPr>
            <w:tcW w:w="637" w:type="pct"/>
            <w:vAlign w:val="center"/>
          </w:tcPr>
          <w:p w14:paraId="4ACF253C">
            <w:pPr>
              <w:tabs>
                <w:tab w:val="left" w:pos="8100"/>
              </w:tabs>
              <w:jc w:val="center"/>
              <w:rPr>
                <w:rFonts w:eastAsia="宋体" w:cs="Times New Roman"/>
                <w:szCs w:val="24"/>
              </w:rPr>
            </w:pPr>
            <w:r>
              <w:rPr>
                <w:rFonts w:eastAsia="宋体" w:cs="Times New Roman"/>
                <w:szCs w:val="24"/>
              </w:rPr>
              <w:t>1</w:t>
            </w:r>
          </w:p>
        </w:tc>
        <w:tc>
          <w:tcPr>
            <w:tcW w:w="788" w:type="pct"/>
            <w:vAlign w:val="center"/>
          </w:tcPr>
          <w:p w14:paraId="7B106220">
            <w:pPr>
              <w:tabs>
                <w:tab w:val="left" w:pos="8100"/>
              </w:tabs>
              <w:jc w:val="center"/>
              <w:rPr>
                <w:rFonts w:eastAsia="宋体" w:cs="Times New Roman"/>
                <w:szCs w:val="24"/>
              </w:rPr>
            </w:pPr>
          </w:p>
        </w:tc>
      </w:tr>
      <w:tr w14:paraId="05A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26AEFC53">
            <w:pPr>
              <w:tabs>
                <w:tab w:val="left" w:pos="8100"/>
              </w:tabs>
              <w:jc w:val="center"/>
              <w:rPr>
                <w:rFonts w:ascii="Times New Roman" w:hAnsi="Times New Roman" w:eastAsia="宋体" w:cs="Times New Roman"/>
                <w:kern w:val="2"/>
                <w:sz w:val="24"/>
                <w:szCs w:val="24"/>
                <w:lang w:val="en-US" w:eastAsia="zh-CN" w:bidi="ar-SA"/>
              </w:rPr>
            </w:pPr>
            <w:r>
              <w:rPr>
                <w:rFonts w:hint="eastAsia" w:eastAsia="宋体" w:cs="Times New Roman"/>
                <w:szCs w:val="24"/>
              </w:rPr>
              <w:t>9</w:t>
            </w:r>
          </w:p>
        </w:tc>
        <w:tc>
          <w:tcPr>
            <w:tcW w:w="952" w:type="pct"/>
            <w:vAlign w:val="center"/>
          </w:tcPr>
          <w:p w14:paraId="40829117">
            <w:pPr>
              <w:tabs>
                <w:tab w:val="left" w:pos="8100"/>
              </w:tabs>
              <w:jc w:val="center"/>
              <w:rPr>
                <w:rFonts w:eastAsia="宋体" w:cs="Times New Roman"/>
                <w:szCs w:val="24"/>
              </w:rPr>
            </w:pPr>
            <w:r>
              <w:rPr>
                <w:rFonts w:eastAsia="宋体" w:cs="Times New Roman"/>
                <w:szCs w:val="24"/>
              </w:rPr>
              <w:t>电工常用工具</w:t>
            </w:r>
          </w:p>
        </w:tc>
        <w:tc>
          <w:tcPr>
            <w:tcW w:w="1581" w:type="pct"/>
            <w:vAlign w:val="center"/>
          </w:tcPr>
          <w:p w14:paraId="35237249">
            <w:pPr>
              <w:tabs>
                <w:tab w:val="left" w:pos="8100"/>
              </w:tabs>
              <w:jc w:val="center"/>
              <w:rPr>
                <w:rFonts w:eastAsia="宋体" w:cs="Times New Roman"/>
                <w:szCs w:val="24"/>
              </w:rPr>
            </w:pPr>
          </w:p>
        </w:tc>
        <w:tc>
          <w:tcPr>
            <w:tcW w:w="658" w:type="pct"/>
            <w:vAlign w:val="center"/>
          </w:tcPr>
          <w:p w14:paraId="11551841">
            <w:pPr>
              <w:tabs>
                <w:tab w:val="left" w:pos="8100"/>
              </w:tabs>
              <w:jc w:val="center"/>
              <w:rPr>
                <w:rFonts w:eastAsia="宋体" w:cs="Times New Roman"/>
                <w:szCs w:val="24"/>
              </w:rPr>
            </w:pPr>
            <w:r>
              <w:rPr>
                <w:rFonts w:eastAsia="宋体" w:cs="Times New Roman"/>
                <w:szCs w:val="24"/>
              </w:rPr>
              <w:t>套</w:t>
            </w:r>
          </w:p>
        </w:tc>
        <w:tc>
          <w:tcPr>
            <w:tcW w:w="637" w:type="pct"/>
            <w:vAlign w:val="center"/>
          </w:tcPr>
          <w:p w14:paraId="28776E7D">
            <w:pPr>
              <w:tabs>
                <w:tab w:val="left" w:pos="8100"/>
              </w:tabs>
              <w:jc w:val="center"/>
              <w:rPr>
                <w:rFonts w:eastAsia="宋体" w:cs="Times New Roman"/>
                <w:szCs w:val="24"/>
              </w:rPr>
            </w:pPr>
            <w:r>
              <w:rPr>
                <w:rFonts w:eastAsia="宋体" w:cs="Times New Roman"/>
                <w:szCs w:val="24"/>
              </w:rPr>
              <w:t>1</w:t>
            </w:r>
          </w:p>
        </w:tc>
        <w:tc>
          <w:tcPr>
            <w:tcW w:w="788" w:type="pct"/>
            <w:vAlign w:val="center"/>
          </w:tcPr>
          <w:p w14:paraId="7A25176A">
            <w:pPr>
              <w:tabs>
                <w:tab w:val="left" w:pos="8100"/>
              </w:tabs>
              <w:jc w:val="center"/>
              <w:rPr>
                <w:rFonts w:eastAsia="宋体" w:cs="Times New Roman"/>
                <w:szCs w:val="24"/>
              </w:rPr>
            </w:pPr>
          </w:p>
        </w:tc>
      </w:tr>
      <w:tr w14:paraId="20DE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1F4BADF4">
            <w:pPr>
              <w:tabs>
                <w:tab w:val="left" w:pos="8100"/>
              </w:tabs>
              <w:jc w:val="center"/>
              <w:rPr>
                <w:rFonts w:ascii="Times New Roman" w:hAnsi="Times New Roman" w:eastAsia="宋体" w:cs="Times New Roman"/>
                <w:kern w:val="2"/>
                <w:sz w:val="24"/>
                <w:szCs w:val="24"/>
                <w:lang w:val="en-US" w:eastAsia="zh-CN" w:bidi="ar-SA"/>
              </w:rPr>
            </w:pPr>
            <w:r>
              <w:rPr>
                <w:rFonts w:hint="eastAsia" w:eastAsia="宋体" w:cs="Times New Roman"/>
                <w:szCs w:val="24"/>
              </w:rPr>
              <w:t>10</w:t>
            </w:r>
          </w:p>
        </w:tc>
        <w:tc>
          <w:tcPr>
            <w:tcW w:w="952" w:type="pct"/>
            <w:vAlign w:val="center"/>
          </w:tcPr>
          <w:p w14:paraId="589B00B0">
            <w:pPr>
              <w:tabs>
                <w:tab w:val="left" w:pos="8100"/>
              </w:tabs>
              <w:jc w:val="center"/>
              <w:rPr>
                <w:rFonts w:eastAsia="宋体" w:cs="Times New Roman"/>
                <w:szCs w:val="24"/>
              </w:rPr>
            </w:pPr>
            <w:r>
              <w:rPr>
                <w:rFonts w:eastAsia="宋体" w:cs="Times New Roman"/>
                <w:szCs w:val="24"/>
              </w:rPr>
              <w:t>钢丝绳</w:t>
            </w:r>
          </w:p>
        </w:tc>
        <w:tc>
          <w:tcPr>
            <w:tcW w:w="1581" w:type="pct"/>
            <w:vAlign w:val="center"/>
          </w:tcPr>
          <w:p w14:paraId="1BF15491">
            <w:pPr>
              <w:tabs>
                <w:tab w:val="left" w:pos="8100"/>
              </w:tabs>
              <w:jc w:val="center"/>
              <w:rPr>
                <w:rFonts w:eastAsia="宋体" w:cs="Times New Roman"/>
                <w:szCs w:val="24"/>
                <w:highlight w:val="yellow"/>
              </w:rPr>
            </w:pPr>
            <w:r>
              <w:rPr>
                <w:rFonts w:hint="eastAsia" w:ascii="Times New Roman" w:hAnsi="Times New Roman" w:eastAsia="宋体" w:cs="Times New Roman"/>
                <w:szCs w:val="24"/>
                <w:highlight w:val="none"/>
                <w:lang w:val="en-US" w:eastAsia="zh-CN"/>
              </w:rPr>
              <w:t>18</w:t>
            </w:r>
            <w:r>
              <w:rPr>
                <w:rFonts w:hint="eastAsia" w:ascii="Times New Roman" w:hAnsi="Times New Roman" w:eastAsia="宋体" w:cs="Times New Roman"/>
                <w:szCs w:val="24"/>
                <w:highlight w:val="none"/>
              </w:rPr>
              <w:t>mm6×19S+FC1</w:t>
            </w:r>
            <w:r>
              <w:rPr>
                <w:rFonts w:hint="eastAsia" w:ascii="Times New Roman" w:hAnsi="Times New Roman" w:eastAsia="宋体" w:cs="Times New Roman"/>
                <w:szCs w:val="24"/>
                <w:highlight w:val="none"/>
                <w:lang w:val="en-US" w:eastAsia="zh-CN"/>
              </w:rPr>
              <w:t>8</w:t>
            </w:r>
            <w:r>
              <w:rPr>
                <w:rFonts w:hint="eastAsia" w:ascii="Times New Roman" w:hAnsi="Times New Roman" w:eastAsia="宋体" w:cs="Times New Roman"/>
                <w:szCs w:val="24"/>
                <w:highlight w:val="none"/>
              </w:rPr>
              <w:t>70Mpa</w:t>
            </w:r>
          </w:p>
        </w:tc>
        <w:tc>
          <w:tcPr>
            <w:tcW w:w="658" w:type="pct"/>
            <w:vAlign w:val="center"/>
          </w:tcPr>
          <w:p w14:paraId="03DE2FDE">
            <w:pPr>
              <w:tabs>
                <w:tab w:val="left" w:pos="8100"/>
              </w:tabs>
              <w:jc w:val="center"/>
              <w:rPr>
                <w:rFonts w:eastAsia="宋体" w:cs="Times New Roman"/>
                <w:szCs w:val="24"/>
              </w:rPr>
            </w:pPr>
            <w:r>
              <w:rPr>
                <w:rFonts w:eastAsia="宋体" w:cs="Times New Roman"/>
                <w:szCs w:val="24"/>
              </w:rPr>
              <w:t>根</w:t>
            </w:r>
          </w:p>
        </w:tc>
        <w:tc>
          <w:tcPr>
            <w:tcW w:w="637" w:type="pct"/>
            <w:vAlign w:val="center"/>
          </w:tcPr>
          <w:p w14:paraId="5BC08F4E">
            <w:pPr>
              <w:tabs>
                <w:tab w:val="left" w:pos="8100"/>
              </w:tabs>
              <w:jc w:val="center"/>
              <w:rPr>
                <w:rFonts w:eastAsia="宋体" w:cs="Times New Roman"/>
                <w:szCs w:val="24"/>
              </w:rPr>
            </w:pPr>
            <w:r>
              <w:rPr>
                <w:rFonts w:hint="eastAsia" w:eastAsia="宋体" w:cs="Times New Roman"/>
                <w:szCs w:val="24"/>
              </w:rPr>
              <w:t>4</w:t>
            </w:r>
          </w:p>
        </w:tc>
        <w:tc>
          <w:tcPr>
            <w:tcW w:w="788" w:type="pct"/>
            <w:vAlign w:val="center"/>
          </w:tcPr>
          <w:p w14:paraId="4B430F38">
            <w:pPr>
              <w:tabs>
                <w:tab w:val="left" w:pos="8100"/>
              </w:tabs>
              <w:jc w:val="center"/>
              <w:rPr>
                <w:rFonts w:eastAsia="宋体" w:cs="Times New Roman"/>
                <w:szCs w:val="24"/>
              </w:rPr>
            </w:pPr>
            <w:r>
              <w:rPr>
                <w:rFonts w:hint="eastAsia" w:eastAsia="宋体" w:cs="Times New Roman"/>
                <w:szCs w:val="24"/>
              </w:rPr>
              <w:t>L=6m</w:t>
            </w:r>
          </w:p>
        </w:tc>
      </w:tr>
      <w:tr w14:paraId="0C3C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22911892">
            <w:pPr>
              <w:tabs>
                <w:tab w:val="left" w:pos="8100"/>
              </w:tabs>
              <w:jc w:val="center"/>
              <w:rPr>
                <w:rFonts w:ascii="Times New Roman" w:hAnsi="Times New Roman" w:eastAsia="宋体" w:cs="Times New Roman"/>
                <w:kern w:val="2"/>
                <w:sz w:val="24"/>
                <w:szCs w:val="24"/>
                <w:lang w:val="en-US" w:eastAsia="zh-CN" w:bidi="ar-SA"/>
              </w:rPr>
            </w:pPr>
            <w:r>
              <w:rPr>
                <w:rFonts w:hint="eastAsia" w:eastAsia="宋体" w:cs="Times New Roman"/>
                <w:szCs w:val="24"/>
              </w:rPr>
              <w:t>11</w:t>
            </w:r>
          </w:p>
        </w:tc>
        <w:tc>
          <w:tcPr>
            <w:tcW w:w="952" w:type="pct"/>
            <w:vAlign w:val="center"/>
          </w:tcPr>
          <w:p w14:paraId="1C8C8294">
            <w:pPr>
              <w:tabs>
                <w:tab w:val="left" w:pos="8100"/>
              </w:tabs>
              <w:jc w:val="center"/>
              <w:rPr>
                <w:rFonts w:eastAsia="宋体" w:cs="Times New Roman"/>
                <w:szCs w:val="24"/>
              </w:rPr>
            </w:pPr>
            <w:r>
              <w:rPr>
                <w:rFonts w:eastAsia="宋体" w:cs="Times New Roman"/>
                <w:szCs w:val="24"/>
              </w:rPr>
              <w:t>钢丝绳</w:t>
            </w:r>
          </w:p>
        </w:tc>
        <w:tc>
          <w:tcPr>
            <w:tcW w:w="1581" w:type="pct"/>
            <w:vAlign w:val="center"/>
          </w:tcPr>
          <w:p w14:paraId="7B3021C7">
            <w:pPr>
              <w:tabs>
                <w:tab w:val="left" w:pos="8100"/>
              </w:tabs>
              <w:jc w:val="center"/>
              <w:rPr>
                <w:rFonts w:eastAsia="宋体" w:cs="Times New Roman"/>
                <w:szCs w:val="24"/>
                <w:highlight w:val="yellow"/>
              </w:rPr>
            </w:pPr>
            <w:r>
              <w:rPr>
                <w:rFonts w:hint="eastAsia" w:ascii="Times New Roman" w:hAnsi="Times New Roman" w:eastAsia="宋体" w:cs="Times New Roman"/>
                <w:szCs w:val="24"/>
                <w:highlight w:val="none"/>
                <w:lang w:val="en-US" w:eastAsia="zh-CN"/>
              </w:rPr>
              <w:t>16mm6×19S+FC1870Mpa</w:t>
            </w:r>
          </w:p>
        </w:tc>
        <w:tc>
          <w:tcPr>
            <w:tcW w:w="658" w:type="pct"/>
            <w:vAlign w:val="center"/>
          </w:tcPr>
          <w:p w14:paraId="5D2089B6">
            <w:pPr>
              <w:tabs>
                <w:tab w:val="left" w:pos="8100"/>
              </w:tabs>
              <w:jc w:val="center"/>
              <w:rPr>
                <w:rFonts w:eastAsia="宋体" w:cs="Times New Roman"/>
                <w:szCs w:val="24"/>
              </w:rPr>
            </w:pPr>
            <w:r>
              <w:rPr>
                <w:rFonts w:eastAsia="宋体" w:cs="Times New Roman"/>
                <w:szCs w:val="24"/>
              </w:rPr>
              <w:t>根</w:t>
            </w:r>
          </w:p>
        </w:tc>
        <w:tc>
          <w:tcPr>
            <w:tcW w:w="637" w:type="pct"/>
            <w:vAlign w:val="center"/>
          </w:tcPr>
          <w:p w14:paraId="31FDB690">
            <w:pPr>
              <w:tabs>
                <w:tab w:val="left" w:pos="8100"/>
              </w:tabs>
              <w:jc w:val="center"/>
              <w:rPr>
                <w:rFonts w:eastAsia="宋体" w:cs="Times New Roman"/>
                <w:szCs w:val="24"/>
              </w:rPr>
            </w:pPr>
            <w:r>
              <w:rPr>
                <w:rFonts w:hint="eastAsia" w:eastAsia="宋体" w:cs="Times New Roman"/>
                <w:szCs w:val="24"/>
              </w:rPr>
              <w:t>4</w:t>
            </w:r>
          </w:p>
        </w:tc>
        <w:tc>
          <w:tcPr>
            <w:tcW w:w="788" w:type="pct"/>
            <w:vAlign w:val="center"/>
          </w:tcPr>
          <w:p w14:paraId="3149E6DB">
            <w:pPr>
              <w:tabs>
                <w:tab w:val="left" w:pos="8100"/>
              </w:tabs>
              <w:jc w:val="center"/>
              <w:rPr>
                <w:rFonts w:eastAsia="宋体" w:cs="Times New Roman"/>
                <w:szCs w:val="24"/>
              </w:rPr>
            </w:pPr>
            <w:r>
              <w:rPr>
                <w:rFonts w:hint="eastAsia" w:eastAsia="宋体" w:cs="Times New Roman"/>
                <w:szCs w:val="24"/>
              </w:rPr>
              <w:t>L=</w:t>
            </w:r>
            <w:r>
              <w:rPr>
                <w:rFonts w:hint="eastAsia" w:eastAsia="宋体" w:cs="Times New Roman"/>
                <w:szCs w:val="24"/>
                <w:lang w:val="en-US" w:eastAsia="zh-CN"/>
              </w:rPr>
              <w:t>8</w:t>
            </w:r>
            <w:r>
              <w:rPr>
                <w:rFonts w:hint="eastAsia" w:eastAsia="宋体" w:cs="Times New Roman"/>
                <w:szCs w:val="24"/>
              </w:rPr>
              <w:t>m</w:t>
            </w:r>
          </w:p>
        </w:tc>
      </w:tr>
      <w:tr w14:paraId="69AE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shd w:val="clear" w:color="auto" w:fill="auto"/>
            <w:vAlign w:val="center"/>
          </w:tcPr>
          <w:p w14:paraId="2B4563E5">
            <w:pPr>
              <w:tabs>
                <w:tab w:val="left" w:pos="8100"/>
              </w:tabs>
              <w:jc w:val="center"/>
              <w:rPr>
                <w:rFonts w:hint="eastAsia" w:ascii="Times New Roman" w:hAnsi="Times New Roman" w:eastAsia="宋体" w:cs="Times New Roman"/>
                <w:kern w:val="2"/>
                <w:sz w:val="24"/>
                <w:szCs w:val="24"/>
                <w:lang w:val="en-US" w:eastAsia="zh-CN" w:bidi="ar-SA"/>
              </w:rPr>
            </w:pPr>
            <w:r>
              <w:rPr>
                <w:rFonts w:hint="eastAsia" w:eastAsia="宋体" w:cs="Times New Roman"/>
                <w:szCs w:val="24"/>
              </w:rPr>
              <w:t>1</w:t>
            </w:r>
            <w:r>
              <w:rPr>
                <w:rFonts w:hint="eastAsia" w:eastAsia="宋体" w:cs="Times New Roman"/>
                <w:szCs w:val="24"/>
                <w:lang w:val="en-US" w:eastAsia="zh-CN"/>
              </w:rPr>
              <w:t>2</w:t>
            </w:r>
          </w:p>
        </w:tc>
        <w:tc>
          <w:tcPr>
            <w:tcW w:w="952" w:type="pct"/>
            <w:vAlign w:val="center"/>
          </w:tcPr>
          <w:p w14:paraId="66239407">
            <w:pPr>
              <w:tabs>
                <w:tab w:val="left" w:pos="8100"/>
              </w:tabs>
              <w:jc w:val="center"/>
              <w:rPr>
                <w:rFonts w:eastAsia="宋体" w:cs="Times New Roman"/>
                <w:szCs w:val="24"/>
              </w:rPr>
            </w:pPr>
            <w:r>
              <w:rPr>
                <w:rFonts w:eastAsia="宋体" w:cs="Times New Roman"/>
                <w:szCs w:val="24"/>
              </w:rPr>
              <w:t>铁丝/麻绳</w:t>
            </w:r>
          </w:p>
        </w:tc>
        <w:tc>
          <w:tcPr>
            <w:tcW w:w="1581" w:type="pct"/>
            <w:vAlign w:val="center"/>
          </w:tcPr>
          <w:p w14:paraId="6E5BCFDC">
            <w:pPr>
              <w:tabs>
                <w:tab w:val="left" w:pos="8100"/>
              </w:tabs>
              <w:jc w:val="center"/>
              <w:rPr>
                <w:rFonts w:eastAsia="宋体" w:cs="Times New Roman"/>
                <w:szCs w:val="24"/>
              </w:rPr>
            </w:pPr>
            <w:r>
              <w:rPr>
                <w:rFonts w:eastAsia="宋体" w:cs="Times New Roman"/>
                <w:szCs w:val="24"/>
              </w:rPr>
              <w:t>8#/φ20mm</w:t>
            </w:r>
          </w:p>
        </w:tc>
        <w:tc>
          <w:tcPr>
            <w:tcW w:w="658" w:type="pct"/>
            <w:vAlign w:val="center"/>
          </w:tcPr>
          <w:p w14:paraId="3667103F">
            <w:pPr>
              <w:tabs>
                <w:tab w:val="left" w:pos="8100"/>
              </w:tabs>
              <w:jc w:val="center"/>
              <w:rPr>
                <w:rFonts w:eastAsia="宋体" w:cs="Times New Roman"/>
                <w:szCs w:val="24"/>
              </w:rPr>
            </w:pPr>
            <w:r>
              <w:rPr>
                <w:rFonts w:eastAsia="宋体" w:cs="Times New Roman"/>
                <w:szCs w:val="24"/>
              </w:rPr>
              <w:t>Kg/m</w:t>
            </w:r>
          </w:p>
        </w:tc>
        <w:tc>
          <w:tcPr>
            <w:tcW w:w="637" w:type="pct"/>
            <w:vAlign w:val="center"/>
          </w:tcPr>
          <w:p w14:paraId="54E1222C">
            <w:pPr>
              <w:tabs>
                <w:tab w:val="left" w:pos="8100"/>
              </w:tabs>
              <w:jc w:val="center"/>
              <w:rPr>
                <w:rFonts w:eastAsia="宋体" w:cs="Times New Roman"/>
                <w:szCs w:val="24"/>
              </w:rPr>
            </w:pPr>
            <w:r>
              <w:rPr>
                <w:rFonts w:eastAsia="宋体" w:cs="Times New Roman"/>
                <w:szCs w:val="24"/>
              </w:rPr>
              <w:t>8/60</w:t>
            </w:r>
          </w:p>
        </w:tc>
        <w:tc>
          <w:tcPr>
            <w:tcW w:w="788" w:type="pct"/>
            <w:vAlign w:val="center"/>
          </w:tcPr>
          <w:p w14:paraId="26D34381">
            <w:pPr>
              <w:tabs>
                <w:tab w:val="left" w:pos="8100"/>
              </w:tabs>
              <w:jc w:val="center"/>
              <w:rPr>
                <w:rFonts w:eastAsia="宋体" w:cs="Times New Roman"/>
                <w:szCs w:val="24"/>
              </w:rPr>
            </w:pPr>
            <w:r>
              <w:rPr>
                <w:rFonts w:eastAsia="宋体" w:cs="Times New Roman"/>
                <w:szCs w:val="24"/>
              </w:rPr>
              <w:t>各2根</w:t>
            </w:r>
          </w:p>
        </w:tc>
      </w:tr>
      <w:tr w14:paraId="2FD3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Align w:val="center"/>
          </w:tcPr>
          <w:p w14:paraId="75C1E7F3">
            <w:pPr>
              <w:tabs>
                <w:tab w:val="left" w:pos="8100"/>
              </w:tabs>
              <w:jc w:val="center"/>
              <w:rPr>
                <w:rFonts w:hint="eastAsia" w:eastAsia="宋体" w:cs="Times New Roman"/>
                <w:szCs w:val="24"/>
                <w:lang w:eastAsia="zh-CN"/>
              </w:rPr>
            </w:pPr>
            <w:r>
              <w:rPr>
                <w:rFonts w:hint="eastAsia" w:eastAsia="宋体" w:cs="Times New Roman"/>
                <w:szCs w:val="24"/>
              </w:rPr>
              <w:t>1</w:t>
            </w:r>
            <w:r>
              <w:rPr>
                <w:rFonts w:hint="eastAsia" w:eastAsia="宋体" w:cs="Times New Roman"/>
                <w:szCs w:val="24"/>
                <w:lang w:val="en-US" w:eastAsia="zh-CN"/>
              </w:rPr>
              <w:t>3</w:t>
            </w:r>
          </w:p>
        </w:tc>
        <w:tc>
          <w:tcPr>
            <w:tcW w:w="952" w:type="pct"/>
            <w:vAlign w:val="center"/>
          </w:tcPr>
          <w:p w14:paraId="2E13DDC5">
            <w:pPr>
              <w:tabs>
                <w:tab w:val="left" w:pos="8100"/>
              </w:tabs>
              <w:jc w:val="center"/>
              <w:rPr>
                <w:rFonts w:eastAsia="宋体" w:cs="Times New Roman"/>
                <w:szCs w:val="24"/>
              </w:rPr>
            </w:pPr>
            <w:r>
              <w:rPr>
                <w:rFonts w:hint="eastAsia" w:eastAsia="宋体" w:cs="Times New Roman"/>
                <w:szCs w:val="24"/>
              </w:rPr>
              <w:t>卸扣</w:t>
            </w:r>
          </w:p>
        </w:tc>
        <w:tc>
          <w:tcPr>
            <w:tcW w:w="1581" w:type="pct"/>
            <w:vAlign w:val="center"/>
          </w:tcPr>
          <w:p w14:paraId="5CAD5D8B">
            <w:pPr>
              <w:spacing w:line="240" w:lineRule="auto"/>
              <w:jc w:val="center"/>
              <w:rPr>
                <w:highlight w:val="yellow"/>
              </w:rPr>
            </w:pPr>
            <w:r>
              <w:rPr>
                <w:rFonts w:hint="eastAsia"/>
                <w:highlight w:val="none"/>
              </w:rPr>
              <w:t xml:space="preserve">GB/T 25854-6-DW </w:t>
            </w:r>
            <w:r>
              <w:rPr>
                <w:rFonts w:hint="eastAsia"/>
                <w:highlight w:val="none"/>
                <w:lang w:val="en-US" w:eastAsia="zh-CN"/>
              </w:rPr>
              <w:t>5</w:t>
            </w:r>
            <w:r>
              <w:rPr>
                <w:rFonts w:hint="eastAsia"/>
                <w:highlight w:val="none"/>
              </w:rPr>
              <w:t>t</w:t>
            </w:r>
          </w:p>
        </w:tc>
        <w:tc>
          <w:tcPr>
            <w:tcW w:w="658" w:type="pct"/>
            <w:vAlign w:val="center"/>
          </w:tcPr>
          <w:p w14:paraId="0FEC8231">
            <w:pPr>
              <w:tabs>
                <w:tab w:val="left" w:pos="8100"/>
              </w:tabs>
              <w:jc w:val="center"/>
              <w:rPr>
                <w:rFonts w:eastAsia="宋体" w:cs="Times New Roman"/>
                <w:szCs w:val="24"/>
              </w:rPr>
            </w:pPr>
            <w:r>
              <w:rPr>
                <w:rFonts w:hint="eastAsia" w:eastAsia="宋体" w:cs="Times New Roman"/>
                <w:szCs w:val="24"/>
              </w:rPr>
              <w:t>件</w:t>
            </w:r>
          </w:p>
        </w:tc>
        <w:tc>
          <w:tcPr>
            <w:tcW w:w="637" w:type="pct"/>
            <w:vAlign w:val="center"/>
          </w:tcPr>
          <w:p w14:paraId="19D14231">
            <w:pPr>
              <w:tabs>
                <w:tab w:val="left" w:pos="8100"/>
              </w:tabs>
              <w:jc w:val="center"/>
              <w:rPr>
                <w:rFonts w:eastAsia="宋体" w:cs="Times New Roman"/>
                <w:szCs w:val="24"/>
              </w:rPr>
            </w:pPr>
            <w:r>
              <w:rPr>
                <w:rFonts w:hint="eastAsia" w:eastAsia="宋体" w:cs="Times New Roman"/>
                <w:szCs w:val="24"/>
              </w:rPr>
              <w:t>4</w:t>
            </w:r>
          </w:p>
        </w:tc>
        <w:tc>
          <w:tcPr>
            <w:tcW w:w="788" w:type="pct"/>
            <w:vAlign w:val="center"/>
          </w:tcPr>
          <w:p w14:paraId="4E236523">
            <w:pPr>
              <w:tabs>
                <w:tab w:val="left" w:pos="8100"/>
              </w:tabs>
              <w:jc w:val="center"/>
              <w:rPr>
                <w:rFonts w:eastAsia="宋体" w:cs="Times New Roman"/>
                <w:szCs w:val="24"/>
              </w:rPr>
            </w:pPr>
          </w:p>
        </w:tc>
      </w:tr>
      <w:tr w14:paraId="2F62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0" w:type="pct"/>
            <w:vAlign w:val="center"/>
          </w:tcPr>
          <w:p w14:paraId="4CA2CC94">
            <w:pPr>
              <w:tabs>
                <w:tab w:val="left" w:pos="8100"/>
              </w:tabs>
              <w:jc w:val="center"/>
              <w:rPr>
                <w:rFonts w:hint="eastAsia" w:eastAsia="宋体" w:cs="Times New Roman"/>
                <w:szCs w:val="24"/>
                <w:lang w:eastAsia="zh-CN"/>
              </w:rPr>
            </w:pPr>
            <w:r>
              <w:rPr>
                <w:rFonts w:hint="eastAsia" w:eastAsia="宋体" w:cs="Times New Roman"/>
                <w:szCs w:val="24"/>
              </w:rPr>
              <w:t>1</w:t>
            </w:r>
            <w:r>
              <w:rPr>
                <w:rFonts w:hint="eastAsia" w:eastAsia="宋体" w:cs="Times New Roman"/>
                <w:szCs w:val="24"/>
                <w:lang w:val="en-US" w:eastAsia="zh-CN"/>
              </w:rPr>
              <w:t>4</w:t>
            </w:r>
          </w:p>
        </w:tc>
        <w:tc>
          <w:tcPr>
            <w:tcW w:w="952" w:type="pct"/>
            <w:vAlign w:val="center"/>
          </w:tcPr>
          <w:p w14:paraId="55EF27F6">
            <w:pPr>
              <w:tabs>
                <w:tab w:val="left" w:pos="8100"/>
              </w:tabs>
              <w:jc w:val="center"/>
              <w:rPr>
                <w:rFonts w:eastAsia="宋体" w:cs="Times New Roman"/>
                <w:szCs w:val="24"/>
              </w:rPr>
            </w:pPr>
            <w:r>
              <w:rPr>
                <w:rFonts w:hint="eastAsia" w:eastAsia="宋体" w:cs="Times New Roman"/>
                <w:szCs w:val="24"/>
              </w:rPr>
              <w:t>氧、乙炔</w:t>
            </w:r>
          </w:p>
        </w:tc>
        <w:tc>
          <w:tcPr>
            <w:tcW w:w="1581" w:type="pct"/>
            <w:vAlign w:val="center"/>
          </w:tcPr>
          <w:p w14:paraId="16AAA2BB">
            <w:pPr>
              <w:tabs>
                <w:tab w:val="left" w:pos="8100"/>
              </w:tabs>
              <w:jc w:val="center"/>
              <w:rPr>
                <w:rFonts w:eastAsia="宋体" w:cs="Times New Roman"/>
                <w:szCs w:val="24"/>
              </w:rPr>
            </w:pPr>
          </w:p>
        </w:tc>
        <w:tc>
          <w:tcPr>
            <w:tcW w:w="658" w:type="pct"/>
            <w:vAlign w:val="center"/>
          </w:tcPr>
          <w:p w14:paraId="3D8B683E">
            <w:pPr>
              <w:tabs>
                <w:tab w:val="left" w:pos="8100"/>
              </w:tabs>
              <w:jc w:val="center"/>
              <w:rPr>
                <w:rFonts w:eastAsia="宋体" w:cs="Times New Roman"/>
                <w:szCs w:val="24"/>
              </w:rPr>
            </w:pPr>
            <w:r>
              <w:rPr>
                <w:rFonts w:eastAsia="宋体" w:cs="Times New Roman"/>
                <w:szCs w:val="24"/>
              </w:rPr>
              <w:t>套</w:t>
            </w:r>
          </w:p>
        </w:tc>
        <w:tc>
          <w:tcPr>
            <w:tcW w:w="637" w:type="pct"/>
            <w:vAlign w:val="center"/>
          </w:tcPr>
          <w:p w14:paraId="5480C30A">
            <w:pPr>
              <w:tabs>
                <w:tab w:val="left" w:pos="8100"/>
              </w:tabs>
              <w:jc w:val="center"/>
              <w:rPr>
                <w:rFonts w:eastAsia="宋体" w:cs="Times New Roman"/>
                <w:szCs w:val="24"/>
              </w:rPr>
            </w:pPr>
            <w:r>
              <w:rPr>
                <w:rFonts w:hint="eastAsia" w:eastAsia="宋体" w:cs="Times New Roman"/>
                <w:szCs w:val="24"/>
              </w:rPr>
              <w:t>3</w:t>
            </w:r>
          </w:p>
        </w:tc>
        <w:tc>
          <w:tcPr>
            <w:tcW w:w="788" w:type="pct"/>
            <w:vAlign w:val="center"/>
          </w:tcPr>
          <w:p w14:paraId="448F6B09">
            <w:pPr>
              <w:tabs>
                <w:tab w:val="left" w:pos="8100"/>
              </w:tabs>
              <w:jc w:val="center"/>
              <w:rPr>
                <w:rFonts w:eastAsia="宋体" w:cs="Times New Roman"/>
                <w:color w:val="FF0000"/>
                <w:szCs w:val="24"/>
              </w:rPr>
            </w:pPr>
          </w:p>
        </w:tc>
      </w:tr>
      <w:tr w14:paraId="02FE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14:paraId="1A2832F3">
            <w:pPr>
              <w:tabs>
                <w:tab w:val="left" w:pos="8100"/>
              </w:tabs>
              <w:jc w:val="center"/>
              <w:rPr>
                <w:rFonts w:eastAsia="宋体" w:cs="Times New Roman"/>
                <w:szCs w:val="24"/>
              </w:rPr>
            </w:pPr>
            <w:r>
              <w:rPr>
                <w:rFonts w:hint="eastAsia" w:eastAsia="宋体" w:cs="Times New Roman"/>
                <w:szCs w:val="24"/>
                <w:lang w:eastAsia="zh-CN"/>
              </w:rPr>
              <w:t>塔机</w:t>
            </w:r>
            <w:r>
              <w:rPr>
                <w:rFonts w:hint="eastAsia" w:eastAsia="宋体" w:cs="Times New Roman"/>
                <w:szCs w:val="24"/>
                <w:lang w:val="en-US" w:eastAsia="zh-CN"/>
              </w:rPr>
              <w:t>安拆</w:t>
            </w:r>
            <w:r>
              <w:rPr>
                <w:rFonts w:eastAsia="宋体" w:cs="Times New Roman"/>
                <w:szCs w:val="24"/>
              </w:rPr>
              <w:t>钢丝绳安全系数取</w:t>
            </w:r>
            <w:r>
              <w:rPr>
                <w:rFonts w:hint="eastAsia" w:eastAsia="宋体" w:cs="Times New Roman"/>
                <w:szCs w:val="24"/>
                <w:lang w:val="en-US" w:eastAsia="zh-CN"/>
              </w:rPr>
              <w:t>6</w:t>
            </w:r>
            <w:r>
              <w:rPr>
                <w:rFonts w:hint="eastAsia" w:eastAsia="宋体" w:cs="Times New Roman"/>
                <w:szCs w:val="24"/>
              </w:rPr>
              <w:t>，</w:t>
            </w:r>
            <w:r>
              <w:rPr>
                <w:rFonts w:eastAsia="宋体" w:cs="Times New Roman"/>
                <w:szCs w:val="24"/>
              </w:rPr>
              <w:t>公称抗拉强度1</w:t>
            </w:r>
            <w:r>
              <w:rPr>
                <w:rFonts w:hint="eastAsia" w:eastAsia="宋体" w:cs="Times New Roman"/>
                <w:szCs w:val="24"/>
                <w:lang w:val="en-US" w:eastAsia="zh-CN"/>
              </w:rPr>
              <w:t>8</w:t>
            </w:r>
            <w:r>
              <w:rPr>
                <w:rFonts w:eastAsia="宋体" w:cs="Times New Roman"/>
                <w:szCs w:val="24"/>
              </w:rPr>
              <w:t>70MPa</w:t>
            </w:r>
          </w:p>
        </w:tc>
      </w:tr>
    </w:tbl>
    <w:p w14:paraId="442D74C3">
      <w:pPr>
        <w:pStyle w:val="3"/>
        <w:ind w:left="562" w:hanging="562"/>
        <w:rPr>
          <w:rFonts w:cs="Times New Roman"/>
        </w:rPr>
      </w:pPr>
      <w:bookmarkStart w:id="34" w:name="_Toc210"/>
      <w:r>
        <w:rPr>
          <w:rFonts w:hint="eastAsia" w:cs="Times New Roman"/>
        </w:rPr>
        <w:t>施工安全保证措施</w:t>
      </w:r>
      <w:bookmarkEnd w:id="34"/>
    </w:p>
    <w:p w14:paraId="03F1DF0A">
      <w:pPr>
        <w:pStyle w:val="5"/>
        <w:numPr>
          <w:ilvl w:val="0"/>
          <w:numId w:val="7"/>
        </w:numPr>
        <w:ind w:left="425" w:leftChars="0" w:hanging="425" w:firstLineChars="0"/>
        <w:rPr>
          <w:rFonts w:hint="eastAsia" w:cs="Times New Roman"/>
          <w:lang w:val="en-US" w:eastAsia="zh-CN"/>
        </w:rPr>
      </w:pPr>
      <w:bookmarkStart w:id="35" w:name="_Toc6575"/>
      <w:r>
        <w:rPr>
          <w:rFonts w:hint="eastAsia" w:cs="Times New Roman"/>
          <w:lang w:val="en-US" w:eastAsia="zh-CN"/>
        </w:rPr>
        <w:t>组织保障</w:t>
      </w:r>
      <w:bookmarkEnd w:id="35"/>
    </w:p>
    <w:p w14:paraId="471DEEE4">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设立由总指挥、技术负责人、专职安全员、作业班组组成的四级安全管理体系，明确总指挥负责整体协调与决策，安全员负责现场监督，作业人员按工种（起重工、电工、信号工等）持证上岗并分工到岗。</w:t>
      </w:r>
    </w:p>
    <w:p w14:paraId="385BAE43">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责任落实到人要求签署《安全责任书》，明确职责范围（如技术负责人需审核方案并监督执行，班组人员需按规程操作），并在交底记录中体现签字确认。</w:t>
      </w:r>
    </w:p>
    <w:p w14:paraId="24436485">
      <w:pPr>
        <w:pStyle w:val="94"/>
        <w:rPr>
          <w:rFonts w:hint="eastAsia" w:ascii="宋体" w:hAnsi="宋体" w:eastAsia="宋体" w:cs="宋体"/>
          <w:b/>
          <w:bCs w:val="0"/>
          <w:highlight w:val="none"/>
          <w:shd w:val="clear"/>
          <w:lang w:val="en-US" w:eastAsia="zh-CN"/>
        </w:rPr>
      </w:pPr>
      <w:r>
        <w:rPr>
          <w:rFonts w:hint="eastAsia" w:ascii="宋体" w:hAnsi="宋体" w:eastAsia="宋体" w:cs="宋体"/>
          <w:b/>
          <w:bCs w:val="0"/>
          <w:highlight w:val="none"/>
          <w:shd w:val="clear"/>
          <w:lang w:val="en-US" w:eastAsia="zh-CN"/>
        </w:rPr>
        <w:t>表7.1</w:t>
      </w:r>
      <w:r>
        <w:rPr>
          <w:rFonts w:hint="eastAsia" w:ascii="宋体" w:hAnsi="宋体" w:eastAsia="宋体" w:cs="宋体"/>
          <w:b/>
          <w:bCs w:val="0"/>
          <w:highlight w:val="none"/>
          <w:shd w:val="clear"/>
        </w:rPr>
        <w:t xml:space="preserve">-1 </w:t>
      </w:r>
      <w:r>
        <w:rPr>
          <w:rFonts w:hint="eastAsia" w:ascii="宋体" w:hAnsi="宋体" w:eastAsia="宋体" w:cs="宋体"/>
          <w:b/>
          <w:bCs w:val="0"/>
          <w:highlight w:val="none"/>
          <w:shd w:val="clear"/>
          <w:lang w:val="en-US" w:eastAsia="zh-CN"/>
        </w:rPr>
        <w:t>安全</w:t>
      </w:r>
      <w:r>
        <w:rPr>
          <w:rFonts w:hint="eastAsia" w:ascii="宋体" w:hAnsi="宋体" w:eastAsia="宋体" w:cs="宋体"/>
          <w:b/>
          <w:bCs w:val="0"/>
          <w:highlight w:val="none"/>
          <w:shd w:val="clear"/>
        </w:rPr>
        <w:t>管理组织机构</w:t>
      </w:r>
      <w:r>
        <w:rPr>
          <w:rFonts w:hint="eastAsia" w:ascii="宋体" w:hAnsi="宋体" w:eastAsia="宋体" w:cs="宋体"/>
          <w:b/>
          <w:bCs w:val="0"/>
          <w:highlight w:val="none"/>
          <w:shd w:val="clear"/>
          <w:lang w:val="en-US" w:eastAsia="zh-CN"/>
        </w:rPr>
        <w:t>表</w:t>
      </w:r>
    </w:p>
    <w:tbl>
      <w:tblPr>
        <w:tblStyle w:val="9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2150"/>
        <w:gridCol w:w="890"/>
        <w:gridCol w:w="4475"/>
        <w:gridCol w:w="505"/>
      </w:tblGrid>
      <w:tr w14:paraId="25FFA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0B7B38FE">
            <w:pPr>
              <w:spacing w:line="240" w:lineRule="auto"/>
              <w:ind w:firstLine="0" w:firstLineChars="0"/>
              <w:jc w:val="center"/>
              <w:rPr>
                <w:b/>
                <w:sz w:val="21"/>
                <w:highlight w:val="none"/>
              </w:rPr>
            </w:pPr>
            <w:r>
              <w:rPr>
                <w:rFonts w:hint="eastAsia"/>
                <w:b/>
                <w:sz w:val="21"/>
                <w:highlight w:val="none"/>
              </w:rPr>
              <w:t>序号</w:t>
            </w:r>
          </w:p>
        </w:tc>
        <w:tc>
          <w:tcPr>
            <w:tcW w:w="1261" w:type="pct"/>
            <w:shd w:val="clear" w:color="auto" w:fill="auto"/>
            <w:vAlign w:val="center"/>
          </w:tcPr>
          <w:p w14:paraId="54EDCB41">
            <w:pPr>
              <w:spacing w:line="240" w:lineRule="auto"/>
              <w:ind w:firstLine="0" w:firstLineChars="0"/>
              <w:jc w:val="center"/>
              <w:rPr>
                <w:rFonts w:hint="eastAsia" w:eastAsia="宋体"/>
                <w:b/>
                <w:bCs/>
                <w:sz w:val="21"/>
                <w:highlight w:val="none"/>
                <w:lang w:eastAsia="zh-CN"/>
              </w:rPr>
            </w:pPr>
            <w:r>
              <w:rPr>
                <w:rFonts w:hint="eastAsia"/>
                <w:b/>
                <w:bCs/>
                <w:sz w:val="21"/>
                <w:highlight w:val="none"/>
                <w:lang w:val="en-US" w:eastAsia="zh-CN"/>
              </w:rPr>
              <w:t>岗位</w:t>
            </w:r>
          </w:p>
        </w:tc>
        <w:tc>
          <w:tcPr>
            <w:tcW w:w="522" w:type="pct"/>
            <w:shd w:val="clear" w:color="auto" w:fill="auto"/>
            <w:vAlign w:val="center"/>
          </w:tcPr>
          <w:p w14:paraId="7A1BABF6">
            <w:pPr>
              <w:spacing w:line="240" w:lineRule="auto"/>
              <w:ind w:firstLine="0" w:firstLineChars="0"/>
              <w:jc w:val="center"/>
              <w:rPr>
                <w:rFonts w:hint="eastAsia" w:eastAsia="宋体"/>
                <w:b/>
                <w:sz w:val="21"/>
                <w:highlight w:val="none"/>
                <w:lang w:eastAsia="zh-CN"/>
              </w:rPr>
            </w:pPr>
            <w:r>
              <w:rPr>
                <w:rFonts w:hint="eastAsia"/>
                <w:b/>
                <w:bCs/>
                <w:sz w:val="21"/>
                <w:highlight w:val="none"/>
                <w:lang w:val="en-US" w:eastAsia="zh-CN"/>
              </w:rPr>
              <w:t>姓名</w:t>
            </w:r>
          </w:p>
        </w:tc>
        <w:tc>
          <w:tcPr>
            <w:tcW w:w="2625" w:type="pct"/>
            <w:shd w:val="clear" w:color="auto" w:fill="auto"/>
            <w:vAlign w:val="center"/>
          </w:tcPr>
          <w:p w14:paraId="1AACBBE7">
            <w:pPr>
              <w:spacing w:line="240" w:lineRule="auto"/>
              <w:ind w:firstLine="0" w:firstLineChars="0"/>
              <w:jc w:val="center"/>
              <w:rPr>
                <w:rFonts w:hint="eastAsia" w:eastAsia="宋体"/>
                <w:b/>
                <w:sz w:val="21"/>
                <w:highlight w:val="none"/>
                <w:lang w:eastAsia="zh-CN"/>
              </w:rPr>
            </w:pPr>
            <w:r>
              <w:rPr>
                <w:rFonts w:hint="eastAsia"/>
                <w:b/>
                <w:sz w:val="21"/>
                <w:highlight w:val="none"/>
                <w:lang w:val="en-US" w:eastAsia="zh-CN"/>
              </w:rPr>
              <w:t>工作职责</w:t>
            </w:r>
          </w:p>
        </w:tc>
        <w:tc>
          <w:tcPr>
            <w:tcW w:w="296" w:type="pct"/>
            <w:shd w:val="clear" w:color="auto" w:fill="auto"/>
            <w:vAlign w:val="center"/>
          </w:tcPr>
          <w:p w14:paraId="1F1995F1">
            <w:pPr>
              <w:spacing w:line="240" w:lineRule="auto"/>
              <w:ind w:firstLine="0" w:firstLineChars="0"/>
              <w:jc w:val="center"/>
              <w:rPr>
                <w:rFonts w:hint="eastAsia" w:eastAsia="宋体"/>
                <w:b/>
                <w:sz w:val="21"/>
                <w:highlight w:val="none"/>
                <w:lang w:val="en-US" w:eastAsia="zh-CN"/>
              </w:rPr>
            </w:pPr>
            <w:r>
              <w:rPr>
                <w:rFonts w:hint="eastAsia"/>
                <w:b/>
                <w:sz w:val="21"/>
                <w:highlight w:val="none"/>
                <w:lang w:val="en-US" w:eastAsia="zh-CN"/>
              </w:rPr>
              <w:t>备注</w:t>
            </w:r>
          </w:p>
        </w:tc>
      </w:tr>
      <w:tr w14:paraId="76871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2C20CE8">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25156EEA">
            <w:pPr>
              <w:pStyle w:val="35"/>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技术负责人</w:t>
            </w:r>
          </w:p>
        </w:tc>
        <w:tc>
          <w:tcPr>
            <w:tcW w:w="522" w:type="pct"/>
            <w:shd w:val="clear" w:color="auto" w:fill="auto"/>
            <w:vAlign w:val="center"/>
          </w:tcPr>
          <w:p w14:paraId="6A025C7E">
            <w:pPr>
              <w:pStyle w:val="35"/>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温涛</w:t>
            </w:r>
          </w:p>
        </w:tc>
        <w:tc>
          <w:tcPr>
            <w:tcW w:w="2625" w:type="pct"/>
            <w:shd w:val="clear" w:color="auto" w:fill="auto"/>
            <w:vAlign w:val="center"/>
          </w:tcPr>
          <w:p w14:paraId="44F7A145">
            <w:pPr>
              <w:pStyle w:val="35"/>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heme="minorHAnsi" w:hAnsiTheme="minorHAnsi" w:cstheme="minorBidi"/>
                <w:b w:val="0"/>
              </w:rPr>
              <w:t>技术负责人负责制定</w:t>
            </w:r>
            <w:r>
              <w:rPr>
                <w:rFonts w:hint="eastAsia" w:asciiTheme="minorHAnsi" w:hAnsiTheme="minorHAnsi" w:cstheme="minorBidi"/>
                <w:b w:val="0"/>
                <w:lang w:eastAsia="zh-CN"/>
              </w:rPr>
              <w:t>塔机</w:t>
            </w:r>
            <w:r>
              <w:rPr>
                <w:rFonts w:hint="eastAsia" w:asciiTheme="minorHAnsi" w:hAnsiTheme="minorHAnsi" w:cstheme="minorBidi"/>
                <w:b w:val="0"/>
                <w:lang w:val="en-US" w:eastAsia="zh-CN"/>
              </w:rPr>
              <w:t>安拆</w:t>
            </w:r>
            <w:r>
              <w:rPr>
                <w:rFonts w:hint="eastAsia" w:asciiTheme="minorHAnsi" w:hAnsiTheme="minorHAnsi" w:cstheme="minorBidi"/>
                <w:b w:val="0"/>
              </w:rPr>
              <w:t>方案的技术细节，包括</w:t>
            </w:r>
            <w:r>
              <w:rPr>
                <w:rFonts w:hint="eastAsia" w:asciiTheme="minorHAnsi" w:hAnsiTheme="minorHAnsi" w:cstheme="minorBidi"/>
                <w:b w:val="0"/>
                <w:lang w:val="en-US" w:eastAsia="zh-CN"/>
              </w:rPr>
              <w:t>安拆</w:t>
            </w:r>
            <w:r>
              <w:rPr>
                <w:rFonts w:hint="eastAsia" w:asciiTheme="minorHAnsi" w:hAnsiTheme="minorHAnsi" w:cstheme="minorBidi"/>
                <w:b w:val="0"/>
              </w:rPr>
              <w:t>流程、技术参数、安全技术措施等内容；同时，在</w:t>
            </w:r>
            <w:r>
              <w:rPr>
                <w:rFonts w:hint="eastAsia" w:asciiTheme="minorHAnsi" w:hAnsiTheme="minorHAnsi" w:cstheme="minorBidi"/>
                <w:b w:val="0"/>
                <w:lang w:val="en-US" w:eastAsia="zh-CN"/>
              </w:rPr>
              <w:t>安拆</w:t>
            </w:r>
            <w:r>
              <w:rPr>
                <w:rFonts w:hint="eastAsia" w:asciiTheme="minorHAnsi" w:hAnsiTheme="minorHAnsi" w:cstheme="minorBidi"/>
                <w:b w:val="0"/>
              </w:rPr>
              <w:t>过程中提供技术指导，解决各类技术问题，监督技术方案执行情况并及时调整优化。</w:t>
            </w:r>
          </w:p>
        </w:tc>
        <w:tc>
          <w:tcPr>
            <w:tcW w:w="296" w:type="pct"/>
            <w:shd w:val="clear" w:color="auto" w:fill="auto"/>
            <w:vAlign w:val="center"/>
          </w:tcPr>
          <w:p w14:paraId="43FB92AB">
            <w:pPr>
              <w:spacing w:line="240" w:lineRule="auto"/>
              <w:ind w:firstLine="0" w:firstLineChars="0"/>
              <w:jc w:val="center"/>
              <w:rPr>
                <w:sz w:val="21"/>
                <w:highlight w:val="none"/>
              </w:rPr>
            </w:pPr>
          </w:p>
        </w:tc>
      </w:tr>
      <w:tr w14:paraId="5EA7A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8341862">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584AF9AB">
            <w:pPr>
              <w:pStyle w:val="35"/>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项目负责人</w:t>
            </w:r>
          </w:p>
        </w:tc>
        <w:tc>
          <w:tcPr>
            <w:tcW w:w="522" w:type="pct"/>
            <w:shd w:val="clear" w:color="auto" w:fill="auto"/>
            <w:vAlign w:val="center"/>
          </w:tcPr>
          <w:p w14:paraId="1B076A56">
            <w:pPr>
              <w:pStyle w:val="35"/>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明兴富</w:t>
            </w:r>
          </w:p>
        </w:tc>
        <w:tc>
          <w:tcPr>
            <w:tcW w:w="2625" w:type="pct"/>
            <w:shd w:val="clear" w:color="auto" w:fill="auto"/>
            <w:vAlign w:val="center"/>
          </w:tcPr>
          <w:p w14:paraId="70302209">
            <w:pPr>
              <w:pStyle w:val="35"/>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heme="minorHAnsi" w:hAnsiTheme="minorHAnsi" w:cstheme="minorBidi"/>
                <w:b w:val="0"/>
              </w:rPr>
              <w:t>负责现场</w:t>
            </w:r>
            <w:r>
              <w:rPr>
                <w:rFonts w:hint="eastAsia" w:asciiTheme="minorHAnsi" w:hAnsiTheme="minorHAnsi" w:cstheme="minorBidi"/>
                <w:b w:val="0"/>
                <w:lang w:val="en-US" w:eastAsia="zh-CN"/>
              </w:rPr>
              <w:t>安拆</w:t>
            </w:r>
            <w:r>
              <w:rPr>
                <w:rFonts w:hint="eastAsia" w:asciiTheme="minorHAnsi" w:hAnsiTheme="minorHAnsi" w:cstheme="minorBidi"/>
                <w:b w:val="0"/>
              </w:rPr>
              <w:t>指导及安全管理</w:t>
            </w:r>
          </w:p>
        </w:tc>
        <w:tc>
          <w:tcPr>
            <w:tcW w:w="296" w:type="pct"/>
            <w:shd w:val="clear" w:color="auto" w:fill="auto"/>
            <w:vAlign w:val="center"/>
          </w:tcPr>
          <w:p w14:paraId="4D59372F">
            <w:pPr>
              <w:spacing w:line="240" w:lineRule="auto"/>
              <w:ind w:firstLine="0" w:firstLineChars="0"/>
              <w:jc w:val="center"/>
              <w:rPr>
                <w:sz w:val="21"/>
                <w:highlight w:val="none"/>
              </w:rPr>
            </w:pPr>
          </w:p>
        </w:tc>
      </w:tr>
      <w:tr w14:paraId="5416B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2ABB5E">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4A5FEC22">
            <w:pPr>
              <w:pStyle w:val="35"/>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现场负责人</w:t>
            </w:r>
          </w:p>
        </w:tc>
        <w:tc>
          <w:tcPr>
            <w:tcW w:w="522" w:type="pct"/>
            <w:shd w:val="clear" w:color="auto" w:fill="auto"/>
            <w:vAlign w:val="center"/>
          </w:tcPr>
          <w:p w14:paraId="5C0D1B7E">
            <w:pPr>
              <w:pStyle w:val="35"/>
              <w:spacing w:line="240" w:lineRule="auto"/>
              <w:ind w:firstLine="0" w:firstLineChars="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白美富</w:t>
            </w:r>
          </w:p>
        </w:tc>
        <w:tc>
          <w:tcPr>
            <w:tcW w:w="2625" w:type="pct"/>
            <w:shd w:val="clear" w:color="auto" w:fill="auto"/>
            <w:vAlign w:val="center"/>
          </w:tcPr>
          <w:p w14:paraId="2AC96AFA">
            <w:pPr>
              <w:pStyle w:val="35"/>
              <w:ind w:firstLine="0" w:firstLineChars="0"/>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heme="minorHAnsi" w:hAnsiTheme="minorHAnsi" w:cstheme="minorBidi"/>
                <w:b w:val="0"/>
              </w:rPr>
              <w:t>负责组织人员按</w:t>
            </w:r>
            <w:r>
              <w:rPr>
                <w:rFonts w:hint="eastAsia" w:asciiTheme="minorHAnsi" w:hAnsiTheme="minorHAnsi" w:cstheme="minorBidi"/>
                <w:b w:val="0"/>
                <w:lang w:val="en-US" w:eastAsia="zh-CN"/>
              </w:rPr>
              <w:t>安拆</w:t>
            </w:r>
            <w:r>
              <w:rPr>
                <w:rFonts w:hint="eastAsia" w:asciiTheme="minorHAnsi" w:hAnsiTheme="minorHAnsi" w:cstheme="minorBidi"/>
                <w:b w:val="0"/>
              </w:rPr>
              <w:t>工艺规程及</w:t>
            </w:r>
            <w:r>
              <w:rPr>
                <w:rFonts w:hint="eastAsia" w:asciiTheme="minorHAnsi" w:hAnsiTheme="minorHAnsi" w:cstheme="minorBidi"/>
                <w:b w:val="0"/>
                <w:lang w:eastAsia="zh-CN"/>
              </w:rPr>
              <w:t>塔机</w:t>
            </w:r>
            <w:r>
              <w:rPr>
                <w:rFonts w:hint="eastAsia" w:asciiTheme="minorHAnsi" w:hAnsiTheme="minorHAnsi" w:cstheme="minorBidi"/>
                <w:b w:val="0"/>
              </w:rPr>
              <w:t>使用说明书要求进行作业，负责每日的工作安排，安全交底、工作记录，制止任何违章作业。</w:t>
            </w:r>
          </w:p>
        </w:tc>
        <w:tc>
          <w:tcPr>
            <w:tcW w:w="296" w:type="pct"/>
            <w:shd w:val="clear" w:color="auto" w:fill="auto"/>
            <w:vAlign w:val="center"/>
          </w:tcPr>
          <w:p w14:paraId="0F846CCA">
            <w:pPr>
              <w:spacing w:line="240" w:lineRule="auto"/>
              <w:ind w:firstLine="0" w:firstLineChars="0"/>
              <w:jc w:val="center"/>
              <w:rPr>
                <w:sz w:val="21"/>
                <w:highlight w:val="none"/>
              </w:rPr>
            </w:pPr>
          </w:p>
        </w:tc>
      </w:tr>
      <w:tr w14:paraId="553FE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3626A0D">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2A641BDA">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14BD704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Style w:val="70"/>
                <w:rFonts w:hint="eastAsia" w:cstheme="minorBidi"/>
                <w:b w:val="0"/>
                <w:i w:val="0"/>
                <w:color w:val="000000"/>
                <w:highlight w:val="none"/>
                <w:lang w:val="en-US" w:eastAsia="zh-CN"/>
              </w:rPr>
              <w:t>黄科</w:t>
            </w:r>
          </w:p>
        </w:tc>
        <w:tc>
          <w:tcPr>
            <w:tcW w:w="2625" w:type="pct"/>
            <w:shd w:val="clear" w:color="auto" w:fill="auto"/>
            <w:vAlign w:val="center"/>
          </w:tcPr>
          <w:p w14:paraId="0A574D7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4FA7C63">
            <w:pPr>
              <w:spacing w:line="240" w:lineRule="auto"/>
              <w:ind w:firstLine="0" w:firstLineChars="0"/>
              <w:jc w:val="center"/>
              <w:rPr>
                <w:sz w:val="21"/>
                <w:highlight w:val="none"/>
              </w:rPr>
            </w:pPr>
          </w:p>
        </w:tc>
      </w:tr>
      <w:tr w14:paraId="18CA0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FA690DA">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3CE5DD7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8E9935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Style w:val="70"/>
                <w:rFonts w:hint="eastAsia" w:cstheme="minorBidi"/>
                <w:b w:val="0"/>
                <w:i w:val="0"/>
                <w:color w:val="000000"/>
                <w:highlight w:val="none"/>
                <w:lang w:val="en-US" w:eastAsia="zh-CN"/>
              </w:rPr>
              <w:t>徐刚</w:t>
            </w:r>
          </w:p>
        </w:tc>
        <w:tc>
          <w:tcPr>
            <w:tcW w:w="2625" w:type="pct"/>
            <w:shd w:val="clear" w:color="auto" w:fill="auto"/>
            <w:vAlign w:val="center"/>
          </w:tcPr>
          <w:p w14:paraId="68BF7A1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B92CFD4">
            <w:pPr>
              <w:spacing w:line="240" w:lineRule="auto"/>
              <w:ind w:firstLine="0" w:firstLineChars="0"/>
              <w:jc w:val="center"/>
              <w:rPr>
                <w:sz w:val="21"/>
                <w:highlight w:val="none"/>
              </w:rPr>
            </w:pPr>
          </w:p>
        </w:tc>
      </w:tr>
      <w:tr w14:paraId="3AB0F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3CFD67A3">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67CC8E03">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1A0AE2D">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王祯权</w:t>
            </w:r>
          </w:p>
        </w:tc>
        <w:tc>
          <w:tcPr>
            <w:tcW w:w="2625" w:type="pct"/>
            <w:shd w:val="clear" w:color="auto" w:fill="auto"/>
            <w:vAlign w:val="center"/>
          </w:tcPr>
          <w:p w14:paraId="0AB5C205">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111B7182">
            <w:pPr>
              <w:spacing w:line="240" w:lineRule="auto"/>
              <w:ind w:firstLine="0" w:firstLineChars="0"/>
              <w:jc w:val="center"/>
              <w:rPr>
                <w:sz w:val="21"/>
                <w:highlight w:val="none"/>
              </w:rPr>
            </w:pPr>
          </w:p>
        </w:tc>
      </w:tr>
      <w:tr w14:paraId="1B45F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7FBF856">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18246A8F">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B8DBD29">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Style w:val="70"/>
                <w:rFonts w:hint="eastAsia" w:cstheme="minorBidi"/>
                <w:b w:val="0"/>
                <w:i w:val="0"/>
                <w:color w:val="000000"/>
                <w:highlight w:val="none"/>
                <w:lang w:val="en-US" w:eastAsia="zh-CN"/>
              </w:rPr>
              <w:t>黄仁训</w:t>
            </w:r>
          </w:p>
        </w:tc>
        <w:tc>
          <w:tcPr>
            <w:tcW w:w="2625" w:type="pct"/>
            <w:shd w:val="clear" w:color="auto" w:fill="auto"/>
            <w:vAlign w:val="center"/>
          </w:tcPr>
          <w:p w14:paraId="4FF8317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负责设备安拆调试及维保</w:t>
            </w:r>
          </w:p>
        </w:tc>
        <w:tc>
          <w:tcPr>
            <w:tcW w:w="296" w:type="pct"/>
            <w:shd w:val="clear" w:color="auto" w:fill="auto"/>
            <w:vAlign w:val="center"/>
          </w:tcPr>
          <w:p w14:paraId="3BB5CB54">
            <w:pPr>
              <w:spacing w:line="240" w:lineRule="auto"/>
              <w:ind w:firstLine="0" w:firstLineChars="0"/>
              <w:jc w:val="center"/>
              <w:rPr>
                <w:sz w:val="21"/>
                <w:highlight w:val="none"/>
              </w:rPr>
            </w:pPr>
          </w:p>
        </w:tc>
      </w:tr>
      <w:tr w14:paraId="41E6F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D6D8891">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4094A72C">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建筑电工（维保人员）</w:t>
            </w:r>
          </w:p>
        </w:tc>
        <w:tc>
          <w:tcPr>
            <w:tcW w:w="522" w:type="pct"/>
            <w:shd w:val="clear" w:color="auto" w:fill="auto"/>
            <w:vAlign w:val="center"/>
          </w:tcPr>
          <w:p w14:paraId="317A19A2">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Style w:val="70"/>
                <w:rFonts w:hint="eastAsia" w:cstheme="minorBidi"/>
                <w:b w:val="0"/>
                <w:i w:val="0"/>
                <w:color w:val="000000"/>
                <w:highlight w:val="none"/>
                <w:lang w:val="en-US" w:eastAsia="zh-CN"/>
              </w:rPr>
              <w:t>陈刚</w:t>
            </w:r>
          </w:p>
        </w:tc>
        <w:tc>
          <w:tcPr>
            <w:tcW w:w="2625" w:type="pct"/>
            <w:shd w:val="clear" w:color="auto" w:fill="auto"/>
            <w:vAlign w:val="center"/>
          </w:tcPr>
          <w:p w14:paraId="44AE0021">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负责设备安拆电气调试及维保</w:t>
            </w:r>
          </w:p>
        </w:tc>
        <w:tc>
          <w:tcPr>
            <w:tcW w:w="296" w:type="pct"/>
            <w:shd w:val="clear" w:color="auto" w:fill="auto"/>
            <w:vAlign w:val="center"/>
          </w:tcPr>
          <w:p w14:paraId="666574D0">
            <w:pPr>
              <w:spacing w:line="240" w:lineRule="auto"/>
              <w:ind w:firstLine="0" w:firstLineChars="0"/>
              <w:jc w:val="center"/>
              <w:rPr>
                <w:sz w:val="21"/>
                <w:highlight w:val="none"/>
              </w:rPr>
            </w:pPr>
          </w:p>
        </w:tc>
      </w:tr>
      <w:tr w14:paraId="445F9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51BD26">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440ABAB7">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司机</w:t>
            </w:r>
          </w:p>
        </w:tc>
        <w:tc>
          <w:tcPr>
            <w:tcW w:w="522" w:type="pct"/>
            <w:shd w:val="clear" w:color="auto" w:fill="auto"/>
            <w:vAlign w:val="center"/>
          </w:tcPr>
          <w:p w14:paraId="6DB1A7D0">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Style w:val="70"/>
                <w:rFonts w:hint="eastAsia" w:cstheme="minorBidi"/>
                <w:b w:val="0"/>
                <w:i w:val="0"/>
                <w:color w:val="000000"/>
                <w:highlight w:val="none"/>
                <w:lang w:val="en-US" w:eastAsia="zh-CN"/>
              </w:rPr>
              <w:t>彭兴华</w:t>
            </w:r>
          </w:p>
        </w:tc>
        <w:tc>
          <w:tcPr>
            <w:tcW w:w="2625" w:type="pct"/>
            <w:shd w:val="clear" w:color="auto" w:fill="auto"/>
            <w:vAlign w:val="center"/>
          </w:tcPr>
          <w:p w14:paraId="20875034">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在安拆过程中对</w:t>
            </w: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进行操作。严守操作规程，严格</w:t>
            </w: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按照</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日常保养维护检查，确保</w:t>
            </w:r>
            <w:r>
              <w:rPr>
                <w:rFonts w:hint="eastAsia" w:eastAsia="宋体" w:cs="Times New Roman"/>
                <w:bCs/>
                <w:color w:val="000000" w:themeColor="text1"/>
                <w:kern w:val="2"/>
                <w:sz w:val="21"/>
                <w:szCs w:val="21"/>
                <w:highlight w:val="none"/>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处于良好状态。</w:t>
            </w:r>
          </w:p>
        </w:tc>
        <w:tc>
          <w:tcPr>
            <w:tcW w:w="296" w:type="pct"/>
            <w:shd w:val="clear" w:color="auto" w:fill="auto"/>
            <w:vAlign w:val="center"/>
          </w:tcPr>
          <w:p w14:paraId="0BD305DE">
            <w:pPr>
              <w:spacing w:line="240" w:lineRule="auto"/>
              <w:ind w:firstLine="0" w:firstLineChars="0"/>
              <w:jc w:val="center"/>
              <w:rPr>
                <w:sz w:val="21"/>
                <w:highlight w:val="none"/>
              </w:rPr>
            </w:pPr>
          </w:p>
        </w:tc>
      </w:tr>
      <w:tr w14:paraId="2EA05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270C56E">
            <w:pPr>
              <w:numPr>
                <w:ilvl w:val="0"/>
                <w:numId w:val="8"/>
              </w:numPr>
              <w:spacing w:line="240" w:lineRule="auto"/>
              <w:ind w:left="0" w:leftChars="0" w:firstLine="0" w:firstLineChars="0"/>
              <w:jc w:val="center"/>
              <w:rPr>
                <w:sz w:val="21"/>
                <w:highlight w:val="none"/>
              </w:rPr>
            </w:pPr>
          </w:p>
        </w:tc>
        <w:tc>
          <w:tcPr>
            <w:tcW w:w="1261" w:type="pct"/>
            <w:shd w:val="clear" w:color="auto" w:fill="auto"/>
            <w:vAlign w:val="center"/>
          </w:tcPr>
          <w:p w14:paraId="1954F0CE">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指挥</w:t>
            </w:r>
          </w:p>
        </w:tc>
        <w:tc>
          <w:tcPr>
            <w:tcW w:w="522" w:type="pct"/>
            <w:shd w:val="clear" w:color="auto" w:fill="auto"/>
            <w:vAlign w:val="center"/>
          </w:tcPr>
          <w:p w14:paraId="05D09984">
            <w:pPr>
              <w:spacing w:line="240" w:lineRule="auto"/>
              <w:ind w:firstLine="0" w:firstLine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张全超</w:t>
            </w:r>
          </w:p>
        </w:tc>
        <w:tc>
          <w:tcPr>
            <w:tcW w:w="2625" w:type="pct"/>
            <w:shd w:val="clear" w:color="auto" w:fill="auto"/>
            <w:vAlign w:val="center"/>
          </w:tcPr>
          <w:p w14:paraId="4B8B9B56">
            <w:pPr>
              <w:spacing w:line="240" w:lineRule="auto"/>
              <w:ind w:firstLine="0" w:firstLineChars="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负责安拆过程中的指挥信号</w:t>
            </w:r>
          </w:p>
        </w:tc>
        <w:tc>
          <w:tcPr>
            <w:tcW w:w="296" w:type="pct"/>
            <w:shd w:val="clear" w:color="auto" w:fill="auto"/>
            <w:vAlign w:val="center"/>
          </w:tcPr>
          <w:p w14:paraId="22EA4E9B">
            <w:pPr>
              <w:spacing w:line="240" w:lineRule="auto"/>
              <w:ind w:firstLine="0" w:firstLineChars="0"/>
              <w:jc w:val="center"/>
              <w:rPr>
                <w:sz w:val="21"/>
                <w:highlight w:val="none"/>
              </w:rPr>
            </w:pPr>
          </w:p>
        </w:tc>
      </w:tr>
    </w:tbl>
    <w:p w14:paraId="1E013AC8">
      <w:pPr>
        <w:pStyle w:val="10"/>
        <w:spacing w:after="0" w:line="240" w:lineRule="auto"/>
        <w:rPr>
          <w:rFonts w:hint="eastAsia"/>
          <w:lang w:val="en-US" w:eastAsia="zh-CN"/>
        </w:rPr>
      </w:pPr>
    </w:p>
    <w:p w14:paraId="2CB65737">
      <w:pPr>
        <w:pStyle w:val="5"/>
        <w:numPr>
          <w:ilvl w:val="0"/>
          <w:numId w:val="7"/>
        </w:numPr>
        <w:ind w:left="425" w:leftChars="0" w:hanging="425" w:firstLineChars="0"/>
        <w:rPr>
          <w:rFonts w:hint="eastAsia" w:cs="Times New Roman"/>
          <w:lang w:val="en-US" w:eastAsia="zh-CN"/>
        </w:rPr>
      </w:pPr>
      <w:bookmarkStart w:id="36" w:name="_Toc14764"/>
      <w:r>
        <w:rPr>
          <w:rFonts w:hint="eastAsia" w:cs="Times New Roman"/>
          <w:lang w:val="en-US" w:eastAsia="zh-CN"/>
        </w:rPr>
        <w:t>技术措施</w:t>
      </w:r>
      <w:bookmarkEnd w:id="36"/>
    </w:p>
    <w:p w14:paraId="303A27FF">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临边与洞口防护：操作平台设置双层防护栏杆（上杆高1.2m，下杆高0.6m），挂设密目式安全立网；通道搭设双层防护棚，覆盖坠落半径范围。</w:t>
      </w:r>
    </w:p>
    <w:p w14:paraId="15447327">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高处作业规范：作业人员必须穿戴安全帽、防滑鞋、安全带（高挂低用），禁止抛掷工具，物料传递使用专用工具袋。</w:t>
      </w:r>
    </w:p>
    <w:p w14:paraId="471856A9">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关键工序控制：顶升、降节时风速不得超4级，液压系统油压≤31MPa，顶升速度≤0.5m/min。</w:t>
      </w:r>
    </w:p>
    <w:p w14:paraId="00E86FB8">
      <w:pPr>
        <w:pStyle w:val="5"/>
        <w:numPr>
          <w:ilvl w:val="0"/>
          <w:numId w:val="7"/>
        </w:numPr>
        <w:ind w:left="425" w:leftChars="0" w:hanging="425" w:firstLineChars="0"/>
        <w:rPr>
          <w:rFonts w:hint="eastAsia" w:cs="Times New Roman"/>
          <w:lang w:val="en-US" w:eastAsia="zh-CN"/>
        </w:rPr>
      </w:pPr>
      <w:bookmarkStart w:id="37" w:name="_Toc5035"/>
      <w:r>
        <w:rPr>
          <w:rFonts w:hint="eastAsia" w:cs="Times New Roman"/>
          <w:lang w:val="en-US" w:eastAsia="zh-CN"/>
        </w:rPr>
        <w:t>安全管理制度</w:t>
      </w:r>
      <w:bookmarkEnd w:id="37"/>
    </w:p>
    <w:p w14:paraId="632DE99A">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安拆前需结合方案进行针对性交底，内容涵盖安拆顺序、危险源（如高空坠落、物体打击）及防护要求，并留存交底签字记录。</w:t>
      </w:r>
    </w:p>
    <w:p w14:paraId="336F7411">
      <w:pPr>
        <w:ind w:firstLine="480" w:firstLineChars="200"/>
        <w:rPr>
          <w:rFonts w:hint="eastAsia" w:ascii="宋体" w:hAnsi="宋体" w:eastAsia="宋体"/>
          <w:szCs w:val="24"/>
          <w:lang w:val="en-US" w:eastAsia="zh-CN"/>
        </w:rPr>
      </w:pPr>
      <w:r>
        <w:rPr>
          <w:rFonts w:hint="eastAsia" w:ascii="宋体" w:hAnsi="宋体" w:eastAsia="宋体"/>
          <w:szCs w:val="24"/>
          <w:lang w:val="en-US" w:eastAsia="zh-CN"/>
        </w:rPr>
        <w:t>动态监控与检查</w:t>
      </w:r>
    </w:p>
    <w:p w14:paraId="4EBB3C77">
      <w:pPr>
        <w:ind w:firstLine="480" w:firstLineChars="200"/>
      </w:pPr>
      <w:r>
        <w:rPr>
          <w:rFonts w:hint="eastAsia" w:ascii="宋体" w:hAnsi="宋体" w:eastAsia="宋体"/>
          <w:szCs w:val="24"/>
          <w:lang w:val="en-US" w:eastAsia="zh-CN"/>
        </w:rPr>
        <w:t>作业前对设备状态（如钢丝绳磨损、螺栓紧固力矩）、工具（吊具、索具）及防护用品（安全带、安全网）进行专项检查，不合格严禁使用。</w:t>
      </w:r>
    </w:p>
    <w:p w14:paraId="4E01660D">
      <w:pPr>
        <w:pStyle w:val="5"/>
        <w:numPr>
          <w:ilvl w:val="0"/>
          <w:numId w:val="7"/>
        </w:numPr>
        <w:ind w:left="425" w:leftChars="0" w:hanging="425" w:firstLineChars="0"/>
        <w:rPr>
          <w:rFonts w:hint="eastAsia" w:cs="Times New Roman"/>
          <w:b/>
          <w:bCs/>
          <w:kern w:val="2"/>
          <w:sz w:val="28"/>
          <w:szCs w:val="32"/>
          <w:lang w:val="en-US" w:eastAsia="zh-CN" w:bidi="ar-SA"/>
        </w:rPr>
      </w:pPr>
      <w:bookmarkStart w:id="38" w:name="_Toc10935"/>
      <w:r>
        <w:rPr>
          <w:rFonts w:hint="eastAsia" w:cs="Times New Roman"/>
          <w:b/>
          <w:bCs/>
          <w:kern w:val="2"/>
          <w:sz w:val="28"/>
          <w:szCs w:val="32"/>
          <w:lang w:val="en-US" w:eastAsia="zh-CN" w:bidi="ar-SA"/>
        </w:rPr>
        <w:t>防高坠措施</w:t>
      </w:r>
      <w:bookmarkEnd w:id="38"/>
    </w:p>
    <w:p w14:paraId="4EAF20E1">
      <w:pPr>
        <w:pStyle w:val="6"/>
        <w:keepNext/>
        <w:keepLines/>
        <w:pageBreakBefore w:val="0"/>
        <w:widowControl w:val="0"/>
        <w:numPr>
          <w:ilvl w:val="0"/>
          <w:numId w:val="9"/>
        </w:numPr>
        <w:kinsoku/>
        <w:wordWrap/>
        <w:overflowPunct/>
        <w:topLinePunct w:val="0"/>
        <w:autoSpaceDE/>
        <w:autoSpaceDN/>
        <w:bidi w:val="0"/>
        <w:adjustRightInd/>
        <w:snapToGrid/>
        <w:ind w:left="0" w:leftChars="0" w:firstLine="0" w:firstLineChars="0"/>
        <w:textAlignment w:val="auto"/>
        <w:rPr>
          <w:rFonts w:hint="eastAsia"/>
        </w:rPr>
      </w:pPr>
      <w:r>
        <w:rPr>
          <w:rFonts w:hint="eastAsia"/>
        </w:rPr>
        <w:t>人员防高坠措施</w:t>
      </w:r>
    </w:p>
    <w:p w14:paraId="355E8860">
      <w:pPr>
        <w:numPr>
          <w:ilvl w:val="0"/>
          <w:numId w:val="10"/>
        </w:numPr>
        <w:ind w:left="425" w:leftChars="0" w:hanging="425" w:firstLineChars="0"/>
        <w:rPr>
          <w:rFonts w:hint="eastAsia"/>
        </w:rPr>
      </w:pPr>
      <w:r>
        <w:rPr>
          <w:rFonts w:hint="eastAsia"/>
        </w:rPr>
        <w:t>个人防护装备</w:t>
      </w:r>
    </w:p>
    <w:p w14:paraId="73780B30">
      <w:pPr>
        <w:keepNext w:val="0"/>
        <w:keepLines w:val="0"/>
        <w:pageBreakBefore w:val="0"/>
        <w:widowControl w:val="0"/>
        <w:numPr>
          <w:ilvl w:val="0"/>
          <w:numId w:val="11"/>
        </w:numPr>
        <w:tabs>
          <w:tab w:val="clear" w:pos="0"/>
        </w:tabs>
        <w:kinsoku/>
        <w:wordWrap/>
        <w:overflowPunct/>
        <w:topLinePunct w:val="0"/>
        <w:autoSpaceDE/>
        <w:autoSpaceDN/>
        <w:bidi w:val="0"/>
        <w:adjustRightInd/>
        <w:snapToGrid/>
        <w:ind w:left="0" w:leftChars="0" w:firstLine="400" w:firstLineChars="0"/>
        <w:textAlignment w:val="auto"/>
        <w:rPr>
          <w:rFonts w:hint="eastAsia"/>
        </w:rPr>
      </w:pPr>
      <w:r>
        <w:rPr>
          <w:rFonts w:hint="eastAsia"/>
        </w:rPr>
        <w:t>安全带</w:t>
      </w:r>
      <w:r>
        <w:rPr>
          <w:rFonts w:hint="eastAsia"/>
          <w:lang w:eastAsia="zh-CN"/>
        </w:rPr>
        <w:t>：</w:t>
      </w:r>
      <w:r>
        <w:rPr>
          <w:rFonts w:hint="eastAsia"/>
        </w:rPr>
        <w:t>高空作业必须佩戴符合国家标准的全身式安全带，且高挂低用（挂钩固定点高于作业位置）。定期检查安全带磨损、断裂情况，禁止使用老化或损坏的装备。</w:t>
      </w:r>
    </w:p>
    <w:p w14:paraId="637885F1">
      <w:pPr>
        <w:keepNext w:val="0"/>
        <w:keepLines w:val="0"/>
        <w:pageBreakBefore w:val="0"/>
        <w:widowControl w:val="0"/>
        <w:numPr>
          <w:ilvl w:val="0"/>
          <w:numId w:val="11"/>
        </w:numPr>
        <w:tabs>
          <w:tab w:val="clear" w:pos="0"/>
        </w:tabs>
        <w:kinsoku/>
        <w:wordWrap/>
        <w:overflowPunct/>
        <w:topLinePunct w:val="0"/>
        <w:autoSpaceDE/>
        <w:autoSpaceDN/>
        <w:bidi w:val="0"/>
        <w:adjustRightInd/>
        <w:snapToGrid/>
        <w:ind w:left="0" w:leftChars="0" w:firstLine="400" w:firstLineChars="0"/>
        <w:textAlignment w:val="auto"/>
        <w:rPr>
          <w:rFonts w:hint="eastAsia"/>
        </w:rPr>
      </w:pPr>
      <w:r>
        <w:rPr>
          <w:rFonts w:hint="eastAsia"/>
        </w:rPr>
        <w:t>安全帽</w:t>
      </w:r>
      <w:r>
        <w:rPr>
          <w:rFonts w:hint="eastAsia"/>
          <w:lang w:eastAsia="zh-CN"/>
        </w:rPr>
        <w:t>：</w:t>
      </w:r>
      <w:r>
        <w:rPr>
          <w:rFonts w:hint="eastAsia"/>
        </w:rPr>
        <w:t>进入高空作业区域或下方危险区域必须佩戴安全帽，系带需紧扣下颌。</w:t>
      </w:r>
    </w:p>
    <w:p w14:paraId="38B3B56C">
      <w:pPr>
        <w:keepNext w:val="0"/>
        <w:keepLines w:val="0"/>
        <w:pageBreakBefore w:val="0"/>
        <w:widowControl w:val="0"/>
        <w:numPr>
          <w:ilvl w:val="0"/>
          <w:numId w:val="11"/>
        </w:numPr>
        <w:tabs>
          <w:tab w:val="clear" w:pos="0"/>
        </w:tabs>
        <w:kinsoku/>
        <w:wordWrap/>
        <w:overflowPunct/>
        <w:topLinePunct w:val="0"/>
        <w:autoSpaceDE/>
        <w:autoSpaceDN/>
        <w:bidi w:val="0"/>
        <w:adjustRightInd/>
        <w:snapToGrid/>
        <w:ind w:left="0" w:leftChars="0" w:firstLine="400" w:firstLineChars="0"/>
        <w:textAlignment w:val="auto"/>
        <w:rPr>
          <w:rFonts w:hint="eastAsia"/>
        </w:rPr>
      </w:pPr>
      <w:r>
        <w:rPr>
          <w:rFonts w:hint="eastAsia"/>
        </w:rPr>
        <w:t>防滑鞋/防滑手套</w:t>
      </w:r>
      <w:r>
        <w:rPr>
          <w:rFonts w:hint="eastAsia"/>
          <w:lang w:eastAsia="zh-CN"/>
        </w:rPr>
        <w:t>：</w:t>
      </w:r>
      <w:r>
        <w:rPr>
          <w:rFonts w:hint="eastAsia"/>
        </w:rPr>
        <w:t>作业面湿滑、倾斜时，穿防滑性能良好的劳保鞋；攀爬或搬运时使用防滑手套。</w:t>
      </w:r>
    </w:p>
    <w:p w14:paraId="02DBCAE3">
      <w:pPr>
        <w:numPr>
          <w:ilvl w:val="0"/>
          <w:numId w:val="10"/>
        </w:numPr>
        <w:ind w:left="425" w:leftChars="0" w:hanging="425" w:firstLineChars="0"/>
        <w:rPr>
          <w:rFonts w:hint="eastAsia"/>
        </w:rPr>
      </w:pPr>
      <w:r>
        <w:rPr>
          <w:rFonts w:hint="eastAsia"/>
        </w:rPr>
        <w:t>作业环境安全防护</w:t>
      </w:r>
    </w:p>
    <w:p w14:paraId="5BC94D89">
      <w:pPr>
        <w:keepNext w:val="0"/>
        <w:keepLines w:val="0"/>
        <w:pageBreakBefore w:val="0"/>
        <w:widowControl w:val="0"/>
        <w:numPr>
          <w:ilvl w:val="0"/>
          <w:numId w:val="12"/>
        </w:numPr>
        <w:tabs>
          <w:tab w:val="clear" w:pos="0"/>
        </w:tabs>
        <w:kinsoku/>
        <w:wordWrap/>
        <w:overflowPunct/>
        <w:topLinePunct w:val="0"/>
        <w:autoSpaceDE/>
        <w:autoSpaceDN/>
        <w:bidi w:val="0"/>
        <w:adjustRightInd/>
        <w:snapToGrid/>
        <w:ind w:left="0" w:leftChars="0" w:firstLine="400" w:firstLineChars="0"/>
        <w:textAlignment w:val="auto"/>
        <w:rPr>
          <w:rFonts w:hint="eastAsia" w:ascii="Times New Roman" w:hAnsi="Times New Roman"/>
        </w:rPr>
      </w:pPr>
      <w:r>
        <w:rPr>
          <w:rFonts w:hint="eastAsia" w:ascii="Times New Roman" w:hAnsi="Times New Roman"/>
        </w:rPr>
        <w:t>临边与洞口防护</w:t>
      </w:r>
      <w:r>
        <w:rPr>
          <w:rFonts w:hint="eastAsia" w:ascii="Times New Roman" w:hAnsi="Times New Roman"/>
          <w:lang w:eastAsia="zh-CN"/>
        </w:rPr>
        <w:t>：</w:t>
      </w:r>
      <w:r>
        <w:rPr>
          <w:rFonts w:hint="eastAsia" w:ascii="Times New Roman" w:hAnsi="Times New Roman"/>
        </w:rPr>
        <w:t>楼梯口、电梯井口、阳台边缘等临边位置设置1.2米高防护栏杆+踢脚板，洞口覆盖坚实盖板或张挂安全平网。脚手架外侧满挂密目安全立网。</w:t>
      </w:r>
    </w:p>
    <w:p w14:paraId="37CF416B">
      <w:pPr>
        <w:keepNext w:val="0"/>
        <w:keepLines w:val="0"/>
        <w:pageBreakBefore w:val="0"/>
        <w:widowControl w:val="0"/>
        <w:numPr>
          <w:ilvl w:val="0"/>
          <w:numId w:val="12"/>
        </w:numPr>
        <w:tabs>
          <w:tab w:val="clear" w:pos="0"/>
        </w:tabs>
        <w:kinsoku/>
        <w:wordWrap/>
        <w:overflowPunct/>
        <w:topLinePunct w:val="0"/>
        <w:autoSpaceDE/>
        <w:autoSpaceDN/>
        <w:bidi w:val="0"/>
        <w:adjustRightInd/>
        <w:snapToGrid/>
        <w:ind w:left="0" w:leftChars="0" w:firstLine="400" w:firstLineChars="0"/>
        <w:textAlignment w:val="auto"/>
        <w:rPr>
          <w:rFonts w:hint="eastAsia" w:ascii="Times New Roman" w:hAnsi="Times New Roman"/>
        </w:rPr>
      </w:pPr>
      <w:r>
        <w:rPr>
          <w:rFonts w:hint="eastAsia" w:ascii="Times New Roman" w:hAnsi="Times New Roman"/>
        </w:rPr>
        <w:t>安全通道与操作平台</w:t>
      </w:r>
      <w:r>
        <w:rPr>
          <w:rFonts w:hint="eastAsia" w:ascii="Times New Roman" w:hAnsi="Times New Roman"/>
          <w:lang w:eastAsia="zh-CN"/>
        </w:rPr>
        <w:t>：</w:t>
      </w:r>
      <w:r>
        <w:rPr>
          <w:rFonts w:hint="eastAsia" w:ascii="Times New Roman" w:hAnsi="Times New Roman"/>
        </w:rPr>
        <w:t>高空作业设置固定爬梯、通道或操作平台（如脚手架、吊篮、悬挑平台），平台需有防滑措施及防护栏杆。吊篮作业前检查钢丝绳、安全锁，限载使用，严禁超载。</w:t>
      </w:r>
    </w:p>
    <w:p w14:paraId="7506F0F2">
      <w:pPr>
        <w:keepNext w:val="0"/>
        <w:keepLines w:val="0"/>
        <w:pageBreakBefore w:val="0"/>
        <w:widowControl w:val="0"/>
        <w:numPr>
          <w:ilvl w:val="0"/>
          <w:numId w:val="12"/>
        </w:numPr>
        <w:tabs>
          <w:tab w:val="clear" w:pos="0"/>
        </w:tabs>
        <w:kinsoku/>
        <w:wordWrap/>
        <w:overflowPunct/>
        <w:topLinePunct w:val="0"/>
        <w:autoSpaceDE/>
        <w:autoSpaceDN/>
        <w:bidi w:val="0"/>
        <w:adjustRightInd/>
        <w:snapToGrid/>
        <w:ind w:left="0" w:leftChars="0" w:firstLine="400" w:firstLineChars="0"/>
        <w:textAlignment w:val="auto"/>
        <w:rPr>
          <w:rFonts w:hint="eastAsia" w:ascii="Times New Roman" w:hAnsi="Times New Roman"/>
        </w:rPr>
      </w:pPr>
      <w:r>
        <w:rPr>
          <w:rFonts w:hint="eastAsia" w:ascii="Times New Roman" w:hAnsi="Times New Roman"/>
        </w:rPr>
        <w:t>安全网设置</w:t>
      </w:r>
      <w:r>
        <w:rPr>
          <w:rFonts w:hint="eastAsia" w:ascii="Times New Roman" w:hAnsi="Times New Roman"/>
          <w:lang w:eastAsia="zh-CN"/>
        </w:rPr>
        <w:t>：</w:t>
      </w:r>
      <w:r>
        <w:rPr>
          <w:rFonts w:hint="eastAsia" w:ascii="Times New Roman" w:hAnsi="Times New Roman"/>
        </w:rPr>
        <w:t>多层建筑外架张挂水平安全网（每隔10米设置一道），首层设兜底网，防止人员坠落。</w:t>
      </w:r>
    </w:p>
    <w:p w14:paraId="67BE2367">
      <w:pPr>
        <w:numPr>
          <w:ilvl w:val="0"/>
          <w:numId w:val="10"/>
        </w:numPr>
        <w:ind w:left="425" w:leftChars="0" w:hanging="425" w:firstLineChars="0"/>
        <w:rPr>
          <w:rFonts w:hint="eastAsia"/>
        </w:rPr>
      </w:pPr>
      <w:r>
        <w:rPr>
          <w:rFonts w:hint="eastAsia"/>
        </w:rPr>
        <w:t>操作规范与管理</w:t>
      </w:r>
    </w:p>
    <w:p w14:paraId="1336F91D">
      <w:pPr>
        <w:keepNext w:val="0"/>
        <w:keepLines w:val="0"/>
        <w:pageBreakBefore w:val="0"/>
        <w:widowControl w:val="0"/>
        <w:numPr>
          <w:ilvl w:val="0"/>
          <w:numId w:val="13"/>
        </w:numPr>
        <w:tabs>
          <w:tab w:val="clear" w:pos="0"/>
        </w:tabs>
        <w:kinsoku/>
        <w:wordWrap/>
        <w:overflowPunct/>
        <w:topLinePunct w:val="0"/>
        <w:autoSpaceDE/>
        <w:autoSpaceDN/>
        <w:bidi w:val="0"/>
        <w:adjustRightInd/>
        <w:snapToGrid/>
        <w:ind w:left="0" w:leftChars="0" w:firstLine="400" w:firstLineChars="0"/>
        <w:textAlignment w:val="auto"/>
        <w:rPr>
          <w:rFonts w:hint="eastAsia" w:ascii="Times New Roman" w:hAnsi="Times New Roman"/>
        </w:rPr>
      </w:pPr>
      <w:r>
        <w:rPr>
          <w:rFonts w:hint="eastAsia" w:ascii="Times New Roman" w:hAnsi="Times New Roman"/>
        </w:rPr>
        <w:t>作业前准备</w:t>
      </w:r>
      <w:r>
        <w:rPr>
          <w:rFonts w:hint="eastAsia" w:ascii="Times New Roman" w:hAnsi="Times New Roman"/>
          <w:lang w:eastAsia="zh-CN"/>
        </w:rPr>
        <w:t>：</w:t>
      </w:r>
      <w:r>
        <w:rPr>
          <w:rFonts w:hint="eastAsia" w:ascii="Times New Roman" w:hAnsi="Times New Roman"/>
        </w:rPr>
        <w:t>开展风险评估，制定高空作业方案，明确防坠措施</w:t>
      </w:r>
      <w:r>
        <w:rPr>
          <w:rFonts w:hint="eastAsia" w:ascii="Times New Roman" w:hAnsi="Times New Roman"/>
          <w:lang w:eastAsia="zh-CN"/>
        </w:rPr>
        <w:t>。</w:t>
      </w:r>
      <w:r>
        <w:rPr>
          <w:rFonts w:hint="eastAsia" w:ascii="Times New Roman" w:hAnsi="Times New Roman"/>
        </w:rPr>
        <w:t>作业人员需经培训考核合格（如特种作业操作证），禁止疲劳、酒后作业。</w:t>
      </w:r>
    </w:p>
    <w:p w14:paraId="59BB20F6">
      <w:pPr>
        <w:keepNext w:val="0"/>
        <w:keepLines w:val="0"/>
        <w:pageBreakBefore w:val="0"/>
        <w:widowControl w:val="0"/>
        <w:numPr>
          <w:ilvl w:val="0"/>
          <w:numId w:val="13"/>
        </w:numPr>
        <w:tabs>
          <w:tab w:val="clear" w:pos="0"/>
        </w:tabs>
        <w:kinsoku/>
        <w:wordWrap/>
        <w:overflowPunct/>
        <w:topLinePunct w:val="0"/>
        <w:autoSpaceDE/>
        <w:autoSpaceDN/>
        <w:bidi w:val="0"/>
        <w:adjustRightInd/>
        <w:snapToGrid/>
        <w:ind w:left="0" w:leftChars="0" w:firstLine="400" w:firstLineChars="0"/>
        <w:textAlignment w:val="auto"/>
        <w:rPr>
          <w:rFonts w:hint="eastAsia" w:ascii="Times New Roman" w:hAnsi="Times New Roman"/>
        </w:rPr>
      </w:pPr>
      <w:r>
        <w:rPr>
          <w:rFonts w:hint="eastAsia" w:ascii="Times New Roman" w:hAnsi="Times New Roman"/>
        </w:rPr>
        <w:t>作业中安全措施</w:t>
      </w:r>
      <w:r>
        <w:rPr>
          <w:rFonts w:hint="eastAsia" w:ascii="Times New Roman" w:hAnsi="Times New Roman"/>
          <w:lang w:eastAsia="zh-CN"/>
        </w:rPr>
        <w:t>：</w:t>
      </w:r>
      <w:r>
        <w:rPr>
          <w:rFonts w:hint="eastAsia" w:ascii="Times New Roman" w:hAnsi="Times New Roman"/>
        </w:rPr>
        <w:t>移动作业时使用双钩安全带，交替挂钩确保“步步有防护”；垂直交叉作业设置隔离层。恶劣天气（</w:t>
      </w:r>
      <w:r>
        <w:rPr>
          <w:rFonts w:hint="eastAsia" w:ascii="Times New Roman" w:hAnsi="Times New Roman"/>
          <w:lang w:val="en-US" w:eastAsia="zh-CN"/>
        </w:rPr>
        <w:t>5</w:t>
      </w:r>
      <w:r>
        <w:rPr>
          <w:rFonts w:hint="eastAsia" w:ascii="Times New Roman" w:hAnsi="Times New Roman"/>
        </w:rPr>
        <w:t>级及以上大风、暴雨、雷电）禁止高空作业。</w:t>
      </w:r>
    </w:p>
    <w:p w14:paraId="0B330010">
      <w:pPr>
        <w:keepNext w:val="0"/>
        <w:keepLines w:val="0"/>
        <w:pageBreakBefore w:val="0"/>
        <w:widowControl w:val="0"/>
        <w:numPr>
          <w:ilvl w:val="0"/>
          <w:numId w:val="13"/>
        </w:numPr>
        <w:tabs>
          <w:tab w:val="clear" w:pos="0"/>
        </w:tabs>
        <w:kinsoku/>
        <w:wordWrap/>
        <w:overflowPunct/>
        <w:topLinePunct w:val="0"/>
        <w:autoSpaceDE/>
        <w:autoSpaceDN/>
        <w:bidi w:val="0"/>
        <w:adjustRightInd/>
        <w:snapToGrid/>
        <w:ind w:left="0" w:leftChars="0" w:firstLine="400" w:firstLineChars="0"/>
        <w:textAlignment w:val="auto"/>
        <w:rPr>
          <w:rFonts w:hint="eastAsia" w:ascii="Times New Roman" w:hAnsi="Times New Roman"/>
        </w:rPr>
      </w:pPr>
      <w:r>
        <w:rPr>
          <w:rFonts w:hint="eastAsia" w:ascii="Times New Roman" w:hAnsi="Times New Roman"/>
        </w:rPr>
        <w:t>应急防护</w:t>
      </w:r>
      <w:r>
        <w:rPr>
          <w:rFonts w:hint="eastAsia" w:ascii="Times New Roman" w:hAnsi="Times New Roman"/>
          <w:lang w:eastAsia="zh-CN"/>
        </w:rPr>
        <w:t>：</w:t>
      </w:r>
      <w:r>
        <w:rPr>
          <w:rFonts w:hint="eastAsia" w:ascii="Times New Roman" w:hAnsi="Times New Roman"/>
        </w:rPr>
        <w:t>作业区域下方设置警戒区（警戒范围≥作业高度半径），禁止无关人员进入。配备应急救援设备（如速差器、缓降器），定期开展坠落应急演练。</w:t>
      </w:r>
    </w:p>
    <w:p w14:paraId="4D33974A">
      <w:pPr>
        <w:pStyle w:val="6"/>
        <w:keepNext/>
        <w:keepLines/>
        <w:pageBreakBefore w:val="0"/>
        <w:widowControl w:val="0"/>
        <w:numPr>
          <w:ilvl w:val="0"/>
          <w:numId w:val="9"/>
        </w:numPr>
        <w:kinsoku/>
        <w:wordWrap/>
        <w:overflowPunct/>
        <w:topLinePunct w:val="0"/>
        <w:autoSpaceDE/>
        <w:autoSpaceDN/>
        <w:bidi w:val="0"/>
        <w:adjustRightInd/>
        <w:snapToGrid/>
        <w:ind w:left="0" w:leftChars="0" w:firstLine="0" w:firstLineChars="0"/>
        <w:textAlignment w:val="auto"/>
        <w:rPr>
          <w:rFonts w:hint="eastAsia" w:ascii="Times New Roman" w:hAnsi="Times New Roman"/>
          <w:lang w:val="en-US" w:eastAsia="zh-CN"/>
        </w:rPr>
      </w:pPr>
      <w:r>
        <w:rPr>
          <w:rFonts w:hint="eastAsia" w:ascii="Times New Roman" w:hAnsi="Times New Roman"/>
          <w:lang w:val="en-US" w:eastAsia="zh-CN"/>
        </w:rPr>
        <w:t>物体防高坠措施</w:t>
      </w:r>
    </w:p>
    <w:p w14:paraId="0D39EF2C">
      <w:pPr>
        <w:numPr>
          <w:ilvl w:val="0"/>
          <w:numId w:val="14"/>
        </w:numPr>
        <w:ind w:left="425" w:leftChars="0" w:hanging="425" w:firstLineChars="0"/>
        <w:rPr>
          <w:rFonts w:hint="eastAsia"/>
          <w:lang w:val="en-US" w:eastAsia="zh-CN"/>
        </w:rPr>
      </w:pPr>
      <w:r>
        <w:rPr>
          <w:rFonts w:hint="eastAsia"/>
          <w:lang w:val="en-US" w:eastAsia="zh-CN"/>
        </w:rPr>
        <w:t>物体固定与堆放</w:t>
      </w:r>
    </w:p>
    <w:p w14:paraId="1D1EDF56">
      <w:pPr>
        <w:numPr>
          <w:ilvl w:val="0"/>
          <w:numId w:val="15"/>
        </w:numPr>
        <w:ind w:left="0" w:leftChars="0" w:firstLine="403" w:firstLineChars="0"/>
        <w:rPr>
          <w:rFonts w:hint="eastAsia"/>
          <w:lang w:val="en-US" w:eastAsia="zh-CN"/>
        </w:rPr>
      </w:pPr>
      <w:r>
        <w:rPr>
          <w:rFonts w:hint="eastAsia"/>
          <w:lang w:val="en-US" w:eastAsia="zh-CN"/>
        </w:rPr>
        <w:t>材料与工具管理：高空堆放材料（如钢管、板材）需固定牢固，禁止超载，边缘设置≥15cm高挡脚板。工具、零件放入工具袋或专用工具箱，禁止随手搁置在临边、孔洞旁，使用时用安全绳拴牢（如扳手、螺丝刀配防坠绳）。</w:t>
      </w:r>
    </w:p>
    <w:p w14:paraId="3DC0F5DB">
      <w:pPr>
        <w:numPr>
          <w:ilvl w:val="0"/>
          <w:numId w:val="15"/>
        </w:numPr>
        <w:ind w:left="0" w:leftChars="0" w:firstLine="403" w:firstLineChars="0"/>
        <w:rPr>
          <w:rFonts w:hint="eastAsia"/>
          <w:lang w:val="en-US" w:eastAsia="zh-CN"/>
        </w:rPr>
      </w:pPr>
      <w:r>
        <w:rPr>
          <w:rFonts w:hint="eastAsia"/>
          <w:lang w:val="en-US" w:eastAsia="zh-CN"/>
        </w:rPr>
        <w:t>设备与构件防护：吊装作业前检查吊具、钢丝绳，捆绑牢固后起吊；零散物件用吊笼吊运，禁止抛掷。外脚手架脚手板满铺并固定，禁止探头板；架体与结构间隙≤15cm，否则设防护措施。</w:t>
      </w:r>
    </w:p>
    <w:p w14:paraId="4E94BEB3">
      <w:pPr>
        <w:numPr>
          <w:ilvl w:val="0"/>
          <w:numId w:val="14"/>
        </w:numPr>
        <w:ind w:left="425" w:leftChars="0" w:hanging="425" w:firstLineChars="0"/>
        <w:rPr>
          <w:rFonts w:hint="eastAsia"/>
          <w:lang w:val="en-US" w:eastAsia="zh-CN"/>
        </w:rPr>
      </w:pPr>
      <w:r>
        <w:rPr>
          <w:rFonts w:hint="eastAsia"/>
          <w:lang w:val="en-US" w:eastAsia="zh-CN"/>
        </w:rPr>
        <w:t>防护设施设置</w:t>
      </w:r>
    </w:p>
    <w:p w14:paraId="3FC5C436">
      <w:pPr>
        <w:numPr>
          <w:ilvl w:val="0"/>
          <w:numId w:val="16"/>
        </w:numPr>
        <w:ind w:left="0" w:leftChars="0" w:firstLine="403" w:firstLineChars="0"/>
        <w:rPr>
          <w:rFonts w:hint="eastAsia"/>
          <w:lang w:val="en-US" w:eastAsia="zh-CN"/>
        </w:rPr>
      </w:pPr>
      <w:r>
        <w:rPr>
          <w:rFonts w:hint="eastAsia"/>
          <w:lang w:val="en-US" w:eastAsia="zh-CN"/>
        </w:rPr>
        <w:t>下方防护棚：人员通行区域、加工区上方设置双层硬质防护棚，覆盖范围≥坠落半径（作业高度h≥20m时，半径≥6m）。</w:t>
      </w:r>
    </w:p>
    <w:p w14:paraId="5005ACB4">
      <w:pPr>
        <w:numPr>
          <w:ilvl w:val="0"/>
          <w:numId w:val="16"/>
        </w:numPr>
        <w:ind w:left="0" w:leftChars="0" w:firstLine="403" w:firstLineChars="0"/>
        <w:rPr>
          <w:rFonts w:hint="eastAsia"/>
          <w:lang w:val="en-US" w:eastAsia="zh-CN"/>
        </w:rPr>
      </w:pPr>
      <w:r>
        <w:rPr>
          <w:rFonts w:hint="eastAsia"/>
          <w:lang w:val="en-US" w:eastAsia="zh-CN"/>
        </w:rPr>
        <w:t xml:space="preserve">水平防护与遮挡：高层建筑外架每两层设置硬质隔离层，防止物料坠落。窗口、管道井口等洞口内侧设防护网或盖板，外侧作业时设临时挡板。 </w:t>
      </w:r>
    </w:p>
    <w:p w14:paraId="3FBF7DE7">
      <w:pPr>
        <w:numPr>
          <w:ilvl w:val="0"/>
          <w:numId w:val="16"/>
        </w:numPr>
        <w:ind w:left="0" w:leftChars="0" w:firstLine="403" w:firstLineChars="0"/>
        <w:rPr>
          <w:rFonts w:hint="eastAsia"/>
          <w:lang w:val="en-US" w:eastAsia="zh-CN"/>
        </w:rPr>
      </w:pPr>
      <w:r>
        <w:rPr>
          <w:rFonts w:hint="eastAsia"/>
          <w:lang w:val="en-US" w:eastAsia="zh-CN"/>
        </w:rPr>
        <w:t>警示与监控：高空作业区域悬挂“禁止抛物”“注意高空坠物”等警示标志。重要区域安装监控摄像头，实时监测物体堆放及作业行为。</w:t>
      </w:r>
    </w:p>
    <w:p w14:paraId="383C5499">
      <w:pPr>
        <w:numPr>
          <w:ilvl w:val="0"/>
          <w:numId w:val="14"/>
        </w:numPr>
        <w:ind w:left="425" w:leftChars="0" w:hanging="425" w:firstLineChars="0"/>
        <w:rPr>
          <w:rFonts w:hint="eastAsia"/>
          <w:lang w:val="en-US" w:eastAsia="zh-CN"/>
        </w:rPr>
      </w:pPr>
      <w:r>
        <w:rPr>
          <w:rFonts w:hint="eastAsia"/>
          <w:lang w:val="en-US" w:eastAsia="zh-CN"/>
        </w:rPr>
        <w:t>技术措施与设备</w:t>
      </w:r>
    </w:p>
    <w:p w14:paraId="51C556F2">
      <w:pPr>
        <w:numPr>
          <w:ilvl w:val="0"/>
          <w:numId w:val="17"/>
        </w:numPr>
        <w:ind w:left="0" w:leftChars="0" w:firstLine="403" w:firstLineChars="0"/>
        <w:rPr>
          <w:rFonts w:hint="eastAsia"/>
          <w:lang w:val="en-US" w:eastAsia="zh-CN"/>
        </w:rPr>
      </w:pPr>
      <w:r>
        <w:rPr>
          <w:rFonts w:hint="eastAsia"/>
          <w:lang w:val="en-US" w:eastAsia="zh-CN"/>
        </w:rPr>
        <w:t>防坠落装置：施工升降机、物料提升机设置防坠安全器，层门联动闭锁。塔机起重臂端部设防碰撞装置，吊钩安装防脱钩保险。</w:t>
      </w:r>
    </w:p>
    <w:p w14:paraId="3BED77E2">
      <w:pPr>
        <w:numPr>
          <w:ilvl w:val="0"/>
          <w:numId w:val="17"/>
        </w:numPr>
        <w:ind w:left="0" w:leftChars="0" w:firstLine="403" w:firstLineChars="0"/>
        <w:rPr>
          <w:rFonts w:hint="eastAsia"/>
          <w:lang w:val="en-US" w:eastAsia="zh-CN"/>
        </w:rPr>
      </w:pPr>
      <w:r>
        <w:rPr>
          <w:rFonts w:hint="eastAsia"/>
          <w:lang w:val="en-US" w:eastAsia="zh-CN"/>
        </w:rPr>
        <w:t>自动化与封闭作业：采用爬架（附着式升降脚手架）、全封闭防护平台，减少露天高空作业。外墙施工使用电动吊篮时，篮体四周设高度≥1.2米防护栏及防物体掉落的裙板。</w:t>
      </w:r>
    </w:p>
    <w:p w14:paraId="7A5F7678">
      <w:pPr>
        <w:pStyle w:val="5"/>
        <w:numPr>
          <w:ilvl w:val="0"/>
          <w:numId w:val="7"/>
        </w:numPr>
        <w:ind w:left="425" w:leftChars="0" w:hanging="425" w:firstLineChars="0"/>
        <w:rPr>
          <w:rFonts w:hint="eastAsia" w:ascii="Times New Roman" w:hAnsi="Times New Roman" w:cs="Times New Roman" w:eastAsiaTheme="majorEastAsia"/>
          <w:b/>
          <w:bCs/>
          <w:kern w:val="2"/>
          <w:sz w:val="28"/>
          <w:szCs w:val="32"/>
          <w:highlight w:val="none"/>
          <w:lang w:val="en-US" w:eastAsia="zh-CN" w:bidi="ar-SA"/>
        </w:rPr>
      </w:pPr>
      <w:bookmarkStart w:id="39" w:name="_Toc15787"/>
      <w:r>
        <w:rPr>
          <w:rFonts w:hint="eastAsia" w:cs="Times New Roman"/>
          <w:b/>
          <w:bCs/>
          <w:kern w:val="2"/>
          <w:sz w:val="28"/>
          <w:szCs w:val="32"/>
          <w:highlight w:val="none"/>
          <w:lang w:val="en-US" w:eastAsia="zh-CN" w:bidi="ar-SA"/>
        </w:rPr>
        <w:t>起重吊装作业保障措施</w:t>
      </w:r>
      <w:bookmarkEnd w:id="39"/>
    </w:p>
    <w:p w14:paraId="173E4C8C">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组织作业人员学习安全规章制度，提高安全防范意识；</w:t>
      </w:r>
    </w:p>
    <w:p w14:paraId="1BBCB56B">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严禁酒后作业，严格遵守项目部相关安全规定；</w:t>
      </w:r>
    </w:p>
    <w:p w14:paraId="6DB11C06">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吊装作业人员统一配戴项目部的安全帽。</w:t>
      </w:r>
    </w:p>
    <w:p w14:paraId="0B646C20">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作业时必须执行安全技术交底，听从统一指挥；</w:t>
      </w:r>
    </w:p>
    <w:p w14:paraId="6A09C8E6">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起重工、信号工必须经专门安全技术培训，持证上岗；</w:t>
      </w:r>
    </w:p>
    <w:p w14:paraId="708B5711">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信号工高空指挥时，需戴安全带，脚穿防滑鞋；</w:t>
      </w:r>
    </w:p>
    <w:p w14:paraId="0CB997EF">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吊车尾部为司机盲区，管理人员注意吊车尾部的旋转动态；</w:t>
      </w:r>
    </w:p>
    <w:p w14:paraId="73359345">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司机作业时，严禁收听任何有声电器及电话（除指挥使用对讲机除外），严禁和其他人员交谈；</w:t>
      </w:r>
    </w:p>
    <w:p w14:paraId="25EC26E5">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司机和信号工必须使用对讲机进行指令的接受和发出，确保对讲机的音质清晰，调频无干扰；</w:t>
      </w:r>
    </w:p>
    <w:p w14:paraId="01507FD1">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作业前必须检查作业环境、吊索具、防护用品。吊装区域无闲散人员，障碍已排除。吊具无缺陷，捆绑正确牢固。在信号不明和作业现场光线阴暗时，严禁进行起吊作业；</w:t>
      </w:r>
    </w:p>
    <w:p w14:paraId="255E532E">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严格按照方案中的吊车站位进行吊装作业。起重作业时，必须正确选择吊点的位置，合理穿挂索具；</w:t>
      </w:r>
    </w:p>
    <w:p w14:paraId="78CCACB9">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试吊：吊绳套挂牢固，起重机缓缓起升，将吊绳绷直稍停，试吊高度为100mm～200mm。试吊中，指挥信号工、司索工、司机必须协调配合。如发现吊物重心滑移或其他物件粘连等情况时，必须立即停止起吊，采取措施并确认安全后方可起吊；</w:t>
      </w:r>
    </w:p>
    <w:p w14:paraId="46AD256A">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highlight w:val="none"/>
        </w:rPr>
      </w:pPr>
      <w:r>
        <w:rPr>
          <w:rFonts w:hint="eastAsia"/>
          <w:highlight w:val="none"/>
        </w:rPr>
        <w:t>严格执行“十不吊”的原则。</w:t>
      </w:r>
    </w:p>
    <w:p w14:paraId="505DDD68">
      <w:pPr>
        <w:pStyle w:val="5"/>
        <w:numPr>
          <w:ilvl w:val="0"/>
          <w:numId w:val="7"/>
        </w:numPr>
        <w:ind w:left="425" w:leftChars="0" w:hanging="425" w:firstLineChars="0"/>
        <w:rPr>
          <w:rFonts w:hint="eastAsia" w:ascii="Times New Roman" w:hAnsi="Times New Roman" w:cs="Times New Roman" w:eastAsiaTheme="majorEastAsia"/>
          <w:b/>
          <w:bCs/>
          <w:kern w:val="2"/>
          <w:sz w:val="28"/>
          <w:szCs w:val="32"/>
          <w:highlight w:val="none"/>
          <w:lang w:val="en-US" w:eastAsia="zh-CN" w:bidi="ar-SA"/>
        </w:rPr>
      </w:pPr>
      <w:bookmarkStart w:id="40" w:name="_Toc26360"/>
      <w:r>
        <w:rPr>
          <w:rFonts w:hint="eastAsia" w:cs="Times New Roman"/>
          <w:b/>
          <w:bCs/>
          <w:kern w:val="2"/>
          <w:sz w:val="28"/>
          <w:szCs w:val="32"/>
          <w:highlight w:val="none"/>
          <w:lang w:val="en-US" w:eastAsia="zh-CN" w:bidi="ar-SA"/>
        </w:rPr>
        <w:t>高空作业保障措施</w:t>
      </w:r>
      <w:bookmarkEnd w:id="40"/>
    </w:p>
    <w:p w14:paraId="205BB8AA">
      <w:pPr>
        <w:numPr>
          <w:ilvl w:val="0"/>
          <w:numId w:val="19"/>
        </w:numPr>
        <w:ind w:firstLineChars="0"/>
        <w:rPr>
          <w:highlight w:val="none"/>
        </w:rPr>
      </w:pPr>
      <w:r>
        <w:rPr>
          <w:rFonts w:hint="eastAsia"/>
          <w:highlight w:val="none"/>
        </w:rPr>
        <w:t>塔式起重机操作室、检修通道四周必须安装平台防护栏杆，上操作室的爬梯需安装安全背圈。</w:t>
      </w:r>
    </w:p>
    <w:p w14:paraId="4AAC2EA0">
      <w:pPr>
        <w:numPr>
          <w:ilvl w:val="0"/>
          <w:numId w:val="19"/>
        </w:numPr>
        <w:ind w:firstLineChars="0"/>
        <w:rPr>
          <w:highlight w:val="none"/>
        </w:rPr>
      </w:pPr>
      <w:r>
        <w:rPr>
          <w:rFonts w:hint="eastAsia"/>
          <w:highlight w:val="none"/>
        </w:rPr>
        <w:t>高处作业人员必须正确佩带安全帽，必须系好安全带，并挂在牢固处（高挂低用）；</w:t>
      </w:r>
    </w:p>
    <w:p w14:paraId="5BC36625">
      <w:pPr>
        <w:numPr>
          <w:ilvl w:val="0"/>
          <w:numId w:val="19"/>
        </w:numPr>
        <w:ind w:firstLineChars="0"/>
        <w:rPr>
          <w:highlight w:val="none"/>
        </w:rPr>
      </w:pPr>
      <w:r>
        <w:rPr>
          <w:rFonts w:hint="eastAsia"/>
          <w:highlight w:val="none"/>
        </w:rPr>
        <w:t>高处作业使用的吊架、平台、脚手板、梯子、护栏、索具（钢丝绳、麻绳、化学纤维绳）等料具和安全带、安全网等安全防护用品的质量都必须符合国家规范的要求；</w:t>
      </w:r>
    </w:p>
    <w:p w14:paraId="51A11072">
      <w:pPr>
        <w:numPr>
          <w:ilvl w:val="0"/>
          <w:numId w:val="19"/>
        </w:numPr>
        <w:ind w:firstLineChars="0"/>
        <w:rPr>
          <w:highlight w:val="none"/>
        </w:rPr>
      </w:pPr>
      <w:r>
        <w:rPr>
          <w:rFonts w:hint="eastAsia"/>
          <w:highlight w:val="none"/>
        </w:rPr>
        <w:t>高处施工作业前，应进行针对性的书面安全交底，要被交底人的签字，同时必须落实所有的安全技术措施和个人防护用品，未经落实时不得进行施工作业；</w:t>
      </w:r>
    </w:p>
    <w:p w14:paraId="5961469D">
      <w:pPr>
        <w:numPr>
          <w:ilvl w:val="0"/>
          <w:numId w:val="19"/>
        </w:numPr>
        <w:ind w:firstLineChars="0"/>
        <w:rPr>
          <w:highlight w:val="none"/>
        </w:rPr>
      </w:pPr>
      <w:r>
        <w:rPr>
          <w:rFonts w:hint="eastAsia"/>
          <w:highlight w:val="none"/>
        </w:rPr>
        <w:t>从事高处作业的人员，必须定期体检。凡患有高血压、心脏病、贫血、癫痫症、严重近视及患有其他不适应高处作业病症的人员，均不得登高作业；</w:t>
      </w:r>
    </w:p>
    <w:p w14:paraId="71916D97">
      <w:pPr>
        <w:numPr>
          <w:ilvl w:val="0"/>
          <w:numId w:val="19"/>
        </w:numPr>
        <w:ind w:firstLineChars="0"/>
        <w:rPr>
          <w:highlight w:val="none"/>
        </w:rPr>
      </w:pPr>
      <w:r>
        <w:rPr>
          <w:rFonts w:hint="eastAsia"/>
          <w:highlight w:val="none"/>
        </w:rPr>
        <w:t>攀登和悬空高处作业人员以及搭设高处作业安全设施的人员，必须经过专业技术培训及专业考试合格，持证上岗；</w:t>
      </w:r>
    </w:p>
    <w:p w14:paraId="09E2B601">
      <w:pPr>
        <w:numPr>
          <w:ilvl w:val="0"/>
          <w:numId w:val="19"/>
        </w:numPr>
        <w:ind w:firstLineChars="0"/>
        <w:rPr>
          <w:highlight w:val="none"/>
        </w:rPr>
      </w:pPr>
      <w:r>
        <w:rPr>
          <w:rFonts w:hint="eastAsia"/>
          <w:highlight w:val="none"/>
        </w:rPr>
        <w:t>施工中，对高处作业的安全技术设施，使用中发生损坏，必须及时解决，危及人身安全的，必须立即停止作业，排除险情或隐患后，方准作业；</w:t>
      </w:r>
    </w:p>
    <w:p w14:paraId="4339F8EB">
      <w:pPr>
        <w:numPr>
          <w:ilvl w:val="0"/>
          <w:numId w:val="19"/>
        </w:numPr>
        <w:ind w:firstLineChars="0"/>
        <w:rPr>
          <w:highlight w:val="none"/>
        </w:rPr>
      </w:pPr>
      <w:r>
        <w:rPr>
          <w:rFonts w:hint="eastAsia"/>
          <w:highlight w:val="none"/>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4215A7CB">
      <w:pPr>
        <w:numPr>
          <w:ilvl w:val="0"/>
          <w:numId w:val="19"/>
        </w:numPr>
        <w:ind w:firstLineChars="0"/>
        <w:rPr>
          <w:highlight w:val="none"/>
        </w:rPr>
      </w:pPr>
      <w:r>
        <w:rPr>
          <w:rFonts w:hint="eastAsia"/>
          <w:highlight w:val="none"/>
        </w:rPr>
        <w:t>高处作业无法搭设严密的防护设施的，必须使用安全带。安全带必须系挂在施工作业上方牢固的物体上，并高挂低用，禁止低挂高用；</w:t>
      </w:r>
    </w:p>
    <w:p w14:paraId="148B2C24">
      <w:pPr>
        <w:numPr>
          <w:ilvl w:val="0"/>
          <w:numId w:val="19"/>
        </w:numPr>
        <w:ind w:firstLineChars="0"/>
        <w:rPr>
          <w:highlight w:val="none"/>
        </w:rPr>
      </w:pPr>
      <w:r>
        <w:rPr>
          <w:rFonts w:hint="eastAsia"/>
          <w:highlight w:val="none"/>
        </w:rPr>
        <w:t>高处作业人员不准骑坐临时搭建的安装平台上的护栏、未安装牢固的管道、设备上和躺在平台、孔洞边缘上休息。在没有安全防护设施的条件下，严禁在木桁架、挑梁，砌体及构架上行走或作业；</w:t>
      </w:r>
    </w:p>
    <w:p w14:paraId="05DE1341">
      <w:pPr>
        <w:numPr>
          <w:ilvl w:val="0"/>
          <w:numId w:val="19"/>
        </w:numPr>
        <w:ind w:firstLineChars="0"/>
        <w:rPr>
          <w:highlight w:val="none"/>
        </w:rPr>
      </w:pPr>
      <w:r>
        <w:rPr>
          <w:rFonts w:hint="eastAsia"/>
          <w:highlight w:val="none"/>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rPr>
          <w:highlight w:val="none"/>
        </w:rPr>
        <w:t>6</w:t>
      </w:r>
      <w:r>
        <w:rPr>
          <w:rFonts w:hint="eastAsia"/>
          <w:highlight w:val="none"/>
        </w:rPr>
        <w:t>级大风立即停止露天高处作业；</w:t>
      </w:r>
    </w:p>
    <w:p w14:paraId="66A41077">
      <w:pPr>
        <w:numPr>
          <w:ilvl w:val="0"/>
          <w:numId w:val="19"/>
        </w:numPr>
        <w:ind w:firstLineChars="0"/>
        <w:rPr>
          <w:highlight w:val="none"/>
        </w:rPr>
      </w:pPr>
      <w:r>
        <w:rPr>
          <w:rFonts w:hint="eastAsia"/>
          <w:highlight w:val="none"/>
        </w:rPr>
        <w:t>因作业需要，临时拆除或变动安全防护设施的，必须经施工负责人同意，并采取相应的可靠措施，作业后立即恢复；</w:t>
      </w:r>
    </w:p>
    <w:p w14:paraId="4BE16943">
      <w:pPr>
        <w:numPr>
          <w:ilvl w:val="0"/>
          <w:numId w:val="19"/>
        </w:numPr>
        <w:ind w:firstLineChars="0"/>
        <w:rPr>
          <w:highlight w:val="none"/>
        </w:rPr>
      </w:pPr>
      <w:r>
        <w:rPr>
          <w:rFonts w:hint="eastAsia"/>
          <w:highlight w:val="none"/>
        </w:rPr>
        <w:t>高处作业人员应沿着斜道、梯子上下，严禁沿着绳索、立杆、井架或栏杆等攀登；</w:t>
      </w:r>
    </w:p>
    <w:p w14:paraId="0C02D3DB">
      <w:pPr>
        <w:numPr>
          <w:ilvl w:val="0"/>
          <w:numId w:val="19"/>
        </w:numPr>
        <w:ind w:firstLineChars="0"/>
        <w:rPr>
          <w:highlight w:val="none"/>
        </w:rPr>
      </w:pPr>
      <w:r>
        <w:rPr>
          <w:rFonts w:hint="eastAsia"/>
          <w:highlight w:val="none"/>
        </w:rPr>
        <w:t>人字梯的使用：</w:t>
      </w:r>
    </w:p>
    <w:p w14:paraId="222F9C88">
      <w:pPr>
        <w:numPr>
          <w:ilvl w:val="0"/>
          <w:numId w:val="20"/>
        </w:numPr>
        <w:ind w:firstLineChars="0"/>
        <w:rPr>
          <w:highlight w:val="none"/>
        </w:rPr>
      </w:pPr>
      <w:r>
        <w:rPr>
          <w:rFonts w:hint="eastAsia"/>
          <w:highlight w:val="none"/>
        </w:rPr>
        <w:t>使用前检查该梯子是否安全，即检查梯子的铆钉是否松动，焊接是否开裂；</w:t>
      </w:r>
    </w:p>
    <w:p w14:paraId="697144CC">
      <w:pPr>
        <w:numPr>
          <w:ilvl w:val="0"/>
          <w:numId w:val="20"/>
        </w:numPr>
        <w:ind w:firstLineChars="0"/>
        <w:rPr>
          <w:highlight w:val="none"/>
        </w:rPr>
      </w:pPr>
      <w:r>
        <w:rPr>
          <w:rFonts w:hint="eastAsia"/>
          <w:highlight w:val="none"/>
        </w:rPr>
        <w:t>用结实的绳索将两边拉住、拴紧、绷直；</w:t>
      </w:r>
    </w:p>
    <w:p w14:paraId="6ACD8563">
      <w:pPr>
        <w:numPr>
          <w:ilvl w:val="0"/>
          <w:numId w:val="20"/>
        </w:numPr>
        <w:ind w:firstLineChars="0"/>
        <w:rPr>
          <w:highlight w:val="none"/>
        </w:rPr>
      </w:pPr>
      <w:r>
        <w:rPr>
          <w:rFonts w:hint="eastAsia"/>
          <w:highlight w:val="none"/>
        </w:rPr>
        <w:t>梯子须安放稳固，使用材料需经人传递或用小桶吊放，严禁上下抛物；</w:t>
      </w:r>
    </w:p>
    <w:p w14:paraId="463A3668">
      <w:pPr>
        <w:numPr>
          <w:ilvl w:val="0"/>
          <w:numId w:val="20"/>
        </w:numPr>
        <w:ind w:firstLineChars="0"/>
        <w:rPr>
          <w:highlight w:val="none"/>
        </w:rPr>
      </w:pPr>
      <w:r>
        <w:rPr>
          <w:rFonts w:hint="eastAsia"/>
          <w:highlight w:val="none"/>
        </w:rPr>
        <w:t>使用梯子时至少两人一组，有专人扶梯；</w:t>
      </w:r>
    </w:p>
    <w:p w14:paraId="1500401B">
      <w:pPr>
        <w:numPr>
          <w:ilvl w:val="0"/>
          <w:numId w:val="20"/>
        </w:numPr>
        <w:ind w:firstLineChars="0"/>
        <w:rPr>
          <w:highlight w:val="none"/>
        </w:rPr>
      </w:pPr>
      <w:r>
        <w:rPr>
          <w:rFonts w:hint="eastAsia"/>
          <w:highlight w:val="none"/>
        </w:rPr>
        <w:t>严禁使用梯子最上面两格；</w:t>
      </w:r>
    </w:p>
    <w:p w14:paraId="4F948878">
      <w:pPr>
        <w:numPr>
          <w:ilvl w:val="0"/>
          <w:numId w:val="20"/>
        </w:numPr>
        <w:ind w:firstLineChars="0"/>
        <w:rPr>
          <w:highlight w:val="none"/>
        </w:rPr>
      </w:pPr>
      <w:r>
        <w:rPr>
          <w:rFonts w:hint="eastAsia"/>
          <w:highlight w:val="none"/>
        </w:rPr>
        <w:t>严禁背对梯子作业；</w:t>
      </w:r>
    </w:p>
    <w:p w14:paraId="56DC5D7D">
      <w:pPr>
        <w:numPr>
          <w:ilvl w:val="0"/>
          <w:numId w:val="20"/>
        </w:numPr>
        <w:ind w:firstLineChars="0"/>
        <w:rPr>
          <w:highlight w:val="none"/>
        </w:rPr>
      </w:pPr>
      <w:r>
        <w:rPr>
          <w:rFonts w:hint="eastAsia"/>
          <w:highlight w:val="none"/>
        </w:rPr>
        <w:t>超过2m以上的作业，且安全带无挂点时，除扶梯人外，须再设置一名监护人；</w:t>
      </w:r>
    </w:p>
    <w:p w14:paraId="14F7FB7F">
      <w:pPr>
        <w:numPr>
          <w:ilvl w:val="0"/>
          <w:numId w:val="20"/>
        </w:numPr>
        <w:ind w:firstLineChars="0"/>
        <w:rPr>
          <w:highlight w:val="none"/>
        </w:rPr>
      </w:pPr>
      <w:r>
        <w:rPr>
          <w:rFonts w:hint="eastAsia"/>
          <w:highlight w:val="none"/>
        </w:rPr>
        <w:t>严禁交叉作业；</w:t>
      </w:r>
    </w:p>
    <w:p w14:paraId="0414836B">
      <w:pPr>
        <w:numPr>
          <w:ilvl w:val="0"/>
          <w:numId w:val="20"/>
        </w:numPr>
        <w:ind w:firstLineChars="0"/>
        <w:rPr>
          <w:highlight w:val="none"/>
        </w:rPr>
      </w:pPr>
      <w:r>
        <w:rPr>
          <w:rFonts w:hint="eastAsia"/>
          <w:highlight w:val="none"/>
        </w:rPr>
        <w:t>作业区域应用警示带围好、设置监护人，严禁非作业人员入内；</w:t>
      </w:r>
    </w:p>
    <w:p w14:paraId="7CF67EB7">
      <w:pPr>
        <w:numPr>
          <w:ilvl w:val="0"/>
          <w:numId w:val="19"/>
        </w:numPr>
        <w:ind w:firstLineChars="0"/>
        <w:rPr>
          <w:highlight w:val="none"/>
        </w:rPr>
      </w:pPr>
      <w:r>
        <w:rPr>
          <w:rFonts w:hint="eastAsia"/>
          <w:highlight w:val="none"/>
        </w:rPr>
        <w:t>高温季节必须按照防暑降温的要求合理安排工作时间，配备充足的饮用水，采取必要的防暑降温措施；</w:t>
      </w:r>
    </w:p>
    <w:p w14:paraId="5DFFEF8C">
      <w:pPr>
        <w:ind w:firstLine="480"/>
        <w:rPr>
          <w:rFonts w:hint="eastAsia"/>
          <w:highlight w:val="none"/>
          <w:lang w:val="en-US" w:eastAsia="zh-CN"/>
        </w:rPr>
      </w:pPr>
      <w:r>
        <w:rPr>
          <w:rFonts w:hint="eastAsia"/>
          <w:highlight w:val="none"/>
        </w:rPr>
        <w:t>（16）临近傍晚及气候突变等照明不良的情况下，必须确保人员和各类构件的安全。</w:t>
      </w:r>
    </w:p>
    <w:p w14:paraId="463AAE71">
      <w:pPr>
        <w:pStyle w:val="5"/>
        <w:numPr>
          <w:ilvl w:val="0"/>
          <w:numId w:val="7"/>
        </w:numPr>
        <w:ind w:left="425" w:leftChars="0" w:hanging="425" w:firstLineChars="0"/>
        <w:rPr>
          <w:rFonts w:hint="eastAsia" w:ascii="Times New Roman" w:hAnsi="Times New Roman" w:cs="Times New Roman" w:eastAsiaTheme="majorEastAsia"/>
          <w:b/>
          <w:bCs/>
          <w:kern w:val="2"/>
          <w:sz w:val="28"/>
          <w:szCs w:val="32"/>
          <w:highlight w:val="none"/>
          <w:lang w:val="en-US" w:eastAsia="zh-CN" w:bidi="ar-SA"/>
        </w:rPr>
      </w:pPr>
      <w:bookmarkStart w:id="41" w:name="_Toc17735"/>
      <w:r>
        <w:rPr>
          <w:rFonts w:hint="eastAsia" w:cs="Times New Roman"/>
          <w:b/>
          <w:bCs/>
          <w:kern w:val="2"/>
          <w:sz w:val="28"/>
          <w:szCs w:val="32"/>
          <w:highlight w:val="none"/>
          <w:lang w:val="en-US" w:eastAsia="zh-CN" w:bidi="ar-SA"/>
        </w:rPr>
        <w:t>施工用电保障措施</w:t>
      </w:r>
      <w:bookmarkEnd w:id="41"/>
    </w:p>
    <w:p w14:paraId="4CE610BE">
      <w:pPr>
        <w:numPr>
          <w:ilvl w:val="0"/>
          <w:numId w:val="21"/>
        </w:numPr>
        <w:ind w:firstLineChars="0"/>
        <w:rPr>
          <w:highlight w:val="none"/>
        </w:rPr>
      </w:pPr>
      <w:r>
        <w:rPr>
          <w:highlight w:val="none"/>
        </w:rPr>
        <w:t>严格执行《</w:t>
      </w:r>
      <w:r>
        <w:rPr>
          <w:rFonts w:hint="eastAsia"/>
          <w:highlight w:val="none"/>
          <w:lang w:eastAsia="zh-CN"/>
        </w:rPr>
        <w:t>建筑与市政工程施工现场临时用电安全技术标准</w:t>
      </w:r>
      <w:r>
        <w:rPr>
          <w:highlight w:val="none"/>
        </w:rPr>
        <w:t>》（</w:t>
      </w:r>
      <w:r>
        <w:rPr>
          <w:rFonts w:hint="eastAsia"/>
          <w:highlight w:val="none"/>
          <w:lang w:eastAsia="zh-CN"/>
        </w:rPr>
        <w:t>JGJ</w:t>
      </w:r>
      <w:r>
        <w:rPr>
          <w:rFonts w:hint="eastAsia"/>
          <w:highlight w:val="none"/>
          <w:lang w:val="en-US" w:eastAsia="zh-CN"/>
        </w:rPr>
        <w:t xml:space="preserve"> </w:t>
      </w:r>
      <w:r>
        <w:rPr>
          <w:rFonts w:hint="eastAsia"/>
          <w:highlight w:val="none"/>
          <w:lang w:eastAsia="zh-CN"/>
        </w:rPr>
        <w:t>46-2024</w:t>
      </w:r>
      <w:r>
        <w:rPr>
          <w:highlight w:val="none"/>
        </w:rPr>
        <w:t>），按照施工用电组织设计架设三相五线制的电气线路，所有电线均应架空，过道或穿墙均要用钢管或胶套管保护，严禁利用大地作为工作零线。认真贯彻《建筑施工安全检查标准》（JGJ 59-2011）中临时用电规定；</w:t>
      </w:r>
    </w:p>
    <w:p w14:paraId="0FAE31FC">
      <w:pPr>
        <w:numPr>
          <w:ilvl w:val="0"/>
          <w:numId w:val="21"/>
        </w:numPr>
        <w:ind w:firstLineChars="0"/>
        <w:rPr>
          <w:highlight w:val="none"/>
        </w:rPr>
      </w:pPr>
      <w:r>
        <w:rPr>
          <w:highlight w:val="none"/>
        </w:rPr>
        <w:t>配电箱、开关箱内电气设备完好无缺。箱体下方进出线，开关箱应符合</w:t>
      </w:r>
      <w:r>
        <w:rPr>
          <w:rFonts w:hint="eastAsia"/>
          <w:highlight w:val="none"/>
        </w:rPr>
        <w:t>“</w:t>
      </w:r>
      <w:r>
        <w:rPr>
          <w:highlight w:val="none"/>
        </w:rPr>
        <w:t>一机一闸一漏一箱</w:t>
      </w:r>
      <w:r>
        <w:rPr>
          <w:rFonts w:hint="eastAsia"/>
          <w:highlight w:val="none"/>
        </w:rPr>
        <w:t>”</w:t>
      </w:r>
      <w:r>
        <w:rPr>
          <w:highlight w:val="none"/>
        </w:rPr>
        <w:t>的要求，门、锁完善，有防雨、防尘措施，箱内无杂物，箱前通道畅通，并应对电箱统一编号，刷上危险标志。保护零线（PE、绿/黄线）中间和末端必须重复接地，严禁与工作零线混接；产生振动的设备的重复接地不少于两处；</w:t>
      </w:r>
    </w:p>
    <w:p w14:paraId="4EE54F8F">
      <w:pPr>
        <w:numPr>
          <w:ilvl w:val="0"/>
          <w:numId w:val="21"/>
        </w:numPr>
        <w:ind w:firstLineChars="0"/>
        <w:rPr>
          <w:highlight w:val="none"/>
        </w:rPr>
      </w:pPr>
      <w:r>
        <w:rPr>
          <w:highlight w:val="none"/>
        </w:rPr>
        <w:t>临时用电施工组织设计和临时安全用电技术措施及电气防火措施，必须由电气工程技术人员编制，技术负责人审核，经主管部门批准后实施；</w:t>
      </w:r>
    </w:p>
    <w:p w14:paraId="1FD31B38">
      <w:pPr>
        <w:numPr>
          <w:ilvl w:val="0"/>
          <w:numId w:val="21"/>
        </w:numPr>
        <w:ind w:firstLineChars="0"/>
        <w:rPr>
          <w:highlight w:val="none"/>
        </w:rPr>
      </w:pPr>
      <w:r>
        <w:rPr>
          <w:highlight w:val="none"/>
        </w:rPr>
        <w:t>安装、维修或拆除临时用电工程，必须由持证电工完成，无证人员禁止上岗。电工等级应同工程的难易程度和技术复杂性相适应；</w:t>
      </w:r>
    </w:p>
    <w:p w14:paraId="25112A61">
      <w:pPr>
        <w:numPr>
          <w:ilvl w:val="0"/>
          <w:numId w:val="21"/>
        </w:numPr>
        <w:ind w:firstLineChars="0"/>
        <w:rPr>
          <w:highlight w:val="none"/>
        </w:rPr>
      </w:pPr>
      <w:r>
        <w:rPr>
          <w:highlight w:val="none"/>
        </w:rPr>
        <w:t>使用设备必须按规定穿戴和配备好相应的劳动保护用品，并应检查电气装置和保护设施是否完好，严禁设备带病运转和进行运转中维修；</w:t>
      </w:r>
    </w:p>
    <w:p w14:paraId="77EA802F">
      <w:pPr>
        <w:numPr>
          <w:ilvl w:val="0"/>
          <w:numId w:val="21"/>
        </w:numPr>
        <w:ind w:firstLineChars="0"/>
        <w:rPr>
          <w:highlight w:val="none"/>
        </w:rPr>
      </w:pPr>
      <w:r>
        <w:rPr>
          <w:highlight w:val="none"/>
        </w:rPr>
        <w:t>停用的设备必须拉闸断电，锁好开关箱。负载线、保护零线和开关箱发现问题应及时报告解决。搬迁或移动的用电设备，必须由专业电工切断电源并作妥善处理；</w:t>
      </w:r>
    </w:p>
    <w:p w14:paraId="472B99BD">
      <w:pPr>
        <w:numPr>
          <w:ilvl w:val="0"/>
          <w:numId w:val="21"/>
        </w:numPr>
        <w:ind w:firstLineChars="0"/>
        <w:rPr>
          <w:highlight w:val="none"/>
        </w:rPr>
      </w:pPr>
      <w:r>
        <w:rPr>
          <w:highlight w:val="none"/>
        </w:rPr>
        <w:t>按规范做好施工现场临时安全用电的安全技术档案；</w:t>
      </w:r>
    </w:p>
    <w:p w14:paraId="1E5CF288">
      <w:pPr>
        <w:numPr>
          <w:ilvl w:val="0"/>
          <w:numId w:val="21"/>
        </w:numPr>
        <w:ind w:firstLineChars="0"/>
        <w:rPr>
          <w:highlight w:val="none"/>
        </w:rPr>
      </w:pPr>
      <w:r>
        <w:rPr>
          <w:highlight w:val="none"/>
        </w:rPr>
        <w:t>在建工程与外电线路的安全距离及外电防护和接地与防雷等应严格按规范执行；</w:t>
      </w:r>
    </w:p>
    <w:p w14:paraId="5FCD8409">
      <w:pPr>
        <w:numPr>
          <w:ilvl w:val="0"/>
          <w:numId w:val="21"/>
        </w:numPr>
        <w:ind w:firstLineChars="0"/>
        <w:rPr>
          <w:highlight w:val="none"/>
        </w:rPr>
      </w:pPr>
      <w:r>
        <w:rPr>
          <w:highlight w:val="none"/>
        </w:rPr>
        <w:t>配电线路的架空线必须采用绝缘铜线和绝缘铝线。架空线必须设置在专用电杆上；</w:t>
      </w:r>
    </w:p>
    <w:p w14:paraId="596C5F4D">
      <w:pPr>
        <w:numPr>
          <w:ilvl w:val="0"/>
          <w:numId w:val="21"/>
        </w:numPr>
        <w:ind w:firstLineChars="0"/>
        <w:rPr>
          <w:highlight w:val="none"/>
        </w:rPr>
      </w:pPr>
      <w:r>
        <w:rPr>
          <w:highlight w:val="none"/>
        </w:rPr>
        <w:t>空线的接头、相序排列、档距、线间距离及横担的垂直距离和横担的选择及规格，严格执行规范规定；</w:t>
      </w:r>
    </w:p>
    <w:p w14:paraId="25C34D37">
      <w:pPr>
        <w:numPr>
          <w:ilvl w:val="0"/>
          <w:numId w:val="21"/>
        </w:numPr>
        <w:ind w:firstLineChars="0"/>
        <w:rPr>
          <w:highlight w:val="none"/>
        </w:rPr>
      </w:pPr>
      <w:r>
        <w:rPr>
          <w:highlight w:val="none"/>
        </w:rPr>
        <w:t>动力配电箱与照明配电箱应分别设置，如合置在同一配电箱内，动力和照明线路应分路设置；</w:t>
      </w:r>
    </w:p>
    <w:p w14:paraId="4054CF4F">
      <w:pPr>
        <w:numPr>
          <w:ilvl w:val="0"/>
          <w:numId w:val="21"/>
        </w:numPr>
        <w:ind w:firstLineChars="0"/>
        <w:rPr>
          <w:highlight w:val="none"/>
        </w:rPr>
      </w:pPr>
      <w:r>
        <w:rPr>
          <w:highlight w:val="none"/>
        </w:rPr>
        <w:t>开关箱应由末级配电箱配电，配电箱、开关箱制作所用的材料、箱的规格设置要求及安装技术应按规范执行。配电箱、开关箱最好购合格的成品使用；</w:t>
      </w:r>
    </w:p>
    <w:p w14:paraId="38C9CD37">
      <w:pPr>
        <w:numPr>
          <w:ilvl w:val="0"/>
          <w:numId w:val="21"/>
        </w:numPr>
        <w:ind w:firstLineChars="0"/>
        <w:rPr>
          <w:highlight w:val="none"/>
        </w:rPr>
      </w:pPr>
      <w:r>
        <w:rPr>
          <w:highlight w:val="none"/>
        </w:rPr>
        <w:t>配电箱、开关箱内的开关电器安装，绝缘要求和箱壳保护接零应按规范执行；</w:t>
      </w:r>
    </w:p>
    <w:p w14:paraId="39A25405">
      <w:pPr>
        <w:numPr>
          <w:ilvl w:val="0"/>
          <w:numId w:val="21"/>
        </w:numPr>
        <w:ind w:firstLineChars="0"/>
        <w:rPr>
          <w:highlight w:val="none"/>
        </w:rPr>
      </w:pPr>
      <w:r>
        <w:rPr>
          <w:highlight w:val="none"/>
        </w:rPr>
        <w:t>严禁用同一个开关电器直接控制2台及2台以上用电设备（含插座）；</w:t>
      </w:r>
    </w:p>
    <w:p w14:paraId="51D75CD4">
      <w:pPr>
        <w:numPr>
          <w:ilvl w:val="0"/>
          <w:numId w:val="21"/>
        </w:numPr>
        <w:ind w:firstLineChars="0"/>
        <w:rPr>
          <w:highlight w:val="none"/>
        </w:rPr>
      </w:pPr>
      <w:r>
        <w:rPr>
          <w:highlight w:val="none"/>
        </w:rPr>
        <w:t>开关箱内必须装设漏电保护器，漏电保护器的选择应符合要求。漏电保护器的安装要求和额定漏电动作应符合规范要求；</w:t>
      </w:r>
    </w:p>
    <w:p w14:paraId="7AA1EE9B">
      <w:pPr>
        <w:numPr>
          <w:ilvl w:val="0"/>
          <w:numId w:val="21"/>
        </w:numPr>
        <w:ind w:firstLineChars="0"/>
        <w:rPr>
          <w:highlight w:val="none"/>
        </w:rPr>
      </w:pPr>
      <w:r>
        <w:rPr>
          <w:highlight w:val="none"/>
        </w:rPr>
        <w:t>配电箱和开关箱中两级漏电保护器的额定漏电动作时间作合理配合，使之具有分段保护的功能；</w:t>
      </w:r>
    </w:p>
    <w:p w14:paraId="058E2346">
      <w:pPr>
        <w:numPr>
          <w:ilvl w:val="0"/>
          <w:numId w:val="21"/>
        </w:numPr>
        <w:ind w:firstLineChars="0"/>
        <w:rPr>
          <w:highlight w:val="none"/>
        </w:rPr>
      </w:pPr>
      <w:r>
        <w:rPr>
          <w:highlight w:val="none"/>
        </w:rPr>
        <w:t>手动开关电器只许用于直接控制照明电器和容量不大于5.5kW动力电路。容量大于5.5kW的动力电路应采用自动开关电器或降压启动装置控制。各种开关电器的额定值与其控制用电设备的额定值相适应；</w:t>
      </w:r>
    </w:p>
    <w:p w14:paraId="6C369B45">
      <w:pPr>
        <w:numPr>
          <w:ilvl w:val="0"/>
          <w:numId w:val="21"/>
        </w:numPr>
        <w:ind w:firstLineChars="0"/>
        <w:rPr>
          <w:highlight w:val="none"/>
        </w:rPr>
      </w:pPr>
      <w:r>
        <w:rPr>
          <w:highlight w:val="none"/>
        </w:rPr>
        <w:t>对配电箱、开关箱进行检查、维修时，必须将其前一级相应的电源开关分闸断电，并悬挂停电检修标志牌，严禁带电作业；</w:t>
      </w:r>
    </w:p>
    <w:p w14:paraId="04EE89C3">
      <w:pPr>
        <w:numPr>
          <w:ilvl w:val="0"/>
          <w:numId w:val="21"/>
        </w:numPr>
        <w:ind w:firstLineChars="0"/>
        <w:rPr>
          <w:highlight w:val="none"/>
        </w:rPr>
      </w:pPr>
      <w:r>
        <w:rPr>
          <w:highlight w:val="none"/>
        </w:rPr>
        <w:t>移动的用电设备使用的电源线路，必须使用绝缘胶套管式电缆；</w:t>
      </w:r>
    </w:p>
    <w:p w14:paraId="407D563F">
      <w:pPr>
        <w:numPr>
          <w:ilvl w:val="0"/>
          <w:numId w:val="21"/>
        </w:numPr>
        <w:ind w:firstLineChars="0"/>
        <w:rPr>
          <w:highlight w:val="none"/>
        </w:rPr>
      </w:pPr>
      <w:r>
        <w:rPr>
          <w:highlight w:val="none"/>
        </w:rPr>
        <w:t>用电设备和电气线路必须有保护接零；</w:t>
      </w:r>
    </w:p>
    <w:p w14:paraId="2BEEEE80">
      <w:pPr>
        <w:numPr>
          <w:ilvl w:val="0"/>
          <w:numId w:val="21"/>
        </w:numPr>
        <w:ind w:firstLineChars="0"/>
        <w:rPr>
          <w:highlight w:val="none"/>
        </w:rPr>
      </w:pPr>
      <w:r>
        <w:rPr>
          <w:highlight w:val="none"/>
        </w:rPr>
        <w:t>电动工具、机械设备有良好的接地装置，所用电源有可靠的触电保护器。阴雨天气及在潮湿部位工作所使用的电动工机具、机械、工作人员的劳保用品必须符合有关的要求；</w:t>
      </w:r>
    </w:p>
    <w:p w14:paraId="122C8720">
      <w:pPr>
        <w:numPr>
          <w:ilvl w:val="0"/>
          <w:numId w:val="21"/>
        </w:numPr>
        <w:ind w:firstLineChars="0"/>
        <w:rPr>
          <w:highlight w:val="none"/>
        </w:rPr>
      </w:pPr>
      <w:r>
        <w:rPr>
          <w:highlight w:val="none"/>
        </w:rPr>
        <w:t>严禁施工现场非正式电工乱接用电线和安装用电开关；</w:t>
      </w:r>
    </w:p>
    <w:p w14:paraId="0B4822D6">
      <w:pPr>
        <w:numPr>
          <w:ilvl w:val="0"/>
          <w:numId w:val="21"/>
        </w:numPr>
        <w:ind w:firstLineChars="0"/>
        <w:rPr>
          <w:highlight w:val="none"/>
        </w:rPr>
      </w:pPr>
      <w:r>
        <w:rPr>
          <w:highlight w:val="none"/>
        </w:rPr>
        <w:t>残缺绝缘盖的闸刀开关禁止使用，开关不得采用铜、铁、铝线作熔断保险丝；</w:t>
      </w:r>
    </w:p>
    <w:p w14:paraId="222DC448">
      <w:pPr>
        <w:numPr>
          <w:ilvl w:val="0"/>
          <w:numId w:val="21"/>
        </w:numPr>
        <w:ind w:firstLineChars="0"/>
        <w:rPr>
          <w:rFonts w:hint="eastAsia"/>
          <w:highlight w:val="none"/>
          <w:lang w:val="en-US" w:eastAsia="zh-CN"/>
        </w:rPr>
      </w:pPr>
      <w:r>
        <w:rPr>
          <w:highlight w:val="none"/>
        </w:rPr>
        <w:t>在施工现场设置围栏、警示牌、夜间警示灯，以告示行人。</w:t>
      </w:r>
    </w:p>
    <w:p w14:paraId="52969B8E">
      <w:pPr>
        <w:pStyle w:val="5"/>
        <w:numPr>
          <w:ilvl w:val="0"/>
          <w:numId w:val="7"/>
        </w:numPr>
        <w:ind w:left="425" w:leftChars="0" w:hanging="425" w:firstLineChars="0"/>
        <w:rPr>
          <w:rFonts w:hint="eastAsia" w:ascii="Times New Roman" w:hAnsi="Times New Roman" w:cs="Times New Roman" w:eastAsiaTheme="majorEastAsia"/>
          <w:b/>
          <w:bCs/>
          <w:kern w:val="2"/>
          <w:sz w:val="28"/>
          <w:szCs w:val="32"/>
          <w:highlight w:val="none"/>
          <w:lang w:val="en-US" w:eastAsia="zh-CN" w:bidi="ar-SA"/>
        </w:rPr>
      </w:pPr>
      <w:bookmarkStart w:id="42" w:name="_Toc22950"/>
      <w:r>
        <w:rPr>
          <w:rFonts w:hint="eastAsia" w:cs="Times New Roman"/>
          <w:b/>
          <w:bCs/>
          <w:kern w:val="2"/>
          <w:sz w:val="28"/>
          <w:szCs w:val="32"/>
          <w:highlight w:val="none"/>
          <w:lang w:val="en-US" w:eastAsia="zh-CN" w:bidi="ar-SA"/>
        </w:rPr>
        <w:t>恶劣天气保障措施</w:t>
      </w:r>
      <w:bookmarkEnd w:id="42"/>
    </w:p>
    <w:p w14:paraId="2267989A">
      <w:pPr>
        <w:pStyle w:val="6"/>
        <w:numPr>
          <w:ilvl w:val="0"/>
          <w:numId w:val="22"/>
        </w:numPr>
        <w:bidi w:val="0"/>
        <w:ind w:left="425" w:leftChars="0" w:hanging="425" w:firstLineChars="0"/>
        <w:rPr>
          <w:rFonts w:hint="eastAsia"/>
          <w:highlight w:val="none"/>
        </w:rPr>
      </w:pPr>
      <w:r>
        <w:rPr>
          <w:rFonts w:hint="eastAsia"/>
          <w:highlight w:val="none"/>
        </w:rPr>
        <w:t>防风安全保证措施</w:t>
      </w:r>
    </w:p>
    <w:p w14:paraId="5352AAE9">
      <w:pPr>
        <w:numPr>
          <w:ilvl w:val="0"/>
          <w:numId w:val="23"/>
        </w:numPr>
        <w:bidi w:val="0"/>
        <w:ind w:left="0" w:leftChars="0" w:firstLine="403" w:firstLineChars="0"/>
        <w:rPr>
          <w:rFonts w:hint="eastAsia"/>
          <w:highlight w:val="none"/>
        </w:rPr>
      </w:pPr>
      <w:r>
        <w:rPr>
          <w:rFonts w:hint="eastAsia"/>
          <w:highlight w:val="none"/>
        </w:rPr>
        <w:t>工程建设地处</w:t>
      </w:r>
      <w:r>
        <w:rPr>
          <w:rFonts w:hint="eastAsia"/>
          <w:highlight w:val="none"/>
          <w:lang w:eastAsia="zh-CN"/>
        </w:rPr>
        <w:t>大风</w:t>
      </w:r>
      <w:r>
        <w:rPr>
          <w:rFonts w:hint="eastAsia"/>
          <w:highlight w:val="none"/>
        </w:rPr>
        <w:t>多发区域，几乎每年都有强热带风暴侵袭，有时风载将会超出规范的设计范围，威胁到塔机的安全。为避免自然灾害造成的损失，应根据实际情况制定出防强台风的措施，具体如下：</w:t>
      </w:r>
    </w:p>
    <w:p w14:paraId="21289AC6">
      <w:pPr>
        <w:numPr>
          <w:ilvl w:val="0"/>
          <w:numId w:val="23"/>
        </w:numPr>
        <w:bidi w:val="0"/>
        <w:ind w:left="0" w:leftChars="0" w:firstLine="403" w:firstLineChars="0"/>
        <w:rPr>
          <w:rFonts w:hint="eastAsia"/>
          <w:highlight w:val="none"/>
        </w:rPr>
      </w:pPr>
      <w:r>
        <w:rPr>
          <w:rFonts w:hint="eastAsia"/>
          <w:highlight w:val="none"/>
        </w:rPr>
        <w:t>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14:paraId="5B56D9C9">
      <w:pPr>
        <w:numPr>
          <w:ilvl w:val="0"/>
          <w:numId w:val="23"/>
        </w:numPr>
        <w:bidi w:val="0"/>
        <w:ind w:left="0" w:leftChars="0" w:firstLine="403" w:firstLineChars="0"/>
        <w:rPr>
          <w:rFonts w:hint="eastAsia"/>
          <w:highlight w:val="none"/>
        </w:rPr>
      </w:pPr>
      <w:r>
        <w:rPr>
          <w:rFonts w:hint="eastAsia"/>
          <w:highlight w:val="none"/>
        </w:rPr>
        <w:t>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14:paraId="710C169A">
      <w:pPr>
        <w:numPr>
          <w:ilvl w:val="0"/>
          <w:numId w:val="23"/>
        </w:numPr>
        <w:bidi w:val="0"/>
        <w:ind w:left="0" w:leftChars="0" w:firstLine="403" w:firstLineChars="0"/>
        <w:rPr>
          <w:rFonts w:hint="eastAsia"/>
          <w:highlight w:val="none"/>
        </w:rPr>
      </w:pPr>
      <w:r>
        <w:rPr>
          <w:rFonts w:hint="eastAsia"/>
          <w:highlight w:val="none"/>
        </w:rPr>
        <w:t>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14:paraId="47DB23DB">
      <w:pPr>
        <w:numPr>
          <w:ilvl w:val="0"/>
          <w:numId w:val="23"/>
        </w:numPr>
        <w:bidi w:val="0"/>
        <w:ind w:left="0" w:leftChars="0" w:firstLine="403" w:firstLineChars="0"/>
        <w:rPr>
          <w:rFonts w:hint="eastAsia"/>
          <w:highlight w:val="none"/>
        </w:rPr>
      </w:pPr>
      <w:r>
        <w:rPr>
          <w:rFonts w:hint="eastAsia"/>
          <w:highlight w:val="none"/>
        </w:rPr>
        <w:t>严格按照塔机使用说明书安装和使用，塔身高度不得超过说明书规定的范围。</w:t>
      </w:r>
    </w:p>
    <w:p w14:paraId="038A9AF6">
      <w:pPr>
        <w:numPr>
          <w:ilvl w:val="0"/>
          <w:numId w:val="23"/>
        </w:numPr>
        <w:bidi w:val="0"/>
        <w:ind w:left="0" w:leftChars="0" w:firstLine="403" w:firstLineChars="0"/>
        <w:rPr>
          <w:rFonts w:hint="eastAsia"/>
          <w:highlight w:val="none"/>
        </w:rPr>
      </w:pPr>
      <w:r>
        <w:rPr>
          <w:rFonts w:hint="eastAsia"/>
          <w:highlight w:val="none"/>
        </w:rPr>
        <w:t>严格按设计要求制作塔机基础，不得心存侥幸、降低要求。</w:t>
      </w:r>
    </w:p>
    <w:p w14:paraId="2E35EAC1">
      <w:pPr>
        <w:numPr>
          <w:ilvl w:val="0"/>
          <w:numId w:val="23"/>
        </w:numPr>
        <w:bidi w:val="0"/>
        <w:ind w:left="0" w:leftChars="0" w:firstLine="403" w:firstLineChars="0"/>
        <w:rPr>
          <w:rFonts w:hint="eastAsia"/>
          <w:highlight w:val="none"/>
        </w:rPr>
      </w:pPr>
      <w:r>
        <w:rPr>
          <w:rFonts w:hint="eastAsia"/>
          <w:highlight w:val="none"/>
        </w:rPr>
        <w:t>因为</w:t>
      </w:r>
      <w:r>
        <w:rPr>
          <w:rFonts w:hint="eastAsia"/>
          <w:highlight w:val="none"/>
          <w:lang w:eastAsia="zh-CN"/>
        </w:rPr>
        <w:t>大</w:t>
      </w:r>
      <w:r>
        <w:rPr>
          <w:rFonts w:hint="eastAsia"/>
          <w:highlight w:val="none"/>
        </w:rPr>
        <w:t>风来袭时的方向还是有规律可循，塔机安装时尽量安装在建筑物能挡风的背风面。</w:t>
      </w:r>
    </w:p>
    <w:p w14:paraId="5B5DDBE6">
      <w:pPr>
        <w:pStyle w:val="6"/>
        <w:numPr>
          <w:ilvl w:val="0"/>
          <w:numId w:val="22"/>
        </w:numPr>
        <w:bidi w:val="0"/>
        <w:ind w:left="425" w:leftChars="0" w:hanging="425" w:firstLineChars="0"/>
        <w:rPr>
          <w:rFonts w:hint="eastAsia"/>
          <w:highlight w:val="none"/>
        </w:rPr>
      </w:pPr>
      <w:r>
        <w:rPr>
          <w:rFonts w:hint="eastAsia"/>
          <w:highlight w:val="none"/>
        </w:rPr>
        <w:t>防雷安全保证措施</w:t>
      </w:r>
    </w:p>
    <w:p w14:paraId="508EA60A">
      <w:pPr>
        <w:numPr>
          <w:ilvl w:val="0"/>
          <w:numId w:val="24"/>
        </w:numPr>
        <w:bidi w:val="0"/>
        <w:ind w:left="0" w:leftChars="0" w:firstLine="403" w:firstLineChars="0"/>
        <w:rPr>
          <w:rFonts w:hint="eastAsia"/>
          <w:highlight w:val="none"/>
        </w:rPr>
      </w:pPr>
      <w:r>
        <w:rPr>
          <w:rFonts w:hint="eastAsia"/>
          <w:highlight w:val="none"/>
        </w:rPr>
        <w:t>塔机装有防雷装置。防雷接地电阻实际检测一般不超过10Ω，特殊情况遵从安全设计值，允许与其他接地装置共用时，应满足其中最低的要求。</w:t>
      </w:r>
    </w:p>
    <w:p w14:paraId="79709A5D">
      <w:pPr>
        <w:numPr>
          <w:ilvl w:val="0"/>
          <w:numId w:val="24"/>
        </w:numPr>
        <w:bidi w:val="0"/>
        <w:ind w:left="0" w:leftChars="0" w:firstLine="403" w:firstLineChars="0"/>
        <w:rPr>
          <w:rFonts w:hint="eastAsia"/>
          <w:highlight w:val="none"/>
        </w:rPr>
      </w:pPr>
      <w:r>
        <w:rPr>
          <w:rFonts w:hint="eastAsia"/>
          <w:highlight w:val="none"/>
        </w:rPr>
        <w:t>避雷针（带）与引下线的接地装置连接应采用焊接。整体防雷装置应保证完好的电气通路和连接的可靠性（包括跨接线和过度伸缩缝的处理等）。</w:t>
      </w:r>
    </w:p>
    <w:p w14:paraId="4E7432F5">
      <w:pPr>
        <w:numPr>
          <w:ilvl w:val="0"/>
          <w:numId w:val="24"/>
        </w:numPr>
        <w:bidi w:val="0"/>
        <w:ind w:left="0" w:leftChars="0" w:firstLine="403" w:firstLineChars="0"/>
        <w:rPr>
          <w:rFonts w:hint="eastAsia"/>
          <w:highlight w:val="none"/>
        </w:rPr>
      </w:pPr>
      <w:r>
        <w:rPr>
          <w:rFonts w:hint="eastAsia"/>
          <w:highlight w:val="none"/>
        </w:rPr>
        <w:t>对防雷装置应当作为电力设备一样进行预防性试验与检查、检测，保持其良好的保护性能。</w:t>
      </w:r>
    </w:p>
    <w:p w14:paraId="7E9B377B">
      <w:pPr>
        <w:numPr>
          <w:ilvl w:val="0"/>
          <w:numId w:val="24"/>
        </w:numPr>
        <w:bidi w:val="0"/>
        <w:ind w:left="0" w:leftChars="0" w:firstLine="403" w:firstLineChars="0"/>
        <w:rPr>
          <w:rFonts w:hint="eastAsia"/>
          <w:highlight w:val="none"/>
          <w:lang w:val="en-US" w:eastAsia="zh-CN"/>
        </w:rPr>
      </w:pPr>
      <w:r>
        <w:rPr>
          <w:rFonts w:hint="eastAsia"/>
          <w:highlight w:val="none"/>
        </w:rPr>
        <w:t>对各种防雷装置应按规范标准要求检查整体和器件情况，例如，连接点有无裂纹，引下线上有无闪络或烧损痕迹，腐蚀锈蚀以及与相邻异体的安全距离情况等。</w:t>
      </w:r>
    </w:p>
    <w:p w14:paraId="66A42E02">
      <w:pPr>
        <w:pStyle w:val="6"/>
        <w:numPr>
          <w:ilvl w:val="0"/>
          <w:numId w:val="22"/>
        </w:numPr>
        <w:bidi w:val="0"/>
        <w:ind w:left="425" w:leftChars="0" w:hanging="425" w:firstLineChars="0"/>
        <w:rPr>
          <w:rFonts w:hint="eastAsia"/>
          <w:highlight w:val="none"/>
          <w:lang w:val="en-US" w:eastAsia="zh-CN"/>
        </w:rPr>
      </w:pPr>
      <w:r>
        <w:rPr>
          <w:rFonts w:hint="eastAsia"/>
          <w:highlight w:val="none"/>
          <w:lang w:val="en-US" w:eastAsia="zh-CN"/>
        </w:rPr>
        <w:t>高温中暑安全保障措施</w:t>
      </w:r>
    </w:p>
    <w:p w14:paraId="305270F9">
      <w:pPr>
        <w:numPr>
          <w:ilvl w:val="0"/>
          <w:numId w:val="25"/>
        </w:numPr>
        <w:bidi w:val="0"/>
        <w:ind w:left="425" w:leftChars="0" w:hanging="425"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事故发生主要环节</w:t>
      </w:r>
    </w:p>
    <w:p w14:paraId="7B909C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夏季施工温度高，工作持续时间长，易发生中暑事件。</w:t>
      </w:r>
    </w:p>
    <w:p w14:paraId="39624445">
      <w:pPr>
        <w:numPr>
          <w:ilvl w:val="0"/>
          <w:numId w:val="25"/>
        </w:numPr>
        <w:bidi w:val="0"/>
        <w:ind w:left="425" w:leftChars="0" w:hanging="425"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预防措施</w:t>
      </w:r>
    </w:p>
    <w:p w14:paraId="76045513">
      <w:pPr>
        <w:numPr>
          <w:ilvl w:val="0"/>
          <w:numId w:val="26"/>
        </w:numPr>
        <w:bidi w:val="0"/>
        <w:ind w:left="0" w:leftChars="0" w:firstLine="403"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现场设置临时休息亭，配备饮用水及必要的防暑药品。</w:t>
      </w:r>
    </w:p>
    <w:p w14:paraId="39A62E6C">
      <w:pPr>
        <w:numPr>
          <w:ilvl w:val="0"/>
          <w:numId w:val="26"/>
        </w:numPr>
        <w:bidi w:val="0"/>
        <w:ind w:left="0" w:leftChars="0" w:firstLine="403"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调整作业时间，早晚作业。</w:t>
      </w:r>
    </w:p>
    <w:p w14:paraId="759B3EA3">
      <w:pPr>
        <w:numPr>
          <w:ilvl w:val="0"/>
          <w:numId w:val="25"/>
        </w:numPr>
        <w:bidi w:val="0"/>
        <w:ind w:left="425" w:leftChars="0" w:hanging="425"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应急处置措施</w:t>
      </w:r>
    </w:p>
    <w:p w14:paraId="5327725C">
      <w:pPr>
        <w:numPr>
          <w:ilvl w:val="0"/>
          <w:numId w:val="27"/>
        </w:numPr>
        <w:bidi w:val="0"/>
        <w:ind w:left="0" w:leftChars="0" w:firstLine="403"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高温中暑突发事件发生后，救护人员迅速将中暑者移至阴凉、通风的地方，同时垫高头部，解开衣裤，以利呼吸和散热，给予仁丹、十滴水或霍香正气散等，并补充含盐清凉饮料：淡盐水、冷西瓜水、绿豆汤等饮品。</w:t>
      </w:r>
    </w:p>
    <w:p w14:paraId="76C220CE">
      <w:pPr>
        <w:numPr>
          <w:ilvl w:val="0"/>
          <w:numId w:val="27"/>
        </w:numPr>
        <w:bidi w:val="0"/>
        <w:ind w:left="0" w:leftChars="0" w:firstLine="403" w:firstLineChars="0"/>
        <w:rPr>
          <w:rFonts w:hint="eastAsia" w:ascii="宋体" w:hAnsi="宋体" w:eastAsia="宋体" w:cs="宋体"/>
          <w:bCs w:val="0"/>
          <w:kern w:val="2"/>
          <w:sz w:val="24"/>
          <w:szCs w:val="22"/>
          <w:highlight w:val="none"/>
          <w:lang w:val="en-US" w:eastAsia="zh-CN" w:bidi="ar-SA"/>
        </w:rPr>
      </w:pPr>
      <w:r>
        <w:rPr>
          <w:rFonts w:hint="eastAsia" w:ascii="宋体" w:hAnsi="宋体" w:eastAsia="宋体" w:cs="宋体"/>
          <w:bCs w:val="0"/>
          <w:kern w:val="2"/>
          <w:sz w:val="24"/>
          <w:szCs w:val="22"/>
          <w:highlight w:val="none"/>
          <w:lang w:val="en-US" w:eastAsia="zh-CN" w:bidi="ar-SA"/>
        </w:rPr>
        <w:t>观察中暑者的生命体征、神志变化及各脏器功能状况、防治并发症。</w:t>
      </w:r>
    </w:p>
    <w:p w14:paraId="7283217C">
      <w:pPr>
        <w:numPr>
          <w:ilvl w:val="0"/>
          <w:numId w:val="27"/>
        </w:numPr>
        <w:bidi w:val="0"/>
        <w:ind w:left="0" w:leftChars="0" w:firstLine="403" w:firstLineChars="0"/>
        <w:rPr>
          <w:rFonts w:hint="eastAsia" w:ascii="宋体" w:hAnsi="宋体" w:eastAsia="宋体" w:cs="宋体"/>
          <w:highlight w:val="none"/>
        </w:rPr>
      </w:pPr>
      <w:r>
        <w:rPr>
          <w:rFonts w:hint="eastAsia" w:ascii="宋体" w:hAnsi="宋体" w:eastAsia="宋体" w:cs="宋体"/>
          <w:bCs w:val="0"/>
          <w:kern w:val="2"/>
          <w:sz w:val="24"/>
          <w:szCs w:val="22"/>
          <w:highlight w:val="none"/>
          <w:lang w:val="en-US" w:eastAsia="zh-CN" w:bidi="ar-SA"/>
        </w:rPr>
        <w:t>采用物理降温与药物降温结合的降温措施（如：头置冰袋或冰帽、大血管区置冰袋、将身体(头部除外)置于4℃水中）给中暑者进行降温，同时要不断摩擦四肢，防止血液循环停滞，促使热量散发。</w:t>
      </w:r>
    </w:p>
    <w:p w14:paraId="71422E2C">
      <w:pPr>
        <w:pStyle w:val="6"/>
        <w:numPr>
          <w:ilvl w:val="0"/>
          <w:numId w:val="22"/>
        </w:numPr>
        <w:bidi w:val="0"/>
        <w:ind w:left="425" w:leftChars="0" w:hanging="425" w:firstLineChars="0"/>
        <w:rPr>
          <w:rFonts w:hint="eastAsia"/>
          <w:highlight w:val="none"/>
        </w:rPr>
      </w:pPr>
      <w:r>
        <w:rPr>
          <w:rFonts w:hint="eastAsia"/>
          <w:highlight w:val="none"/>
        </w:rPr>
        <w:t>突发性天气</w:t>
      </w:r>
      <w:r>
        <w:rPr>
          <w:rFonts w:hint="eastAsia"/>
          <w:highlight w:val="none"/>
          <w:lang w:val="en-US" w:eastAsia="zh-CN"/>
        </w:rPr>
        <w:t>安全保障措施</w:t>
      </w:r>
    </w:p>
    <w:p w14:paraId="401FC093">
      <w:pPr>
        <w:numPr>
          <w:ilvl w:val="0"/>
          <w:numId w:val="28"/>
        </w:numPr>
        <w:bidi w:val="0"/>
        <w:ind w:left="425" w:leftChars="0" w:hanging="425" w:firstLineChars="0"/>
        <w:rPr>
          <w:rFonts w:hint="eastAsia"/>
          <w:highlight w:val="none"/>
        </w:rPr>
      </w:pPr>
      <w:r>
        <w:rPr>
          <w:rFonts w:hint="eastAsia"/>
          <w:highlight w:val="none"/>
        </w:rPr>
        <w:t>突发性天气预警阶段</w:t>
      </w:r>
    </w:p>
    <w:p w14:paraId="4D096BDF">
      <w:pPr>
        <w:numPr>
          <w:ilvl w:val="0"/>
          <w:numId w:val="29"/>
        </w:numPr>
        <w:bidi w:val="0"/>
        <w:ind w:left="0" w:leftChars="0" w:firstLine="403" w:firstLineChars="0"/>
        <w:rPr>
          <w:rFonts w:hint="eastAsia"/>
          <w:highlight w:val="none"/>
        </w:rPr>
      </w:pPr>
      <w:r>
        <w:rPr>
          <w:rFonts w:hint="eastAsia"/>
          <w:highlight w:val="none"/>
        </w:rPr>
        <w:t>通常突发性天气伴有强雷电活动，影响时间短，但来势突然，使得准备防范的时间较短，因此各部门要平时做好预防及准备工作，在接到突发性天气预警后能够及时撤离，做好防风防雷电工作。</w:t>
      </w:r>
    </w:p>
    <w:p w14:paraId="3C1A9820">
      <w:pPr>
        <w:numPr>
          <w:ilvl w:val="0"/>
          <w:numId w:val="29"/>
        </w:numPr>
        <w:bidi w:val="0"/>
        <w:ind w:left="0" w:leftChars="0" w:firstLine="403" w:firstLineChars="0"/>
        <w:rPr>
          <w:rFonts w:hint="eastAsia"/>
          <w:highlight w:val="none"/>
        </w:rPr>
      </w:pPr>
      <w:r>
        <w:rPr>
          <w:rFonts w:hint="eastAsia"/>
          <w:highlight w:val="none"/>
        </w:rPr>
        <w:t>生产安全部在接到突发性天气预警后，应立即通知三防领导小组、各个工区。</w:t>
      </w:r>
    </w:p>
    <w:p w14:paraId="6EF6F121">
      <w:pPr>
        <w:numPr>
          <w:ilvl w:val="0"/>
          <w:numId w:val="29"/>
        </w:numPr>
        <w:bidi w:val="0"/>
        <w:ind w:left="0" w:leftChars="0" w:firstLine="403" w:firstLineChars="0"/>
        <w:rPr>
          <w:rFonts w:hint="eastAsia"/>
          <w:highlight w:val="none"/>
        </w:rPr>
      </w:pPr>
      <w:r>
        <w:rPr>
          <w:rFonts w:hint="eastAsia"/>
          <w:highlight w:val="none"/>
        </w:rPr>
        <w:t>各部门在接到突发性天气预警后，应立即做好防风防雷电准备工作。停止高处作业，各用电设备要切断电源并做防水措施，未完成结构进行加固。</w:t>
      </w:r>
    </w:p>
    <w:p w14:paraId="50DEF882">
      <w:pPr>
        <w:numPr>
          <w:ilvl w:val="0"/>
          <w:numId w:val="29"/>
        </w:numPr>
        <w:bidi w:val="0"/>
        <w:ind w:left="0" w:leftChars="0" w:firstLine="403" w:firstLineChars="0"/>
        <w:rPr>
          <w:rFonts w:hint="eastAsia"/>
          <w:highlight w:val="none"/>
        </w:rPr>
      </w:pPr>
      <w:r>
        <w:rPr>
          <w:rFonts w:hint="eastAsia"/>
          <w:highlight w:val="none"/>
        </w:rPr>
        <w:t>各小组工作落实到位后，并将落实情况向三防领导小组汇报，由三防领导小组进行检查。</w:t>
      </w:r>
    </w:p>
    <w:p w14:paraId="395E7BF5">
      <w:pPr>
        <w:numPr>
          <w:ilvl w:val="0"/>
          <w:numId w:val="28"/>
        </w:numPr>
        <w:bidi w:val="0"/>
        <w:ind w:left="425" w:leftChars="0" w:hanging="425" w:firstLineChars="0"/>
        <w:rPr>
          <w:rFonts w:hint="eastAsia"/>
          <w:highlight w:val="none"/>
        </w:rPr>
      </w:pPr>
      <w:r>
        <w:rPr>
          <w:rFonts w:hint="eastAsia"/>
          <w:highlight w:val="none"/>
        </w:rPr>
        <w:t>突发性天气来临阶段</w:t>
      </w:r>
    </w:p>
    <w:p w14:paraId="0AFA4DCA">
      <w:pPr>
        <w:numPr>
          <w:ilvl w:val="0"/>
          <w:numId w:val="30"/>
        </w:numPr>
        <w:bidi w:val="0"/>
        <w:ind w:left="0" w:leftChars="0" w:firstLine="403" w:firstLineChars="0"/>
        <w:rPr>
          <w:rFonts w:hint="eastAsia"/>
          <w:highlight w:val="none"/>
        </w:rPr>
      </w:pPr>
      <w:r>
        <w:rPr>
          <w:rFonts w:hint="eastAsia"/>
          <w:highlight w:val="none"/>
        </w:rPr>
        <w:t>各施工班组应停止施工，禁止外出作业。</w:t>
      </w:r>
    </w:p>
    <w:p w14:paraId="4F6040BD">
      <w:pPr>
        <w:numPr>
          <w:ilvl w:val="0"/>
          <w:numId w:val="30"/>
        </w:numPr>
        <w:bidi w:val="0"/>
        <w:ind w:left="0" w:leftChars="0" w:firstLine="403" w:firstLineChars="0"/>
        <w:rPr>
          <w:rFonts w:hint="eastAsia"/>
          <w:highlight w:val="none"/>
        </w:rPr>
      </w:pPr>
      <w:r>
        <w:rPr>
          <w:rFonts w:hint="eastAsia"/>
          <w:highlight w:val="none"/>
        </w:rPr>
        <w:t>设备停止作业。发生险情还应报告</w:t>
      </w:r>
      <w:r>
        <w:rPr>
          <w:rFonts w:hint="eastAsia"/>
          <w:highlight w:val="none"/>
          <w:lang w:val="en-US" w:eastAsia="zh-CN"/>
        </w:rPr>
        <w:t>相关</w:t>
      </w:r>
      <w:r>
        <w:rPr>
          <w:rFonts w:hint="eastAsia"/>
          <w:highlight w:val="none"/>
        </w:rPr>
        <w:t>部门。</w:t>
      </w:r>
    </w:p>
    <w:p w14:paraId="2AEE8CAF">
      <w:pPr>
        <w:numPr>
          <w:ilvl w:val="0"/>
          <w:numId w:val="28"/>
        </w:numPr>
        <w:bidi w:val="0"/>
        <w:ind w:left="425" w:leftChars="0" w:hanging="425" w:firstLineChars="0"/>
        <w:rPr>
          <w:rFonts w:hint="eastAsia"/>
          <w:highlight w:val="none"/>
        </w:rPr>
      </w:pPr>
      <w:r>
        <w:rPr>
          <w:rFonts w:hint="eastAsia"/>
          <w:highlight w:val="none"/>
        </w:rPr>
        <w:t>突发性天气预警解除阶段</w:t>
      </w:r>
    </w:p>
    <w:p w14:paraId="1E0F5D44">
      <w:pPr>
        <w:numPr>
          <w:ilvl w:val="0"/>
          <w:numId w:val="31"/>
        </w:numPr>
        <w:bidi w:val="0"/>
        <w:ind w:left="0" w:leftChars="0" w:firstLine="403" w:firstLineChars="0"/>
        <w:rPr>
          <w:rFonts w:hint="eastAsia"/>
          <w:highlight w:val="none"/>
        </w:rPr>
      </w:pPr>
      <w:r>
        <w:rPr>
          <w:rFonts w:hint="eastAsia"/>
          <w:highlight w:val="none"/>
        </w:rPr>
        <w:t>当调度中心接到突发性天气预警解除信号时，要及时通报三防领导小组，当得到三防领导小组的同意后，各工区方可恢复施工。</w:t>
      </w:r>
    </w:p>
    <w:p w14:paraId="1838D36F">
      <w:pPr>
        <w:numPr>
          <w:ilvl w:val="0"/>
          <w:numId w:val="31"/>
        </w:numPr>
        <w:bidi w:val="0"/>
        <w:ind w:left="0" w:leftChars="0" w:firstLine="403" w:firstLineChars="0"/>
        <w:rPr>
          <w:rFonts w:hint="eastAsia"/>
          <w:highlight w:val="none"/>
        </w:rPr>
      </w:pPr>
      <w:r>
        <w:rPr>
          <w:rFonts w:hint="eastAsia"/>
          <w:highlight w:val="none"/>
        </w:rPr>
        <w:t>各工区接到恢复施工的通知后，应检查机械、电气设备及安全防护设施是否完成。</w:t>
      </w:r>
    </w:p>
    <w:p w14:paraId="583C4332">
      <w:pPr>
        <w:pStyle w:val="6"/>
        <w:numPr>
          <w:ilvl w:val="0"/>
          <w:numId w:val="22"/>
        </w:numPr>
        <w:bidi w:val="0"/>
        <w:ind w:left="425" w:leftChars="0" w:hanging="425" w:firstLineChars="0"/>
        <w:rPr>
          <w:rFonts w:hint="eastAsia"/>
          <w:highlight w:val="none"/>
        </w:rPr>
      </w:pPr>
      <w:r>
        <w:rPr>
          <w:rFonts w:hint="eastAsia"/>
          <w:highlight w:val="none"/>
        </w:rPr>
        <w:t>能见度不良（雾天）</w:t>
      </w:r>
      <w:r>
        <w:rPr>
          <w:rFonts w:hint="eastAsia"/>
          <w:highlight w:val="none"/>
          <w:lang w:val="en-US" w:eastAsia="zh-CN"/>
        </w:rPr>
        <w:t>安全保障</w:t>
      </w:r>
      <w:r>
        <w:rPr>
          <w:rFonts w:hint="eastAsia"/>
          <w:highlight w:val="none"/>
        </w:rPr>
        <w:t>措施</w:t>
      </w:r>
    </w:p>
    <w:p w14:paraId="463480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根据防能见度不良影响范围和程度，将预警等级分为三级：Ⅰ级（特别严重），Ⅱ级（严重），Ⅲ级（较重）。预警信号分三种，分别以黄色、橙色和红色表示。</w:t>
      </w:r>
    </w:p>
    <w:p w14:paraId="1FD2D512">
      <w:pPr>
        <w:pStyle w:val="1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表7.8.5-1 能见度不良预警、响应标准及采取措施表</w:t>
      </w:r>
    </w:p>
    <w:tbl>
      <w:tblPr>
        <w:tblStyle w:val="30"/>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14:paraId="3BFAA4D9">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14:paraId="51CBCBC7">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t>能见度不良预警信号</w:t>
            </w:r>
          </w:p>
        </w:tc>
        <w:tc>
          <w:tcPr>
            <w:tcW w:w="2266" w:type="dxa"/>
            <w:shd w:val="clear" w:color="auto" w:fill="92CDDC"/>
            <w:vAlign w:val="center"/>
          </w:tcPr>
          <w:p w14:paraId="079A2FEB">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t>响应标准</w:t>
            </w:r>
          </w:p>
        </w:tc>
        <w:tc>
          <w:tcPr>
            <w:tcW w:w="4749" w:type="dxa"/>
            <w:shd w:val="clear" w:color="auto" w:fill="92CDDC"/>
            <w:vAlign w:val="center"/>
          </w:tcPr>
          <w:p w14:paraId="28676A4F">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t>采取的措施</w:t>
            </w:r>
          </w:p>
        </w:tc>
      </w:tr>
      <w:tr w14:paraId="37389A9B">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14:paraId="0A2586A0">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drawing>
                <wp:inline distT="0" distB="0" distL="0" distR="0">
                  <wp:extent cx="1009650" cy="847725"/>
                  <wp:effectExtent l="0" t="0" r="0" b="9525"/>
                  <wp:docPr id="1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14:paraId="779BE9D8">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t>Ⅲ级响应标准：12小时内可能出现</w:t>
            </w:r>
            <w:r>
              <w:rPr>
                <w:rFonts w:hint="eastAsia" w:ascii="宋体" w:hAnsi="宋体" w:eastAsia="宋体" w:cs="宋体"/>
                <w:sz w:val="21"/>
                <w:highlight w:val="none"/>
              </w:rPr>
              <w:fldChar w:fldCharType="begin"/>
            </w:r>
            <w:r>
              <w:rPr>
                <w:rFonts w:hint="eastAsia" w:ascii="宋体" w:hAnsi="宋体" w:eastAsia="宋体" w:cs="宋体"/>
                <w:sz w:val="21"/>
                <w:highlight w:val="none"/>
              </w:rPr>
              <w:instrText xml:space="preserve"> HYPERLINK "https://baike.so.com/doc/4600678-4812634.html" \t "https://baike.so.com/doc/_blank" </w:instrText>
            </w:r>
            <w:r>
              <w:rPr>
                <w:rFonts w:hint="eastAsia" w:ascii="宋体" w:hAnsi="宋体" w:eastAsia="宋体" w:cs="宋体"/>
                <w:sz w:val="21"/>
                <w:highlight w:val="none"/>
              </w:rPr>
              <w:fldChar w:fldCharType="separate"/>
            </w:r>
            <w:r>
              <w:rPr>
                <w:rFonts w:hint="eastAsia" w:ascii="宋体" w:hAnsi="宋体" w:eastAsia="宋体" w:cs="宋体"/>
                <w:sz w:val="21"/>
                <w:highlight w:val="none"/>
                <w:lang w:val="en-US"/>
              </w:rPr>
              <w:t>能见度</w:t>
            </w:r>
            <w:r>
              <w:rPr>
                <w:rFonts w:hint="eastAsia" w:ascii="宋体" w:hAnsi="宋体" w:eastAsia="宋体" w:cs="宋体"/>
                <w:sz w:val="21"/>
                <w:highlight w:val="none"/>
                <w:lang w:val="en-US"/>
              </w:rPr>
              <w:fldChar w:fldCharType="end"/>
            </w:r>
            <w:r>
              <w:rPr>
                <w:rFonts w:hint="eastAsia" w:ascii="宋体" w:hAnsi="宋体" w:eastAsia="宋体" w:cs="宋体"/>
                <w:sz w:val="21"/>
                <w:highlight w:val="none"/>
                <w:lang w:val="en-US"/>
              </w:rPr>
              <w:t>小于500米的雾，或者已经出现能见度小于500米、大于等于200米的雾并将持续；</w:t>
            </w:r>
          </w:p>
        </w:tc>
        <w:tc>
          <w:tcPr>
            <w:tcW w:w="4749" w:type="dxa"/>
            <w:shd w:val="clear" w:color="auto" w:fill="DAEEF3"/>
            <w:vAlign w:val="center"/>
          </w:tcPr>
          <w:p w14:paraId="32C977A2">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（1）密切关注灾害发展趋势并通报，应急领导小组副组长或组长组织召开专题会议进行部署；</w:t>
            </w:r>
          </w:p>
          <w:p w14:paraId="6404FAD4">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（2）各部门（班组）按照职责做好预防工作；</w:t>
            </w:r>
          </w:p>
          <w:p w14:paraId="5E4908A1">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（3）施工机械设备加强调度工作。</w:t>
            </w:r>
          </w:p>
        </w:tc>
      </w:tr>
      <w:tr w14:paraId="2C18251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14:paraId="2070D119">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14:paraId="0442603E">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t>Ⅱ级响应标准：6小时内可能出现能见度小于200米的雾，或者已经出现能见度小于200米、大于等于50米的雾并将持续；</w:t>
            </w:r>
          </w:p>
        </w:tc>
        <w:tc>
          <w:tcPr>
            <w:tcW w:w="4749" w:type="dxa"/>
            <w:shd w:val="clear" w:color="auto" w:fill="DAEEF3"/>
            <w:vAlign w:val="center"/>
          </w:tcPr>
          <w:p w14:paraId="495AFAA2">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（1）及时了解灾害最新动态信息并发布，领导小组成员开始应急值班；</w:t>
            </w:r>
          </w:p>
          <w:p w14:paraId="4785255E">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（2）停止起重吊装等危险性较大作业；</w:t>
            </w:r>
          </w:p>
          <w:p w14:paraId="28128613">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（3）施工机械设备加强管理工作；</w:t>
            </w:r>
          </w:p>
          <w:p w14:paraId="5BD1772C">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（4）组织将施工人员撤离至</w:t>
            </w:r>
            <w:r>
              <w:rPr>
                <w:rFonts w:hint="eastAsia" w:cs="宋体"/>
                <w:sz w:val="21"/>
                <w:highlight w:val="none"/>
                <w:lang w:val="en-US" w:eastAsia="zh-CN"/>
              </w:rPr>
              <w:t>公司</w:t>
            </w:r>
            <w:r>
              <w:rPr>
                <w:rFonts w:hint="eastAsia" w:ascii="宋体" w:hAnsi="宋体" w:eastAsia="宋体" w:cs="宋体"/>
                <w:sz w:val="21"/>
                <w:highlight w:val="none"/>
                <w:lang w:val="en-US"/>
              </w:rPr>
              <w:t>驻地。</w:t>
            </w:r>
          </w:p>
        </w:tc>
      </w:tr>
      <w:tr w14:paraId="3CB317B4">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14:paraId="20BCA9AA">
            <w:pPr>
              <w:pStyle w:val="93"/>
              <w:ind w:firstLine="0" w:firstLineChars="0"/>
              <w:rPr>
                <w:rFonts w:hint="eastAsia" w:ascii="宋体" w:hAnsi="宋体" w:eastAsia="宋体" w:cs="宋体"/>
                <w:sz w:val="21"/>
                <w:highlight w:val="none"/>
                <w:lang w:val="en-US"/>
              </w:rPr>
            </w:pPr>
            <w:r>
              <w:rPr>
                <w:rFonts w:hint="eastAsia" w:ascii="宋体" w:hAnsi="宋体" w:eastAsia="宋体" w:cs="宋体"/>
                <w:sz w:val="21"/>
                <w:highlight w:val="none"/>
                <w:lang w:val="en-US"/>
              </w:rPr>
              <w:drawing>
                <wp:inline distT="0" distB="0" distL="0" distR="0">
                  <wp:extent cx="952500" cy="781050"/>
                  <wp:effectExtent l="0" t="0" r="0" b="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14:paraId="3F37097F">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Ⅰ级响应标准：2小时内可能出现能见度小于50米的雾，或者已经出现能见度小于50米的雾并将持</w:t>
            </w:r>
            <w:bookmarkStart w:id="43" w:name="6253351-6466763-3_2"/>
            <w:bookmarkEnd w:id="43"/>
          </w:p>
        </w:tc>
        <w:tc>
          <w:tcPr>
            <w:tcW w:w="4749" w:type="dxa"/>
            <w:shd w:val="clear" w:color="auto" w:fill="DAEEF3"/>
            <w:vAlign w:val="center"/>
          </w:tcPr>
          <w:p w14:paraId="14CE6F18">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（1）各部门（班组）按照职责做好防能见度不良的应急和抢险工作；</w:t>
            </w:r>
          </w:p>
          <w:p w14:paraId="4E919624">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（2）应急领导小组组长在岗指挥，组织24小时应急值班；</w:t>
            </w:r>
          </w:p>
          <w:p w14:paraId="6E9060AC">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（3）停止各作业点一切施工作业活动；</w:t>
            </w:r>
          </w:p>
          <w:p w14:paraId="775B73DB">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（4）确保全部人员撤离至安置点并严格管理；</w:t>
            </w:r>
          </w:p>
          <w:p w14:paraId="1FCE5EC9">
            <w:pPr>
              <w:pStyle w:val="93"/>
              <w:ind w:firstLine="0" w:firstLineChars="0"/>
              <w:jc w:val="left"/>
              <w:rPr>
                <w:rFonts w:hint="eastAsia" w:ascii="宋体" w:hAnsi="宋体" w:eastAsia="宋体" w:cs="宋体"/>
                <w:sz w:val="21"/>
                <w:highlight w:val="none"/>
                <w:lang w:val="en-US"/>
              </w:rPr>
            </w:pPr>
            <w:r>
              <w:rPr>
                <w:rFonts w:hint="eastAsia" w:ascii="宋体" w:hAnsi="宋体" w:eastAsia="宋体" w:cs="宋体"/>
                <w:sz w:val="21"/>
                <w:highlight w:val="none"/>
                <w:lang w:val="en-US"/>
              </w:rPr>
              <w:t>（5）各应急小组人员保持信息畅通及时反馈情况。</w:t>
            </w:r>
          </w:p>
        </w:tc>
      </w:tr>
    </w:tbl>
    <w:p w14:paraId="4035DD3D">
      <w:pPr>
        <w:pStyle w:val="3"/>
        <w:ind w:left="562" w:hanging="562"/>
        <w:rPr>
          <w:lang w:val="en-US" w:eastAsia="zh-CN"/>
        </w:rPr>
      </w:pPr>
      <w:bookmarkStart w:id="44" w:name="_Toc5333"/>
      <w:r>
        <w:rPr>
          <w:rFonts w:hint="eastAsia" w:cs="Times New Roman"/>
          <w:b/>
          <w:bCs/>
          <w:kern w:val="44"/>
          <w:sz w:val="32"/>
          <w:szCs w:val="44"/>
          <w:lang w:val="en-US" w:eastAsia="zh-CN" w:bidi="ar-SA"/>
        </w:rPr>
        <w:t>安装顺序</w:t>
      </w:r>
      <w:bookmarkEnd w:id="44"/>
    </w:p>
    <w:p w14:paraId="02A6A441">
      <w:pPr>
        <w:pStyle w:val="5"/>
        <w:rPr>
          <w:rFonts w:cs="Times New Roman"/>
        </w:rPr>
      </w:pPr>
      <w:bookmarkStart w:id="45" w:name="_Toc10193"/>
      <w:r>
        <w:rPr>
          <w:rFonts w:hint="eastAsia"/>
          <w:lang w:val="en-US" w:eastAsia="zh-CN"/>
        </w:rPr>
        <w:t>8.1</w:t>
      </w:r>
      <w:r>
        <w:rPr>
          <w:rFonts w:cs="Times New Roman"/>
        </w:rPr>
        <w:t>项目现场准备工作</w:t>
      </w:r>
      <w:bookmarkEnd w:id="45"/>
    </w:p>
    <w:p w14:paraId="4C0548E8">
      <w:pPr>
        <w:pStyle w:val="29"/>
        <w:spacing w:beforeAutospacing="0" w:afterAutospacing="0" w:line="240" w:lineRule="auto"/>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）技术准备</w:t>
      </w:r>
    </w:p>
    <w:p w14:paraId="4307D952">
      <w:pPr>
        <w:pStyle w:val="78"/>
        <w:numPr>
          <w:ilvl w:val="0"/>
          <w:numId w:val="32"/>
        </w:numPr>
        <w:spacing w:beforeAutospacing="0" w:afterAutospacing="0" w:line="240" w:lineRule="auto"/>
        <w:ind w:left="-60" w:leftChars="0" w:firstLine="48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塔</w:t>
      </w:r>
      <w:r>
        <w:rPr>
          <w:rFonts w:hint="eastAsia" w:ascii="宋体" w:hAnsi="宋体" w:eastAsia="宋体" w:cs="宋体"/>
          <w:color w:val="auto"/>
          <w:kern w:val="2"/>
          <w:sz w:val="24"/>
          <w:szCs w:val="24"/>
          <w:lang w:val="en-US" w:eastAsia="zh-CN" w:bidi="ar-SA"/>
        </w:rPr>
        <w:t>式起重机安装所需说明书、图纸等技术资料齐全；</w:t>
      </w:r>
    </w:p>
    <w:p w14:paraId="44DE38DF">
      <w:pPr>
        <w:pStyle w:val="78"/>
        <w:numPr>
          <w:ilvl w:val="0"/>
          <w:numId w:val="32"/>
        </w:numPr>
        <w:spacing w:beforeAutospacing="0" w:afterAutospacing="0" w:line="240" w:lineRule="auto"/>
        <w:ind w:left="-60" w:leftChars="0" w:firstLine="480" w:firstLineChars="0"/>
        <w:rPr>
          <w:rFonts w:hint="eastAsia" w:ascii="宋体" w:hAnsi="宋体" w:eastAsia="宋体" w:cs="宋体"/>
          <w:sz w:val="24"/>
          <w:szCs w:val="24"/>
        </w:rPr>
      </w:pPr>
      <w:r>
        <w:rPr>
          <w:rFonts w:hint="eastAsia" w:ascii="宋体" w:hAnsi="宋体" w:eastAsia="宋体" w:cs="宋体"/>
          <w:color w:val="auto"/>
          <w:sz w:val="24"/>
          <w:szCs w:val="24"/>
        </w:rPr>
        <w:t>经</w:t>
      </w:r>
      <w:r>
        <w:rPr>
          <w:rFonts w:hint="eastAsia" w:ascii="宋体" w:hAnsi="宋体" w:eastAsia="宋体" w:cs="宋体"/>
          <w:color w:val="auto"/>
          <w:kern w:val="2"/>
          <w:sz w:val="24"/>
          <w:szCs w:val="24"/>
          <w:lang w:val="en-US" w:eastAsia="zh-CN" w:bidi="ar-SA"/>
        </w:rPr>
        <w:t>评审、审核、报批后的安装方案，且施工安全、技术交底等资料齐全</w:t>
      </w:r>
      <w:r>
        <w:rPr>
          <w:rFonts w:hint="eastAsia" w:ascii="宋体" w:hAnsi="宋体" w:eastAsia="宋体" w:cs="宋体"/>
          <w:color w:val="auto"/>
          <w:sz w:val="24"/>
          <w:szCs w:val="24"/>
        </w:rPr>
        <w:t>；</w:t>
      </w:r>
    </w:p>
    <w:p w14:paraId="1D06F111">
      <w:pPr>
        <w:pStyle w:val="78"/>
        <w:numPr>
          <w:ilvl w:val="0"/>
          <w:numId w:val="32"/>
        </w:numPr>
        <w:spacing w:beforeAutospacing="0" w:afterAutospacing="0" w:line="240" w:lineRule="auto"/>
        <w:ind w:left="-60" w:leftChars="0" w:firstLine="480" w:firstLineChars="0"/>
        <w:rPr>
          <w:rFonts w:hint="eastAsia" w:ascii="宋体" w:hAnsi="宋体" w:eastAsia="宋体" w:cs="宋体"/>
          <w:color w:val="auto"/>
          <w:sz w:val="24"/>
          <w:szCs w:val="24"/>
        </w:rPr>
      </w:pPr>
      <w:r>
        <w:rPr>
          <w:rFonts w:hint="eastAsia" w:ascii="宋体" w:hAnsi="宋体" w:eastAsia="宋体" w:cs="宋体"/>
          <w:color w:val="auto"/>
          <w:sz w:val="24"/>
          <w:szCs w:val="24"/>
        </w:rPr>
        <w:t>安装单位、人员、设备、机具等等相关资质审核合格，并完成向</w:t>
      </w:r>
      <w:r>
        <w:rPr>
          <w:rFonts w:hint="eastAsia" w:cs="宋体"/>
          <w:color w:val="auto"/>
          <w:sz w:val="24"/>
          <w:szCs w:val="24"/>
          <w:lang w:val="en-US" w:eastAsia="zh-CN"/>
        </w:rPr>
        <w:t>项目经理部、</w:t>
      </w:r>
      <w:r>
        <w:rPr>
          <w:rFonts w:hint="eastAsia" w:ascii="宋体" w:hAnsi="宋体" w:eastAsia="宋体" w:cs="宋体"/>
          <w:color w:val="auto"/>
          <w:sz w:val="24"/>
          <w:szCs w:val="24"/>
        </w:rPr>
        <w:t>监理及国家特种设备监督机构的报备工作；</w:t>
      </w:r>
    </w:p>
    <w:p w14:paraId="31EAA76B">
      <w:pPr>
        <w:pStyle w:val="78"/>
        <w:numPr>
          <w:ilvl w:val="0"/>
          <w:numId w:val="32"/>
        </w:numPr>
        <w:spacing w:beforeAutospacing="0" w:afterAutospacing="0" w:line="240" w:lineRule="auto"/>
        <w:ind w:left="-60" w:leftChars="0" w:firstLine="480" w:firstLineChars="0"/>
        <w:rPr>
          <w:rFonts w:hint="eastAsia" w:ascii="宋体" w:hAnsi="宋体" w:eastAsia="宋体" w:cs="宋体"/>
          <w:sz w:val="24"/>
          <w:szCs w:val="24"/>
        </w:rPr>
      </w:pPr>
      <w:r>
        <w:rPr>
          <w:rFonts w:hint="eastAsia" w:ascii="宋体" w:hAnsi="宋体" w:eastAsia="宋体" w:cs="宋体"/>
          <w:color w:val="auto"/>
          <w:sz w:val="24"/>
          <w:szCs w:val="24"/>
        </w:rPr>
        <w:t>施工安全技术交底：</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施工前，现场技术负责人对所参加作业人员进行安全、技术交底；管理人员明确施工工艺；作业人员明确施工程序、施工方法，了解施工工艺要求及安全注意事项，作业人员提前深入现场，熟悉施工环境，明确施工过程危险点及控制点；</w:t>
      </w:r>
      <w:r>
        <w:rPr>
          <w:rFonts w:hint="eastAsia" w:cs="宋体"/>
          <w:color w:val="auto"/>
          <w:sz w:val="24"/>
          <w:szCs w:val="24"/>
          <w:lang w:val="en-US" w:eastAsia="zh-CN"/>
        </w:rPr>
        <w:t>2、</w:t>
      </w:r>
      <w:r>
        <w:rPr>
          <w:rFonts w:hint="eastAsia" w:ascii="宋体" w:hAnsi="宋体" w:eastAsia="宋体" w:cs="宋体"/>
          <w:color w:val="auto"/>
          <w:sz w:val="24"/>
          <w:szCs w:val="24"/>
        </w:rPr>
        <w:t>做好安全技术交底工作，确保每位施工人员接受安全教育，熟悉安装要点和安全防范知识。</w:t>
      </w:r>
    </w:p>
    <w:p w14:paraId="15656983">
      <w:pPr>
        <w:pStyle w:val="29"/>
        <w:spacing w:beforeAutospacing="0" w:afterAutospacing="0" w:line="24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2)施工前准备</w:t>
      </w:r>
    </w:p>
    <w:p w14:paraId="2770043A">
      <w:pPr>
        <w:pStyle w:val="78"/>
        <w:numPr>
          <w:ilvl w:val="0"/>
          <w:numId w:val="33"/>
        </w:numPr>
        <w:spacing w:beforeAutospacing="0" w:afterAutospacing="0" w:line="240" w:lineRule="auto"/>
        <w:ind w:left="-60" w:leftChars="0" w:firstLine="480" w:firstLineChars="0"/>
        <w:rPr>
          <w:rFonts w:hint="eastAsia" w:ascii="宋体" w:hAnsi="宋体" w:eastAsia="宋体" w:cs="宋体"/>
          <w:color w:val="auto"/>
          <w:sz w:val="24"/>
          <w:szCs w:val="24"/>
        </w:rPr>
      </w:pPr>
      <w:r>
        <w:rPr>
          <w:rFonts w:hint="eastAsia"/>
          <w:color w:val="auto"/>
          <w:sz w:val="24"/>
          <w:szCs w:val="24"/>
        </w:rPr>
        <w:t>设备运输至现场部件齐全、完好，重点检查包括：</w:t>
      </w:r>
    </w:p>
    <w:p w14:paraId="2EE65D37">
      <w:pPr>
        <w:pStyle w:val="78"/>
        <w:numPr>
          <w:ilvl w:val="0"/>
          <w:numId w:val="34"/>
        </w:numPr>
        <w:spacing w:beforeAutospacing="0" w:afterAutospacing="0" w:line="240" w:lineRule="auto"/>
        <w:ind w:leftChars="200" w:firstLine="240" w:firstLineChars="100"/>
        <w:rPr>
          <w:rFonts w:hint="eastAsia"/>
          <w:color w:val="auto"/>
          <w:sz w:val="24"/>
          <w:szCs w:val="24"/>
        </w:rPr>
      </w:pPr>
      <w:r>
        <w:rPr>
          <w:color w:val="auto"/>
          <w:sz w:val="24"/>
          <w:szCs w:val="24"/>
        </w:rPr>
        <w:t>外形尺寸、数量是否与设计图纸一致</w:t>
      </w:r>
      <w:r>
        <w:rPr>
          <w:rFonts w:hint="eastAsia"/>
          <w:color w:val="auto"/>
          <w:sz w:val="24"/>
          <w:szCs w:val="24"/>
        </w:rPr>
        <w:t>，合格证书是否齐全有效；</w:t>
      </w:r>
    </w:p>
    <w:p w14:paraId="12F164F8">
      <w:pPr>
        <w:pStyle w:val="78"/>
        <w:numPr>
          <w:ilvl w:val="0"/>
          <w:numId w:val="34"/>
        </w:numPr>
        <w:spacing w:beforeAutospacing="0" w:afterAutospacing="0" w:line="240" w:lineRule="auto"/>
        <w:ind w:leftChars="200" w:firstLine="240" w:firstLineChars="100"/>
        <w:rPr>
          <w:rFonts w:hint="eastAsia" w:ascii="宋体" w:hAnsi="宋体" w:eastAsia="宋体" w:cs="宋体"/>
          <w:color w:val="auto"/>
          <w:sz w:val="24"/>
          <w:szCs w:val="24"/>
        </w:rPr>
      </w:pPr>
      <w:r>
        <w:rPr>
          <w:color w:val="auto"/>
          <w:sz w:val="24"/>
          <w:szCs w:val="24"/>
        </w:rPr>
        <w:t>部件焊缝是否有夹渣、裂纹等缺陷；</w:t>
      </w:r>
    </w:p>
    <w:p w14:paraId="0584AFAE">
      <w:pPr>
        <w:pStyle w:val="78"/>
        <w:numPr>
          <w:ilvl w:val="0"/>
          <w:numId w:val="34"/>
        </w:numPr>
        <w:spacing w:beforeAutospacing="0" w:afterAutospacing="0" w:line="240" w:lineRule="auto"/>
        <w:ind w:leftChars="200" w:firstLine="240" w:firstLineChars="100"/>
        <w:rPr>
          <w:rFonts w:hint="eastAsia" w:ascii="宋体" w:hAnsi="宋体" w:eastAsia="宋体" w:cs="宋体"/>
          <w:color w:val="auto"/>
          <w:sz w:val="24"/>
          <w:szCs w:val="24"/>
        </w:rPr>
      </w:pPr>
      <w:r>
        <w:rPr>
          <w:color w:val="auto"/>
          <w:sz w:val="24"/>
          <w:szCs w:val="24"/>
        </w:rPr>
        <w:t>部件是否有变形及损坏等</w:t>
      </w:r>
      <w:r>
        <w:rPr>
          <w:rFonts w:hint="eastAsia"/>
          <w:color w:val="auto"/>
          <w:sz w:val="24"/>
          <w:szCs w:val="24"/>
        </w:rPr>
        <w:t>。存在缺陷需处理检验合格；</w:t>
      </w:r>
    </w:p>
    <w:p w14:paraId="42175DBE">
      <w:pPr>
        <w:pStyle w:val="78"/>
        <w:numPr>
          <w:ilvl w:val="0"/>
          <w:numId w:val="33"/>
        </w:numPr>
        <w:spacing w:beforeAutospacing="0" w:afterAutospacing="0" w:line="240" w:lineRule="auto"/>
        <w:ind w:left="-60" w:leftChars="0" w:firstLine="480" w:firstLineChars="0"/>
        <w:rPr>
          <w:color w:val="auto"/>
          <w:sz w:val="24"/>
          <w:szCs w:val="24"/>
          <w:highlight w:val="none"/>
        </w:rPr>
      </w:pPr>
      <w:r>
        <w:rPr>
          <w:rFonts w:hint="eastAsia" w:ascii="宋体" w:hAnsi="宋体" w:eastAsia="宋体" w:cs="宋体"/>
          <w:color w:val="auto"/>
          <w:sz w:val="24"/>
          <w:szCs w:val="24"/>
          <w:highlight w:val="none"/>
        </w:rPr>
        <w:t>项目技术部</w:t>
      </w:r>
      <w:r>
        <w:rPr>
          <w:rFonts w:hint="eastAsia" w:ascii="宋体" w:hAnsi="宋体" w:eastAsia="宋体" w:cs="宋体"/>
          <w:color w:val="auto"/>
          <w:sz w:val="24"/>
          <w:szCs w:val="24"/>
          <w:highlight w:val="none"/>
          <w:lang w:eastAsia="zh-CN"/>
        </w:rPr>
        <w:t>出具塔机</w:t>
      </w:r>
      <w:r>
        <w:rPr>
          <w:rFonts w:hint="eastAsia" w:ascii="宋体" w:hAnsi="宋体" w:eastAsia="宋体" w:cs="宋体"/>
          <w:color w:val="auto"/>
          <w:sz w:val="24"/>
          <w:szCs w:val="24"/>
          <w:highlight w:val="none"/>
        </w:rPr>
        <w:t>基础合格证明</w:t>
      </w:r>
      <w:r>
        <w:rPr>
          <w:rFonts w:hint="eastAsia" w:cs="宋体"/>
          <w:color w:val="auto"/>
          <w:sz w:val="24"/>
          <w:szCs w:val="24"/>
          <w:highlight w:val="none"/>
          <w:lang w:eastAsia="zh-CN"/>
        </w:rPr>
        <w:t>。</w:t>
      </w:r>
    </w:p>
    <w:p w14:paraId="64B19AB3">
      <w:pPr>
        <w:pStyle w:val="78"/>
        <w:numPr>
          <w:ilvl w:val="0"/>
          <w:numId w:val="3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安装场地选择：场地选择要求平整开阔，地基牢实，四周无影响施工的障碍物，平台场地能供</w:t>
      </w:r>
      <w:r>
        <w:rPr>
          <w:rFonts w:hint="eastAsia" w:ascii="宋体" w:hAnsi="宋体" w:eastAsia="宋体" w:cs="宋体"/>
          <w:color w:val="auto"/>
          <w:sz w:val="24"/>
          <w:szCs w:val="24"/>
          <w:lang w:val="en-US" w:eastAsia="zh-CN"/>
        </w:rPr>
        <w:t>塔</w:t>
      </w:r>
      <w:r>
        <w:rPr>
          <w:rFonts w:hint="eastAsia" w:ascii="宋体" w:hAnsi="宋体" w:eastAsia="宋体" w:cs="宋体"/>
          <w:color w:val="auto"/>
          <w:sz w:val="24"/>
          <w:szCs w:val="24"/>
        </w:rPr>
        <w:t>机安装设备顺利进出。</w:t>
      </w:r>
    </w:p>
    <w:p w14:paraId="328BC887">
      <w:pPr>
        <w:pStyle w:val="78"/>
        <w:numPr>
          <w:ilvl w:val="0"/>
          <w:numId w:val="33"/>
        </w:numPr>
        <w:spacing w:beforeAutospacing="0" w:afterAutospacing="0" w:line="240" w:lineRule="auto"/>
        <w:ind w:left="-60" w:leftChars="0" w:firstLine="480" w:firstLineChars="0"/>
        <w:rPr>
          <w:color w:val="auto"/>
          <w:sz w:val="24"/>
          <w:szCs w:val="24"/>
          <w:highlight w:val="none"/>
        </w:rPr>
      </w:pPr>
      <w:r>
        <w:rPr>
          <w:rFonts w:hint="eastAsia"/>
          <w:color w:val="auto"/>
          <w:sz w:val="24"/>
          <w:szCs w:val="24"/>
          <w:highlight w:val="none"/>
        </w:rPr>
        <w:t>设备</w:t>
      </w:r>
      <w:r>
        <w:rPr>
          <w:color w:val="auto"/>
          <w:sz w:val="24"/>
          <w:szCs w:val="24"/>
          <w:highlight w:val="none"/>
        </w:rPr>
        <w:t>安装所需</w:t>
      </w:r>
      <w:r>
        <w:rPr>
          <w:rFonts w:hint="eastAsia"/>
          <w:color w:val="auto"/>
          <w:sz w:val="24"/>
          <w:szCs w:val="24"/>
          <w:highlight w:val="none"/>
          <w:lang w:val="en-US" w:eastAsia="zh-CN"/>
        </w:rPr>
        <w:t>辅助设备</w:t>
      </w:r>
      <w:r>
        <w:rPr>
          <w:rFonts w:hint="eastAsia"/>
          <w:color w:val="auto"/>
          <w:sz w:val="24"/>
          <w:szCs w:val="24"/>
          <w:highlight w:val="none"/>
        </w:rPr>
        <w:t>及</w:t>
      </w:r>
      <w:r>
        <w:rPr>
          <w:color w:val="auto"/>
          <w:sz w:val="24"/>
          <w:szCs w:val="24"/>
          <w:highlight w:val="none"/>
        </w:rPr>
        <w:t>作业机具、仪器仪表等需准备充分</w:t>
      </w:r>
      <w:r>
        <w:rPr>
          <w:rFonts w:hint="eastAsia"/>
          <w:color w:val="auto"/>
          <w:sz w:val="24"/>
          <w:szCs w:val="24"/>
          <w:highlight w:val="none"/>
        </w:rPr>
        <w:t>，报验完毕；</w:t>
      </w:r>
    </w:p>
    <w:p w14:paraId="086120F8">
      <w:pPr>
        <w:pStyle w:val="78"/>
        <w:numPr>
          <w:ilvl w:val="0"/>
          <w:numId w:val="33"/>
        </w:numPr>
        <w:spacing w:beforeAutospacing="0" w:afterAutospacing="0" w:line="240" w:lineRule="auto"/>
        <w:ind w:left="-60" w:leftChars="0" w:firstLine="480" w:firstLineChars="0"/>
        <w:rPr>
          <w:color w:val="auto"/>
          <w:sz w:val="24"/>
          <w:szCs w:val="24"/>
        </w:rPr>
      </w:pPr>
      <w:r>
        <w:rPr>
          <w:rFonts w:hint="eastAsia"/>
          <w:color w:val="auto"/>
          <w:sz w:val="24"/>
          <w:szCs w:val="24"/>
        </w:rPr>
        <w:t>完成了吊装作业演练，统一明确指挥口令、用语，并</w:t>
      </w:r>
      <w:r>
        <w:rPr>
          <w:rFonts w:hint="eastAsia" w:ascii="宋体" w:hAnsi="宋体" w:eastAsia="宋体" w:cs="宋体"/>
          <w:color w:val="auto"/>
          <w:sz w:val="24"/>
          <w:szCs w:val="24"/>
        </w:rPr>
        <w:t>按《</w:t>
      </w:r>
      <w:r>
        <w:rPr>
          <w:rFonts w:hint="eastAsia" w:ascii="宋体" w:hAnsi="宋体" w:eastAsia="宋体" w:cs="宋体"/>
          <w:color w:val="auto"/>
          <w:sz w:val="24"/>
          <w:szCs w:val="24"/>
          <w:lang w:val="en-US" w:eastAsia="zh-CN"/>
        </w:rPr>
        <w:t>大型/特种设备</w:t>
      </w:r>
      <w:r>
        <w:rPr>
          <w:rFonts w:hint="eastAsia" w:ascii="宋体" w:hAnsi="宋体" w:eastAsia="宋体" w:cs="宋体"/>
          <w:color w:val="auto"/>
          <w:sz w:val="24"/>
          <w:szCs w:val="24"/>
        </w:rPr>
        <w:t>安装</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拆除施工作业</w:t>
      </w:r>
      <w:r>
        <w:rPr>
          <w:rFonts w:hint="eastAsia" w:ascii="宋体" w:hAnsi="宋体" w:eastAsia="宋体" w:cs="宋体"/>
          <w:color w:val="auto"/>
          <w:sz w:val="24"/>
          <w:szCs w:val="24"/>
          <w:lang w:val="en-US" w:eastAsia="zh-CN"/>
        </w:rPr>
        <w:t>批复</w:t>
      </w:r>
      <w:r>
        <w:rPr>
          <w:rFonts w:hint="eastAsia" w:ascii="宋体" w:hAnsi="宋体" w:eastAsia="宋体" w:cs="宋体"/>
          <w:color w:val="auto"/>
          <w:sz w:val="24"/>
          <w:szCs w:val="24"/>
          <w:lang w:eastAsia="zh-CN"/>
        </w:rPr>
        <w:t>表</w:t>
      </w:r>
      <w:r>
        <w:rPr>
          <w:rFonts w:hint="eastAsia" w:ascii="宋体" w:hAnsi="宋体" w:eastAsia="宋体" w:cs="宋体"/>
          <w:color w:val="auto"/>
          <w:sz w:val="24"/>
          <w:szCs w:val="24"/>
        </w:rPr>
        <w:t>》要求</w:t>
      </w:r>
      <w:r>
        <w:rPr>
          <w:rFonts w:hint="eastAsia"/>
          <w:color w:val="auto"/>
          <w:sz w:val="24"/>
          <w:szCs w:val="24"/>
        </w:rPr>
        <w:t>办理作业许可证，完善相关资料。</w:t>
      </w:r>
    </w:p>
    <w:p w14:paraId="2D39A178">
      <w:pPr>
        <w:pStyle w:val="78"/>
        <w:numPr>
          <w:ilvl w:val="0"/>
          <w:numId w:val="3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对安装现场进行清理，将现场的建筑材料、泥土、废料废物等杂物清扫干净。同时拉起安全警戒线，闲杂人员在安装</w:t>
      </w:r>
      <w:r>
        <w:rPr>
          <w:rFonts w:hint="eastAsia" w:ascii="宋体" w:hAnsi="宋体" w:eastAsia="宋体" w:cs="宋体"/>
          <w:color w:val="auto"/>
          <w:kern w:val="0"/>
          <w:sz w:val="24"/>
          <w:szCs w:val="24"/>
        </w:rPr>
        <w:t>范围一律不准通行，同时设置安全专职人员负责值班警戒。</w:t>
      </w:r>
    </w:p>
    <w:p w14:paraId="6BCBE431">
      <w:pPr>
        <w:pStyle w:val="78"/>
        <w:numPr>
          <w:ilvl w:val="0"/>
          <w:numId w:val="3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备好施工机具、工具和安全防护用品。做到吊装前后检查、每班前检查，严格执行相关标准，对存在安全隐患的工索具应禁止使用，达到报废条件的，应立即报废并销毁，禁止再次使用。</w:t>
      </w:r>
    </w:p>
    <w:p w14:paraId="5BA6A7DF">
      <w:pPr>
        <w:pStyle w:val="78"/>
        <w:numPr>
          <w:ilvl w:val="0"/>
          <w:numId w:val="0"/>
        </w:numPr>
        <w:spacing w:beforeAutospacing="0" w:afterAutospacing="0" w:line="240" w:lineRule="auto"/>
        <w:ind w:firstLine="480" w:firstLineChars="200"/>
        <w:outlineLvl w:val="9"/>
        <w:rPr>
          <w:color w:val="auto"/>
          <w:sz w:val="24"/>
          <w:szCs w:val="24"/>
        </w:rPr>
      </w:pPr>
      <w:r>
        <w:rPr>
          <w:rFonts w:hint="eastAsia"/>
          <w:color w:val="auto"/>
          <w:sz w:val="24"/>
          <w:szCs w:val="24"/>
          <w:lang w:val="en-US" w:eastAsia="zh-CN"/>
        </w:rPr>
        <w:t>3)</w:t>
      </w:r>
      <w:r>
        <w:rPr>
          <w:rFonts w:hint="eastAsia"/>
          <w:color w:val="auto"/>
          <w:sz w:val="24"/>
          <w:szCs w:val="24"/>
        </w:rPr>
        <w:t>作业环境要求</w:t>
      </w:r>
    </w:p>
    <w:p w14:paraId="1580E849">
      <w:pPr>
        <w:pStyle w:val="78"/>
        <w:numPr>
          <w:ilvl w:val="0"/>
          <w:numId w:val="35"/>
        </w:numPr>
        <w:spacing w:beforeAutospacing="0" w:afterAutospacing="0" w:line="240" w:lineRule="auto"/>
        <w:ind w:left="-60" w:leftChars="0" w:firstLine="480" w:firstLineChars="0"/>
        <w:rPr>
          <w:color w:val="auto"/>
          <w:sz w:val="24"/>
          <w:szCs w:val="24"/>
        </w:rPr>
      </w:pPr>
      <w:r>
        <w:rPr>
          <w:rFonts w:hint="eastAsia"/>
          <w:color w:val="auto"/>
          <w:sz w:val="24"/>
          <w:szCs w:val="24"/>
        </w:rPr>
        <w:t>吊装施工区域设立警戒线并设专人监护，与施工无关人员禁止进入；</w:t>
      </w:r>
    </w:p>
    <w:p w14:paraId="507EE661">
      <w:pPr>
        <w:pStyle w:val="78"/>
        <w:numPr>
          <w:ilvl w:val="0"/>
          <w:numId w:val="35"/>
        </w:numPr>
        <w:spacing w:beforeAutospacing="0" w:afterAutospacing="0" w:line="240" w:lineRule="auto"/>
        <w:ind w:left="-60" w:leftChars="0" w:firstLine="480" w:firstLineChars="0"/>
        <w:rPr>
          <w:color w:val="auto"/>
          <w:sz w:val="24"/>
          <w:szCs w:val="24"/>
        </w:rPr>
      </w:pPr>
      <w:r>
        <w:rPr>
          <w:rFonts w:hint="eastAsia"/>
          <w:color w:val="auto"/>
          <w:sz w:val="24"/>
          <w:szCs w:val="24"/>
        </w:rPr>
        <w:t>汽车式起重机工作区域平整、坚实、无障碍物；</w:t>
      </w:r>
    </w:p>
    <w:p w14:paraId="48D35787">
      <w:pPr>
        <w:pStyle w:val="78"/>
        <w:numPr>
          <w:ilvl w:val="0"/>
          <w:numId w:val="35"/>
        </w:numPr>
        <w:spacing w:beforeAutospacing="0" w:afterAutospacing="0" w:line="240" w:lineRule="auto"/>
        <w:ind w:left="-60" w:leftChars="0" w:firstLine="480" w:firstLineChars="0"/>
        <w:rPr>
          <w:color w:val="auto"/>
          <w:sz w:val="24"/>
          <w:szCs w:val="24"/>
        </w:rPr>
      </w:pPr>
      <w:r>
        <w:rPr>
          <w:rFonts w:hint="eastAsia"/>
          <w:color w:val="auto"/>
          <w:sz w:val="24"/>
          <w:szCs w:val="24"/>
        </w:rPr>
        <w:t>提供电源，保障施工时塔式起重机能正常调试运转；</w:t>
      </w:r>
    </w:p>
    <w:p w14:paraId="7D0E1F77">
      <w:pPr>
        <w:pStyle w:val="78"/>
        <w:numPr>
          <w:ilvl w:val="0"/>
          <w:numId w:val="35"/>
        </w:numPr>
        <w:spacing w:beforeAutospacing="0" w:afterAutospacing="0" w:line="240" w:lineRule="auto"/>
        <w:ind w:left="-60" w:leftChars="0" w:firstLine="480" w:firstLineChars="0"/>
        <w:rPr>
          <w:color w:val="auto"/>
          <w:sz w:val="24"/>
          <w:szCs w:val="24"/>
        </w:rPr>
      </w:pPr>
      <w:r>
        <w:rPr>
          <w:rFonts w:hint="eastAsia"/>
          <w:color w:val="auto"/>
          <w:sz w:val="24"/>
          <w:szCs w:val="24"/>
        </w:rPr>
        <w:t>塔式起重机安装所需</w:t>
      </w:r>
      <w:r>
        <w:rPr>
          <w:rFonts w:hint="eastAsia"/>
          <w:color w:val="auto"/>
          <w:sz w:val="24"/>
          <w:szCs w:val="24"/>
          <w:lang w:eastAsia="zh-CN"/>
        </w:rPr>
        <w:t>基础</w:t>
      </w:r>
      <w:r>
        <w:rPr>
          <w:rFonts w:hint="eastAsia"/>
          <w:color w:val="auto"/>
          <w:sz w:val="24"/>
          <w:szCs w:val="24"/>
        </w:rPr>
        <w:t>施工完毕，验收合格</w:t>
      </w:r>
      <w:r>
        <w:rPr>
          <w:rFonts w:hint="eastAsia"/>
          <w:color w:val="auto"/>
          <w:sz w:val="24"/>
          <w:szCs w:val="24"/>
          <w:lang w:eastAsia="zh-CN"/>
        </w:rPr>
        <w:t>强度符合要求</w:t>
      </w:r>
      <w:r>
        <w:rPr>
          <w:rFonts w:hint="eastAsia"/>
          <w:color w:val="auto"/>
          <w:sz w:val="24"/>
          <w:szCs w:val="24"/>
        </w:rPr>
        <w:t>并且</w:t>
      </w:r>
      <w:r>
        <w:rPr>
          <w:rFonts w:hint="eastAsia"/>
          <w:color w:val="auto"/>
          <w:sz w:val="24"/>
          <w:szCs w:val="24"/>
          <w:lang w:eastAsia="zh-CN"/>
        </w:rPr>
        <w:t>基础</w:t>
      </w:r>
      <w:r>
        <w:rPr>
          <w:rFonts w:hint="eastAsia"/>
          <w:color w:val="auto"/>
          <w:sz w:val="24"/>
          <w:szCs w:val="24"/>
        </w:rPr>
        <w:t>满足</w:t>
      </w:r>
      <w:r>
        <w:rPr>
          <w:rFonts w:hint="eastAsia"/>
          <w:color w:val="auto"/>
          <w:sz w:val="24"/>
          <w:szCs w:val="24"/>
          <w:lang w:eastAsia="zh-CN"/>
        </w:rPr>
        <w:t>塔机安</w:t>
      </w:r>
      <w:r>
        <w:rPr>
          <w:rFonts w:hint="eastAsia"/>
          <w:color w:val="auto"/>
          <w:sz w:val="24"/>
          <w:szCs w:val="24"/>
        </w:rPr>
        <w:t>装要求；</w:t>
      </w:r>
    </w:p>
    <w:p w14:paraId="5C7D1119">
      <w:pPr>
        <w:pStyle w:val="78"/>
        <w:numPr>
          <w:ilvl w:val="0"/>
          <w:numId w:val="35"/>
        </w:numPr>
        <w:spacing w:beforeAutospacing="0" w:afterAutospacing="0" w:line="240" w:lineRule="auto"/>
        <w:ind w:left="-60" w:leftChars="0" w:firstLine="480" w:firstLineChars="0"/>
        <w:rPr>
          <w:color w:val="auto"/>
          <w:sz w:val="24"/>
          <w:szCs w:val="24"/>
        </w:rPr>
      </w:pPr>
      <w:r>
        <w:rPr>
          <w:rFonts w:hint="eastAsia"/>
          <w:color w:val="auto"/>
          <w:sz w:val="24"/>
          <w:szCs w:val="24"/>
        </w:rPr>
        <w:t>保证塔式起重机安装作业空间充足、道路畅通，材料堆放区须进行临时清空和场地平整；</w:t>
      </w:r>
    </w:p>
    <w:p w14:paraId="268151D0">
      <w:pPr>
        <w:pStyle w:val="78"/>
        <w:numPr>
          <w:ilvl w:val="0"/>
          <w:numId w:val="0"/>
        </w:numPr>
        <w:spacing w:beforeAutospacing="0" w:afterAutospacing="0" w:line="240" w:lineRule="auto"/>
        <w:ind w:firstLine="480" w:firstLineChars="200"/>
        <w:outlineLvl w:val="9"/>
        <w:rPr>
          <w:rFonts w:hint="eastAsia"/>
          <w:color w:val="auto"/>
        </w:rPr>
      </w:pPr>
      <w:r>
        <w:rPr>
          <w:rFonts w:hint="eastAsia"/>
          <w:color w:val="auto"/>
          <w:lang w:val="en-US" w:eastAsia="zh-CN"/>
        </w:rPr>
        <w:t>4</w:t>
      </w:r>
      <w:r>
        <w:rPr>
          <w:rFonts w:hint="eastAsia"/>
          <w:color w:val="auto"/>
          <w:lang w:eastAsia="zh-CN"/>
        </w:rPr>
        <w:t>）</w:t>
      </w:r>
      <w:r>
        <w:rPr>
          <w:rFonts w:hint="eastAsia"/>
          <w:color w:val="auto"/>
        </w:rPr>
        <w:t>电源设置</w:t>
      </w:r>
    </w:p>
    <w:p w14:paraId="589239C3">
      <w:pPr>
        <w:pStyle w:val="78"/>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420" w:leftChars="0" w:firstLine="480" w:firstLineChars="200"/>
        <w:textAlignment w:val="auto"/>
        <w:rPr>
          <w:rFonts w:hint="eastAsia"/>
        </w:rPr>
      </w:pPr>
      <w:r>
        <w:rPr>
          <w:rFonts w:hint="eastAsia"/>
          <w:color w:val="auto"/>
          <w:sz w:val="24"/>
          <w:szCs w:val="24"/>
          <w:lang w:eastAsia="zh-CN"/>
        </w:rPr>
        <w:t>本机采用</w:t>
      </w:r>
      <w:r>
        <w:rPr>
          <w:rFonts w:hint="eastAsia"/>
          <w:color w:val="auto"/>
          <w:sz w:val="24"/>
          <w:szCs w:val="24"/>
          <w:lang w:val="en-US" w:eastAsia="zh-CN"/>
        </w:rPr>
        <w:t>380</w:t>
      </w:r>
      <w:r>
        <w:rPr>
          <w:rFonts w:hint="default"/>
          <w:color w:val="auto"/>
          <w:sz w:val="24"/>
          <w:szCs w:val="24"/>
          <w:lang w:val="en-US" w:eastAsia="zh-CN"/>
        </w:rPr>
        <w:t>V,</w:t>
      </w:r>
      <w:r>
        <w:rPr>
          <w:rFonts w:hint="eastAsia"/>
          <w:color w:val="auto"/>
          <w:sz w:val="24"/>
          <w:szCs w:val="24"/>
          <w:lang w:val="en-US" w:eastAsia="zh-CN"/>
        </w:rPr>
        <w:t>三相五线制供电，电压变化范围不超过额定值的（+5%—－10%）。塔机的电源从塔身中间经驾驶室至电控箱。全机共有3个电气箱，即；电气控制箱、电阻箱、接线端子箱，均放在塔机平衡臂上。司机室内设有一个总电源空气开关。全机总功率为</w:t>
      </w:r>
      <w:r>
        <w:rPr>
          <w:rFonts w:hint="default"/>
          <w:color w:val="auto"/>
          <w:sz w:val="24"/>
          <w:szCs w:val="24"/>
          <w:lang w:val="en-US" w:eastAsia="zh-CN"/>
        </w:rPr>
        <w:t>54kW(</w:t>
      </w:r>
      <w:r>
        <w:rPr>
          <w:rFonts w:hint="eastAsia"/>
          <w:color w:val="auto"/>
          <w:sz w:val="24"/>
          <w:szCs w:val="24"/>
          <w:lang w:val="en-US" w:eastAsia="zh-CN"/>
        </w:rPr>
        <w:t>不包含顶升机构）。</w:t>
      </w:r>
      <w:r>
        <w:rPr>
          <w:rFonts w:hint="eastAsia"/>
          <w:color w:val="auto"/>
          <w:sz w:val="24"/>
          <w:szCs w:val="24"/>
          <w:highlight w:val="none"/>
          <w:lang w:val="en-US" w:eastAsia="zh-CN"/>
        </w:rPr>
        <w:t>三</w:t>
      </w:r>
      <w:r>
        <w:rPr>
          <w:rFonts w:hint="eastAsia"/>
          <w:color w:val="auto"/>
          <w:sz w:val="24"/>
          <w:szCs w:val="24"/>
          <w:lang w:val="en-US" w:eastAsia="zh-CN"/>
        </w:rPr>
        <w:t>级配电箱距离塔身不超过3米的范围内。</w:t>
      </w:r>
      <w:bookmarkStart w:id="46" w:name="_Toc18767"/>
      <w:bookmarkEnd w:id="46"/>
      <w:bookmarkStart w:id="47" w:name="_Toc24938"/>
      <w:bookmarkEnd w:id="47"/>
      <w:bookmarkStart w:id="48" w:name="_Toc27612"/>
      <w:bookmarkEnd w:id="48"/>
      <w:bookmarkStart w:id="49" w:name="_Toc16449"/>
      <w:bookmarkEnd w:id="49"/>
      <w:bookmarkStart w:id="50" w:name="_Toc11002"/>
      <w:bookmarkEnd w:id="50"/>
      <w:bookmarkStart w:id="51" w:name="_Toc26943"/>
      <w:bookmarkEnd w:id="51"/>
      <w:bookmarkStart w:id="52" w:name="_Toc27109"/>
      <w:bookmarkEnd w:id="52"/>
      <w:bookmarkStart w:id="53" w:name="_Toc8235"/>
      <w:bookmarkEnd w:id="53"/>
    </w:p>
    <w:p w14:paraId="37947C5C">
      <w:pPr>
        <w:pStyle w:val="5"/>
        <w:rPr>
          <w:rFonts w:cs="Times New Roman"/>
          <w:highlight w:val="yellow"/>
        </w:rPr>
      </w:pPr>
      <w:bookmarkStart w:id="54" w:name="_Toc22767"/>
      <w:r>
        <w:rPr>
          <w:rFonts w:hint="eastAsia" w:cs="Times New Roman"/>
        </w:rPr>
        <w:t>8.</w:t>
      </w:r>
      <w:r>
        <w:rPr>
          <w:rFonts w:hint="eastAsia" w:cs="Times New Roman"/>
          <w:lang w:val="en-US" w:eastAsia="zh-CN"/>
        </w:rPr>
        <w:t>2</w:t>
      </w:r>
      <w:r>
        <w:rPr>
          <w:rFonts w:hint="eastAsia" w:cs="Times New Roman"/>
          <w:highlight w:val="none"/>
          <w:lang w:val="en-US" w:eastAsia="zh-CN"/>
        </w:rPr>
        <w:t>安拆</w:t>
      </w:r>
      <w:r>
        <w:rPr>
          <w:rFonts w:cs="Times New Roman"/>
          <w:highlight w:val="none"/>
        </w:rPr>
        <w:t>施工进度计划</w:t>
      </w:r>
      <w:bookmarkEnd w:id="54"/>
    </w:p>
    <w:tbl>
      <w:tblPr>
        <w:tblStyle w:val="30"/>
        <w:tblW w:w="4457"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085"/>
        <w:gridCol w:w="1323"/>
        <w:gridCol w:w="1067"/>
        <w:gridCol w:w="1066"/>
        <w:gridCol w:w="1057"/>
      </w:tblGrid>
      <w:tr w14:paraId="2C06F52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vMerge w:val="restart"/>
            <w:noWrap w:val="0"/>
            <w:vAlign w:val="top"/>
          </w:tcPr>
          <w:p w14:paraId="3BAB9B9D">
            <w:pPr>
              <w:pStyle w:val="71"/>
              <w:spacing w:before="48" w:after="48"/>
              <w:rPr>
                <w:rFonts w:hint="eastAsia"/>
                <w:color w:val="auto"/>
                <w:sz w:val="20"/>
                <w:szCs w:val="22"/>
                <w:highlight w:val="none"/>
              </w:rPr>
            </w:pPr>
            <w:r>
              <w:rPr>
                <w:rFonts w:hint="eastAsia"/>
                <w:color w:val="auto"/>
                <w:sz w:val="20"/>
                <w:szCs w:val="22"/>
                <w:highlight w:val="none"/>
              </w:rPr>
              <w:t xml:space="preserve"> 时间</w:t>
            </w:r>
          </w:p>
          <w:p w14:paraId="2D3BDDC5">
            <w:pPr>
              <w:pStyle w:val="71"/>
              <w:spacing w:before="48" w:after="48"/>
              <w:rPr>
                <w:rFonts w:hint="eastAsia"/>
                <w:color w:val="auto"/>
                <w:sz w:val="20"/>
                <w:szCs w:val="22"/>
                <w:highlight w:val="none"/>
              </w:rPr>
            </w:pPr>
            <w:r>
              <w:rPr>
                <w:rFonts w:hint="eastAsia"/>
                <w:color w:val="auto"/>
                <w:sz w:val="20"/>
                <w:szCs w:val="22"/>
                <w:highlight w:val="none"/>
              </w:rPr>
              <w:t>项目</w:t>
            </w:r>
          </w:p>
        </w:tc>
        <w:tc>
          <w:tcPr>
            <w:tcW w:w="2969" w:type="pct"/>
            <w:gridSpan w:val="4"/>
            <w:noWrap w:val="0"/>
            <w:vAlign w:val="center"/>
          </w:tcPr>
          <w:p w14:paraId="060BBB81">
            <w:pPr>
              <w:pStyle w:val="71"/>
              <w:spacing w:before="48" w:after="48"/>
              <w:rPr>
                <w:rFonts w:hint="eastAsia"/>
                <w:color w:val="auto"/>
                <w:sz w:val="20"/>
                <w:szCs w:val="22"/>
                <w:highlight w:val="none"/>
              </w:rPr>
            </w:pPr>
            <w:r>
              <w:rPr>
                <w:rFonts w:hint="eastAsia"/>
                <w:color w:val="auto"/>
                <w:sz w:val="20"/>
                <w:szCs w:val="22"/>
                <w:highlight w:val="none"/>
              </w:rPr>
              <w:t>施工时间</w:t>
            </w:r>
            <w:r>
              <w:rPr>
                <w:rFonts w:hint="eastAsia"/>
                <w:color w:val="auto"/>
                <w:sz w:val="20"/>
                <w:szCs w:val="22"/>
                <w:highlight w:val="none"/>
                <w:lang w:eastAsia="zh-CN"/>
              </w:rPr>
              <w:t>（</w:t>
            </w:r>
            <w:r>
              <w:rPr>
                <w:rFonts w:hint="eastAsia"/>
                <w:color w:val="auto"/>
                <w:sz w:val="20"/>
                <w:szCs w:val="22"/>
                <w:highlight w:val="none"/>
                <w:lang w:val="en-US" w:eastAsia="zh-CN"/>
              </w:rPr>
              <w:t>天</w:t>
            </w:r>
            <w:r>
              <w:rPr>
                <w:rFonts w:hint="eastAsia"/>
                <w:color w:val="auto"/>
                <w:sz w:val="20"/>
                <w:szCs w:val="22"/>
                <w:highlight w:val="none"/>
                <w:lang w:eastAsia="zh-CN"/>
              </w:rPr>
              <w:t>）</w:t>
            </w:r>
          </w:p>
        </w:tc>
      </w:tr>
      <w:tr w14:paraId="5E07777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2030" w:type="pct"/>
            <w:vMerge w:val="continue"/>
            <w:noWrap w:val="0"/>
            <w:vAlign w:val="top"/>
          </w:tcPr>
          <w:p w14:paraId="229605DE">
            <w:pPr>
              <w:pStyle w:val="71"/>
              <w:spacing w:before="48" w:after="48"/>
              <w:rPr>
                <w:rFonts w:hint="eastAsia"/>
                <w:color w:val="auto"/>
                <w:sz w:val="20"/>
                <w:szCs w:val="22"/>
                <w:highlight w:val="none"/>
              </w:rPr>
            </w:pPr>
          </w:p>
        </w:tc>
        <w:tc>
          <w:tcPr>
            <w:tcW w:w="870" w:type="pct"/>
            <w:noWrap w:val="0"/>
            <w:vAlign w:val="center"/>
          </w:tcPr>
          <w:p w14:paraId="20FC864F">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1</w:t>
            </w:r>
          </w:p>
        </w:tc>
        <w:tc>
          <w:tcPr>
            <w:tcW w:w="702" w:type="pct"/>
            <w:noWrap w:val="0"/>
            <w:vAlign w:val="center"/>
          </w:tcPr>
          <w:p w14:paraId="27511B85">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2</w:t>
            </w:r>
          </w:p>
        </w:tc>
        <w:tc>
          <w:tcPr>
            <w:tcW w:w="701" w:type="pct"/>
            <w:noWrap w:val="0"/>
            <w:vAlign w:val="center"/>
          </w:tcPr>
          <w:p w14:paraId="37DD5D44">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3</w:t>
            </w:r>
          </w:p>
        </w:tc>
        <w:tc>
          <w:tcPr>
            <w:tcW w:w="695" w:type="pct"/>
            <w:noWrap w:val="0"/>
            <w:vAlign w:val="center"/>
          </w:tcPr>
          <w:p w14:paraId="4349139C">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4</w:t>
            </w:r>
          </w:p>
        </w:tc>
      </w:tr>
      <w:tr w14:paraId="242CD88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30" w:type="pct"/>
            <w:noWrap w:val="0"/>
            <w:vAlign w:val="center"/>
          </w:tcPr>
          <w:p w14:paraId="1CFC18F9">
            <w:pPr>
              <w:pStyle w:val="71"/>
              <w:spacing w:before="48" w:after="48"/>
              <w:rPr>
                <w:rFonts w:hint="default" w:eastAsiaTheme="minorEastAsia"/>
                <w:color w:val="auto"/>
                <w:sz w:val="20"/>
                <w:szCs w:val="22"/>
                <w:highlight w:val="none"/>
                <w:lang w:val="en-US" w:eastAsia="zh-CN"/>
              </w:rPr>
            </w:pPr>
            <w:r>
              <w:rPr>
                <w:rFonts w:hint="eastAsia"/>
                <w:color w:val="auto"/>
                <w:sz w:val="20"/>
                <w:szCs w:val="22"/>
                <w:highlight w:val="none"/>
                <w:lang w:val="en-US" w:eastAsia="zh-CN"/>
              </w:rPr>
              <w:t>塔机基础验收</w:t>
            </w:r>
          </w:p>
        </w:tc>
        <w:tc>
          <w:tcPr>
            <w:tcW w:w="870" w:type="pct"/>
            <w:noWrap w:val="0"/>
            <w:vAlign w:val="center"/>
          </w:tcPr>
          <w:p w14:paraId="7791E628">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2" w:type="pct"/>
            <w:noWrap w:val="0"/>
            <w:vAlign w:val="center"/>
          </w:tcPr>
          <w:p w14:paraId="77192166">
            <w:pPr>
              <w:pStyle w:val="71"/>
              <w:spacing w:before="48" w:after="48"/>
              <w:rPr>
                <w:rFonts w:hint="eastAsia"/>
                <w:color w:val="auto"/>
                <w:sz w:val="20"/>
                <w:szCs w:val="22"/>
                <w:highlight w:val="none"/>
                <w:lang w:val="en-US" w:eastAsia="zh-CN"/>
              </w:rPr>
            </w:pPr>
          </w:p>
        </w:tc>
        <w:tc>
          <w:tcPr>
            <w:tcW w:w="701" w:type="pct"/>
            <w:noWrap w:val="0"/>
            <w:vAlign w:val="center"/>
          </w:tcPr>
          <w:p w14:paraId="64B6DFE9">
            <w:pPr>
              <w:pStyle w:val="71"/>
              <w:spacing w:before="48" w:after="48"/>
              <w:rPr>
                <w:rFonts w:hint="eastAsia"/>
                <w:color w:val="auto"/>
                <w:sz w:val="20"/>
                <w:szCs w:val="22"/>
                <w:highlight w:val="none"/>
                <w:lang w:val="en-US" w:eastAsia="zh-CN"/>
              </w:rPr>
            </w:pPr>
          </w:p>
        </w:tc>
        <w:tc>
          <w:tcPr>
            <w:tcW w:w="695" w:type="pct"/>
            <w:noWrap w:val="0"/>
            <w:vAlign w:val="center"/>
          </w:tcPr>
          <w:p w14:paraId="6850D8FF">
            <w:pPr>
              <w:pStyle w:val="71"/>
              <w:spacing w:before="48" w:after="48"/>
              <w:rPr>
                <w:rFonts w:hint="eastAsia"/>
                <w:color w:val="auto"/>
                <w:sz w:val="20"/>
                <w:szCs w:val="22"/>
                <w:highlight w:val="none"/>
                <w:lang w:val="en-US" w:eastAsia="zh-CN"/>
              </w:rPr>
            </w:pPr>
          </w:p>
        </w:tc>
      </w:tr>
      <w:tr w14:paraId="2CA7AEB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73" w:hRule="atLeast"/>
          <w:jc w:val="center"/>
        </w:trPr>
        <w:tc>
          <w:tcPr>
            <w:tcW w:w="2030" w:type="pct"/>
            <w:noWrap w:val="0"/>
            <w:vAlign w:val="center"/>
          </w:tcPr>
          <w:p w14:paraId="247F9145">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基础节</w:t>
            </w:r>
          </w:p>
        </w:tc>
        <w:tc>
          <w:tcPr>
            <w:tcW w:w="870" w:type="pct"/>
            <w:noWrap w:val="0"/>
            <w:vAlign w:val="center"/>
          </w:tcPr>
          <w:p w14:paraId="0FCFCF37">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2" w:type="pct"/>
            <w:shd w:val="clear" w:color="auto" w:fill="auto"/>
            <w:noWrap w:val="0"/>
            <w:vAlign w:val="center"/>
          </w:tcPr>
          <w:p w14:paraId="523B483C">
            <w:pPr>
              <w:pStyle w:val="71"/>
              <w:spacing w:before="48" w:after="48"/>
              <w:rPr>
                <w:rFonts w:hint="eastAsia"/>
                <w:color w:val="auto"/>
                <w:sz w:val="20"/>
                <w:szCs w:val="22"/>
                <w:highlight w:val="none"/>
                <w:lang w:val="en-US" w:eastAsia="zh-CN"/>
              </w:rPr>
            </w:pPr>
          </w:p>
        </w:tc>
        <w:tc>
          <w:tcPr>
            <w:tcW w:w="701" w:type="pct"/>
            <w:shd w:val="clear" w:color="auto" w:fill="auto"/>
            <w:noWrap w:val="0"/>
            <w:vAlign w:val="center"/>
          </w:tcPr>
          <w:p w14:paraId="6A11FAEE">
            <w:pPr>
              <w:pStyle w:val="71"/>
              <w:spacing w:before="48" w:after="48"/>
              <w:rPr>
                <w:rFonts w:hint="eastAsia"/>
                <w:color w:val="auto"/>
                <w:sz w:val="20"/>
                <w:szCs w:val="22"/>
                <w:highlight w:val="none"/>
                <w:lang w:val="en-US" w:eastAsia="zh-CN"/>
              </w:rPr>
            </w:pPr>
          </w:p>
        </w:tc>
        <w:tc>
          <w:tcPr>
            <w:tcW w:w="695" w:type="pct"/>
            <w:shd w:val="clear" w:color="auto" w:fill="auto"/>
            <w:noWrap w:val="0"/>
            <w:vAlign w:val="center"/>
          </w:tcPr>
          <w:p w14:paraId="0E746FA2">
            <w:pPr>
              <w:pStyle w:val="71"/>
              <w:spacing w:before="48" w:after="48"/>
              <w:rPr>
                <w:rFonts w:hint="eastAsia"/>
                <w:color w:val="auto"/>
                <w:sz w:val="20"/>
                <w:szCs w:val="22"/>
                <w:highlight w:val="none"/>
                <w:lang w:val="en-US" w:eastAsia="zh-CN"/>
              </w:rPr>
            </w:pPr>
          </w:p>
        </w:tc>
      </w:tr>
      <w:tr w14:paraId="6C16EB5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0C2E7941">
            <w:pPr>
              <w:pStyle w:val="71"/>
              <w:spacing w:before="48" w:after="48"/>
              <w:rPr>
                <w:rFonts w:hint="eastAsia"/>
                <w:color w:val="auto"/>
                <w:sz w:val="20"/>
                <w:szCs w:val="22"/>
                <w:highlight w:val="none"/>
              </w:rPr>
            </w:pPr>
            <w:r>
              <w:rPr>
                <w:rFonts w:hint="eastAsia"/>
                <w:color w:val="auto"/>
                <w:sz w:val="20"/>
                <w:szCs w:val="22"/>
                <w:highlight w:val="none"/>
                <w:lang w:val="en-US" w:eastAsia="zh-CN"/>
              </w:rPr>
              <w:t>标准节</w:t>
            </w:r>
          </w:p>
        </w:tc>
        <w:tc>
          <w:tcPr>
            <w:tcW w:w="870" w:type="pct"/>
            <w:shd w:val="clear" w:color="auto" w:fill="auto"/>
            <w:noWrap w:val="0"/>
            <w:vAlign w:val="top"/>
          </w:tcPr>
          <w:p w14:paraId="1B2854FE">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2" w:type="pct"/>
            <w:shd w:val="clear" w:color="auto" w:fill="auto"/>
            <w:noWrap w:val="0"/>
            <w:vAlign w:val="top"/>
          </w:tcPr>
          <w:p w14:paraId="5FCFF7E5">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1AEEF0ED">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6BC3EA43">
            <w:pPr>
              <w:pStyle w:val="71"/>
              <w:spacing w:before="48" w:after="48"/>
              <w:rPr>
                <w:rFonts w:hint="eastAsia"/>
                <w:color w:val="auto"/>
                <w:sz w:val="20"/>
                <w:szCs w:val="22"/>
                <w:highlight w:val="none"/>
                <w:lang w:val="en-US" w:eastAsia="zh-CN"/>
              </w:rPr>
            </w:pPr>
          </w:p>
        </w:tc>
      </w:tr>
      <w:tr w14:paraId="3D738CF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0325CDF7">
            <w:pPr>
              <w:pStyle w:val="71"/>
              <w:spacing w:before="48" w:after="48"/>
              <w:rPr>
                <w:rFonts w:hint="eastAsia" w:eastAsiaTheme="minorEastAsia"/>
                <w:color w:val="auto"/>
                <w:sz w:val="20"/>
                <w:szCs w:val="22"/>
                <w:highlight w:val="none"/>
                <w:lang w:val="en-US" w:eastAsia="zh-CN"/>
              </w:rPr>
            </w:pPr>
            <w:r>
              <w:rPr>
                <w:rFonts w:hint="eastAsia"/>
                <w:color w:val="auto"/>
                <w:sz w:val="20"/>
                <w:szCs w:val="22"/>
                <w:highlight w:val="none"/>
                <w:lang w:val="en-US" w:eastAsia="zh-CN"/>
              </w:rPr>
              <w:t>爬升架</w:t>
            </w:r>
          </w:p>
        </w:tc>
        <w:tc>
          <w:tcPr>
            <w:tcW w:w="870" w:type="pct"/>
            <w:shd w:val="clear" w:color="auto" w:fill="auto"/>
            <w:noWrap w:val="0"/>
            <w:vAlign w:val="top"/>
          </w:tcPr>
          <w:p w14:paraId="7F4F2F80">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4E7194FF">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top"/>
          </w:tcPr>
          <w:p w14:paraId="6C40DDE6">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6A0ED1B5">
            <w:pPr>
              <w:pStyle w:val="71"/>
              <w:spacing w:before="48" w:after="48"/>
              <w:rPr>
                <w:rFonts w:hint="eastAsia"/>
                <w:color w:val="auto"/>
                <w:sz w:val="20"/>
                <w:szCs w:val="22"/>
                <w:highlight w:val="none"/>
                <w:lang w:val="en-US" w:eastAsia="zh-CN"/>
              </w:rPr>
            </w:pPr>
          </w:p>
        </w:tc>
      </w:tr>
      <w:tr w14:paraId="2DD3984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14BDD3A7">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特殊节</w:t>
            </w:r>
          </w:p>
        </w:tc>
        <w:tc>
          <w:tcPr>
            <w:tcW w:w="870" w:type="pct"/>
            <w:shd w:val="clear" w:color="auto" w:fill="auto"/>
            <w:noWrap w:val="0"/>
            <w:vAlign w:val="top"/>
          </w:tcPr>
          <w:p w14:paraId="1134B58D">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46543537">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top"/>
          </w:tcPr>
          <w:p w14:paraId="4BEC7043">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26F0F05E">
            <w:pPr>
              <w:pStyle w:val="71"/>
              <w:spacing w:before="48" w:after="48"/>
              <w:rPr>
                <w:rFonts w:hint="eastAsia"/>
                <w:color w:val="auto"/>
                <w:sz w:val="20"/>
                <w:szCs w:val="22"/>
                <w:highlight w:val="none"/>
                <w:lang w:val="en-US" w:eastAsia="zh-CN"/>
              </w:rPr>
            </w:pPr>
          </w:p>
        </w:tc>
      </w:tr>
      <w:tr w14:paraId="24AFD3E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465FF57E">
            <w:pPr>
              <w:pStyle w:val="71"/>
              <w:spacing w:before="48" w:after="48"/>
              <w:rPr>
                <w:rFonts w:hint="eastAsia"/>
                <w:color w:val="auto"/>
                <w:sz w:val="20"/>
                <w:szCs w:val="22"/>
                <w:highlight w:val="none"/>
              </w:rPr>
            </w:pPr>
            <w:r>
              <w:rPr>
                <w:rFonts w:hint="eastAsia"/>
                <w:color w:val="auto"/>
                <w:sz w:val="20"/>
                <w:szCs w:val="22"/>
                <w:highlight w:val="none"/>
                <w:lang w:val="en-US" w:eastAsia="zh-CN"/>
              </w:rPr>
              <w:t>回转总成</w:t>
            </w:r>
          </w:p>
        </w:tc>
        <w:tc>
          <w:tcPr>
            <w:tcW w:w="870" w:type="pct"/>
            <w:shd w:val="clear" w:color="auto" w:fill="auto"/>
            <w:noWrap w:val="0"/>
            <w:vAlign w:val="top"/>
          </w:tcPr>
          <w:p w14:paraId="5E5A1F1B">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7860DE9A">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top"/>
          </w:tcPr>
          <w:p w14:paraId="66442C9B">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08DA1CF5">
            <w:pPr>
              <w:pStyle w:val="71"/>
              <w:spacing w:before="48" w:after="48"/>
              <w:rPr>
                <w:rFonts w:hint="eastAsia"/>
                <w:color w:val="auto"/>
                <w:sz w:val="20"/>
                <w:szCs w:val="22"/>
                <w:highlight w:val="none"/>
                <w:lang w:val="en-US" w:eastAsia="zh-CN"/>
              </w:rPr>
            </w:pPr>
          </w:p>
        </w:tc>
      </w:tr>
      <w:tr w14:paraId="488D2CD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2467C731">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起重臂根节</w:t>
            </w:r>
          </w:p>
        </w:tc>
        <w:tc>
          <w:tcPr>
            <w:tcW w:w="870" w:type="pct"/>
            <w:shd w:val="clear" w:color="auto" w:fill="auto"/>
            <w:noWrap w:val="0"/>
            <w:vAlign w:val="top"/>
          </w:tcPr>
          <w:p w14:paraId="54DB0A8B">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37C2CE20">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top"/>
          </w:tcPr>
          <w:p w14:paraId="6EAC6D2B">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0EFFC522">
            <w:pPr>
              <w:pStyle w:val="71"/>
              <w:spacing w:before="48" w:after="48"/>
              <w:rPr>
                <w:rFonts w:hint="eastAsia"/>
                <w:color w:val="auto"/>
                <w:sz w:val="20"/>
                <w:szCs w:val="22"/>
                <w:highlight w:val="none"/>
                <w:lang w:val="en-US" w:eastAsia="zh-CN"/>
              </w:rPr>
            </w:pPr>
          </w:p>
        </w:tc>
      </w:tr>
      <w:tr w14:paraId="24ECF44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3C6FAE57">
            <w:pPr>
              <w:pStyle w:val="71"/>
              <w:spacing w:before="48" w:after="48"/>
              <w:rPr>
                <w:rFonts w:hint="eastAsia"/>
                <w:color w:val="auto"/>
                <w:sz w:val="20"/>
                <w:szCs w:val="22"/>
                <w:highlight w:val="none"/>
              </w:rPr>
            </w:pPr>
            <w:r>
              <w:rPr>
                <w:rFonts w:hint="eastAsia"/>
                <w:color w:val="auto"/>
                <w:sz w:val="20"/>
                <w:szCs w:val="22"/>
                <w:highlight w:val="none"/>
                <w:lang w:val="en-US" w:eastAsia="zh-CN"/>
              </w:rPr>
              <w:t>平衡臂</w:t>
            </w:r>
          </w:p>
        </w:tc>
        <w:tc>
          <w:tcPr>
            <w:tcW w:w="870" w:type="pct"/>
            <w:shd w:val="clear" w:color="auto" w:fill="auto"/>
            <w:noWrap w:val="0"/>
            <w:vAlign w:val="top"/>
          </w:tcPr>
          <w:p w14:paraId="515A4EC7">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61BF63F7">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top"/>
          </w:tcPr>
          <w:p w14:paraId="5036DDA5">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65CA4642">
            <w:pPr>
              <w:pStyle w:val="71"/>
              <w:spacing w:before="48" w:after="48"/>
              <w:rPr>
                <w:rFonts w:hint="eastAsia"/>
                <w:color w:val="auto"/>
                <w:sz w:val="20"/>
                <w:szCs w:val="22"/>
                <w:highlight w:val="none"/>
                <w:lang w:val="en-US" w:eastAsia="zh-CN"/>
              </w:rPr>
            </w:pPr>
          </w:p>
        </w:tc>
      </w:tr>
      <w:tr w14:paraId="6D0ABCF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3441C34F">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一块平衡重</w:t>
            </w:r>
          </w:p>
        </w:tc>
        <w:tc>
          <w:tcPr>
            <w:tcW w:w="870" w:type="pct"/>
            <w:shd w:val="clear" w:color="auto" w:fill="auto"/>
            <w:noWrap w:val="0"/>
            <w:vAlign w:val="top"/>
          </w:tcPr>
          <w:p w14:paraId="32226CB4">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1B994C0C">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top"/>
          </w:tcPr>
          <w:p w14:paraId="39F03CD6">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3F346014">
            <w:pPr>
              <w:pStyle w:val="71"/>
              <w:spacing w:before="48" w:after="48"/>
              <w:rPr>
                <w:rFonts w:hint="eastAsia"/>
                <w:color w:val="auto"/>
                <w:sz w:val="20"/>
                <w:szCs w:val="22"/>
                <w:highlight w:val="none"/>
                <w:lang w:val="en-US" w:eastAsia="zh-CN"/>
              </w:rPr>
            </w:pPr>
          </w:p>
        </w:tc>
      </w:tr>
      <w:tr w14:paraId="696ACDD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5F547090">
            <w:pPr>
              <w:pStyle w:val="71"/>
              <w:spacing w:before="48" w:after="48"/>
              <w:rPr>
                <w:rFonts w:hint="eastAsia"/>
                <w:color w:val="auto"/>
                <w:sz w:val="20"/>
                <w:szCs w:val="22"/>
                <w:highlight w:val="none"/>
                <w:lang w:eastAsia="zh-CN"/>
              </w:rPr>
            </w:pPr>
            <w:r>
              <w:rPr>
                <w:rFonts w:hint="eastAsia"/>
                <w:color w:val="auto"/>
                <w:sz w:val="20"/>
                <w:szCs w:val="22"/>
                <w:highlight w:val="none"/>
                <w:lang w:val="en-US" w:eastAsia="zh-CN"/>
              </w:rPr>
              <w:t>起重臂节2</w:t>
            </w:r>
          </w:p>
        </w:tc>
        <w:tc>
          <w:tcPr>
            <w:tcW w:w="870" w:type="pct"/>
            <w:shd w:val="clear" w:color="auto" w:fill="auto"/>
            <w:noWrap w:val="0"/>
            <w:vAlign w:val="top"/>
          </w:tcPr>
          <w:p w14:paraId="31EA55D9">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4330E020">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233B7740">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0873B5C9">
            <w:pPr>
              <w:pStyle w:val="71"/>
              <w:spacing w:before="48" w:after="48"/>
              <w:rPr>
                <w:rFonts w:hint="eastAsia"/>
                <w:color w:val="auto"/>
                <w:sz w:val="20"/>
                <w:szCs w:val="22"/>
                <w:highlight w:val="none"/>
                <w:lang w:val="en-US" w:eastAsia="zh-CN"/>
              </w:rPr>
            </w:pPr>
          </w:p>
        </w:tc>
      </w:tr>
      <w:tr w14:paraId="14356ED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09C87D64">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起重臂节3</w:t>
            </w:r>
          </w:p>
        </w:tc>
        <w:tc>
          <w:tcPr>
            <w:tcW w:w="870" w:type="pct"/>
            <w:shd w:val="clear" w:color="auto" w:fill="auto"/>
            <w:noWrap w:val="0"/>
            <w:vAlign w:val="top"/>
          </w:tcPr>
          <w:p w14:paraId="25889C27">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36BA7362">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2A8622B8">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0D8D3ADE">
            <w:pPr>
              <w:pStyle w:val="71"/>
              <w:spacing w:before="48" w:after="48"/>
              <w:rPr>
                <w:rFonts w:hint="eastAsia"/>
                <w:color w:val="auto"/>
                <w:sz w:val="20"/>
                <w:szCs w:val="22"/>
                <w:highlight w:val="none"/>
                <w:lang w:val="en-US" w:eastAsia="zh-CN"/>
              </w:rPr>
            </w:pPr>
          </w:p>
        </w:tc>
      </w:tr>
      <w:tr w14:paraId="33DA166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1EBF67E5">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起重臂节4</w:t>
            </w:r>
          </w:p>
        </w:tc>
        <w:tc>
          <w:tcPr>
            <w:tcW w:w="870" w:type="pct"/>
            <w:shd w:val="clear" w:color="auto" w:fill="auto"/>
            <w:noWrap w:val="0"/>
            <w:vAlign w:val="top"/>
          </w:tcPr>
          <w:p w14:paraId="36491C92">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190B5CA5">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64B76B17">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36BA6F2E">
            <w:pPr>
              <w:pStyle w:val="71"/>
              <w:spacing w:before="48" w:after="48"/>
              <w:rPr>
                <w:rFonts w:hint="eastAsia"/>
                <w:color w:val="auto"/>
                <w:sz w:val="20"/>
                <w:szCs w:val="22"/>
                <w:highlight w:val="none"/>
                <w:lang w:val="en-US" w:eastAsia="zh-CN"/>
              </w:rPr>
            </w:pPr>
          </w:p>
        </w:tc>
      </w:tr>
      <w:tr w14:paraId="3972842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653CE62E">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起重臂节5</w:t>
            </w:r>
          </w:p>
        </w:tc>
        <w:tc>
          <w:tcPr>
            <w:tcW w:w="870" w:type="pct"/>
            <w:shd w:val="clear" w:color="auto" w:fill="auto"/>
            <w:noWrap w:val="0"/>
            <w:vAlign w:val="top"/>
          </w:tcPr>
          <w:p w14:paraId="7282ADDF">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308716FC">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06F177D5">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4B220C36">
            <w:pPr>
              <w:pStyle w:val="71"/>
              <w:spacing w:before="48" w:after="48"/>
              <w:rPr>
                <w:rFonts w:hint="eastAsia"/>
                <w:color w:val="auto"/>
                <w:sz w:val="20"/>
                <w:szCs w:val="22"/>
                <w:highlight w:val="none"/>
                <w:lang w:val="en-US" w:eastAsia="zh-CN"/>
              </w:rPr>
            </w:pPr>
          </w:p>
        </w:tc>
      </w:tr>
      <w:tr w14:paraId="3FF1228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32678528">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起重臂节6</w:t>
            </w:r>
          </w:p>
        </w:tc>
        <w:tc>
          <w:tcPr>
            <w:tcW w:w="870" w:type="pct"/>
            <w:shd w:val="clear" w:color="auto" w:fill="auto"/>
            <w:noWrap w:val="0"/>
            <w:vAlign w:val="top"/>
          </w:tcPr>
          <w:p w14:paraId="79AF8C63">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5DD38D30">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48F81928">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669B4635">
            <w:pPr>
              <w:pStyle w:val="71"/>
              <w:spacing w:before="48" w:after="48"/>
              <w:rPr>
                <w:rFonts w:hint="eastAsia"/>
                <w:color w:val="auto"/>
                <w:sz w:val="20"/>
                <w:szCs w:val="22"/>
                <w:highlight w:val="none"/>
                <w:lang w:val="en-US" w:eastAsia="zh-CN"/>
              </w:rPr>
            </w:pPr>
          </w:p>
        </w:tc>
      </w:tr>
      <w:tr w14:paraId="4D8F2D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7E02EF8E">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起重臂节7</w:t>
            </w:r>
          </w:p>
        </w:tc>
        <w:tc>
          <w:tcPr>
            <w:tcW w:w="870" w:type="pct"/>
            <w:shd w:val="clear" w:color="auto" w:fill="auto"/>
            <w:noWrap w:val="0"/>
            <w:vAlign w:val="top"/>
          </w:tcPr>
          <w:p w14:paraId="1A452BE7">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19B6C77F">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517DB4F4">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66BAEEDE">
            <w:pPr>
              <w:pStyle w:val="71"/>
              <w:spacing w:before="48" w:after="48"/>
              <w:rPr>
                <w:rFonts w:hint="eastAsia"/>
                <w:color w:val="auto"/>
                <w:sz w:val="20"/>
                <w:szCs w:val="22"/>
                <w:highlight w:val="none"/>
                <w:lang w:val="en-US" w:eastAsia="zh-CN"/>
              </w:rPr>
            </w:pPr>
          </w:p>
        </w:tc>
      </w:tr>
      <w:tr w14:paraId="4FA1A58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19A61956">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起重臂节8</w:t>
            </w:r>
          </w:p>
        </w:tc>
        <w:tc>
          <w:tcPr>
            <w:tcW w:w="870" w:type="pct"/>
            <w:shd w:val="clear" w:color="auto" w:fill="auto"/>
            <w:noWrap w:val="0"/>
            <w:vAlign w:val="top"/>
          </w:tcPr>
          <w:p w14:paraId="22AADB5A">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3E68279C">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1E67E6BA">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5A8C7B67">
            <w:pPr>
              <w:pStyle w:val="71"/>
              <w:spacing w:before="48" w:after="48"/>
              <w:rPr>
                <w:rFonts w:hint="eastAsia"/>
                <w:color w:val="auto"/>
                <w:sz w:val="20"/>
                <w:szCs w:val="22"/>
                <w:highlight w:val="none"/>
                <w:lang w:val="en-US" w:eastAsia="zh-CN"/>
              </w:rPr>
            </w:pPr>
          </w:p>
        </w:tc>
      </w:tr>
      <w:tr w14:paraId="67DDFD8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202DD984">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起重臂节9及臂头</w:t>
            </w:r>
          </w:p>
        </w:tc>
        <w:tc>
          <w:tcPr>
            <w:tcW w:w="870" w:type="pct"/>
            <w:shd w:val="clear" w:color="auto" w:fill="auto"/>
            <w:noWrap w:val="0"/>
            <w:vAlign w:val="top"/>
          </w:tcPr>
          <w:p w14:paraId="2EAA5E93">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70F7E3D2">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4FE88219">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41369D45">
            <w:pPr>
              <w:pStyle w:val="71"/>
              <w:spacing w:before="48" w:after="48"/>
              <w:rPr>
                <w:rFonts w:hint="eastAsia"/>
                <w:color w:val="auto"/>
                <w:sz w:val="20"/>
                <w:szCs w:val="22"/>
                <w:highlight w:val="none"/>
                <w:lang w:val="en-US" w:eastAsia="zh-CN"/>
              </w:rPr>
            </w:pPr>
          </w:p>
        </w:tc>
      </w:tr>
      <w:tr w14:paraId="2BC0D3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596EE08A">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剩余平衡重</w:t>
            </w:r>
          </w:p>
        </w:tc>
        <w:tc>
          <w:tcPr>
            <w:tcW w:w="870" w:type="pct"/>
            <w:shd w:val="clear" w:color="auto" w:fill="auto"/>
            <w:noWrap w:val="0"/>
            <w:vAlign w:val="top"/>
          </w:tcPr>
          <w:p w14:paraId="29FC27C9">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6376F049">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1DD94EF7">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top"/>
          </w:tcPr>
          <w:p w14:paraId="7212094C">
            <w:pPr>
              <w:pStyle w:val="71"/>
              <w:spacing w:before="48" w:after="48"/>
              <w:rPr>
                <w:rFonts w:hint="eastAsia"/>
                <w:color w:val="auto"/>
                <w:sz w:val="20"/>
                <w:szCs w:val="22"/>
                <w:highlight w:val="none"/>
                <w:lang w:val="en-US" w:eastAsia="zh-CN"/>
              </w:rPr>
            </w:pPr>
          </w:p>
        </w:tc>
      </w:tr>
      <w:tr w14:paraId="246BAFF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1F1ABFB0">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顶升加节</w:t>
            </w:r>
          </w:p>
        </w:tc>
        <w:tc>
          <w:tcPr>
            <w:tcW w:w="870" w:type="pct"/>
            <w:shd w:val="clear" w:color="auto" w:fill="auto"/>
            <w:noWrap w:val="0"/>
            <w:vAlign w:val="top"/>
          </w:tcPr>
          <w:p w14:paraId="1DE4C90E">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6651A4A9">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1220F17D">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6EC2E3CD">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r>
      <w:tr w14:paraId="4499878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2030" w:type="pct"/>
            <w:noWrap w:val="0"/>
            <w:vAlign w:val="center"/>
          </w:tcPr>
          <w:p w14:paraId="4170AEFC">
            <w:pPr>
              <w:pStyle w:val="71"/>
              <w:spacing w:before="48" w:after="48"/>
              <w:rPr>
                <w:rFonts w:hint="default"/>
                <w:color w:val="auto"/>
                <w:sz w:val="20"/>
                <w:szCs w:val="22"/>
                <w:highlight w:val="none"/>
                <w:lang w:val="en-US" w:eastAsia="zh-CN"/>
              </w:rPr>
            </w:pPr>
            <w:r>
              <w:rPr>
                <w:rFonts w:hint="eastAsia"/>
                <w:color w:val="auto"/>
                <w:sz w:val="20"/>
                <w:szCs w:val="22"/>
                <w:highlight w:val="none"/>
                <w:lang w:val="en-US" w:eastAsia="zh-CN"/>
              </w:rPr>
              <w:t>试吊验收</w:t>
            </w:r>
          </w:p>
        </w:tc>
        <w:tc>
          <w:tcPr>
            <w:tcW w:w="870" w:type="pct"/>
            <w:shd w:val="clear" w:color="auto" w:fill="auto"/>
            <w:noWrap w:val="0"/>
            <w:vAlign w:val="top"/>
          </w:tcPr>
          <w:p w14:paraId="420B947E">
            <w:pPr>
              <w:pStyle w:val="71"/>
              <w:spacing w:before="48" w:after="48"/>
              <w:rPr>
                <w:rFonts w:hint="eastAsia"/>
                <w:color w:val="auto"/>
                <w:sz w:val="20"/>
                <w:szCs w:val="22"/>
                <w:highlight w:val="none"/>
                <w:lang w:val="en-US" w:eastAsia="zh-CN"/>
              </w:rPr>
            </w:pPr>
          </w:p>
        </w:tc>
        <w:tc>
          <w:tcPr>
            <w:tcW w:w="702" w:type="pct"/>
            <w:shd w:val="clear" w:color="auto" w:fill="auto"/>
            <w:noWrap w:val="0"/>
            <w:vAlign w:val="top"/>
          </w:tcPr>
          <w:p w14:paraId="763616CD">
            <w:pPr>
              <w:pStyle w:val="71"/>
              <w:spacing w:before="48" w:after="48"/>
              <w:rPr>
                <w:rFonts w:hint="eastAsia"/>
                <w:color w:val="auto"/>
                <w:sz w:val="20"/>
                <w:szCs w:val="22"/>
                <w:highlight w:val="none"/>
                <w:lang w:val="en-US" w:eastAsia="zh-CN"/>
              </w:rPr>
            </w:pPr>
          </w:p>
        </w:tc>
        <w:tc>
          <w:tcPr>
            <w:tcW w:w="701" w:type="pct"/>
            <w:shd w:val="clear" w:color="auto" w:fill="auto"/>
            <w:noWrap w:val="0"/>
            <w:vAlign w:val="top"/>
          </w:tcPr>
          <w:p w14:paraId="098BAF10">
            <w:pPr>
              <w:pStyle w:val="71"/>
              <w:spacing w:before="48" w:after="48"/>
              <w:rPr>
                <w:rFonts w:hint="eastAsia"/>
                <w:color w:val="auto"/>
                <w:sz w:val="20"/>
                <w:szCs w:val="22"/>
                <w:highlight w:val="none"/>
                <w:lang w:val="en-US" w:eastAsia="zh-CN"/>
              </w:rPr>
            </w:pPr>
          </w:p>
        </w:tc>
        <w:tc>
          <w:tcPr>
            <w:tcW w:w="695" w:type="pct"/>
            <w:shd w:val="clear" w:color="auto" w:fill="auto"/>
            <w:noWrap w:val="0"/>
            <w:vAlign w:val="top"/>
          </w:tcPr>
          <w:p w14:paraId="64BEB5CF">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r>
      <w:tr w14:paraId="2589B23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2030" w:type="pct"/>
            <w:noWrap w:val="0"/>
            <w:vAlign w:val="center"/>
          </w:tcPr>
          <w:p w14:paraId="642C1ED3">
            <w:pPr>
              <w:pStyle w:val="71"/>
              <w:spacing w:before="48" w:after="48"/>
              <w:rPr>
                <w:rFonts w:hint="eastAsia"/>
                <w:color w:val="auto"/>
                <w:sz w:val="20"/>
                <w:szCs w:val="22"/>
                <w:highlight w:val="none"/>
              </w:rPr>
            </w:pPr>
            <w:r>
              <w:rPr>
                <w:rFonts w:hint="eastAsia"/>
                <w:color w:val="auto"/>
                <w:sz w:val="20"/>
                <w:szCs w:val="22"/>
                <w:highlight w:val="none"/>
              </w:rPr>
              <w:t>清理现场</w:t>
            </w:r>
          </w:p>
        </w:tc>
        <w:tc>
          <w:tcPr>
            <w:tcW w:w="870" w:type="pct"/>
            <w:noWrap w:val="0"/>
            <w:vAlign w:val="center"/>
          </w:tcPr>
          <w:p w14:paraId="50EF1169">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2" w:type="pct"/>
            <w:shd w:val="clear" w:color="auto" w:fill="auto"/>
            <w:noWrap w:val="0"/>
            <w:vAlign w:val="center"/>
          </w:tcPr>
          <w:p w14:paraId="63DD1AA4">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701" w:type="pct"/>
            <w:shd w:val="clear" w:color="auto" w:fill="auto"/>
            <w:noWrap w:val="0"/>
            <w:vAlign w:val="center"/>
          </w:tcPr>
          <w:p w14:paraId="6555AFC1">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c>
          <w:tcPr>
            <w:tcW w:w="695" w:type="pct"/>
            <w:shd w:val="clear" w:color="auto" w:fill="auto"/>
            <w:noWrap w:val="0"/>
            <w:vAlign w:val="center"/>
          </w:tcPr>
          <w:p w14:paraId="15CC694E">
            <w:pPr>
              <w:pStyle w:val="71"/>
              <w:spacing w:before="48" w:after="48"/>
              <w:rPr>
                <w:rFonts w:hint="eastAsia"/>
                <w:color w:val="auto"/>
                <w:sz w:val="20"/>
                <w:szCs w:val="22"/>
                <w:highlight w:val="none"/>
                <w:lang w:val="en-US" w:eastAsia="zh-CN"/>
              </w:rPr>
            </w:pPr>
            <w:r>
              <w:rPr>
                <w:rFonts w:hint="eastAsia"/>
                <w:color w:val="auto"/>
                <w:sz w:val="20"/>
                <w:szCs w:val="22"/>
                <w:highlight w:val="none"/>
                <w:lang w:val="en-US" w:eastAsia="zh-CN"/>
              </w:rPr>
              <w:t>☑</w:t>
            </w:r>
          </w:p>
        </w:tc>
      </w:tr>
    </w:tbl>
    <w:p w14:paraId="353E380E">
      <w:pPr>
        <w:pStyle w:val="5"/>
        <w:rPr>
          <w:rFonts w:hint="eastAsia" w:cs="Times New Roman"/>
          <w:lang w:val="en-US" w:eastAsia="zh-CN"/>
        </w:rPr>
      </w:pPr>
      <w:bookmarkStart w:id="55" w:name="_Toc8274"/>
      <w:r>
        <w:rPr>
          <w:rFonts w:hint="eastAsia" w:cs="Times New Roman"/>
          <w:lang w:val="en-US" w:eastAsia="zh-CN"/>
        </w:rPr>
        <w:t>8.3 安拆塔计算</w:t>
      </w:r>
      <w:bookmarkEnd w:id="55"/>
    </w:p>
    <w:p w14:paraId="0873B005">
      <w:pPr>
        <w:bidi w:val="0"/>
        <w:jc w:val="center"/>
        <w:rPr>
          <w:rFonts w:hint="default"/>
          <w:b/>
          <w:bCs/>
          <w:lang w:val="en-US" w:eastAsia="zh-CN"/>
        </w:rPr>
      </w:pPr>
      <w:r>
        <w:rPr>
          <w:rFonts w:hint="eastAsia" w:ascii="宋体" w:hAnsi="宋体" w:eastAsia="宋体" w:cs="宋体"/>
          <w:b/>
          <w:bCs/>
          <w:lang w:eastAsia="zh-CN"/>
        </w:rPr>
        <w:t>表</w:t>
      </w:r>
      <w:r>
        <w:rPr>
          <w:rFonts w:hint="eastAsia" w:ascii="宋体" w:hAnsi="宋体" w:eastAsia="宋体" w:cs="宋体"/>
          <w:b/>
          <w:bCs/>
          <w:lang w:val="en-US" w:eastAsia="zh-CN"/>
        </w:rPr>
        <w:t>8.3</w:t>
      </w:r>
      <w:r>
        <w:rPr>
          <w:rFonts w:hint="eastAsia" w:ascii="宋体" w:hAnsi="宋体" w:eastAsia="宋体" w:cs="宋体"/>
          <w:b/>
          <w:bCs/>
          <w:lang w:eastAsia="zh-CN"/>
        </w:rPr>
        <w:t>-1</w:t>
      </w:r>
      <w:r>
        <w:rPr>
          <w:rFonts w:hint="eastAsia" w:ascii="宋体" w:hAnsi="宋体" w:eastAsia="宋体" w:cs="宋体"/>
          <w:b/>
          <w:bCs/>
          <w:lang w:val="en-US" w:eastAsia="zh-CN"/>
        </w:rPr>
        <w:t xml:space="preserve"> 安</w:t>
      </w:r>
      <w:r>
        <w:rPr>
          <w:rFonts w:hint="eastAsia" w:ascii="宋体" w:hAnsi="宋体" w:cs="宋体"/>
          <w:b/>
          <w:bCs/>
          <w:lang w:val="en-US" w:eastAsia="zh-CN"/>
        </w:rPr>
        <w:t>塔计算</w:t>
      </w:r>
    </w:p>
    <w:tbl>
      <w:tblPr>
        <w:tblStyle w:val="30"/>
        <w:tblpPr w:leftFromText="180" w:rightFromText="180" w:vertAnchor="text" w:horzAnchor="page" w:tblpX="706" w:tblpY="125"/>
        <w:tblOverlap w:val="never"/>
        <w:tblW w:w="10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46"/>
        <w:gridCol w:w="1097"/>
        <w:gridCol w:w="1533"/>
        <w:gridCol w:w="1217"/>
        <w:gridCol w:w="1133"/>
        <w:gridCol w:w="1067"/>
        <w:gridCol w:w="1033"/>
        <w:gridCol w:w="1117"/>
        <w:gridCol w:w="1316"/>
      </w:tblGrid>
      <w:tr w14:paraId="0CCD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2" w:hRule="atLeast"/>
        </w:trPr>
        <w:tc>
          <w:tcPr>
            <w:tcW w:w="3976" w:type="dxa"/>
            <w:gridSpan w:val="3"/>
            <w:tcBorders>
              <w:tl2br w:val="nil"/>
              <w:tr2bl w:val="nil"/>
            </w:tcBorders>
            <w:shd w:val="clear" w:color="auto" w:fill="auto"/>
            <w:noWrap/>
            <w:vAlign w:val="center"/>
          </w:tcPr>
          <w:p w14:paraId="71B669D3">
            <w:pPr>
              <w:keepNext w:val="0"/>
              <w:keepLines w:val="0"/>
              <w:widowControl/>
              <w:suppressLineNumbers w:val="0"/>
              <w:jc w:val="center"/>
              <w:textAlignment w:val="center"/>
              <w:rPr>
                <w:rFonts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塔机构件</w:t>
            </w:r>
          </w:p>
        </w:tc>
        <w:tc>
          <w:tcPr>
            <w:tcW w:w="6883" w:type="dxa"/>
            <w:gridSpan w:val="6"/>
            <w:tcBorders>
              <w:tl2br w:val="nil"/>
              <w:tr2bl w:val="nil"/>
            </w:tcBorders>
            <w:shd w:val="clear" w:color="auto" w:fill="auto"/>
            <w:noWrap/>
            <w:vAlign w:val="center"/>
          </w:tcPr>
          <w:p w14:paraId="421AE225">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吊重机械</w:t>
            </w:r>
          </w:p>
        </w:tc>
      </w:tr>
      <w:tr w14:paraId="4065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46" w:type="dxa"/>
            <w:tcBorders>
              <w:tl2br w:val="nil"/>
              <w:tr2bl w:val="nil"/>
            </w:tcBorders>
            <w:shd w:val="clear" w:color="auto" w:fill="auto"/>
            <w:noWrap/>
            <w:vAlign w:val="center"/>
          </w:tcPr>
          <w:p w14:paraId="7472D5B9">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名称</w:t>
            </w:r>
          </w:p>
        </w:tc>
        <w:tc>
          <w:tcPr>
            <w:tcW w:w="1097" w:type="dxa"/>
            <w:tcBorders>
              <w:tl2br w:val="nil"/>
              <w:tr2bl w:val="nil"/>
            </w:tcBorders>
            <w:shd w:val="clear" w:color="auto" w:fill="auto"/>
            <w:noWrap/>
            <w:vAlign w:val="center"/>
          </w:tcPr>
          <w:p w14:paraId="5B60CB26">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Q1构件重</w:t>
            </w:r>
            <w:r>
              <w:rPr>
                <w:rStyle w:val="75"/>
                <w:rFonts w:eastAsia="新宋体"/>
                <w:lang w:val="en-US" w:eastAsia="zh-CN" w:bidi="ar"/>
              </w:rPr>
              <w:t>(t)</w:t>
            </w:r>
          </w:p>
        </w:tc>
        <w:tc>
          <w:tcPr>
            <w:tcW w:w="1533" w:type="dxa"/>
            <w:tcBorders>
              <w:tl2br w:val="nil"/>
              <w:tr2bl w:val="nil"/>
            </w:tcBorders>
            <w:shd w:val="clear" w:color="auto" w:fill="auto"/>
            <w:noWrap/>
            <w:vAlign w:val="center"/>
          </w:tcPr>
          <w:p w14:paraId="3AABD5A2">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h说明书起吊高度</w:t>
            </w:r>
            <w:r>
              <w:rPr>
                <w:rStyle w:val="75"/>
                <w:rFonts w:eastAsia="新宋体"/>
                <w:lang w:val="en-US" w:eastAsia="zh-CN" w:bidi="ar"/>
              </w:rPr>
              <w:t>(m)</w:t>
            </w:r>
          </w:p>
        </w:tc>
        <w:tc>
          <w:tcPr>
            <w:tcW w:w="1217" w:type="dxa"/>
            <w:tcBorders>
              <w:tl2br w:val="nil"/>
              <w:tr2bl w:val="nil"/>
            </w:tcBorders>
            <w:shd w:val="clear" w:color="auto" w:fill="auto"/>
            <w:noWrap/>
            <w:vAlign w:val="center"/>
          </w:tcPr>
          <w:p w14:paraId="68ACED47">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载具</w:t>
            </w:r>
            <w:r>
              <w:rPr>
                <w:rStyle w:val="75"/>
                <w:rFonts w:eastAsia="新宋体"/>
                <w:lang w:val="en-US" w:eastAsia="zh-CN" w:bidi="ar"/>
              </w:rPr>
              <w:t>(m)</w:t>
            </w:r>
          </w:p>
        </w:tc>
        <w:tc>
          <w:tcPr>
            <w:tcW w:w="1133" w:type="dxa"/>
            <w:tcBorders>
              <w:tl2br w:val="nil"/>
              <w:tr2bl w:val="nil"/>
            </w:tcBorders>
            <w:shd w:val="clear" w:color="auto" w:fill="auto"/>
            <w:noWrap/>
            <w:vAlign w:val="center"/>
          </w:tcPr>
          <w:p w14:paraId="1ED5CBB9">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作业半径</w:t>
            </w:r>
            <w:r>
              <w:rPr>
                <w:rStyle w:val="75"/>
                <w:rFonts w:eastAsia="新宋体"/>
                <w:lang w:val="en-US" w:eastAsia="zh-CN" w:bidi="ar"/>
              </w:rPr>
              <w:t>(m)</w:t>
            </w:r>
          </w:p>
        </w:tc>
        <w:tc>
          <w:tcPr>
            <w:tcW w:w="1067" w:type="dxa"/>
            <w:tcBorders>
              <w:tl2br w:val="nil"/>
              <w:tr2bl w:val="nil"/>
            </w:tcBorders>
            <w:shd w:val="clear" w:color="auto" w:fill="auto"/>
            <w:noWrap/>
            <w:vAlign w:val="center"/>
          </w:tcPr>
          <w:p w14:paraId="388B29C7">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主臂长度</w:t>
            </w:r>
            <w:r>
              <w:rPr>
                <w:rStyle w:val="75"/>
                <w:rFonts w:eastAsia="新宋体"/>
                <w:lang w:val="en-US" w:eastAsia="zh-CN" w:bidi="ar"/>
              </w:rPr>
              <w:t>(m)</w:t>
            </w:r>
          </w:p>
        </w:tc>
        <w:tc>
          <w:tcPr>
            <w:tcW w:w="1033" w:type="dxa"/>
            <w:tcBorders>
              <w:tl2br w:val="nil"/>
              <w:tr2bl w:val="nil"/>
            </w:tcBorders>
            <w:shd w:val="clear" w:color="auto" w:fill="auto"/>
            <w:noWrap/>
            <w:vAlign w:val="center"/>
          </w:tcPr>
          <w:p w14:paraId="33CD9686">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Q起重量</w:t>
            </w:r>
            <w:r>
              <w:rPr>
                <w:rStyle w:val="75"/>
                <w:rFonts w:eastAsia="新宋体"/>
                <w:lang w:val="en-US" w:eastAsia="zh-CN" w:bidi="ar"/>
              </w:rPr>
              <w:t>(t)</w:t>
            </w:r>
          </w:p>
        </w:tc>
        <w:tc>
          <w:tcPr>
            <w:tcW w:w="1117" w:type="dxa"/>
            <w:tcBorders>
              <w:tl2br w:val="nil"/>
              <w:tr2bl w:val="nil"/>
            </w:tcBorders>
            <w:shd w:val="clear" w:color="auto" w:fill="auto"/>
            <w:noWrap/>
            <w:vAlign w:val="center"/>
          </w:tcPr>
          <w:p w14:paraId="745B2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η负荷率（%）</w:t>
            </w:r>
          </w:p>
        </w:tc>
        <w:tc>
          <w:tcPr>
            <w:tcW w:w="1316" w:type="dxa"/>
            <w:tcBorders>
              <w:tl2br w:val="nil"/>
              <w:tr2bl w:val="nil"/>
            </w:tcBorders>
            <w:shd w:val="clear" w:color="auto" w:fill="auto"/>
            <w:noWrap/>
            <w:vAlign w:val="center"/>
          </w:tcPr>
          <w:p w14:paraId="76CD1AED">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H起升高度(m)</w:t>
            </w:r>
          </w:p>
        </w:tc>
      </w:tr>
      <w:tr w14:paraId="5B3A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46" w:type="dxa"/>
            <w:tcBorders>
              <w:tl2br w:val="nil"/>
              <w:tr2bl w:val="nil"/>
            </w:tcBorders>
            <w:shd w:val="clear" w:color="auto" w:fill="auto"/>
            <w:noWrap/>
            <w:vAlign w:val="center"/>
          </w:tcPr>
          <w:p w14:paraId="178AC712">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基础节</w:t>
            </w:r>
          </w:p>
        </w:tc>
        <w:tc>
          <w:tcPr>
            <w:tcW w:w="1097" w:type="dxa"/>
            <w:tcBorders>
              <w:tl2br w:val="nil"/>
              <w:tr2bl w:val="nil"/>
            </w:tcBorders>
            <w:shd w:val="clear" w:color="auto" w:fill="auto"/>
            <w:noWrap/>
            <w:vAlign w:val="center"/>
          </w:tcPr>
          <w:p w14:paraId="4C3EDA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4.085</w:t>
            </w:r>
          </w:p>
        </w:tc>
        <w:tc>
          <w:tcPr>
            <w:tcW w:w="1533" w:type="dxa"/>
            <w:tcBorders>
              <w:tl2br w:val="nil"/>
              <w:tr2bl w:val="nil"/>
            </w:tcBorders>
            <w:shd w:val="clear" w:color="auto" w:fill="auto"/>
            <w:noWrap/>
            <w:vAlign w:val="center"/>
          </w:tcPr>
          <w:p w14:paraId="4D3408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11</w:t>
            </w:r>
          </w:p>
        </w:tc>
        <w:tc>
          <w:tcPr>
            <w:tcW w:w="1217" w:type="dxa"/>
            <w:tcBorders>
              <w:tl2br w:val="nil"/>
              <w:tr2bl w:val="nil"/>
            </w:tcBorders>
            <w:shd w:val="clear" w:color="auto" w:fill="auto"/>
            <w:vAlign w:val="center"/>
          </w:tcPr>
          <w:p w14:paraId="3847E5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059E86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3CA17C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60D8B8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159A75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22.30%</w:t>
            </w:r>
          </w:p>
        </w:tc>
        <w:tc>
          <w:tcPr>
            <w:tcW w:w="1316" w:type="dxa"/>
            <w:tcBorders>
              <w:tl2br w:val="nil"/>
              <w:tr2bl w:val="nil"/>
            </w:tcBorders>
            <w:shd w:val="clear" w:color="auto" w:fill="auto"/>
            <w:vAlign w:val="center"/>
          </w:tcPr>
          <w:p w14:paraId="2947F2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62.7</w:t>
            </w:r>
          </w:p>
        </w:tc>
      </w:tr>
      <w:tr w14:paraId="389E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0E348DA5">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标准节</w:t>
            </w:r>
          </w:p>
        </w:tc>
        <w:tc>
          <w:tcPr>
            <w:tcW w:w="1097" w:type="dxa"/>
            <w:tcBorders>
              <w:tl2br w:val="nil"/>
              <w:tr2bl w:val="nil"/>
            </w:tcBorders>
            <w:shd w:val="clear" w:color="auto" w:fill="auto"/>
            <w:noWrap/>
            <w:vAlign w:val="center"/>
          </w:tcPr>
          <w:p w14:paraId="141F7F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1.8</w:t>
            </w:r>
          </w:p>
        </w:tc>
        <w:tc>
          <w:tcPr>
            <w:tcW w:w="1533" w:type="dxa"/>
            <w:tcBorders>
              <w:tl2br w:val="nil"/>
              <w:tr2bl w:val="nil"/>
            </w:tcBorders>
            <w:shd w:val="clear" w:color="auto" w:fill="auto"/>
            <w:noWrap/>
            <w:vAlign w:val="center"/>
          </w:tcPr>
          <w:p w14:paraId="2A628E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14</w:t>
            </w:r>
          </w:p>
        </w:tc>
        <w:tc>
          <w:tcPr>
            <w:tcW w:w="1217" w:type="dxa"/>
            <w:tcBorders>
              <w:tl2br w:val="nil"/>
              <w:tr2bl w:val="nil"/>
            </w:tcBorders>
            <w:shd w:val="clear" w:color="auto" w:fill="auto"/>
            <w:vAlign w:val="center"/>
          </w:tcPr>
          <w:p w14:paraId="4675DB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3C5C66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7DF4D9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2C3B3D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4EF470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9.83%</w:t>
            </w:r>
          </w:p>
        </w:tc>
        <w:tc>
          <w:tcPr>
            <w:tcW w:w="1316" w:type="dxa"/>
            <w:tcBorders>
              <w:tl2br w:val="nil"/>
              <w:tr2bl w:val="nil"/>
            </w:tcBorders>
            <w:shd w:val="clear" w:color="auto" w:fill="auto"/>
            <w:vAlign w:val="center"/>
          </w:tcPr>
          <w:p w14:paraId="398DC8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62.7</w:t>
            </w:r>
          </w:p>
        </w:tc>
      </w:tr>
      <w:tr w14:paraId="2903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09C26183">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爬升架（包括油缸、泵）</w:t>
            </w:r>
          </w:p>
        </w:tc>
        <w:tc>
          <w:tcPr>
            <w:tcW w:w="1097" w:type="dxa"/>
            <w:tcBorders>
              <w:tl2br w:val="nil"/>
              <w:tr2bl w:val="nil"/>
            </w:tcBorders>
            <w:shd w:val="clear" w:color="auto" w:fill="auto"/>
            <w:noWrap/>
            <w:vAlign w:val="center"/>
          </w:tcPr>
          <w:p w14:paraId="5DFE41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5.35</w:t>
            </w:r>
          </w:p>
        </w:tc>
        <w:tc>
          <w:tcPr>
            <w:tcW w:w="1533" w:type="dxa"/>
            <w:tcBorders>
              <w:tl2br w:val="nil"/>
              <w:tr2bl w:val="nil"/>
            </w:tcBorders>
            <w:shd w:val="clear" w:color="auto" w:fill="auto"/>
            <w:noWrap/>
            <w:vAlign w:val="center"/>
          </w:tcPr>
          <w:p w14:paraId="15B5541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22</w:t>
            </w:r>
          </w:p>
        </w:tc>
        <w:tc>
          <w:tcPr>
            <w:tcW w:w="1217" w:type="dxa"/>
            <w:tcBorders>
              <w:tl2br w:val="nil"/>
              <w:tr2bl w:val="nil"/>
            </w:tcBorders>
            <w:shd w:val="clear" w:color="auto" w:fill="auto"/>
            <w:vAlign w:val="center"/>
          </w:tcPr>
          <w:p w14:paraId="5FC83B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67DDC8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25E189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374E15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55DC1B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29.20%</w:t>
            </w:r>
          </w:p>
        </w:tc>
        <w:tc>
          <w:tcPr>
            <w:tcW w:w="1316" w:type="dxa"/>
            <w:tcBorders>
              <w:tl2br w:val="nil"/>
              <w:tr2bl w:val="nil"/>
            </w:tcBorders>
            <w:shd w:val="clear" w:color="auto" w:fill="auto"/>
            <w:vAlign w:val="center"/>
          </w:tcPr>
          <w:p w14:paraId="2622C2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62.7</w:t>
            </w:r>
          </w:p>
        </w:tc>
      </w:tr>
      <w:tr w14:paraId="4016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523892F4">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特殊节</w:t>
            </w:r>
          </w:p>
        </w:tc>
        <w:tc>
          <w:tcPr>
            <w:tcW w:w="1097" w:type="dxa"/>
            <w:tcBorders>
              <w:tl2br w:val="nil"/>
              <w:tr2bl w:val="nil"/>
            </w:tcBorders>
            <w:shd w:val="clear" w:color="auto" w:fill="auto"/>
            <w:noWrap/>
            <w:vAlign w:val="center"/>
          </w:tcPr>
          <w:p w14:paraId="7785D1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3.0</w:t>
            </w:r>
          </w:p>
        </w:tc>
        <w:tc>
          <w:tcPr>
            <w:tcW w:w="1533" w:type="dxa"/>
            <w:tcBorders>
              <w:tl2br w:val="nil"/>
              <w:tr2bl w:val="nil"/>
            </w:tcBorders>
            <w:shd w:val="clear" w:color="auto" w:fill="auto"/>
            <w:noWrap/>
            <w:vAlign w:val="center"/>
          </w:tcPr>
          <w:p w14:paraId="3478EFF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22</w:t>
            </w:r>
          </w:p>
        </w:tc>
        <w:tc>
          <w:tcPr>
            <w:tcW w:w="1217" w:type="dxa"/>
            <w:tcBorders>
              <w:tl2br w:val="nil"/>
              <w:tr2bl w:val="nil"/>
            </w:tcBorders>
            <w:shd w:val="clear" w:color="auto" w:fill="auto"/>
            <w:noWrap/>
            <w:vAlign w:val="center"/>
          </w:tcPr>
          <w:p w14:paraId="3B6530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0F08CC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04D8FD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noWrap/>
            <w:vAlign w:val="center"/>
          </w:tcPr>
          <w:p w14:paraId="59F343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58D643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16.38%</w:t>
            </w:r>
          </w:p>
        </w:tc>
        <w:tc>
          <w:tcPr>
            <w:tcW w:w="1316" w:type="dxa"/>
            <w:tcBorders>
              <w:tl2br w:val="nil"/>
              <w:tr2bl w:val="nil"/>
            </w:tcBorders>
            <w:shd w:val="clear" w:color="auto" w:fill="auto"/>
            <w:noWrap/>
            <w:vAlign w:val="center"/>
          </w:tcPr>
          <w:p w14:paraId="3C212D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7239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68195767">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回转总成</w:t>
            </w:r>
          </w:p>
        </w:tc>
        <w:tc>
          <w:tcPr>
            <w:tcW w:w="1097" w:type="dxa"/>
            <w:tcBorders>
              <w:tl2br w:val="nil"/>
              <w:tr2bl w:val="nil"/>
            </w:tcBorders>
            <w:shd w:val="clear" w:color="auto" w:fill="auto"/>
            <w:noWrap/>
            <w:vAlign w:val="center"/>
          </w:tcPr>
          <w:p w14:paraId="07A7F6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4.758</w:t>
            </w:r>
          </w:p>
        </w:tc>
        <w:tc>
          <w:tcPr>
            <w:tcW w:w="1533" w:type="dxa"/>
            <w:tcBorders>
              <w:tl2br w:val="nil"/>
              <w:tr2bl w:val="nil"/>
            </w:tcBorders>
            <w:shd w:val="clear" w:color="auto" w:fill="auto"/>
            <w:noWrap/>
            <w:vAlign w:val="center"/>
          </w:tcPr>
          <w:p w14:paraId="28ACA3F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22</w:t>
            </w:r>
          </w:p>
        </w:tc>
        <w:tc>
          <w:tcPr>
            <w:tcW w:w="1217" w:type="dxa"/>
            <w:tcBorders>
              <w:tl2br w:val="nil"/>
              <w:tr2bl w:val="nil"/>
            </w:tcBorders>
            <w:shd w:val="clear" w:color="auto" w:fill="auto"/>
            <w:vAlign w:val="center"/>
          </w:tcPr>
          <w:p w14:paraId="2FE04B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01205FA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408DBE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11797A5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2650FA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25.97%</w:t>
            </w:r>
          </w:p>
        </w:tc>
        <w:tc>
          <w:tcPr>
            <w:tcW w:w="1316" w:type="dxa"/>
            <w:tcBorders>
              <w:tl2br w:val="nil"/>
              <w:tr2bl w:val="nil"/>
            </w:tcBorders>
            <w:shd w:val="clear" w:color="auto" w:fill="auto"/>
            <w:vAlign w:val="center"/>
          </w:tcPr>
          <w:p w14:paraId="00648D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510C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3656B28F">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起重臂根节</w:t>
            </w:r>
          </w:p>
        </w:tc>
        <w:tc>
          <w:tcPr>
            <w:tcW w:w="1097" w:type="dxa"/>
            <w:tcBorders>
              <w:tl2br w:val="nil"/>
              <w:tr2bl w:val="nil"/>
            </w:tcBorders>
            <w:shd w:val="clear" w:color="auto" w:fill="auto"/>
            <w:noWrap/>
            <w:vAlign w:val="center"/>
          </w:tcPr>
          <w:p w14:paraId="2A282E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3.8</w:t>
            </w:r>
          </w:p>
        </w:tc>
        <w:tc>
          <w:tcPr>
            <w:tcW w:w="1533" w:type="dxa"/>
            <w:tcBorders>
              <w:tl2br w:val="nil"/>
              <w:tr2bl w:val="nil"/>
            </w:tcBorders>
            <w:shd w:val="clear" w:color="auto" w:fill="auto"/>
            <w:noWrap/>
            <w:vAlign w:val="center"/>
          </w:tcPr>
          <w:p w14:paraId="7332274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06C128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2C0F1F2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06C304D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18857A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2D58BD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20.74%</w:t>
            </w:r>
          </w:p>
        </w:tc>
        <w:tc>
          <w:tcPr>
            <w:tcW w:w="1316" w:type="dxa"/>
            <w:tcBorders>
              <w:tl2br w:val="nil"/>
              <w:tr2bl w:val="nil"/>
            </w:tcBorders>
            <w:shd w:val="clear" w:color="auto" w:fill="auto"/>
            <w:vAlign w:val="center"/>
          </w:tcPr>
          <w:p w14:paraId="044A8A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7D31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782A0D5A">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平衡臂（牵引机构、平衡臂拉杆、起升机构、配电柜）</w:t>
            </w:r>
          </w:p>
        </w:tc>
        <w:tc>
          <w:tcPr>
            <w:tcW w:w="1097" w:type="dxa"/>
            <w:tcBorders>
              <w:tl2br w:val="nil"/>
              <w:tr2bl w:val="nil"/>
            </w:tcBorders>
            <w:shd w:val="clear" w:color="auto" w:fill="auto"/>
            <w:noWrap/>
            <w:vAlign w:val="center"/>
          </w:tcPr>
          <w:p w14:paraId="7C473C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5.2</w:t>
            </w:r>
          </w:p>
        </w:tc>
        <w:tc>
          <w:tcPr>
            <w:tcW w:w="1533" w:type="dxa"/>
            <w:tcBorders>
              <w:tl2br w:val="nil"/>
              <w:tr2bl w:val="nil"/>
            </w:tcBorders>
            <w:shd w:val="clear" w:color="auto" w:fill="auto"/>
            <w:noWrap/>
            <w:vAlign w:val="center"/>
          </w:tcPr>
          <w:p w14:paraId="2C0AC16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7A3FE3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10ECA4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4A01D4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0FDC5D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216F15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28.38%</w:t>
            </w:r>
          </w:p>
        </w:tc>
        <w:tc>
          <w:tcPr>
            <w:tcW w:w="1316" w:type="dxa"/>
            <w:tcBorders>
              <w:tl2br w:val="nil"/>
              <w:tr2bl w:val="nil"/>
            </w:tcBorders>
            <w:shd w:val="clear" w:color="auto" w:fill="auto"/>
            <w:vAlign w:val="center"/>
          </w:tcPr>
          <w:p w14:paraId="283F48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5B39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59B43FC8">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一块平衡重</w:t>
            </w:r>
          </w:p>
        </w:tc>
        <w:tc>
          <w:tcPr>
            <w:tcW w:w="1097" w:type="dxa"/>
            <w:tcBorders>
              <w:tl2br w:val="nil"/>
              <w:tr2bl w:val="nil"/>
            </w:tcBorders>
            <w:shd w:val="clear" w:color="auto" w:fill="auto"/>
            <w:noWrap/>
            <w:vAlign w:val="center"/>
          </w:tcPr>
          <w:p w14:paraId="535D361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3.2</w:t>
            </w:r>
          </w:p>
        </w:tc>
        <w:tc>
          <w:tcPr>
            <w:tcW w:w="1533" w:type="dxa"/>
            <w:tcBorders>
              <w:tl2br w:val="nil"/>
              <w:tr2bl w:val="nil"/>
            </w:tcBorders>
            <w:shd w:val="clear" w:color="auto" w:fill="auto"/>
            <w:noWrap/>
            <w:vAlign w:val="center"/>
          </w:tcPr>
          <w:p w14:paraId="22FAF50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46434B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561064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3A6906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20DED47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4B743E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17.47%</w:t>
            </w:r>
          </w:p>
        </w:tc>
        <w:tc>
          <w:tcPr>
            <w:tcW w:w="1316" w:type="dxa"/>
            <w:tcBorders>
              <w:tl2br w:val="nil"/>
              <w:tr2bl w:val="nil"/>
            </w:tcBorders>
            <w:shd w:val="clear" w:color="auto" w:fill="auto"/>
            <w:vAlign w:val="center"/>
          </w:tcPr>
          <w:p w14:paraId="7F88949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3250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1A7C0974">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起重臂节2</w:t>
            </w:r>
          </w:p>
        </w:tc>
        <w:tc>
          <w:tcPr>
            <w:tcW w:w="1097" w:type="dxa"/>
            <w:tcBorders>
              <w:tl2br w:val="nil"/>
              <w:tr2bl w:val="nil"/>
            </w:tcBorders>
            <w:shd w:val="clear" w:color="auto" w:fill="auto"/>
            <w:noWrap/>
            <w:vAlign w:val="center"/>
          </w:tcPr>
          <w:p w14:paraId="16BA8C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1.029</w:t>
            </w:r>
          </w:p>
        </w:tc>
        <w:tc>
          <w:tcPr>
            <w:tcW w:w="1533" w:type="dxa"/>
            <w:tcBorders>
              <w:tl2br w:val="nil"/>
              <w:tr2bl w:val="nil"/>
            </w:tcBorders>
            <w:shd w:val="clear" w:color="auto" w:fill="auto"/>
            <w:noWrap/>
            <w:vAlign w:val="center"/>
          </w:tcPr>
          <w:p w14:paraId="3FB7D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702A24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6511A42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09EB4C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32C14A0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343AA3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5.62%</w:t>
            </w:r>
          </w:p>
        </w:tc>
        <w:tc>
          <w:tcPr>
            <w:tcW w:w="1316" w:type="dxa"/>
            <w:tcBorders>
              <w:tl2br w:val="nil"/>
              <w:tr2bl w:val="nil"/>
            </w:tcBorders>
            <w:shd w:val="clear" w:color="auto" w:fill="auto"/>
            <w:vAlign w:val="center"/>
          </w:tcPr>
          <w:p w14:paraId="0061C24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7924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7CD691BC">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起重臂节3</w:t>
            </w:r>
          </w:p>
        </w:tc>
        <w:tc>
          <w:tcPr>
            <w:tcW w:w="1097" w:type="dxa"/>
            <w:tcBorders>
              <w:tl2br w:val="nil"/>
              <w:tr2bl w:val="nil"/>
            </w:tcBorders>
            <w:shd w:val="clear" w:color="auto" w:fill="auto"/>
            <w:noWrap/>
            <w:vAlign w:val="center"/>
          </w:tcPr>
          <w:p w14:paraId="5356D7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1.401</w:t>
            </w:r>
          </w:p>
        </w:tc>
        <w:tc>
          <w:tcPr>
            <w:tcW w:w="1533" w:type="dxa"/>
            <w:tcBorders>
              <w:tl2br w:val="nil"/>
              <w:tr2bl w:val="nil"/>
            </w:tcBorders>
            <w:shd w:val="clear" w:color="auto" w:fill="auto"/>
            <w:noWrap/>
            <w:vAlign w:val="center"/>
          </w:tcPr>
          <w:p w14:paraId="15CFD68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4C2F4E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2B83C9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030111D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09F426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0F7F12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7.65%</w:t>
            </w:r>
          </w:p>
        </w:tc>
        <w:tc>
          <w:tcPr>
            <w:tcW w:w="1316" w:type="dxa"/>
            <w:tcBorders>
              <w:tl2br w:val="nil"/>
              <w:tr2bl w:val="nil"/>
            </w:tcBorders>
            <w:shd w:val="clear" w:color="auto" w:fill="auto"/>
            <w:vAlign w:val="center"/>
          </w:tcPr>
          <w:p w14:paraId="10EDB06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502B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3A7CACE3">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起重臂节4</w:t>
            </w:r>
          </w:p>
        </w:tc>
        <w:tc>
          <w:tcPr>
            <w:tcW w:w="1097" w:type="dxa"/>
            <w:tcBorders>
              <w:tl2br w:val="nil"/>
              <w:tr2bl w:val="nil"/>
            </w:tcBorders>
            <w:shd w:val="clear" w:color="auto" w:fill="auto"/>
            <w:noWrap/>
            <w:vAlign w:val="center"/>
          </w:tcPr>
          <w:p w14:paraId="33753A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1.148</w:t>
            </w:r>
          </w:p>
        </w:tc>
        <w:tc>
          <w:tcPr>
            <w:tcW w:w="1533" w:type="dxa"/>
            <w:tcBorders>
              <w:tl2br w:val="nil"/>
              <w:tr2bl w:val="nil"/>
            </w:tcBorders>
            <w:shd w:val="clear" w:color="auto" w:fill="auto"/>
            <w:noWrap/>
            <w:vAlign w:val="center"/>
          </w:tcPr>
          <w:p w14:paraId="68A3C9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657723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50C59C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105B52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0626E50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3699CA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6.27%</w:t>
            </w:r>
          </w:p>
        </w:tc>
        <w:tc>
          <w:tcPr>
            <w:tcW w:w="1316" w:type="dxa"/>
            <w:tcBorders>
              <w:tl2br w:val="nil"/>
              <w:tr2bl w:val="nil"/>
            </w:tcBorders>
            <w:shd w:val="clear" w:color="auto" w:fill="auto"/>
            <w:vAlign w:val="center"/>
          </w:tcPr>
          <w:p w14:paraId="05F1E6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2397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46" w:type="dxa"/>
            <w:tcBorders>
              <w:tl2br w:val="nil"/>
              <w:tr2bl w:val="nil"/>
            </w:tcBorders>
            <w:shd w:val="clear" w:color="auto" w:fill="auto"/>
            <w:noWrap/>
            <w:vAlign w:val="center"/>
          </w:tcPr>
          <w:p w14:paraId="0BF1645E">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起重臂节5</w:t>
            </w:r>
          </w:p>
        </w:tc>
        <w:tc>
          <w:tcPr>
            <w:tcW w:w="1097" w:type="dxa"/>
            <w:tcBorders>
              <w:tl2br w:val="nil"/>
              <w:tr2bl w:val="nil"/>
            </w:tcBorders>
            <w:shd w:val="clear" w:color="auto" w:fill="auto"/>
            <w:noWrap/>
            <w:vAlign w:val="center"/>
          </w:tcPr>
          <w:p w14:paraId="0A74CF1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0.569</w:t>
            </w:r>
          </w:p>
        </w:tc>
        <w:tc>
          <w:tcPr>
            <w:tcW w:w="1533" w:type="dxa"/>
            <w:tcBorders>
              <w:tl2br w:val="nil"/>
              <w:tr2bl w:val="nil"/>
            </w:tcBorders>
            <w:shd w:val="clear" w:color="auto" w:fill="auto"/>
            <w:noWrap/>
            <w:vAlign w:val="center"/>
          </w:tcPr>
          <w:p w14:paraId="0B3F1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71C628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02A664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306200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3E137D9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44E7D0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3.11%</w:t>
            </w:r>
          </w:p>
        </w:tc>
        <w:tc>
          <w:tcPr>
            <w:tcW w:w="1316" w:type="dxa"/>
            <w:tcBorders>
              <w:tl2br w:val="nil"/>
              <w:tr2bl w:val="nil"/>
            </w:tcBorders>
            <w:shd w:val="clear" w:color="auto" w:fill="auto"/>
            <w:vAlign w:val="center"/>
          </w:tcPr>
          <w:p w14:paraId="583F4B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526E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346" w:type="dxa"/>
            <w:tcBorders>
              <w:tl2br w:val="nil"/>
              <w:tr2bl w:val="nil"/>
            </w:tcBorders>
            <w:shd w:val="clear" w:color="auto" w:fill="auto"/>
            <w:noWrap/>
            <w:vAlign w:val="center"/>
          </w:tcPr>
          <w:p w14:paraId="1DEB9ED5">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起重臂节6</w:t>
            </w:r>
          </w:p>
        </w:tc>
        <w:tc>
          <w:tcPr>
            <w:tcW w:w="1097" w:type="dxa"/>
            <w:tcBorders>
              <w:tl2br w:val="nil"/>
              <w:tr2bl w:val="nil"/>
            </w:tcBorders>
            <w:shd w:val="clear" w:color="auto" w:fill="auto"/>
            <w:noWrap/>
            <w:vAlign w:val="center"/>
          </w:tcPr>
          <w:p w14:paraId="34DB3BF1">
            <w:pPr>
              <w:keepNext w:val="0"/>
              <w:keepLines w:val="0"/>
              <w:widowControl/>
              <w:suppressLineNumbers w:val="0"/>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0.787</w:t>
            </w:r>
          </w:p>
        </w:tc>
        <w:tc>
          <w:tcPr>
            <w:tcW w:w="1533" w:type="dxa"/>
            <w:tcBorders>
              <w:tl2br w:val="nil"/>
              <w:tr2bl w:val="nil"/>
            </w:tcBorders>
            <w:shd w:val="clear" w:color="auto" w:fill="auto"/>
            <w:noWrap/>
            <w:vAlign w:val="center"/>
          </w:tcPr>
          <w:p w14:paraId="2C6D7E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2BBFDE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715411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014C15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7C71E9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07366A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4.30%</w:t>
            </w:r>
          </w:p>
        </w:tc>
        <w:tc>
          <w:tcPr>
            <w:tcW w:w="1316" w:type="dxa"/>
            <w:tcBorders>
              <w:tl2br w:val="nil"/>
              <w:tr2bl w:val="nil"/>
            </w:tcBorders>
            <w:shd w:val="clear" w:color="auto" w:fill="auto"/>
            <w:vAlign w:val="center"/>
          </w:tcPr>
          <w:p w14:paraId="5FCB59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62.7</w:t>
            </w:r>
          </w:p>
        </w:tc>
      </w:tr>
      <w:tr w14:paraId="0865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46" w:type="dxa"/>
            <w:tcBorders>
              <w:tl2br w:val="nil"/>
              <w:tr2bl w:val="nil"/>
            </w:tcBorders>
            <w:shd w:val="clear" w:color="auto" w:fill="auto"/>
            <w:noWrap/>
            <w:vAlign w:val="center"/>
          </w:tcPr>
          <w:p w14:paraId="1AD3773E">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起重臂节7</w:t>
            </w:r>
          </w:p>
        </w:tc>
        <w:tc>
          <w:tcPr>
            <w:tcW w:w="1097" w:type="dxa"/>
            <w:tcBorders>
              <w:tl2br w:val="nil"/>
              <w:tr2bl w:val="nil"/>
            </w:tcBorders>
            <w:shd w:val="clear" w:color="auto" w:fill="auto"/>
            <w:noWrap/>
            <w:vAlign w:val="center"/>
          </w:tcPr>
          <w:p w14:paraId="0CF217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0.65</w:t>
            </w:r>
          </w:p>
        </w:tc>
        <w:tc>
          <w:tcPr>
            <w:tcW w:w="1533" w:type="dxa"/>
            <w:tcBorders>
              <w:tl2br w:val="nil"/>
              <w:tr2bl w:val="nil"/>
            </w:tcBorders>
            <w:shd w:val="clear" w:color="auto" w:fill="auto"/>
            <w:noWrap/>
            <w:vAlign w:val="center"/>
          </w:tcPr>
          <w:p w14:paraId="4DC915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296E8C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678DEA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63FCDE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42B33E9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7E0A1B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3.55%</w:t>
            </w:r>
          </w:p>
        </w:tc>
        <w:tc>
          <w:tcPr>
            <w:tcW w:w="1316" w:type="dxa"/>
            <w:tcBorders>
              <w:tl2br w:val="nil"/>
              <w:tr2bl w:val="nil"/>
            </w:tcBorders>
            <w:shd w:val="clear" w:color="auto" w:fill="auto"/>
            <w:vAlign w:val="center"/>
          </w:tcPr>
          <w:p w14:paraId="154544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5CE1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46" w:type="dxa"/>
            <w:tcBorders>
              <w:tl2br w:val="nil"/>
              <w:tr2bl w:val="nil"/>
            </w:tcBorders>
            <w:shd w:val="clear" w:color="auto" w:fill="auto"/>
            <w:noWrap/>
            <w:vAlign w:val="center"/>
          </w:tcPr>
          <w:p w14:paraId="646FED2A">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起重臂节8</w:t>
            </w:r>
          </w:p>
        </w:tc>
        <w:tc>
          <w:tcPr>
            <w:tcW w:w="1097" w:type="dxa"/>
            <w:tcBorders>
              <w:tl2br w:val="nil"/>
              <w:tr2bl w:val="nil"/>
            </w:tcBorders>
            <w:shd w:val="clear" w:color="auto" w:fill="auto"/>
            <w:noWrap/>
            <w:vAlign w:val="center"/>
          </w:tcPr>
          <w:p w14:paraId="3A95D23F">
            <w:pPr>
              <w:keepNext w:val="0"/>
              <w:keepLines w:val="0"/>
              <w:widowControl/>
              <w:suppressLineNumbers w:val="0"/>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0.231</w:t>
            </w:r>
          </w:p>
        </w:tc>
        <w:tc>
          <w:tcPr>
            <w:tcW w:w="1533" w:type="dxa"/>
            <w:tcBorders>
              <w:tl2br w:val="nil"/>
              <w:tr2bl w:val="nil"/>
            </w:tcBorders>
            <w:shd w:val="clear" w:color="auto" w:fill="auto"/>
            <w:noWrap/>
            <w:vAlign w:val="center"/>
          </w:tcPr>
          <w:p w14:paraId="32F5F98C">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604B6B66">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2A8B69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25C29CB2">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7C077184">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7898150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1.26%</w:t>
            </w:r>
          </w:p>
        </w:tc>
        <w:tc>
          <w:tcPr>
            <w:tcW w:w="1316" w:type="dxa"/>
            <w:tcBorders>
              <w:tl2br w:val="nil"/>
              <w:tr2bl w:val="nil"/>
            </w:tcBorders>
            <w:shd w:val="clear" w:color="auto" w:fill="auto"/>
            <w:vAlign w:val="center"/>
          </w:tcPr>
          <w:p w14:paraId="27EB49A1">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62.7</w:t>
            </w:r>
          </w:p>
        </w:tc>
      </w:tr>
      <w:tr w14:paraId="0DE0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46" w:type="dxa"/>
            <w:tcBorders>
              <w:tl2br w:val="nil"/>
              <w:tr2bl w:val="nil"/>
            </w:tcBorders>
            <w:shd w:val="clear" w:color="auto" w:fill="auto"/>
            <w:noWrap/>
            <w:vAlign w:val="center"/>
          </w:tcPr>
          <w:p w14:paraId="15BF3B42">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起重臂节9及臂头</w:t>
            </w:r>
          </w:p>
        </w:tc>
        <w:tc>
          <w:tcPr>
            <w:tcW w:w="1097" w:type="dxa"/>
            <w:tcBorders>
              <w:tl2br w:val="nil"/>
              <w:tr2bl w:val="nil"/>
            </w:tcBorders>
            <w:shd w:val="clear" w:color="auto" w:fill="auto"/>
            <w:noWrap/>
            <w:vAlign w:val="center"/>
          </w:tcPr>
          <w:p w14:paraId="4B30CB97">
            <w:pPr>
              <w:keepNext w:val="0"/>
              <w:keepLines w:val="0"/>
              <w:widowControl/>
              <w:suppressLineNumbers w:val="0"/>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0.33</w:t>
            </w:r>
          </w:p>
        </w:tc>
        <w:tc>
          <w:tcPr>
            <w:tcW w:w="1533" w:type="dxa"/>
            <w:tcBorders>
              <w:tl2br w:val="nil"/>
              <w:tr2bl w:val="nil"/>
            </w:tcBorders>
            <w:shd w:val="clear" w:color="auto" w:fill="auto"/>
            <w:noWrap/>
            <w:vAlign w:val="center"/>
          </w:tcPr>
          <w:p w14:paraId="4DA34E2A">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2FF826E2">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713AB3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1AE02F61">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2392FF0F">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5EF1DE6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1.80%</w:t>
            </w:r>
          </w:p>
        </w:tc>
        <w:tc>
          <w:tcPr>
            <w:tcW w:w="1316" w:type="dxa"/>
            <w:tcBorders>
              <w:tl2br w:val="nil"/>
              <w:tr2bl w:val="nil"/>
            </w:tcBorders>
            <w:shd w:val="clear" w:color="auto" w:fill="auto"/>
            <w:vAlign w:val="center"/>
          </w:tcPr>
          <w:p w14:paraId="4A8B40C0">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62.7</w:t>
            </w:r>
          </w:p>
        </w:tc>
      </w:tr>
      <w:tr w14:paraId="7DE3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46" w:type="dxa"/>
            <w:vMerge w:val="restart"/>
            <w:tcBorders>
              <w:tl2br w:val="nil"/>
              <w:tr2bl w:val="nil"/>
            </w:tcBorders>
            <w:shd w:val="clear" w:color="auto" w:fill="auto"/>
            <w:noWrap/>
            <w:vAlign w:val="center"/>
          </w:tcPr>
          <w:p w14:paraId="08D088C2">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剩余平衡重</w:t>
            </w:r>
          </w:p>
        </w:tc>
        <w:tc>
          <w:tcPr>
            <w:tcW w:w="1097" w:type="dxa"/>
            <w:tcBorders>
              <w:tl2br w:val="nil"/>
              <w:tr2bl w:val="nil"/>
            </w:tcBorders>
            <w:shd w:val="clear" w:color="auto" w:fill="auto"/>
            <w:noWrap/>
            <w:vAlign w:val="center"/>
          </w:tcPr>
          <w:p w14:paraId="36D98A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2*3.2</w:t>
            </w:r>
          </w:p>
        </w:tc>
        <w:tc>
          <w:tcPr>
            <w:tcW w:w="1533" w:type="dxa"/>
            <w:tcBorders>
              <w:tl2br w:val="nil"/>
              <w:tr2bl w:val="nil"/>
            </w:tcBorders>
            <w:shd w:val="clear" w:color="auto" w:fill="auto"/>
            <w:noWrap/>
            <w:vAlign w:val="center"/>
          </w:tcPr>
          <w:p w14:paraId="58B4DF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7E07B3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497D69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43122F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28A528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2D79AA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17.47%</w:t>
            </w:r>
          </w:p>
        </w:tc>
        <w:tc>
          <w:tcPr>
            <w:tcW w:w="1316" w:type="dxa"/>
            <w:tcBorders>
              <w:tl2br w:val="nil"/>
              <w:tr2bl w:val="nil"/>
            </w:tcBorders>
            <w:shd w:val="clear" w:color="auto" w:fill="auto"/>
            <w:vAlign w:val="center"/>
          </w:tcPr>
          <w:p w14:paraId="29765B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4A32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vMerge w:val="continue"/>
            <w:tcBorders>
              <w:tl2br w:val="nil"/>
              <w:tr2bl w:val="nil"/>
            </w:tcBorders>
            <w:shd w:val="clear" w:color="auto" w:fill="auto"/>
            <w:noWrap/>
            <w:vAlign w:val="center"/>
          </w:tcPr>
          <w:p w14:paraId="6B17C709">
            <w:pPr>
              <w:pStyle w:val="71"/>
              <w:spacing w:before="48" w:after="48"/>
              <w:ind w:firstLine="0" w:firstLineChars="0"/>
              <w:rPr>
                <w:rFonts w:hint="eastAsia" w:ascii="新宋体" w:hAnsi="新宋体" w:eastAsia="新宋体" w:cs="新宋体"/>
                <w:i w:val="0"/>
                <w:iCs w:val="0"/>
                <w:color w:val="000000"/>
                <w:sz w:val="18"/>
                <w:szCs w:val="18"/>
                <w:u w:val="none"/>
              </w:rPr>
            </w:pPr>
          </w:p>
        </w:tc>
        <w:tc>
          <w:tcPr>
            <w:tcW w:w="1097" w:type="dxa"/>
            <w:tcBorders>
              <w:tl2br w:val="nil"/>
              <w:tr2bl w:val="nil"/>
            </w:tcBorders>
            <w:shd w:val="clear" w:color="auto" w:fill="auto"/>
            <w:noWrap/>
            <w:vAlign w:val="center"/>
          </w:tcPr>
          <w:p w14:paraId="2801C5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3*2.3</w:t>
            </w:r>
          </w:p>
        </w:tc>
        <w:tc>
          <w:tcPr>
            <w:tcW w:w="1533" w:type="dxa"/>
            <w:tcBorders>
              <w:tl2br w:val="nil"/>
              <w:tr2bl w:val="nil"/>
            </w:tcBorders>
            <w:shd w:val="clear" w:color="auto" w:fill="auto"/>
            <w:noWrap/>
            <w:vAlign w:val="center"/>
          </w:tcPr>
          <w:p w14:paraId="24A97D1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025DB8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6643235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1E4CCF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1743E95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0C5D00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12.55%</w:t>
            </w:r>
          </w:p>
        </w:tc>
        <w:tc>
          <w:tcPr>
            <w:tcW w:w="1316" w:type="dxa"/>
            <w:tcBorders>
              <w:tl2br w:val="nil"/>
              <w:tr2bl w:val="nil"/>
            </w:tcBorders>
            <w:shd w:val="clear" w:color="auto" w:fill="auto"/>
            <w:vAlign w:val="center"/>
          </w:tcPr>
          <w:p w14:paraId="35B194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r w14:paraId="2BC0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vMerge w:val="continue"/>
            <w:tcBorders>
              <w:tl2br w:val="nil"/>
              <w:tr2bl w:val="nil"/>
            </w:tcBorders>
            <w:shd w:val="clear" w:color="auto" w:fill="auto"/>
            <w:noWrap/>
            <w:vAlign w:val="center"/>
          </w:tcPr>
          <w:p w14:paraId="08860267">
            <w:pPr>
              <w:pStyle w:val="71"/>
              <w:spacing w:before="48" w:after="48"/>
              <w:ind w:firstLine="0" w:firstLineChars="0"/>
              <w:rPr>
                <w:rFonts w:hint="eastAsia" w:ascii="新宋体" w:hAnsi="新宋体" w:eastAsia="新宋体" w:cs="新宋体"/>
                <w:i w:val="0"/>
                <w:iCs w:val="0"/>
                <w:color w:val="000000"/>
                <w:sz w:val="18"/>
                <w:szCs w:val="18"/>
                <w:u w:val="none"/>
              </w:rPr>
            </w:pPr>
          </w:p>
        </w:tc>
        <w:tc>
          <w:tcPr>
            <w:tcW w:w="1097" w:type="dxa"/>
            <w:tcBorders>
              <w:tl2br w:val="nil"/>
              <w:tr2bl w:val="nil"/>
            </w:tcBorders>
            <w:shd w:val="clear" w:color="auto" w:fill="auto"/>
            <w:noWrap/>
            <w:vAlign w:val="center"/>
          </w:tcPr>
          <w:p w14:paraId="47F928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1*1</w:t>
            </w:r>
          </w:p>
        </w:tc>
        <w:tc>
          <w:tcPr>
            <w:tcW w:w="1533" w:type="dxa"/>
            <w:tcBorders>
              <w:tl2br w:val="nil"/>
              <w:tr2bl w:val="nil"/>
            </w:tcBorders>
            <w:shd w:val="clear" w:color="auto" w:fill="auto"/>
            <w:noWrap/>
            <w:vAlign w:val="center"/>
          </w:tcPr>
          <w:p w14:paraId="08976C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756720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T1200-64Q</w:t>
            </w:r>
          </w:p>
        </w:tc>
        <w:tc>
          <w:tcPr>
            <w:tcW w:w="1133" w:type="dxa"/>
            <w:tcBorders>
              <w:tl2br w:val="nil"/>
              <w:tr2bl w:val="nil"/>
            </w:tcBorders>
            <w:shd w:val="clear" w:color="auto" w:fill="auto"/>
            <w:noWrap/>
            <w:vAlign w:val="center"/>
          </w:tcPr>
          <w:p w14:paraId="7365D0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1067" w:type="dxa"/>
            <w:tcBorders>
              <w:tl2br w:val="nil"/>
              <w:tr2bl w:val="nil"/>
            </w:tcBorders>
            <w:shd w:val="clear" w:color="auto" w:fill="auto"/>
            <w:noWrap/>
            <w:vAlign w:val="center"/>
          </w:tcPr>
          <w:p w14:paraId="00D340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70.0</w:t>
            </w:r>
          </w:p>
        </w:tc>
        <w:tc>
          <w:tcPr>
            <w:tcW w:w="1033" w:type="dxa"/>
            <w:tcBorders>
              <w:tl2br w:val="nil"/>
              <w:tr2bl w:val="nil"/>
            </w:tcBorders>
            <w:shd w:val="clear" w:color="auto" w:fill="auto"/>
            <w:vAlign w:val="center"/>
          </w:tcPr>
          <w:p w14:paraId="4B8898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18.32</w:t>
            </w:r>
          </w:p>
        </w:tc>
        <w:tc>
          <w:tcPr>
            <w:tcW w:w="1117" w:type="dxa"/>
            <w:tcBorders>
              <w:tl2br w:val="nil"/>
              <w:tr2bl w:val="nil"/>
            </w:tcBorders>
            <w:shd w:val="clear" w:color="auto" w:fill="auto"/>
            <w:noWrap/>
            <w:vAlign w:val="center"/>
          </w:tcPr>
          <w:p w14:paraId="38F508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5.46%</w:t>
            </w:r>
          </w:p>
        </w:tc>
        <w:tc>
          <w:tcPr>
            <w:tcW w:w="1316" w:type="dxa"/>
            <w:tcBorders>
              <w:tl2br w:val="nil"/>
              <w:tr2bl w:val="nil"/>
            </w:tcBorders>
            <w:shd w:val="clear" w:color="auto" w:fill="auto"/>
            <w:vAlign w:val="center"/>
          </w:tcPr>
          <w:p w14:paraId="00243C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62.7</w:t>
            </w:r>
          </w:p>
        </w:tc>
      </w:tr>
    </w:tbl>
    <w:p w14:paraId="1572FCBA">
      <w:pPr>
        <w:bidi w:val="0"/>
        <w:jc w:val="center"/>
        <w:rPr>
          <w:rFonts w:hint="default"/>
          <w:b/>
          <w:bCs/>
          <w:lang w:val="en-US" w:eastAsia="zh-CN"/>
        </w:rPr>
      </w:pPr>
      <w:r>
        <w:rPr>
          <w:rFonts w:hint="eastAsia" w:ascii="宋体" w:hAnsi="宋体" w:eastAsia="宋体" w:cs="宋体"/>
          <w:b/>
          <w:bCs/>
          <w:lang w:eastAsia="zh-CN"/>
        </w:rPr>
        <w:t>表</w:t>
      </w:r>
      <w:r>
        <w:rPr>
          <w:rFonts w:hint="eastAsia" w:ascii="宋体" w:hAnsi="宋体" w:eastAsia="宋体" w:cs="宋体"/>
          <w:b/>
          <w:bCs/>
          <w:lang w:val="en-US" w:eastAsia="zh-CN"/>
        </w:rPr>
        <w:t>8.3</w:t>
      </w:r>
      <w:r>
        <w:rPr>
          <w:rFonts w:hint="eastAsia" w:ascii="宋体" w:hAnsi="宋体" w:eastAsia="宋体" w:cs="宋体"/>
          <w:b/>
          <w:bCs/>
          <w:lang w:eastAsia="zh-CN"/>
        </w:rPr>
        <w:t>-</w:t>
      </w:r>
      <w:r>
        <w:rPr>
          <w:rFonts w:hint="eastAsia" w:ascii="宋体" w:hAnsi="宋体" w:eastAsia="宋体" w:cs="宋体"/>
          <w:b/>
          <w:bCs/>
          <w:lang w:val="en-US" w:eastAsia="zh-CN"/>
        </w:rPr>
        <w:t>2 拆</w:t>
      </w:r>
      <w:r>
        <w:rPr>
          <w:rFonts w:hint="eastAsia" w:ascii="宋体" w:hAnsi="宋体" w:cs="宋体"/>
          <w:b/>
          <w:bCs/>
          <w:lang w:val="en-US" w:eastAsia="zh-CN"/>
        </w:rPr>
        <w:t>塔计算</w:t>
      </w:r>
    </w:p>
    <w:tbl>
      <w:tblPr>
        <w:tblStyle w:val="30"/>
        <w:tblpPr w:leftFromText="180" w:rightFromText="180" w:vertAnchor="text" w:horzAnchor="page" w:tblpX="706" w:tblpY="125"/>
        <w:tblOverlap w:val="never"/>
        <w:tblW w:w="10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46"/>
        <w:gridCol w:w="1097"/>
        <w:gridCol w:w="1533"/>
        <w:gridCol w:w="1217"/>
        <w:gridCol w:w="1133"/>
        <w:gridCol w:w="1067"/>
        <w:gridCol w:w="1033"/>
        <w:gridCol w:w="1117"/>
        <w:gridCol w:w="1316"/>
      </w:tblGrid>
      <w:tr w14:paraId="3044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2" w:hRule="atLeast"/>
        </w:trPr>
        <w:tc>
          <w:tcPr>
            <w:tcW w:w="3976" w:type="dxa"/>
            <w:gridSpan w:val="3"/>
            <w:tcBorders>
              <w:tl2br w:val="nil"/>
              <w:tr2bl w:val="nil"/>
            </w:tcBorders>
            <w:shd w:val="clear" w:color="auto" w:fill="auto"/>
            <w:noWrap/>
            <w:vAlign w:val="center"/>
          </w:tcPr>
          <w:p w14:paraId="098BB22A">
            <w:pPr>
              <w:keepNext w:val="0"/>
              <w:keepLines w:val="0"/>
              <w:widowControl/>
              <w:suppressLineNumbers w:val="0"/>
              <w:jc w:val="center"/>
              <w:textAlignment w:val="center"/>
              <w:rPr>
                <w:rFonts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塔机构件</w:t>
            </w:r>
          </w:p>
        </w:tc>
        <w:tc>
          <w:tcPr>
            <w:tcW w:w="6883" w:type="dxa"/>
            <w:gridSpan w:val="6"/>
            <w:tcBorders>
              <w:tl2br w:val="nil"/>
              <w:tr2bl w:val="nil"/>
            </w:tcBorders>
            <w:shd w:val="clear" w:color="auto" w:fill="auto"/>
            <w:noWrap/>
            <w:vAlign w:val="center"/>
          </w:tcPr>
          <w:p w14:paraId="7F0E4771">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吊重机械</w:t>
            </w:r>
          </w:p>
        </w:tc>
      </w:tr>
      <w:tr w14:paraId="5558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46" w:type="dxa"/>
            <w:tcBorders>
              <w:tl2br w:val="nil"/>
              <w:tr2bl w:val="nil"/>
            </w:tcBorders>
            <w:shd w:val="clear" w:color="auto" w:fill="auto"/>
            <w:noWrap/>
            <w:vAlign w:val="center"/>
          </w:tcPr>
          <w:p w14:paraId="2B983B72">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名称</w:t>
            </w:r>
          </w:p>
        </w:tc>
        <w:tc>
          <w:tcPr>
            <w:tcW w:w="1097" w:type="dxa"/>
            <w:tcBorders>
              <w:tl2br w:val="nil"/>
              <w:tr2bl w:val="nil"/>
            </w:tcBorders>
            <w:shd w:val="clear" w:color="auto" w:fill="auto"/>
            <w:noWrap/>
            <w:vAlign w:val="center"/>
          </w:tcPr>
          <w:p w14:paraId="61130295">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Q1构件重</w:t>
            </w:r>
            <w:r>
              <w:rPr>
                <w:rStyle w:val="75"/>
                <w:rFonts w:eastAsia="新宋体"/>
                <w:lang w:val="en-US" w:eastAsia="zh-CN" w:bidi="ar"/>
              </w:rPr>
              <w:t>(t)</w:t>
            </w:r>
          </w:p>
        </w:tc>
        <w:tc>
          <w:tcPr>
            <w:tcW w:w="1533" w:type="dxa"/>
            <w:tcBorders>
              <w:tl2br w:val="nil"/>
              <w:tr2bl w:val="nil"/>
            </w:tcBorders>
            <w:shd w:val="clear" w:color="auto" w:fill="auto"/>
            <w:noWrap/>
            <w:vAlign w:val="center"/>
          </w:tcPr>
          <w:p w14:paraId="491E615A">
            <w:pPr>
              <w:keepNext w:val="0"/>
              <w:keepLines w:val="0"/>
              <w:widowControl/>
              <w:suppressLineNumbers w:val="0"/>
              <w:jc w:val="left"/>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h说明书起吊高度</w:t>
            </w:r>
            <w:r>
              <w:rPr>
                <w:rStyle w:val="75"/>
                <w:rFonts w:eastAsia="新宋体"/>
                <w:lang w:val="en-US" w:eastAsia="zh-CN" w:bidi="ar"/>
              </w:rPr>
              <w:t>(m)</w:t>
            </w:r>
          </w:p>
        </w:tc>
        <w:tc>
          <w:tcPr>
            <w:tcW w:w="1217" w:type="dxa"/>
            <w:tcBorders>
              <w:tl2br w:val="nil"/>
              <w:tr2bl w:val="nil"/>
            </w:tcBorders>
            <w:shd w:val="clear" w:color="auto" w:fill="auto"/>
            <w:noWrap/>
            <w:vAlign w:val="center"/>
          </w:tcPr>
          <w:p w14:paraId="60BC6B2C">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载具</w:t>
            </w:r>
            <w:r>
              <w:rPr>
                <w:rStyle w:val="75"/>
                <w:rFonts w:eastAsia="新宋体"/>
                <w:lang w:val="en-US" w:eastAsia="zh-CN" w:bidi="ar"/>
              </w:rPr>
              <w:t>(m)</w:t>
            </w:r>
          </w:p>
        </w:tc>
        <w:tc>
          <w:tcPr>
            <w:tcW w:w="1133" w:type="dxa"/>
            <w:tcBorders>
              <w:tl2br w:val="nil"/>
              <w:tr2bl w:val="nil"/>
            </w:tcBorders>
            <w:shd w:val="clear" w:color="auto" w:fill="auto"/>
            <w:noWrap/>
            <w:vAlign w:val="center"/>
          </w:tcPr>
          <w:p w14:paraId="0F6DFC63">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作业半径</w:t>
            </w:r>
            <w:r>
              <w:rPr>
                <w:rStyle w:val="75"/>
                <w:rFonts w:eastAsia="新宋体"/>
                <w:lang w:val="en-US" w:eastAsia="zh-CN" w:bidi="ar"/>
              </w:rPr>
              <w:t>(m)</w:t>
            </w:r>
          </w:p>
        </w:tc>
        <w:tc>
          <w:tcPr>
            <w:tcW w:w="1067" w:type="dxa"/>
            <w:tcBorders>
              <w:tl2br w:val="nil"/>
              <w:tr2bl w:val="nil"/>
            </w:tcBorders>
            <w:shd w:val="clear" w:color="auto" w:fill="auto"/>
            <w:noWrap/>
            <w:vAlign w:val="center"/>
          </w:tcPr>
          <w:p w14:paraId="652CA833">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主臂长度</w:t>
            </w:r>
            <w:r>
              <w:rPr>
                <w:rStyle w:val="75"/>
                <w:rFonts w:eastAsia="新宋体"/>
                <w:lang w:val="en-US" w:eastAsia="zh-CN" w:bidi="ar"/>
              </w:rPr>
              <w:t>(m)</w:t>
            </w:r>
          </w:p>
        </w:tc>
        <w:tc>
          <w:tcPr>
            <w:tcW w:w="1033" w:type="dxa"/>
            <w:tcBorders>
              <w:tl2br w:val="nil"/>
              <w:tr2bl w:val="nil"/>
            </w:tcBorders>
            <w:shd w:val="clear" w:color="auto" w:fill="auto"/>
            <w:noWrap/>
            <w:vAlign w:val="center"/>
          </w:tcPr>
          <w:p w14:paraId="1CD3E73D">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Q起重量</w:t>
            </w:r>
            <w:r>
              <w:rPr>
                <w:rStyle w:val="75"/>
                <w:rFonts w:eastAsia="新宋体"/>
                <w:lang w:val="en-US" w:eastAsia="zh-CN" w:bidi="ar"/>
              </w:rPr>
              <w:t>(t)</w:t>
            </w:r>
          </w:p>
        </w:tc>
        <w:tc>
          <w:tcPr>
            <w:tcW w:w="1117" w:type="dxa"/>
            <w:tcBorders>
              <w:tl2br w:val="nil"/>
              <w:tr2bl w:val="nil"/>
            </w:tcBorders>
            <w:shd w:val="clear" w:color="auto" w:fill="auto"/>
            <w:noWrap/>
            <w:vAlign w:val="center"/>
          </w:tcPr>
          <w:p w14:paraId="2168E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η负荷率（%）</w:t>
            </w:r>
          </w:p>
        </w:tc>
        <w:tc>
          <w:tcPr>
            <w:tcW w:w="1316" w:type="dxa"/>
            <w:tcBorders>
              <w:tl2br w:val="nil"/>
              <w:tr2bl w:val="nil"/>
            </w:tcBorders>
            <w:shd w:val="clear" w:color="auto" w:fill="auto"/>
            <w:noWrap/>
            <w:vAlign w:val="center"/>
          </w:tcPr>
          <w:p w14:paraId="0F157C47">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H起升高度(m)</w:t>
            </w:r>
          </w:p>
        </w:tc>
      </w:tr>
      <w:tr w14:paraId="3F8C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46" w:type="dxa"/>
            <w:tcBorders>
              <w:tl2br w:val="nil"/>
              <w:tr2bl w:val="nil"/>
            </w:tcBorders>
            <w:shd w:val="clear" w:color="auto" w:fill="auto"/>
            <w:noWrap/>
            <w:vAlign w:val="center"/>
          </w:tcPr>
          <w:p w14:paraId="182D0B54">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基础节</w:t>
            </w:r>
          </w:p>
        </w:tc>
        <w:tc>
          <w:tcPr>
            <w:tcW w:w="1097" w:type="dxa"/>
            <w:tcBorders>
              <w:tl2br w:val="nil"/>
              <w:tr2bl w:val="nil"/>
            </w:tcBorders>
            <w:shd w:val="clear" w:color="auto" w:fill="auto"/>
            <w:noWrap/>
            <w:vAlign w:val="center"/>
          </w:tcPr>
          <w:p w14:paraId="7DFAFA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4.085</w:t>
            </w:r>
          </w:p>
        </w:tc>
        <w:tc>
          <w:tcPr>
            <w:tcW w:w="1533" w:type="dxa"/>
            <w:tcBorders>
              <w:tl2br w:val="nil"/>
              <w:tr2bl w:val="nil"/>
            </w:tcBorders>
            <w:shd w:val="clear" w:color="auto" w:fill="auto"/>
            <w:noWrap/>
            <w:vAlign w:val="center"/>
          </w:tcPr>
          <w:p w14:paraId="463AED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11</w:t>
            </w:r>
          </w:p>
        </w:tc>
        <w:tc>
          <w:tcPr>
            <w:tcW w:w="1217" w:type="dxa"/>
            <w:tcBorders>
              <w:tl2br w:val="nil"/>
              <w:tr2bl w:val="nil"/>
            </w:tcBorders>
            <w:shd w:val="clear" w:color="auto" w:fill="auto"/>
            <w:vAlign w:val="center"/>
          </w:tcPr>
          <w:p w14:paraId="43775D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47A641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3B1FEB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0C735E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422157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45.39%</w:t>
            </w:r>
          </w:p>
        </w:tc>
        <w:tc>
          <w:tcPr>
            <w:tcW w:w="1316" w:type="dxa"/>
            <w:tcBorders>
              <w:tl2br w:val="nil"/>
              <w:tr2bl w:val="nil"/>
            </w:tcBorders>
            <w:shd w:val="clear" w:color="auto" w:fill="auto"/>
            <w:vAlign w:val="center"/>
          </w:tcPr>
          <w:p w14:paraId="0A94C8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31.0</w:t>
            </w:r>
          </w:p>
        </w:tc>
      </w:tr>
      <w:tr w14:paraId="175B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1346" w:type="dxa"/>
            <w:tcBorders>
              <w:tl2br w:val="nil"/>
              <w:tr2bl w:val="nil"/>
            </w:tcBorders>
            <w:shd w:val="clear" w:color="auto" w:fill="auto"/>
            <w:noWrap/>
            <w:vAlign w:val="center"/>
          </w:tcPr>
          <w:p w14:paraId="498197F3">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标准节</w:t>
            </w:r>
          </w:p>
        </w:tc>
        <w:tc>
          <w:tcPr>
            <w:tcW w:w="1097" w:type="dxa"/>
            <w:tcBorders>
              <w:tl2br w:val="nil"/>
              <w:tr2bl w:val="nil"/>
            </w:tcBorders>
            <w:shd w:val="clear" w:color="auto" w:fill="auto"/>
            <w:noWrap/>
            <w:vAlign w:val="center"/>
          </w:tcPr>
          <w:p w14:paraId="0C7CC4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1.8</w:t>
            </w:r>
          </w:p>
        </w:tc>
        <w:tc>
          <w:tcPr>
            <w:tcW w:w="1533" w:type="dxa"/>
            <w:tcBorders>
              <w:tl2br w:val="nil"/>
              <w:tr2bl w:val="nil"/>
            </w:tcBorders>
            <w:shd w:val="clear" w:color="auto" w:fill="auto"/>
            <w:noWrap/>
            <w:vAlign w:val="center"/>
          </w:tcPr>
          <w:p w14:paraId="3F11455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14</w:t>
            </w:r>
          </w:p>
        </w:tc>
        <w:tc>
          <w:tcPr>
            <w:tcW w:w="1217" w:type="dxa"/>
            <w:tcBorders>
              <w:tl2br w:val="nil"/>
              <w:tr2bl w:val="nil"/>
            </w:tcBorders>
            <w:shd w:val="clear" w:color="auto" w:fill="auto"/>
            <w:vAlign w:val="center"/>
          </w:tcPr>
          <w:p w14:paraId="6513E5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59179B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4E9B5A1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6E14A80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6CA98C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20.00%</w:t>
            </w:r>
          </w:p>
        </w:tc>
        <w:tc>
          <w:tcPr>
            <w:tcW w:w="1316" w:type="dxa"/>
            <w:tcBorders>
              <w:tl2br w:val="nil"/>
              <w:tr2bl w:val="nil"/>
            </w:tcBorders>
            <w:shd w:val="clear" w:color="auto" w:fill="auto"/>
            <w:vAlign w:val="center"/>
          </w:tcPr>
          <w:p w14:paraId="091A60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31.0</w:t>
            </w:r>
          </w:p>
        </w:tc>
      </w:tr>
      <w:tr w14:paraId="5C04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0E83C66A">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爬升架（包括油缸、泵）</w:t>
            </w:r>
          </w:p>
        </w:tc>
        <w:tc>
          <w:tcPr>
            <w:tcW w:w="1097" w:type="dxa"/>
            <w:tcBorders>
              <w:tl2br w:val="nil"/>
              <w:tr2bl w:val="nil"/>
            </w:tcBorders>
            <w:shd w:val="clear" w:color="auto" w:fill="auto"/>
            <w:noWrap/>
            <w:vAlign w:val="center"/>
          </w:tcPr>
          <w:p w14:paraId="58F4A1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5.35</w:t>
            </w:r>
          </w:p>
        </w:tc>
        <w:tc>
          <w:tcPr>
            <w:tcW w:w="1533" w:type="dxa"/>
            <w:tcBorders>
              <w:tl2br w:val="nil"/>
              <w:tr2bl w:val="nil"/>
            </w:tcBorders>
            <w:shd w:val="clear" w:color="auto" w:fill="auto"/>
            <w:noWrap/>
            <w:vAlign w:val="center"/>
          </w:tcPr>
          <w:p w14:paraId="62E66E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22</w:t>
            </w:r>
          </w:p>
        </w:tc>
        <w:tc>
          <w:tcPr>
            <w:tcW w:w="1217" w:type="dxa"/>
            <w:tcBorders>
              <w:tl2br w:val="nil"/>
              <w:tr2bl w:val="nil"/>
            </w:tcBorders>
            <w:shd w:val="clear" w:color="auto" w:fill="auto"/>
            <w:vAlign w:val="center"/>
          </w:tcPr>
          <w:p w14:paraId="00F402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28ED62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04F765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063A35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20B297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59.44%</w:t>
            </w:r>
          </w:p>
        </w:tc>
        <w:tc>
          <w:tcPr>
            <w:tcW w:w="1316" w:type="dxa"/>
            <w:tcBorders>
              <w:tl2br w:val="nil"/>
              <w:tr2bl w:val="nil"/>
            </w:tcBorders>
            <w:shd w:val="clear" w:color="auto" w:fill="auto"/>
            <w:vAlign w:val="center"/>
          </w:tcPr>
          <w:p w14:paraId="12BE5B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31.0</w:t>
            </w:r>
          </w:p>
        </w:tc>
      </w:tr>
      <w:tr w14:paraId="0378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08ADF44F">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特殊节</w:t>
            </w:r>
          </w:p>
        </w:tc>
        <w:tc>
          <w:tcPr>
            <w:tcW w:w="1097" w:type="dxa"/>
            <w:tcBorders>
              <w:tl2br w:val="nil"/>
              <w:tr2bl w:val="nil"/>
            </w:tcBorders>
            <w:shd w:val="clear" w:color="auto" w:fill="auto"/>
            <w:noWrap/>
            <w:vAlign w:val="center"/>
          </w:tcPr>
          <w:p w14:paraId="06DA682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3.0</w:t>
            </w:r>
          </w:p>
        </w:tc>
        <w:tc>
          <w:tcPr>
            <w:tcW w:w="1533" w:type="dxa"/>
            <w:tcBorders>
              <w:tl2br w:val="nil"/>
              <w:tr2bl w:val="nil"/>
            </w:tcBorders>
            <w:shd w:val="clear" w:color="auto" w:fill="auto"/>
            <w:noWrap/>
            <w:vAlign w:val="center"/>
          </w:tcPr>
          <w:p w14:paraId="49575A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22</w:t>
            </w:r>
          </w:p>
        </w:tc>
        <w:tc>
          <w:tcPr>
            <w:tcW w:w="1217" w:type="dxa"/>
            <w:tcBorders>
              <w:tl2br w:val="nil"/>
              <w:tr2bl w:val="nil"/>
            </w:tcBorders>
            <w:shd w:val="clear" w:color="auto" w:fill="auto"/>
            <w:noWrap/>
            <w:vAlign w:val="center"/>
          </w:tcPr>
          <w:p w14:paraId="02C160D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1C75EA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7E4F4E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noWrap/>
            <w:vAlign w:val="center"/>
          </w:tcPr>
          <w:p w14:paraId="643900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111A0F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33.33%</w:t>
            </w:r>
          </w:p>
        </w:tc>
        <w:tc>
          <w:tcPr>
            <w:tcW w:w="1316" w:type="dxa"/>
            <w:tcBorders>
              <w:tl2br w:val="nil"/>
              <w:tr2bl w:val="nil"/>
            </w:tcBorders>
            <w:shd w:val="clear" w:color="auto" w:fill="auto"/>
            <w:noWrap/>
            <w:vAlign w:val="center"/>
          </w:tcPr>
          <w:p w14:paraId="258B2E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2CC3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22974E13">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回转总成</w:t>
            </w:r>
          </w:p>
        </w:tc>
        <w:tc>
          <w:tcPr>
            <w:tcW w:w="1097" w:type="dxa"/>
            <w:tcBorders>
              <w:tl2br w:val="nil"/>
              <w:tr2bl w:val="nil"/>
            </w:tcBorders>
            <w:shd w:val="clear" w:color="auto" w:fill="auto"/>
            <w:noWrap/>
            <w:vAlign w:val="center"/>
          </w:tcPr>
          <w:p w14:paraId="22C7C69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4.758</w:t>
            </w:r>
          </w:p>
        </w:tc>
        <w:tc>
          <w:tcPr>
            <w:tcW w:w="1533" w:type="dxa"/>
            <w:tcBorders>
              <w:tl2br w:val="nil"/>
              <w:tr2bl w:val="nil"/>
            </w:tcBorders>
            <w:shd w:val="clear" w:color="auto" w:fill="auto"/>
            <w:noWrap/>
            <w:vAlign w:val="center"/>
          </w:tcPr>
          <w:p w14:paraId="0E065CA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22</w:t>
            </w:r>
          </w:p>
        </w:tc>
        <w:tc>
          <w:tcPr>
            <w:tcW w:w="1217" w:type="dxa"/>
            <w:tcBorders>
              <w:tl2br w:val="nil"/>
              <w:tr2bl w:val="nil"/>
            </w:tcBorders>
            <w:shd w:val="clear" w:color="auto" w:fill="auto"/>
            <w:vAlign w:val="center"/>
          </w:tcPr>
          <w:p w14:paraId="534C039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0B2E35C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300DCB3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118ACB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65124D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52.87%</w:t>
            </w:r>
          </w:p>
        </w:tc>
        <w:tc>
          <w:tcPr>
            <w:tcW w:w="1316" w:type="dxa"/>
            <w:tcBorders>
              <w:tl2br w:val="nil"/>
              <w:tr2bl w:val="nil"/>
            </w:tcBorders>
            <w:shd w:val="clear" w:color="auto" w:fill="auto"/>
            <w:vAlign w:val="center"/>
          </w:tcPr>
          <w:p w14:paraId="0BCAF3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6392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7FE67ADE">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起重臂根节</w:t>
            </w:r>
          </w:p>
        </w:tc>
        <w:tc>
          <w:tcPr>
            <w:tcW w:w="1097" w:type="dxa"/>
            <w:tcBorders>
              <w:tl2br w:val="nil"/>
              <w:tr2bl w:val="nil"/>
            </w:tcBorders>
            <w:shd w:val="clear" w:color="auto" w:fill="auto"/>
            <w:noWrap/>
            <w:vAlign w:val="center"/>
          </w:tcPr>
          <w:p w14:paraId="37CBB6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3.8</w:t>
            </w:r>
          </w:p>
        </w:tc>
        <w:tc>
          <w:tcPr>
            <w:tcW w:w="1533" w:type="dxa"/>
            <w:tcBorders>
              <w:tl2br w:val="nil"/>
              <w:tr2bl w:val="nil"/>
            </w:tcBorders>
            <w:shd w:val="clear" w:color="auto" w:fill="auto"/>
            <w:noWrap/>
            <w:vAlign w:val="center"/>
          </w:tcPr>
          <w:p w14:paraId="1AF163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3C0E5E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0E28B99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20B782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537CDC4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144B19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42.22%</w:t>
            </w:r>
          </w:p>
        </w:tc>
        <w:tc>
          <w:tcPr>
            <w:tcW w:w="1316" w:type="dxa"/>
            <w:tcBorders>
              <w:tl2br w:val="nil"/>
              <w:tr2bl w:val="nil"/>
            </w:tcBorders>
            <w:shd w:val="clear" w:color="auto" w:fill="auto"/>
            <w:vAlign w:val="center"/>
          </w:tcPr>
          <w:p w14:paraId="4FC028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37AB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7DD75B9A">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平衡臂（牵引机构、平衡臂拉杆、起升机构、配电柜）</w:t>
            </w:r>
          </w:p>
        </w:tc>
        <w:tc>
          <w:tcPr>
            <w:tcW w:w="1097" w:type="dxa"/>
            <w:tcBorders>
              <w:tl2br w:val="nil"/>
              <w:tr2bl w:val="nil"/>
            </w:tcBorders>
            <w:shd w:val="clear" w:color="auto" w:fill="auto"/>
            <w:noWrap/>
            <w:vAlign w:val="center"/>
          </w:tcPr>
          <w:p w14:paraId="031879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5.2</w:t>
            </w:r>
          </w:p>
        </w:tc>
        <w:tc>
          <w:tcPr>
            <w:tcW w:w="1533" w:type="dxa"/>
            <w:tcBorders>
              <w:tl2br w:val="nil"/>
              <w:tr2bl w:val="nil"/>
            </w:tcBorders>
            <w:shd w:val="clear" w:color="auto" w:fill="auto"/>
            <w:noWrap/>
            <w:vAlign w:val="center"/>
          </w:tcPr>
          <w:p w14:paraId="178481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4BF6FD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046F7F5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66B12B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4E9E2AB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23BDD0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57.78%</w:t>
            </w:r>
          </w:p>
        </w:tc>
        <w:tc>
          <w:tcPr>
            <w:tcW w:w="1316" w:type="dxa"/>
            <w:tcBorders>
              <w:tl2br w:val="nil"/>
              <w:tr2bl w:val="nil"/>
            </w:tcBorders>
            <w:shd w:val="clear" w:color="auto" w:fill="auto"/>
            <w:vAlign w:val="center"/>
          </w:tcPr>
          <w:p w14:paraId="0ABAC24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563F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7EA7E20A">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一块平衡重</w:t>
            </w:r>
          </w:p>
        </w:tc>
        <w:tc>
          <w:tcPr>
            <w:tcW w:w="1097" w:type="dxa"/>
            <w:tcBorders>
              <w:tl2br w:val="nil"/>
              <w:tr2bl w:val="nil"/>
            </w:tcBorders>
            <w:shd w:val="clear" w:color="auto" w:fill="auto"/>
            <w:noWrap/>
            <w:vAlign w:val="center"/>
          </w:tcPr>
          <w:p w14:paraId="6A0850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3.2</w:t>
            </w:r>
          </w:p>
        </w:tc>
        <w:tc>
          <w:tcPr>
            <w:tcW w:w="1533" w:type="dxa"/>
            <w:tcBorders>
              <w:tl2br w:val="nil"/>
              <w:tr2bl w:val="nil"/>
            </w:tcBorders>
            <w:shd w:val="clear" w:color="auto" w:fill="auto"/>
            <w:noWrap/>
            <w:vAlign w:val="center"/>
          </w:tcPr>
          <w:p w14:paraId="5B79406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6709CE8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377DCC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657E4D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6AC4B55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76EDC8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35.56%</w:t>
            </w:r>
          </w:p>
        </w:tc>
        <w:tc>
          <w:tcPr>
            <w:tcW w:w="1316" w:type="dxa"/>
            <w:tcBorders>
              <w:tl2br w:val="nil"/>
              <w:tr2bl w:val="nil"/>
            </w:tcBorders>
            <w:shd w:val="clear" w:color="auto" w:fill="auto"/>
            <w:vAlign w:val="center"/>
          </w:tcPr>
          <w:p w14:paraId="265FB2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27F5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458EA5E0">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起重臂节2</w:t>
            </w:r>
          </w:p>
        </w:tc>
        <w:tc>
          <w:tcPr>
            <w:tcW w:w="1097" w:type="dxa"/>
            <w:tcBorders>
              <w:tl2br w:val="nil"/>
              <w:tr2bl w:val="nil"/>
            </w:tcBorders>
            <w:shd w:val="clear" w:color="auto" w:fill="auto"/>
            <w:noWrap/>
            <w:vAlign w:val="center"/>
          </w:tcPr>
          <w:p w14:paraId="189DC8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1.029</w:t>
            </w:r>
          </w:p>
        </w:tc>
        <w:tc>
          <w:tcPr>
            <w:tcW w:w="1533" w:type="dxa"/>
            <w:tcBorders>
              <w:tl2br w:val="nil"/>
              <w:tr2bl w:val="nil"/>
            </w:tcBorders>
            <w:shd w:val="clear" w:color="auto" w:fill="auto"/>
            <w:noWrap/>
            <w:vAlign w:val="center"/>
          </w:tcPr>
          <w:p w14:paraId="6582751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34A0E6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132BE4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135201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525CB0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23D153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11.43%</w:t>
            </w:r>
          </w:p>
        </w:tc>
        <w:tc>
          <w:tcPr>
            <w:tcW w:w="1316" w:type="dxa"/>
            <w:tcBorders>
              <w:tl2br w:val="nil"/>
              <w:tr2bl w:val="nil"/>
            </w:tcBorders>
            <w:shd w:val="clear" w:color="auto" w:fill="auto"/>
            <w:vAlign w:val="center"/>
          </w:tcPr>
          <w:p w14:paraId="2061A0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46AF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0BE9006B">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起重臂节3</w:t>
            </w:r>
          </w:p>
        </w:tc>
        <w:tc>
          <w:tcPr>
            <w:tcW w:w="1097" w:type="dxa"/>
            <w:tcBorders>
              <w:tl2br w:val="nil"/>
              <w:tr2bl w:val="nil"/>
            </w:tcBorders>
            <w:shd w:val="clear" w:color="auto" w:fill="auto"/>
            <w:noWrap/>
            <w:vAlign w:val="center"/>
          </w:tcPr>
          <w:p w14:paraId="015E45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1.401</w:t>
            </w:r>
          </w:p>
        </w:tc>
        <w:tc>
          <w:tcPr>
            <w:tcW w:w="1533" w:type="dxa"/>
            <w:tcBorders>
              <w:tl2br w:val="nil"/>
              <w:tr2bl w:val="nil"/>
            </w:tcBorders>
            <w:shd w:val="clear" w:color="auto" w:fill="auto"/>
            <w:noWrap/>
            <w:vAlign w:val="center"/>
          </w:tcPr>
          <w:p w14:paraId="763D7B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0910066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3B090E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51016D9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41D751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74BD67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70.05%</w:t>
            </w:r>
          </w:p>
        </w:tc>
        <w:tc>
          <w:tcPr>
            <w:tcW w:w="1316" w:type="dxa"/>
            <w:tcBorders>
              <w:tl2br w:val="nil"/>
              <w:tr2bl w:val="nil"/>
            </w:tcBorders>
            <w:shd w:val="clear" w:color="auto" w:fill="auto"/>
            <w:vAlign w:val="center"/>
          </w:tcPr>
          <w:p w14:paraId="3633D42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27.0</w:t>
            </w:r>
          </w:p>
        </w:tc>
      </w:tr>
      <w:tr w14:paraId="745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tcBorders>
              <w:tl2br w:val="nil"/>
              <w:tr2bl w:val="nil"/>
            </w:tcBorders>
            <w:shd w:val="clear" w:color="auto" w:fill="auto"/>
            <w:noWrap/>
            <w:vAlign w:val="center"/>
          </w:tcPr>
          <w:p w14:paraId="4246E5C2">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起重臂节4</w:t>
            </w:r>
          </w:p>
        </w:tc>
        <w:tc>
          <w:tcPr>
            <w:tcW w:w="1097" w:type="dxa"/>
            <w:tcBorders>
              <w:tl2br w:val="nil"/>
              <w:tr2bl w:val="nil"/>
            </w:tcBorders>
            <w:shd w:val="clear" w:color="auto" w:fill="auto"/>
            <w:noWrap/>
            <w:vAlign w:val="center"/>
          </w:tcPr>
          <w:p w14:paraId="7FF319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1.148</w:t>
            </w:r>
          </w:p>
        </w:tc>
        <w:tc>
          <w:tcPr>
            <w:tcW w:w="1533" w:type="dxa"/>
            <w:tcBorders>
              <w:tl2br w:val="nil"/>
              <w:tr2bl w:val="nil"/>
            </w:tcBorders>
            <w:shd w:val="clear" w:color="auto" w:fill="auto"/>
            <w:noWrap/>
            <w:vAlign w:val="center"/>
          </w:tcPr>
          <w:p w14:paraId="0695594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4868C00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583E60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6D07EA4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67B5BA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790AAD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57.40%</w:t>
            </w:r>
          </w:p>
        </w:tc>
        <w:tc>
          <w:tcPr>
            <w:tcW w:w="1316" w:type="dxa"/>
            <w:tcBorders>
              <w:tl2br w:val="nil"/>
              <w:tr2bl w:val="nil"/>
            </w:tcBorders>
            <w:shd w:val="clear" w:color="auto" w:fill="auto"/>
            <w:vAlign w:val="center"/>
          </w:tcPr>
          <w:p w14:paraId="0E13C1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27.0</w:t>
            </w:r>
          </w:p>
        </w:tc>
      </w:tr>
      <w:tr w14:paraId="5E00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346" w:type="dxa"/>
            <w:tcBorders>
              <w:tl2br w:val="nil"/>
              <w:tr2bl w:val="nil"/>
            </w:tcBorders>
            <w:shd w:val="clear" w:color="auto" w:fill="auto"/>
            <w:noWrap/>
            <w:vAlign w:val="center"/>
          </w:tcPr>
          <w:p w14:paraId="2E84398E">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起重臂节5</w:t>
            </w:r>
          </w:p>
        </w:tc>
        <w:tc>
          <w:tcPr>
            <w:tcW w:w="1097" w:type="dxa"/>
            <w:tcBorders>
              <w:tl2br w:val="nil"/>
              <w:tr2bl w:val="nil"/>
            </w:tcBorders>
            <w:shd w:val="clear" w:color="auto" w:fill="auto"/>
            <w:noWrap/>
            <w:vAlign w:val="center"/>
          </w:tcPr>
          <w:p w14:paraId="1F1EB5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0.569</w:t>
            </w:r>
          </w:p>
        </w:tc>
        <w:tc>
          <w:tcPr>
            <w:tcW w:w="1533" w:type="dxa"/>
            <w:tcBorders>
              <w:tl2br w:val="nil"/>
              <w:tr2bl w:val="nil"/>
            </w:tcBorders>
            <w:shd w:val="clear" w:color="auto" w:fill="auto"/>
            <w:noWrap/>
            <w:vAlign w:val="center"/>
          </w:tcPr>
          <w:p w14:paraId="21FC98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5D5441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105F53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76AABE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1F4124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7F2EB3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28.45%</w:t>
            </w:r>
          </w:p>
        </w:tc>
        <w:tc>
          <w:tcPr>
            <w:tcW w:w="1316" w:type="dxa"/>
            <w:tcBorders>
              <w:tl2br w:val="nil"/>
              <w:tr2bl w:val="nil"/>
            </w:tcBorders>
            <w:shd w:val="clear" w:color="auto" w:fill="auto"/>
            <w:vAlign w:val="center"/>
          </w:tcPr>
          <w:p w14:paraId="7E9EFC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27.0</w:t>
            </w:r>
          </w:p>
        </w:tc>
      </w:tr>
      <w:tr w14:paraId="43A2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346" w:type="dxa"/>
            <w:tcBorders>
              <w:tl2br w:val="nil"/>
              <w:tr2bl w:val="nil"/>
            </w:tcBorders>
            <w:shd w:val="clear" w:color="auto" w:fill="auto"/>
            <w:noWrap/>
            <w:vAlign w:val="center"/>
          </w:tcPr>
          <w:p w14:paraId="4A96DE9E">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起重臂节6</w:t>
            </w:r>
          </w:p>
        </w:tc>
        <w:tc>
          <w:tcPr>
            <w:tcW w:w="1097" w:type="dxa"/>
            <w:tcBorders>
              <w:tl2br w:val="nil"/>
              <w:tr2bl w:val="nil"/>
            </w:tcBorders>
            <w:shd w:val="clear" w:color="auto" w:fill="auto"/>
            <w:noWrap/>
            <w:vAlign w:val="center"/>
          </w:tcPr>
          <w:p w14:paraId="680205DE">
            <w:pPr>
              <w:keepNext w:val="0"/>
              <w:keepLines w:val="0"/>
              <w:widowControl/>
              <w:suppressLineNumbers w:val="0"/>
              <w:jc w:val="center"/>
              <w:textAlignment w:val="center"/>
              <w:rPr>
                <w:rFonts w:hint="default"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0.787</w:t>
            </w:r>
          </w:p>
        </w:tc>
        <w:tc>
          <w:tcPr>
            <w:tcW w:w="1533" w:type="dxa"/>
            <w:tcBorders>
              <w:tl2br w:val="nil"/>
              <w:tr2bl w:val="nil"/>
            </w:tcBorders>
            <w:shd w:val="clear" w:color="auto" w:fill="auto"/>
            <w:noWrap/>
            <w:vAlign w:val="center"/>
          </w:tcPr>
          <w:p w14:paraId="44F095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4CE3B4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3C2744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3133F4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2B21B7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26CB87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39.35%</w:t>
            </w:r>
          </w:p>
        </w:tc>
        <w:tc>
          <w:tcPr>
            <w:tcW w:w="1316" w:type="dxa"/>
            <w:tcBorders>
              <w:tl2br w:val="nil"/>
              <w:tr2bl w:val="nil"/>
            </w:tcBorders>
            <w:shd w:val="clear" w:color="auto" w:fill="auto"/>
            <w:vAlign w:val="center"/>
          </w:tcPr>
          <w:p w14:paraId="1A36EB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27.0</w:t>
            </w:r>
          </w:p>
        </w:tc>
      </w:tr>
      <w:tr w14:paraId="1E36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46" w:type="dxa"/>
            <w:tcBorders>
              <w:tl2br w:val="nil"/>
              <w:tr2bl w:val="nil"/>
            </w:tcBorders>
            <w:shd w:val="clear" w:color="auto" w:fill="auto"/>
            <w:noWrap/>
            <w:vAlign w:val="center"/>
          </w:tcPr>
          <w:p w14:paraId="4172A1E6">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起重臂节7</w:t>
            </w:r>
          </w:p>
        </w:tc>
        <w:tc>
          <w:tcPr>
            <w:tcW w:w="1097" w:type="dxa"/>
            <w:tcBorders>
              <w:tl2br w:val="nil"/>
              <w:tr2bl w:val="nil"/>
            </w:tcBorders>
            <w:shd w:val="clear" w:color="auto" w:fill="auto"/>
            <w:noWrap/>
            <w:vAlign w:val="center"/>
          </w:tcPr>
          <w:p w14:paraId="1BC97C6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0.65</w:t>
            </w:r>
          </w:p>
        </w:tc>
        <w:tc>
          <w:tcPr>
            <w:tcW w:w="1533" w:type="dxa"/>
            <w:tcBorders>
              <w:tl2br w:val="nil"/>
              <w:tr2bl w:val="nil"/>
            </w:tcBorders>
            <w:shd w:val="clear" w:color="auto" w:fill="auto"/>
            <w:noWrap/>
            <w:vAlign w:val="center"/>
          </w:tcPr>
          <w:p w14:paraId="3C4F485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37964A2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394475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618DE17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5FF8AB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16BB84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32.50%</w:t>
            </w:r>
          </w:p>
        </w:tc>
        <w:tc>
          <w:tcPr>
            <w:tcW w:w="1316" w:type="dxa"/>
            <w:tcBorders>
              <w:tl2br w:val="nil"/>
              <w:tr2bl w:val="nil"/>
            </w:tcBorders>
            <w:shd w:val="clear" w:color="auto" w:fill="auto"/>
            <w:vAlign w:val="center"/>
          </w:tcPr>
          <w:p w14:paraId="5FEFD5A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27.0</w:t>
            </w:r>
          </w:p>
        </w:tc>
      </w:tr>
      <w:tr w14:paraId="5508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46" w:type="dxa"/>
            <w:tcBorders>
              <w:tl2br w:val="nil"/>
              <w:tr2bl w:val="nil"/>
            </w:tcBorders>
            <w:shd w:val="clear" w:color="auto" w:fill="auto"/>
            <w:noWrap/>
            <w:vAlign w:val="center"/>
          </w:tcPr>
          <w:p w14:paraId="2F569B47">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起重臂节8</w:t>
            </w:r>
          </w:p>
        </w:tc>
        <w:tc>
          <w:tcPr>
            <w:tcW w:w="1097" w:type="dxa"/>
            <w:tcBorders>
              <w:tl2br w:val="nil"/>
              <w:tr2bl w:val="nil"/>
            </w:tcBorders>
            <w:shd w:val="clear" w:color="auto" w:fill="auto"/>
            <w:noWrap/>
            <w:vAlign w:val="center"/>
          </w:tcPr>
          <w:p w14:paraId="4D0C5758">
            <w:pPr>
              <w:keepNext w:val="0"/>
              <w:keepLines w:val="0"/>
              <w:widowControl/>
              <w:suppressLineNumbers w:val="0"/>
              <w:jc w:val="center"/>
              <w:textAlignment w:val="center"/>
              <w:rPr>
                <w:rFonts w:hint="eastAsia"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0.231</w:t>
            </w:r>
          </w:p>
        </w:tc>
        <w:tc>
          <w:tcPr>
            <w:tcW w:w="1533" w:type="dxa"/>
            <w:tcBorders>
              <w:tl2br w:val="nil"/>
              <w:tr2bl w:val="nil"/>
            </w:tcBorders>
            <w:shd w:val="clear" w:color="auto" w:fill="auto"/>
            <w:noWrap/>
            <w:vAlign w:val="center"/>
          </w:tcPr>
          <w:p w14:paraId="7394C73B">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0A3659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4AB087C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52933051">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7014716E">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32A8780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11.55%</w:t>
            </w:r>
          </w:p>
        </w:tc>
        <w:tc>
          <w:tcPr>
            <w:tcW w:w="1316" w:type="dxa"/>
            <w:tcBorders>
              <w:tl2br w:val="nil"/>
              <w:tr2bl w:val="nil"/>
            </w:tcBorders>
            <w:shd w:val="clear" w:color="auto" w:fill="auto"/>
            <w:vAlign w:val="center"/>
          </w:tcPr>
          <w:p w14:paraId="46317BF9">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27.0</w:t>
            </w:r>
          </w:p>
        </w:tc>
      </w:tr>
      <w:tr w14:paraId="48B4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46" w:type="dxa"/>
            <w:tcBorders>
              <w:tl2br w:val="nil"/>
              <w:tr2bl w:val="nil"/>
            </w:tcBorders>
            <w:shd w:val="clear" w:color="auto" w:fill="auto"/>
            <w:noWrap/>
            <w:vAlign w:val="center"/>
          </w:tcPr>
          <w:p w14:paraId="1361D20C">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起重臂节9及臂头</w:t>
            </w:r>
          </w:p>
        </w:tc>
        <w:tc>
          <w:tcPr>
            <w:tcW w:w="1097" w:type="dxa"/>
            <w:tcBorders>
              <w:tl2br w:val="nil"/>
              <w:tr2bl w:val="nil"/>
            </w:tcBorders>
            <w:shd w:val="clear" w:color="auto" w:fill="auto"/>
            <w:noWrap/>
            <w:vAlign w:val="center"/>
          </w:tcPr>
          <w:p w14:paraId="0E82B106">
            <w:pPr>
              <w:keepNext w:val="0"/>
              <w:keepLines w:val="0"/>
              <w:widowControl/>
              <w:suppressLineNumbers w:val="0"/>
              <w:jc w:val="center"/>
              <w:textAlignment w:val="center"/>
              <w:rPr>
                <w:rFonts w:hint="eastAsia" w:eastAsia="宋体" w:cs="Times New Roman"/>
                <w:i w:val="0"/>
                <w:iCs w:val="0"/>
                <w:color w:val="000000"/>
                <w:sz w:val="18"/>
                <w:szCs w:val="18"/>
                <w:u w:val="none"/>
                <w:lang w:val="en-US" w:eastAsia="zh-CN"/>
              </w:rPr>
            </w:pPr>
            <w:r>
              <w:rPr>
                <w:rFonts w:hint="eastAsia" w:eastAsia="宋体" w:cs="Times New Roman"/>
                <w:i w:val="0"/>
                <w:iCs w:val="0"/>
                <w:color w:val="000000"/>
                <w:sz w:val="18"/>
                <w:szCs w:val="18"/>
                <w:u w:val="none"/>
                <w:lang w:val="en-US" w:eastAsia="zh-CN"/>
              </w:rPr>
              <w:t>0.33</w:t>
            </w:r>
          </w:p>
        </w:tc>
        <w:tc>
          <w:tcPr>
            <w:tcW w:w="1533" w:type="dxa"/>
            <w:tcBorders>
              <w:tl2br w:val="nil"/>
              <w:tr2bl w:val="nil"/>
            </w:tcBorders>
            <w:shd w:val="clear" w:color="auto" w:fill="auto"/>
            <w:noWrap/>
            <w:vAlign w:val="center"/>
          </w:tcPr>
          <w:p w14:paraId="7E112FD7">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w:t>
            </w:r>
          </w:p>
        </w:tc>
        <w:tc>
          <w:tcPr>
            <w:tcW w:w="1217" w:type="dxa"/>
            <w:tcBorders>
              <w:tl2br w:val="nil"/>
              <w:tr2bl w:val="nil"/>
            </w:tcBorders>
            <w:shd w:val="clear" w:color="auto" w:fill="auto"/>
            <w:vAlign w:val="center"/>
          </w:tcPr>
          <w:p w14:paraId="2EBE5D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672DA64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28.0</w:t>
            </w:r>
          </w:p>
        </w:tc>
        <w:tc>
          <w:tcPr>
            <w:tcW w:w="1067" w:type="dxa"/>
            <w:tcBorders>
              <w:tl2br w:val="nil"/>
              <w:tr2bl w:val="nil"/>
            </w:tcBorders>
            <w:shd w:val="clear" w:color="auto" w:fill="auto"/>
            <w:noWrap/>
            <w:vAlign w:val="center"/>
          </w:tcPr>
          <w:p w14:paraId="2FFFB5C4">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37.9</w:t>
            </w:r>
          </w:p>
        </w:tc>
        <w:tc>
          <w:tcPr>
            <w:tcW w:w="1033" w:type="dxa"/>
            <w:tcBorders>
              <w:tl2br w:val="nil"/>
              <w:tr2bl w:val="nil"/>
            </w:tcBorders>
            <w:shd w:val="clear" w:color="auto" w:fill="auto"/>
            <w:vAlign w:val="center"/>
          </w:tcPr>
          <w:p w14:paraId="518A4F95">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2.0</w:t>
            </w:r>
          </w:p>
        </w:tc>
        <w:tc>
          <w:tcPr>
            <w:tcW w:w="1117" w:type="dxa"/>
            <w:tcBorders>
              <w:tl2br w:val="nil"/>
              <w:tr2bl w:val="nil"/>
            </w:tcBorders>
            <w:shd w:val="clear" w:color="auto" w:fill="auto"/>
            <w:noWrap/>
            <w:vAlign w:val="center"/>
          </w:tcPr>
          <w:p w14:paraId="39EE105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16.50%</w:t>
            </w:r>
          </w:p>
        </w:tc>
        <w:tc>
          <w:tcPr>
            <w:tcW w:w="1316" w:type="dxa"/>
            <w:tcBorders>
              <w:tl2br w:val="nil"/>
              <w:tr2bl w:val="nil"/>
            </w:tcBorders>
            <w:shd w:val="clear" w:color="auto" w:fill="auto"/>
            <w:vAlign w:val="center"/>
          </w:tcPr>
          <w:p w14:paraId="798EFA7B">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27.0</w:t>
            </w:r>
          </w:p>
        </w:tc>
      </w:tr>
      <w:tr w14:paraId="5C7D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346" w:type="dxa"/>
            <w:vMerge w:val="restart"/>
            <w:tcBorders>
              <w:tl2br w:val="nil"/>
              <w:tr2bl w:val="nil"/>
            </w:tcBorders>
            <w:shd w:val="clear" w:color="auto" w:fill="auto"/>
            <w:noWrap/>
            <w:vAlign w:val="center"/>
          </w:tcPr>
          <w:p w14:paraId="22FF282E">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剩余平衡重</w:t>
            </w:r>
          </w:p>
        </w:tc>
        <w:tc>
          <w:tcPr>
            <w:tcW w:w="1097" w:type="dxa"/>
            <w:tcBorders>
              <w:tl2br w:val="nil"/>
              <w:tr2bl w:val="nil"/>
            </w:tcBorders>
            <w:shd w:val="clear" w:color="auto" w:fill="auto"/>
            <w:noWrap/>
            <w:vAlign w:val="center"/>
          </w:tcPr>
          <w:p w14:paraId="76BA21F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2*3.2</w:t>
            </w:r>
          </w:p>
        </w:tc>
        <w:tc>
          <w:tcPr>
            <w:tcW w:w="1533" w:type="dxa"/>
            <w:tcBorders>
              <w:tl2br w:val="nil"/>
              <w:tr2bl w:val="nil"/>
            </w:tcBorders>
            <w:shd w:val="clear" w:color="auto" w:fill="auto"/>
            <w:noWrap/>
            <w:vAlign w:val="center"/>
          </w:tcPr>
          <w:p w14:paraId="0814C3F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1DCA32F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70CBE3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1C2FC4D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3496492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7D7918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35.56%</w:t>
            </w:r>
          </w:p>
        </w:tc>
        <w:tc>
          <w:tcPr>
            <w:tcW w:w="1316" w:type="dxa"/>
            <w:tcBorders>
              <w:tl2br w:val="nil"/>
              <w:tr2bl w:val="nil"/>
            </w:tcBorders>
            <w:shd w:val="clear" w:color="auto" w:fill="auto"/>
            <w:vAlign w:val="center"/>
          </w:tcPr>
          <w:p w14:paraId="2C4FC1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4ACD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vMerge w:val="continue"/>
            <w:tcBorders>
              <w:tl2br w:val="nil"/>
              <w:tr2bl w:val="nil"/>
            </w:tcBorders>
            <w:shd w:val="clear" w:color="auto" w:fill="auto"/>
            <w:noWrap/>
            <w:vAlign w:val="center"/>
          </w:tcPr>
          <w:p w14:paraId="344C62A2">
            <w:pPr>
              <w:pStyle w:val="71"/>
              <w:spacing w:before="48" w:after="48"/>
              <w:ind w:firstLine="0" w:firstLineChars="0"/>
              <w:rPr>
                <w:rFonts w:hint="eastAsia" w:ascii="新宋体" w:hAnsi="新宋体" w:eastAsia="新宋体" w:cs="新宋体"/>
                <w:i w:val="0"/>
                <w:iCs w:val="0"/>
                <w:color w:val="000000"/>
                <w:sz w:val="18"/>
                <w:szCs w:val="18"/>
                <w:u w:val="none"/>
              </w:rPr>
            </w:pPr>
          </w:p>
        </w:tc>
        <w:tc>
          <w:tcPr>
            <w:tcW w:w="1097" w:type="dxa"/>
            <w:tcBorders>
              <w:tl2br w:val="nil"/>
              <w:tr2bl w:val="nil"/>
            </w:tcBorders>
            <w:shd w:val="clear" w:color="auto" w:fill="auto"/>
            <w:noWrap/>
            <w:vAlign w:val="center"/>
          </w:tcPr>
          <w:p w14:paraId="2EECE0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3*2.3</w:t>
            </w:r>
          </w:p>
        </w:tc>
        <w:tc>
          <w:tcPr>
            <w:tcW w:w="1533" w:type="dxa"/>
            <w:tcBorders>
              <w:tl2br w:val="nil"/>
              <w:tr2bl w:val="nil"/>
            </w:tcBorders>
            <w:shd w:val="clear" w:color="auto" w:fill="auto"/>
            <w:noWrap/>
            <w:vAlign w:val="center"/>
          </w:tcPr>
          <w:p w14:paraId="50FEF5B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37CD06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4CF2E5F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57A56DC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6A90787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7DE220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25.56%</w:t>
            </w:r>
          </w:p>
        </w:tc>
        <w:tc>
          <w:tcPr>
            <w:tcW w:w="1316" w:type="dxa"/>
            <w:tcBorders>
              <w:tl2br w:val="nil"/>
              <w:tr2bl w:val="nil"/>
            </w:tcBorders>
            <w:shd w:val="clear" w:color="auto" w:fill="auto"/>
            <w:vAlign w:val="center"/>
          </w:tcPr>
          <w:p w14:paraId="25C468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r w14:paraId="3A51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46" w:type="dxa"/>
            <w:vMerge w:val="continue"/>
            <w:tcBorders>
              <w:tl2br w:val="nil"/>
              <w:tr2bl w:val="nil"/>
            </w:tcBorders>
            <w:shd w:val="clear" w:color="auto" w:fill="auto"/>
            <w:noWrap/>
            <w:vAlign w:val="center"/>
          </w:tcPr>
          <w:p w14:paraId="26E4C37B">
            <w:pPr>
              <w:pStyle w:val="71"/>
              <w:spacing w:before="48" w:after="48"/>
              <w:ind w:firstLine="0" w:firstLineChars="0"/>
              <w:rPr>
                <w:rFonts w:hint="eastAsia" w:ascii="新宋体" w:hAnsi="新宋体" w:eastAsia="新宋体" w:cs="新宋体"/>
                <w:i w:val="0"/>
                <w:iCs w:val="0"/>
                <w:color w:val="000000"/>
                <w:sz w:val="18"/>
                <w:szCs w:val="18"/>
                <w:u w:val="none"/>
              </w:rPr>
            </w:pPr>
          </w:p>
        </w:tc>
        <w:tc>
          <w:tcPr>
            <w:tcW w:w="1097" w:type="dxa"/>
            <w:tcBorders>
              <w:tl2br w:val="nil"/>
              <w:tr2bl w:val="nil"/>
            </w:tcBorders>
            <w:shd w:val="clear" w:color="auto" w:fill="auto"/>
            <w:noWrap/>
            <w:vAlign w:val="center"/>
          </w:tcPr>
          <w:p w14:paraId="4F24270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1*1</w:t>
            </w:r>
          </w:p>
        </w:tc>
        <w:tc>
          <w:tcPr>
            <w:tcW w:w="1533" w:type="dxa"/>
            <w:tcBorders>
              <w:tl2br w:val="nil"/>
              <w:tr2bl w:val="nil"/>
            </w:tcBorders>
            <w:shd w:val="clear" w:color="auto" w:fill="auto"/>
            <w:noWrap/>
            <w:vAlign w:val="center"/>
          </w:tcPr>
          <w:p w14:paraId="5C01E25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29</w:t>
            </w:r>
          </w:p>
        </w:tc>
        <w:tc>
          <w:tcPr>
            <w:tcW w:w="1217" w:type="dxa"/>
            <w:tcBorders>
              <w:tl2br w:val="nil"/>
              <w:tr2bl w:val="nil"/>
            </w:tcBorders>
            <w:shd w:val="clear" w:color="auto" w:fill="auto"/>
            <w:vAlign w:val="center"/>
          </w:tcPr>
          <w:p w14:paraId="39485A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Fonts w:hint="eastAsia" w:eastAsia="宋体" w:cs="Times New Roman"/>
                <w:i w:val="0"/>
                <w:iCs w:val="0"/>
                <w:color w:val="000000"/>
                <w:kern w:val="0"/>
                <w:sz w:val="18"/>
                <w:szCs w:val="18"/>
                <w:u w:val="none"/>
                <w:lang w:val="en-US" w:eastAsia="zh-CN" w:bidi="ar"/>
              </w:rPr>
              <w:t>T</w:t>
            </w:r>
            <w:r>
              <w:rPr>
                <w:rFonts w:hint="default" w:ascii="Times New Roman" w:hAnsi="Times New Roman" w:eastAsia="宋体" w:cs="Times New Roman"/>
                <w:i w:val="0"/>
                <w:iCs w:val="0"/>
                <w:color w:val="000000"/>
                <w:kern w:val="0"/>
                <w:sz w:val="18"/>
                <w:szCs w:val="18"/>
                <w:u w:val="none"/>
                <w:lang w:val="en-US" w:eastAsia="zh-CN" w:bidi="ar"/>
              </w:rPr>
              <w:t>C</w:t>
            </w:r>
            <w:r>
              <w:rPr>
                <w:rFonts w:hint="eastAsia" w:eastAsia="宋体" w:cs="Times New Roman"/>
                <w:i w:val="0"/>
                <w:iCs w:val="0"/>
                <w:color w:val="000000"/>
                <w:kern w:val="0"/>
                <w:sz w:val="18"/>
                <w:szCs w:val="18"/>
                <w:u w:val="none"/>
                <w:lang w:val="en-US" w:eastAsia="zh-CN" w:bidi="ar"/>
              </w:rPr>
              <w:t>350C5-1</w:t>
            </w:r>
          </w:p>
        </w:tc>
        <w:tc>
          <w:tcPr>
            <w:tcW w:w="1133" w:type="dxa"/>
            <w:tcBorders>
              <w:tl2br w:val="nil"/>
              <w:tr2bl w:val="nil"/>
            </w:tcBorders>
            <w:shd w:val="clear" w:color="auto" w:fill="auto"/>
            <w:noWrap/>
            <w:vAlign w:val="center"/>
          </w:tcPr>
          <w:p w14:paraId="5E0337A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1067" w:type="dxa"/>
            <w:tcBorders>
              <w:tl2br w:val="nil"/>
              <w:tr2bl w:val="nil"/>
            </w:tcBorders>
            <w:shd w:val="clear" w:color="auto" w:fill="auto"/>
            <w:noWrap/>
            <w:vAlign w:val="center"/>
          </w:tcPr>
          <w:p w14:paraId="14533F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31.7</w:t>
            </w:r>
          </w:p>
        </w:tc>
        <w:tc>
          <w:tcPr>
            <w:tcW w:w="1033" w:type="dxa"/>
            <w:tcBorders>
              <w:tl2br w:val="nil"/>
              <w:tr2bl w:val="nil"/>
            </w:tcBorders>
            <w:shd w:val="clear" w:color="auto" w:fill="auto"/>
            <w:vAlign w:val="center"/>
          </w:tcPr>
          <w:p w14:paraId="3D683B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9.0</w:t>
            </w:r>
          </w:p>
        </w:tc>
        <w:tc>
          <w:tcPr>
            <w:tcW w:w="1117" w:type="dxa"/>
            <w:tcBorders>
              <w:tl2br w:val="nil"/>
              <w:tr2bl w:val="nil"/>
            </w:tcBorders>
            <w:shd w:val="clear" w:color="auto" w:fill="auto"/>
            <w:noWrap/>
            <w:vAlign w:val="center"/>
          </w:tcPr>
          <w:p w14:paraId="002DE3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11.11%</w:t>
            </w:r>
          </w:p>
        </w:tc>
        <w:tc>
          <w:tcPr>
            <w:tcW w:w="1316" w:type="dxa"/>
            <w:tcBorders>
              <w:tl2br w:val="nil"/>
              <w:tr2bl w:val="nil"/>
            </w:tcBorders>
            <w:shd w:val="clear" w:color="auto" w:fill="auto"/>
            <w:vAlign w:val="center"/>
          </w:tcPr>
          <w:p w14:paraId="00236D2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31.0</w:t>
            </w:r>
          </w:p>
        </w:tc>
      </w:tr>
    </w:tbl>
    <w:p w14:paraId="6F546BA0">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动载系数1.2，卸扣重量0.7kg，16mm钢丝绳重量0.944kg/m,18mm钢丝绳重量1.19kg/m，安全系数80%。</w:t>
      </w:r>
    </w:p>
    <w:p w14:paraId="3EAAE725">
      <w:pPr>
        <w:keepNext w:val="0"/>
        <w:keepLines w:val="0"/>
        <w:pageBreakBefore w:val="0"/>
        <w:widowControl w:val="0"/>
        <w:tabs>
          <w:tab w:val="left" w:pos="1320"/>
        </w:tabs>
        <w:kinsoku/>
        <w:wordWrap/>
        <w:overflowPunct/>
        <w:topLinePunct w:val="0"/>
        <w:autoSpaceDE/>
        <w:autoSpaceDN/>
        <w:bidi w:val="0"/>
        <w:snapToGrid/>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default" w:ascii="Cambria Math" w:hAnsi="Cambria Math" w:eastAsia="宋体" w:cs="宋体"/>
              <w:b w:val="0"/>
              <w:i w:val="0"/>
              <w:sz w:val="24"/>
              <w:szCs w:val="24"/>
              <w:lang w:val="en-US" w:eastAsia="zh-CN"/>
            </w:rPr>
            <m:t>T</m:t>
          </m:r>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default" w:ascii="Cambria Math" w:hAnsi="Cambria Math" w:eastAsia="宋体" w:cs="宋体"/>
                  <w:b w:val="0"/>
                  <w:i w:val="0"/>
                  <w:sz w:val="24"/>
                  <w:szCs w:val="24"/>
                  <w:lang w:val="en-US" w:eastAsia="zh-CN"/>
                </w:rPr>
                <m:t>G</m:t>
              </m:r>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sty m:val="p"/>
                    </m:rPr>
                    <w:rPr>
                      <w:rFonts w:hint="default" w:ascii="Cambria Math" w:hAnsi="Cambria Math" w:eastAsia="宋体" w:cs="宋体"/>
                      <w:sz w:val="24"/>
                      <w:szCs w:val="24"/>
                      <w:lang w:val="en-US" w:eastAsia="zh-CN"/>
                    </w:rPr>
                    <m:t>1</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r>
                <m:rPr>
                  <m:sty m:val="p"/>
                </m:rPr>
                <w:rPr>
                  <w:rFonts w:hint="default" w:ascii="Cambria Math" w:hAnsi="Cambria Math" w:eastAsia="宋体" w:cs="宋体"/>
                  <w:sz w:val="24"/>
                  <w:szCs w:val="24"/>
                  <w:lang w:val="en-US" w:eastAsia="zh-CN"/>
                </w:rPr>
                <m:t>4</m:t>
              </m:r>
              <m:r>
                <m:rPr>
                  <m:sty m:val="p"/>
                </m:rPr>
                <w:rPr>
                  <w:rFonts w:ascii="Cambria Math" w:hAnsi="Cambria Math" w:cs="宋体"/>
                  <w:sz w:val="24"/>
                  <w:szCs w:val="24"/>
                  <w:lang w:val="en-US"/>
                </w:rPr>
                <m:t>×</m:t>
              </m:r>
              <m:func>
                <m:funcPr>
                  <m:ctrlPr>
                    <w:rPr>
                      <w:rFonts w:ascii="Cambria Math" w:hAnsi="Cambria Math" w:cs="宋体"/>
                      <w:sz w:val="24"/>
                      <w:szCs w:val="24"/>
                      <w:lang w:val="en-US"/>
                    </w:rPr>
                  </m:ctrlPr>
                </m:funcPr>
                <m:fName>
                  <m:r>
                    <m:rPr>
                      <m:sty m:val="p"/>
                    </m:rPr>
                    <w:rPr>
                      <w:rFonts w:ascii="Cambria Math" w:hAnsi="Cambria Math" w:cs="宋体"/>
                      <w:sz w:val="24"/>
                      <w:szCs w:val="24"/>
                      <w:lang w:val="en-US"/>
                    </w:rPr>
                    <m:t>cos</m:t>
                  </m:r>
                  <m:ctrlPr>
                    <w:rPr>
                      <w:rFonts w:ascii="Cambria Math" w:hAnsi="Cambria Math" w:cs="宋体"/>
                      <w:sz w:val="24"/>
                      <w:szCs w:val="24"/>
                      <w:lang w:val="en-US"/>
                    </w:rPr>
                  </m:ctrlPr>
                </m:fName>
                <m:e>
                  <m:r>
                    <m:rPr>
                      <m:sty m:val="p"/>
                    </m:rPr>
                    <w:rPr>
                      <w:rFonts w:hint="default" w:ascii="Cambria Math" w:hAnsi="Cambria Math" w:cs="宋体"/>
                      <w:sz w:val="24"/>
                      <w:szCs w:val="24"/>
                      <w:lang w:val="en-US" w:eastAsia="zh-CN"/>
                    </w:rPr>
                    <m:t>30</m:t>
                  </m:r>
                  <m:ctrlPr>
                    <w:rPr>
                      <w:rFonts w:ascii="Cambria Math" w:hAnsi="Cambria Math" w:cs="宋体"/>
                      <w:sz w:val="24"/>
                      <w:szCs w:val="24"/>
                      <w:lang w:val="en-US"/>
                    </w:rPr>
                  </m:ctrlPr>
                </m:e>
              </m:func>
              <m:r>
                <m:rPr>
                  <m:sty m:val="p"/>
                </m:rPr>
                <w:rPr>
                  <w:rFonts w:hint="eastAsia" w:ascii="Cambria Math" w:hAnsi="Cambria Math" w:cs="宋体"/>
                  <w:sz w:val="24"/>
                  <w:szCs w:val="24"/>
                  <w:lang w:val="en-US" w:eastAsia="zh-CN"/>
                </w:rPr>
                <m:t>°</m:t>
              </m:r>
              <m:ctrlPr>
                <w:rPr>
                  <w:rFonts w:hint="eastAsia" w:ascii="Cambria Math" w:hAnsi="Cambria Math" w:eastAsia="宋体" w:cs="宋体"/>
                  <w:sz w:val="24"/>
                  <w:szCs w:val="24"/>
                </w:rPr>
              </m:ctrlPr>
            </m:den>
          </m:f>
        </m:oMath>
      </m:oMathPara>
    </w:p>
    <w:p w14:paraId="1E063BE9">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T——拉力</w:t>
      </w:r>
    </w:p>
    <w:p w14:paraId="511196C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G——构件、卸扣及钢丝绳总重量</w:t>
      </w:r>
    </w:p>
    <w:p w14:paraId="5CDA35BA">
      <w:pPr>
        <w:keepNext w:val="0"/>
        <w:keepLines w:val="0"/>
        <w:widowControl/>
        <w:suppressLineNumbers w:val="0"/>
        <w:jc w:val="left"/>
        <w:rPr>
          <w:rFonts w:hint="default" w:hAnsi="Cambria Math" w:eastAsia="宋体" w:cs="宋体"/>
          <w:i w:val="0"/>
          <w:sz w:val="24"/>
          <w:szCs w:val="24"/>
          <w:lang w:val="en-US" w:eastAsia="zh-CN"/>
        </w:rPr>
      </w:pPr>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sty m:val="p"/>
              </m:rPr>
              <w:rPr>
                <w:rFonts w:hint="default" w:ascii="Cambria Math" w:hAnsi="Cambria Math" w:eastAsia="宋体" w:cs="宋体"/>
                <w:sz w:val="24"/>
                <w:szCs w:val="24"/>
                <w:lang w:val="en-US" w:eastAsia="zh-CN"/>
              </w:rPr>
              <m:t>1</m:t>
            </m:r>
            <m:ctrlPr>
              <w:rPr>
                <w:rFonts w:hint="eastAsia" w:ascii="Cambria Math" w:hAnsi="Cambria Math" w:eastAsia="宋体" w:cs="宋体"/>
                <w:sz w:val="24"/>
                <w:szCs w:val="24"/>
              </w:rPr>
            </m:ctrlPr>
          </m:sub>
        </m:sSub>
      </m:oMath>
      <w:r>
        <w:rPr>
          <w:rFonts w:hint="eastAsia" w:hAnsi="Cambria Math" w:eastAsia="宋体" w:cs="宋体"/>
          <w:i w:val="0"/>
          <w:sz w:val="24"/>
          <w:szCs w:val="24"/>
          <w:lang w:eastAsia="zh-CN"/>
        </w:rPr>
        <w:t>——</w:t>
      </w:r>
      <w:r>
        <w:rPr>
          <w:rFonts w:hint="eastAsia" w:hAnsi="Cambria Math" w:eastAsia="宋体" w:cs="宋体"/>
          <w:i w:val="0"/>
          <w:sz w:val="24"/>
          <w:szCs w:val="24"/>
          <w:lang w:val="en-US" w:eastAsia="zh-CN"/>
        </w:rPr>
        <w:t>动载系数</w:t>
      </w:r>
    </w:p>
    <w:tbl>
      <w:tblPr>
        <w:tblStyle w:val="30"/>
        <w:tblpPr w:leftFromText="180" w:rightFromText="180" w:vertAnchor="text" w:horzAnchor="page" w:tblpXSpec="center" w:tblpY="229"/>
        <w:tblOverlap w:val="never"/>
        <w:tblW w:w="10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75"/>
        <w:gridCol w:w="900"/>
        <w:gridCol w:w="588"/>
        <w:gridCol w:w="625"/>
        <w:gridCol w:w="702"/>
        <w:gridCol w:w="750"/>
        <w:gridCol w:w="735"/>
        <w:gridCol w:w="3284"/>
        <w:gridCol w:w="1916"/>
      </w:tblGrid>
      <w:tr w14:paraId="2D7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75" w:type="dxa"/>
            <w:gridSpan w:val="9"/>
            <w:tcBorders>
              <w:tl2br w:val="nil"/>
              <w:tr2bl w:val="nil"/>
            </w:tcBorders>
            <w:shd w:val="clear" w:color="auto" w:fill="auto"/>
            <w:noWrap/>
            <w:vAlign w:val="center"/>
          </w:tcPr>
          <w:p w14:paraId="0070A41A">
            <w:pPr>
              <w:keepNext w:val="0"/>
              <w:keepLines w:val="0"/>
              <w:widowControl/>
              <w:suppressLineNumbers w:val="0"/>
              <w:jc w:val="center"/>
              <w:textAlignment w:val="center"/>
              <w:rPr>
                <w:rFonts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索具卸扣</w:t>
            </w:r>
          </w:p>
        </w:tc>
      </w:tr>
      <w:tr w14:paraId="0053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449D6691">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名称</w:t>
            </w:r>
          </w:p>
        </w:tc>
        <w:tc>
          <w:tcPr>
            <w:tcW w:w="900" w:type="dxa"/>
            <w:tcBorders>
              <w:tl2br w:val="nil"/>
              <w:tr2bl w:val="nil"/>
            </w:tcBorders>
            <w:shd w:val="clear" w:color="auto" w:fill="auto"/>
            <w:noWrap/>
            <w:vAlign w:val="center"/>
          </w:tcPr>
          <w:p w14:paraId="03574EC7">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吊装方式</w:t>
            </w:r>
          </w:p>
        </w:tc>
        <w:tc>
          <w:tcPr>
            <w:tcW w:w="588" w:type="dxa"/>
            <w:tcBorders>
              <w:tl2br w:val="nil"/>
              <w:tr2bl w:val="nil"/>
            </w:tcBorders>
            <w:shd w:val="clear" w:color="auto" w:fill="auto"/>
            <w:noWrap/>
            <w:vAlign w:val="center"/>
          </w:tcPr>
          <w:p w14:paraId="0B5E2466">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长度</w:t>
            </w:r>
            <w:r>
              <w:rPr>
                <w:rStyle w:val="74"/>
                <w:rFonts w:eastAsia="新宋体"/>
                <w:lang w:val="en-US" w:eastAsia="zh-CN" w:bidi="ar"/>
              </w:rPr>
              <w:t>(m)</w:t>
            </w:r>
          </w:p>
        </w:tc>
        <w:tc>
          <w:tcPr>
            <w:tcW w:w="625" w:type="dxa"/>
            <w:tcBorders>
              <w:tl2br w:val="nil"/>
              <w:tr2bl w:val="nil"/>
            </w:tcBorders>
            <w:shd w:val="clear" w:color="auto" w:fill="auto"/>
            <w:noWrap/>
            <w:vAlign w:val="center"/>
          </w:tcPr>
          <w:p w14:paraId="377499ED">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直径</w:t>
            </w:r>
            <w:r>
              <w:rPr>
                <w:rStyle w:val="74"/>
                <w:rFonts w:eastAsia="新宋体"/>
                <w:lang w:val="en-US" w:eastAsia="zh-CN" w:bidi="ar"/>
              </w:rPr>
              <w:t>(mm)</w:t>
            </w:r>
          </w:p>
        </w:tc>
        <w:tc>
          <w:tcPr>
            <w:tcW w:w="702" w:type="dxa"/>
            <w:tcBorders>
              <w:tl2br w:val="nil"/>
              <w:tr2bl w:val="nil"/>
            </w:tcBorders>
            <w:shd w:val="clear" w:color="auto" w:fill="auto"/>
            <w:noWrap/>
            <w:vAlign w:val="center"/>
          </w:tcPr>
          <w:p w14:paraId="0C31001C">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夹角</w:t>
            </w:r>
            <w:r>
              <w:rPr>
                <w:rStyle w:val="74"/>
                <w:rFonts w:eastAsia="新宋体"/>
                <w:lang w:val="en-US" w:eastAsia="zh-CN" w:bidi="ar"/>
              </w:rPr>
              <w:t>(°)</w:t>
            </w:r>
          </w:p>
        </w:tc>
        <w:tc>
          <w:tcPr>
            <w:tcW w:w="750" w:type="dxa"/>
            <w:tcBorders>
              <w:tl2br w:val="nil"/>
              <w:tr2bl w:val="nil"/>
            </w:tcBorders>
            <w:shd w:val="clear" w:color="auto" w:fill="auto"/>
            <w:noWrap/>
            <w:vAlign w:val="center"/>
          </w:tcPr>
          <w:p w14:paraId="31749E3E">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应许力</w:t>
            </w:r>
            <w:r>
              <w:rPr>
                <w:rStyle w:val="74"/>
                <w:rFonts w:eastAsia="新宋体"/>
                <w:lang w:val="en-US" w:eastAsia="zh-CN" w:bidi="ar"/>
              </w:rPr>
              <w:t>(kN)</w:t>
            </w:r>
          </w:p>
        </w:tc>
        <w:tc>
          <w:tcPr>
            <w:tcW w:w="735" w:type="dxa"/>
            <w:tcBorders>
              <w:tl2br w:val="nil"/>
              <w:tr2bl w:val="nil"/>
            </w:tcBorders>
            <w:shd w:val="clear" w:color="auto" w:fill="auto"/>
            <w:noWrap/>
            <w:vAlign w:val="center"/>
          </w:tcPr>
          <w:p w14:paraId="6E641607">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拉力</w:t>
            </w:r>
            <w:r>
              <w:rPr>
                <w:rStyle w:val="74"/>
                <w:rFonts w:eastAsia="新宋体"/>
                <w:lang w:val="en-US" w:eastAsia="zh-CN" w:bidi="ar"/>
              </w:rPr>
              <w:t>T(kN)</w:t>
            </w:r>
          </w:p>
        </w:tc>
        <w:tc>
          <w:tcPr>
            <w:tcW w:w="3284" w:type="dxa"/>
            <w:tcBorders>
              <w:tl2br w:val="nil"/>
              <w:tr2bl w:val="nil"/>
            </w:tcBorders>
            <w:shd w:val="clear" w:color="auto" w:fill="auto"/>
            <w:noWrap/>
            <w:vAlign w:val="center"/>
          </w:tcPr>
          <w:p w14:paraId="308AD2D3">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索具类型</w:t>
            </w:r>
          </w:p>
        </w:tc>
        <w:tc>
          <w:tcPr>
            <w:tcW w:w="1916" w:type="dxa"/>
            <w:tcBorders>
              <w:tl2br w:val="nil"/>
              <w:tr2bl w:val="nil"/>
            </w:tcBorders>
            <w:shd w:val="clear" w:color="auto" w:fill="auto"/>
            <w:noWrap/>
            <w:vAlign w:val="center"/>
          </w:tcPr>
          <w:p w14:paraId="14EC25E3">
            <w:pPr>
              <w:keepNext w:val="0"/>
              <w:keepLines w:val="0"/>
              <w:widowControl/>
              <w:suppressLineNumbers w:val="0"/>
              <w:jc w:val="center"/>
              <w:textAlignment w:val="center"/>
              <w:rPr>
                <w:rFonts w:hint="eastAsia" w:ascii="新宋体" w:hAnsi="新宋体" w:eastAsia="新宋体" w:cs="新宋体"/>
                <w:i w:val="0"/>
                <w:iCs w:val="0"/>
                <w:color w:val="000000"/>
                <w:sz w:val="18"/>
                <w:szCs w:val="18"/>
                <w:u w:val="none"/>
              </w:rPr>
            </w:pPr>
            <w:r>
              <w:rPr>
                <w:rFonts w:hint="eastAsia" w:ascii="新宋体" w:hAnsi="新宋体" w:eastAsia="新宋体" w:cs="新宋体"/>
                <w:i w:val="0"/>
                <w:iCs w:val="0"/>
                <w:color w:val="000000"/>
                <w:kern w:val="0"/>
                <w:sz w:val="18"/>
                <w:szCs w:val="18"/>
                <w:u w:val="none"/>
                <w:lang w:val="en-US" w:eastAsia="zh-CN" w:bidi="ar"/>
              </w:rPr>
              <w:t>卸扣类型</w:t>
            </w:r>
          </w:p>
        </w:tc>
      </w:tr>
      <w:tr w14:paraId="5EB7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5D30169A">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基础节</w:t>
            </w:r>
          </w:p>
        </w:tc>
        <w:tc>
          <w:tcPr>
            <w:tcW w:w="900" w:type="dxa"/>
            <w:tcBorders>
              <w:tl2br w:val="nil"/>
              <w:tr2bl w:val="nil"/>
            </w:tcBorders>
            <w:shd w:val="clear" w:color="auto" w:fill="auto"/>
            <w:noWrap/>
            <w:vAlign w:val="center"/>
          </w:tcPr>
          <w:p w14:paraId="7C8442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698010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25" w:type="dxa"/>
            <w:tcBorders>
              <w:tl2br w:val="nil"/>
              <w:tr2bl w:val="nil"/>
            </w:tcBorders>
            <w:shd w:val="clear" w:color="auto" w:fill="auto"/>
            <w:noWrap/>
            <w:vAlign w:val="center"/>
          </w:tcPr>
          <w:p w14:paraId="244609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1050AE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5048CE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783837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0.95 </w:t>
            </w:r>
          </w:p>
        </w:tc>
        <w:tc>
          <w:tcPr>
            <w:tcW w:w="3284" w:type="dxa"/>
            <w:tcBorders>
              <w:tl2br w:val="nil"/>
              <w:tr2bl w:val="nil"/>
            </w:tcBorders>
            <w:shd w:val="clear" w:color="auto" w:fill="auto"/>
            <w:noWrap/>
            <w:vAlign w:val="center"/>
          </w:tcPr>
          <w:p w14:paraId="638AAE9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506460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3EBE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2D871E05">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标准节</w:t>
            </w:r>
          </w:p>
        </w:tc>
        <w:tc>
          <w:tcPr>
            <w:tcW w:w="900" w:type="dxa"/>
            <w:tcBorders>
              <w:tl2br w:val="nil"/>
              <w:tr2bl w:val="nil"/>
            </w:tcBorders>
            <w:shd w:val="clear" w:color="auto" w:fill="auto"/>
            <w:noWrap/>
            <w:vAlign w:val="center"/>
          </w:tcPr>
          <w:p w14:paraId="1EA981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73C89B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25" w:type="dxa"/>
            <w:tcBorders>
              <w:tl2br w:val="nil"/>
              <w:tr2bl w:val="nil"/>
            </w:tcBorders>
            <w:shd w:val="clear" w:color="auto" w:fill="auto"/>
            <w:noWrap/>
            <w:vAlign w:val="center"/>
          </w:tcPr>
          <w:p w14:paraId="21B4E9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62CFD2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279572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168FF7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0.42 </w:t>
            </w:r>
          </w:p>
        </w:tc>
        <w:tc>
          <w:tcPr>
            <w:tcW w:w="3284" w:type="dxa"/>
            <w:tcBorders>
              <w:tl2br w:val="nil"/>
              <w:tr2bl w:val="nil"/>
            </w:tcBorders>
            <w:shd w:val="clear" w:color="auto" w:fill="auto"/>
            <w:noWrap/>
            <w:vAlign w:val="center"/>
          </w:tcPr>
          <w:p w14:paraId="7C4413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404CCB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48BD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031CECD1">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爬升架（包括油缸、泵）</w:t>
            </w:r>
          </w:p>
        </w:tc>
        <w:tc>
          <w:tcPr>
            <w:tcW w:w="900" w:type="dxa"/>
            <w:tcBorders>
              <w:tl2br w:val="nil"/>
              <w:tr2bl w:val="nil"/>
            </w:tcBorders>
            <w:shd w:val="clear" w:color="auto" w:fill="auto"/>
            <w:noWrap/>
            <w:vAlign w:val="center"/>
          </w:tcPr>
          <w:p w14:paraId="238B34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2718BD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25" w:type="dxa"/>
            <w:tcBorders>
              <w:tl2br w:val="nil"/>
              <w:tr2bl w:val="nil"/>
            </w:tcBorders>
            <w:shd w:val="clear" w:color="auto" w:fill="auto"/>
            <w:noWrap/>
            <w:vAlign w:val="center"/>
          </w:tcPr>
          <w:p w14:paraId="45A69B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40E34F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764494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13123D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1.24 </w:t>
            </w:r>
          </w:p>
        </w:tc>
        <w:tc>
          <w:tcPr>
            <w:tcW w:w="3284" w:type="dxa"/>
            <w:tcBorders>
              <w:tl2br w:val="nil"/>
              <w:tr2bl w:val="nil"/>
            </w:tcBorders>
            <w:shd w:val="clear" w:color="auto" w:fill="auto"/>
            <w:noWrap/>
            <w:vAlign w:val="center"/>
          </w:tcPr>
          <w:p w14:paraId="12CED3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2B5461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35C0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3F43372B">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特殊节</w:t>
            </w:r>
          </w:p>
        </w:tc>
        <w:tc>
          <w:tcPr>
            <w:tcW w:w="900" w:type="dxa"/>
            <w:tcBorders>
              <w:tl2br w:val="nil"/>
              <w:tr2bl w:val="nil"/>
            </w:tcBorders>
            <w:shd w:val="clear" w:color="auto" w:fill="auto"/>
            <w:noWrap/>
            <w:vAlign w:val="center"/>
          </w:tcPr>
          <w:p w14:paraId="1B6D45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464C2E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625" w:type="dxa"/>
            <w:tcBorders>
              <w:tl2br w:val="nil"/>
              <w:tr2bl w:val="nil"/>
            </w:tcBorders>
            <w:shd w:val="clear" w:color="auto" w:fill="auto"/>
            <w:noWrap/>
            <w:vAlign w:val="center"/>
          </w:tcPr>
          <w:p w14:paraId="575F78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63D3AD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18242C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5E1E52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0.70 </w:t>
            </w:r>
          </w:p>
        </w:tc>
        <w:tc>
          <w:tcPr>
            <w:tcW w:w="3284" w:type="dxa"/>
            <w:tcBorders>
              <w:tl2br w:val="nil"/>
              <w:tr2bl w:val="nil"/>
            </w:tcBorders>
            <w:shd w:val="clear" w:color="auto" w:fill="auto"/>
            <w:noWrap/>
            <w:vAlign w:val="center"/>
          </w:tcPr>
          <w:p w14:paraId="1CD285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3EF3AAE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1274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6A4B44FA">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回转总成</w:t>
            </w:r>
          </w:p>
        </w:tc>
        <w:tc>
          <w:tcPr>
            <w:tcW w:w="900" w:type="dxa"/>
            <w:tcBorders>
              <w:tl2br w:val="nil"/>
              <w:tr2bl w:val="nil"/>
            </w:tcBorders>
            <w:shd w:val="clear" w:color="auto" w:fill="auto"/>
            <w:noWrap/>
            <w:vAlign w:val="center"/>
          </w:tcPr>
          <w:p w14:paraId="085EF9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0003AE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625" w:type="dxa"/>
            <w:tcBorders>
              <w:tl2br w:val="nil"/>
              <w:tr2bl w:val="nil"/>
            </w:tcBorders>
            <w:shd w:val="clear" w:color="auto" w:fill="auto"/>
            <w:noWrap/>
            <w:vAlign w:val="center"/>
          </w:tcPr>
          <w:p w14:paraId="0CEA68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0C31E4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6AF5D9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4B4121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1.10 </w:t>
            </w:r>
          </w:p>
        </w:tc>
        <w:tc>
          <w:tcPr>
            <w:tcW w:w="3284" w:type="dxa"/>
            <w:tcBorders>
              <w:tl2br w:val="nil"/>
              <w:tr2bl w:val="nil"/>
            </w:tcBorders>
            <w:shd w:val="clear" w:color="auto" w:fill="auto"/>
            <w:noWrap/>
            <w:vAlign w:val="center"/>
          </w:tcPr>
          <w:p w14:paraId="6FC22B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074802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7CF1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28C04B68">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起重臂根节</w:t>
            </w:r>
          </w:p>
        </w:tc>
        <w:tc>
          <w:tcPr>
            <w:tcW w:w="900" w:type="dxa"/>
            <w:tcBorders>
              <w:tl2br w:val="nil"/>
              <w:tr2bl w:val="nil"/>
            </w:tcBorders>
            <w:shd w:val="clear" w:color="auto" w:fill="auto"/>
            <w:noWrap/>
            <w:vAlign w:val="center"/>
          </w:tcPr>
          <w:p w14:paraId="1BB9EAD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73C9DB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5A877E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77A132E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3E08A1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12027E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0.89 </w:t>
            </w:r>
          </w:p>
        </w:tc>
        <w:tc>
          <w:tcPr>
            <w:tcW w:w="3284" w:type="dxa"/>
            <w:tcBorders>
              <w:tl2br w:val="nil"/>
              <w:tr2bl w:val="nil"/>
            </w:tcBorders>
            <w:shd w:val="clear" w:color="auto" w:fill="auto"/>
            <w:noWrap/>
            <w:vAlign w:val="center"/>
          </w:tcPr>
          <w:p w14:paraId="1DA37EF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7432D7F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1125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38977A24">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平衡臂（牵引机构、平衡臂拉杆、起升机构、配电柜）</w:t>
            </w:r>
          </w:p>
        </w:tc>
        <w:tc>
          <w:tcPr>
            <w:tcW w:w="900" w:type="dxa"/>
            <w:tcBorders>
              <w:tl2br w:val="nil"/>
              <w:tr2bl w:val="nil"/>
            </w:tcBorders>
            <w:shd w:val="clear" w:color="auto" w:fill="auto"/>
            <w:noWrap/>
            <w:vAlign w:val="center"/>
          </w:tcPr>
          <w:p w14:paraId="623B36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1EA58C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02F4A44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18</w:t>
            </w:r>
          </w:p>
        </w:tc>
        <w:tc>
          <w:tcPr>
            <w:tcW w:w="702" w:type="dxa"/>
            <w:tcBorders>
              <w:tl2br w:val="nil"/>
              <w:tr2bl w:val="nil"/>
            </w:tcBorders>
            <w:shd w:val="clear" w:color="auto" w:fill="auto"/>
            <w:noWrap/>
            <w:vAlign w:val="center"/>
          </w:tcPr>
          <w:p w14:paraId="6219F1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51E3F2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33.34</w:t>
            </w:r>
          </w:p>
        </w:tc>
        <w:tc>
          <w:tcPr>
            <w:tcW w:w="735" w:type="dxa"/>
            <w:tcBorders>
              <w:tl2br w:val="nil"/>
              <w:tr2bl w:val="nil"/>
            </w:tcBorders>
            <w:shd w:val="clear" w:color="auto" w:fill="auto"/>
            <w:noWrap/>
            <w:vAlign w:val="center"/>
          </w:tcPr>
          <w:p w14:paraId="116F15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1.21 </w:t>
            </w:r>
          </w:p>
        </w:tc>
        <w:tc>
          <w:tcPr>
            <w:tcW w:w="3284" w:type="dxa"/>
            <w:tcBorders>
              <w:tl2br w:val="nil"/>
              <w:tr2bl w:val="nil"/>
            </w:tcBorders>
            <w:shd w:val="clear" w:color="auto" w:fill="auto"/>
            <w:noWrap/>
            <w:vAlign w:val="center"/>
          </w:tcPr>
          <w:p w14:paraId="56CD7B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18</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468E58B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54C6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00FF8E81">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一块平衡重A</w:t>
            </w:r>
          </w:p>
        </w:tc>
        <w:tc>
          <w:tcPr>
            <w:tcW w:w="900" w:type="dxa"/>
            <w:tcBorders>
              <w:tl2br w:val="nil"/>
              <w:tr2bl w:val="nil"/>
            </w:tcBorders>
            <w:shd w:val="clear" w:color="auto" w:fill="auto"/>
            <w:noWrap/>
            <w:vAlign w:val="center"/>
          </w:tcPr>
          <w:p w14:paraId="7FE8B18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4988FA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36D25FC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6DCA7B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48678B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28E977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0.75 </w:t>
            </w:r>
          </w:p>
        </w:tc>
        <w:tc>
          <w:tcPr>
            <w:tcW w:w="3284" w:type="dxa"/>
            <w:tcBorders>
              <w:tl2br w:val="nil"/>
              <w:tr2bl w:val="nil"/>
            </w:tcBorders>
            <w:shd w:val="clear" w:color="auto" w:fill="auto"/>
            <w:noWrap/>
            <w:vAlign w:val="center"/>
          </w:tcPr>
          <w:p w14:paraId="5FEFF0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0D5B5BA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50E9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5F49457A">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起重臂节2</w:t>
            </w:r>
          </w:p>
        </w:tc>
        <w:tc>
          <w:tcPr>
            <w:tcW w:w="900" w:type="dxa"/>
            <w:tcBorders>
              <w:tl2br w:val="nil"/>
              <w:tr2bl w:val="nil"/>
            </w:tcBorders>
            <w:shd w:val="clear" w:color="auto" w:fill="auto"/>
            <w:noWrap/>
            <w:vAlign w:val="center"/>
          </w:tcPr>
          <w:p w14:paraId="26F758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4141AE4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1DBB07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144D9C2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6EB1683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2F8D85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0.24 </w:t>
            </w:r>
          </w:p>
        </w:tc>
        <w:tc>
          <w:tcPr>
            <w:tcW w:w="3284" w:type="dxa"/>
            <w:tcBorders>
              <w:tl2br w:val="nil"/>
              <w:tr2bl w:val="nil"/>
            </w:tcBorders>
            <w:shd w:val="clear" w:color="auto" w:fill="auto"/>
            <w:noWrap/>
            <w:vAlign w:val="center"/>
          </w:tcPr>
          <w:p w14:paraId="1DE904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1AFCBC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187C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2C28B896">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起重臂节3</w:t>
            </w:r>
          </w:p>
        </w:tc>
        <w:tc>
          <w:tcPr>
            <w:tcW w:w="900" w:type="dxa"/>
            <w:tcBorders>
              <w:tl2br w:val="nil"/>
              <w:tr2bl w:val="nil"/>
            </w:tcBorders>
            <w:shd w:val="clear" w:color="auto" w:fill="auto"/>
            <w:noWrap/>
            <w:vAlign w:val="center"/>
          </w:tcPr>
          <w:p w14:paraId="32EE519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5394FBE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217A608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41395E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05AB65E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494761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0.33 </w:t>
            </w:r>
          </w:p>
        </w:tc>
        <w:tc>
          <w:tcPr>
            <w:tcW w:w="3284" w:type="dxa"/>
            <w:tcBorders>
              <w:tl2br w:val="nil"/>
              <w:tr2bl w:val="nil"/>
            </w:tcBorders>
            <w:shd w:val="clear" w:color="auto" w:fill="auto"/>
            <w:noWrap/>
            <w:vAlign w:val="center"/>
          </w:tcPr>
          <w:p w14:paraId="1495B7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23A4B3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30A0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0D61AEC2">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起重臂节4</w:t>
            </w:r>
          </w:p>
        </w:tc>
        <w:tc>
          <w:tcPr>
            <w:tcW w:w="900" w:type="dxa"/>
            <w:tcBorders>
              <w:tl2br w:val="nil"/>
              <w:tr2bl w:val="nil"/>
            </w:tcBorders>
            <w:shd w:val="clear" w:color="auto" w:fill="auto"/>
            <w:noWrap/>
            <w:vAlign w:val="center"/>
          </w:tcPr>
          <w:p w14:paraId="0F13B48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684BA4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3BC728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3154E4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262763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21C5A7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0.27 </w:t>
            </w:r>
          </w:p>
        </w:tc>
        <w:tc>
          <w:tcPr>
            <w:tcW w:w="3284" w:type="dxa"/>
            <w:tcBorders>
              <w:tl2br w:val="nil"/>
              <w:tr2bl w:val="nil"/>
            </w:tcBorders>
            <w:shd w:val="clear" w:color="auto" w:fill="auto"/>
            <w:noWrap/>
            <w:vAlign w:val="center"/>
          </w:tcPr>
          <w:p w14:paraId="0A451B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123434A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3410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68701C1D">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起重臂节5</w:t>
            </w:r>
          </w:p>
        </w:tc>
        <w:tc>
          <w:tcPr>
            <w:tcW w:w="900" w:type="dxa"/>
            <w:tcBorders>
              <w:tl2br w:val="nil"/>
              <w:tr2bl w:val="nil"/>
            </w:tcBorders>
            <w:shd w:val="clear" w:color="auto" w:fill="auto"/>
            <w:noWrap/>
            <w:vAlign w:val="center"/>
          </w:tcPr>
          <w:p w14:paraId="33CBBE4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78814E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2025940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554207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262730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73780D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0.14 </w:t>
            </w:r>
          </w:p>
        </w:tc>
        <w:tc>
          <w:tcPr>
            <w:tcW w:w="3284" w:type="dxa"/>
            <w:tcBorders>
              <w:tl2br w:val="nil"/>
              <w:tr2bl w:val="nil"/>
            </w:tcBorders>
            <w:shd w:val="clear" w:color="auto" w:fill="auto"/>
            <w:noWrap/>
            <w:vAlign w:val="center"/>
          </w:tcPr>
          <w:p w14:paraId="1EF33F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30A2368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4546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242C506B">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起重臂节6</w:t>
            </w:r>
          </w:p>
        </w:tc>
        <w:tc>
          <w:tcPr>
            <w:tcW w:w="900" w:type="dxa"/>
            <w:tcBorders>
              <w:tl2br w:val="nil"/>
              <w:tr2bl w:val="nil"/>
            </w:tcBorders>
            <w:shd w:val="clear" w:color="auto" w:fill="auto"/>
            <w:noWrap/>
            <w:vAlign w:val="center"/>
          </w:tcPr>
          <w:p w14:paraId="50956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0EDFE8B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3D319C9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776C07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4B37C8F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1E14C0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0.19 </w:t>
            </w:r>
          </w:p>
        </w:tc>
        <w:tc>
          <w:tcPr>
            <w:tcW w:w="3284" w:type="dxa"/>
            <w:tcBorders>
              <w:tl2br w:val="nil"/>
              <w:tr2bl w:val="nil"/>
            </w:tcBorders>
            <w:shd w:val="clear" w:color="auto" w:fill="auto"/>
            <w:noWrap/>
            <w:vAlign w:val="center"/>
          </w:tcPr>
          <w:p w14:paraId="3A396D4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2FF2AF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49D9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16BBFAC8">
            <w:pPr>
              <w:pStyle w:val="71"/>
              <w:spacing w:before="48" w:after="48"/>
              <w:ind w:firstLine="0" w:firstLineChars="0"/>
              <w:rPr>
                <w:rFonts w:hint="eastAsia" w:ascii="新宋体" w:hAnsi="新宋体" w:eastAsia="新宋体" w:cs="新宋体"/>
                <w:i w:val="0"/>
                <w:iCs w:val="0"/>
                <w:color w:val="000000"/>
                <w:sz w:val="18"/>
                <w:szCs w:val="18"/>
                <w:u w:val="none"/>
              </w:rPr>
            </w:pPr>
            <w:r>
              <w:rPr>
                <w:rFonts w:hint="eastAsia"/>
                <w:color w:val="auto"/>
                <w:sz w:val="20"/>
                <w:szCs w:val="22"/>
                <w:highlight w:val="none"/>
                <w:lang w:val="en-US" w:eastAsia="zh-CN"/>
              </w:rPr>
              <w:t>起重臂节7</w:t>
            </w:r>
          </w:p>
        </w:tc>
        <w:tc>
          <w:tcPr>
            <w:tcW w:w="900" w:type="dxa"/>
            <w:tcBorders>
              <w:tl2br w:val="nil"/>
              <w:tr2bl w:val="nil"/>
            </w:tcBorders>
            <w:shd w:val="clear" w:color="auto" w:fill="auto"/>
            <w:noWrap/>
            <w:vAlign w:val="center"/>
          </w:tcPr>
          <w:p w14:paraId="5F4792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5ED825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0B65AC6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316232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4ECA1A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46C01A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0.02 </w:t>
            </w:r>
          </w:p>
        </w:tc>
        <w:tc>
          <w:tcPr>
            <w:tcW w:w="3284" w:type="dxa"/>
            <w:tcBorders>
              <w:tl2br w:val="nil"/>
              <w:tr2bl w:val="nil"/>
            </w:tcBorders>
            <w:shd w:val="clear" w:color="auto" w:fill="auto"/>
            <w:noWrap/>
            <w:vAlign w:val="center"/>
          </w:tcPr>
          <w:p w14:paraId="36751C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52554A6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19C0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19A48986">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起重臂节8</w:t>
            </w:r>
          </w:p>
        </w:tc>
        <w:tc>
          <w:tcPr>
            <w:tcW w:w="900" w:type="dxa"/>
            <w:tcBorders>
              <w:tl2br w:val="nil"/>
              <w:tr2bl w:val="nil"/>
            </w:tcBorders>
            <w:shd w:val="clear" w:color="auto" w:fill="auto"/>
            <w:noWrap/>
            <w:vAlign w:val="center"/>
          </w:tcPr>
          <w:p w14:paraId="747825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087790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5E980C8A">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43B7F6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7C58917D">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0CB5B52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0.06 </w:t>
            </w:r>
          </w:p>
        </w:tc>
        <w:tc>
          <w:tcPr>
            <w:tcW w:w="3284" w:type="dxa"/>
            <w:tcBorders>
              <w:tl2br w:val="nil"/>
              <w:tr2bl w:val="nil"/>
            </w:tcBorders>
            <w:shd w:val="clear" w:color="auto" w:fill="auto"/>
            <w:noWrap/>
            <w:vAlign w:val="center"/>
          </w:tcPr>
          <w:p w14:paraId="22E890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5C0B22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59C8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70F6410B">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起重臂节9及臂头</w:t>
            </w:r>
          </w:p>
        </w:tc>
        <w:tc>
          <w:tcPr>
            <w:tcW w:w="900" w:type="dxa"/>
            <w:tcBorders>
              <w:tl2br w:val="nil"/>
              <w:tr2bl w:val="nil"/>
            </w:tcBorders>
            <w:shd w:val="clear" w:color="auto" w:fill="auto"/>
            <w:noWrap/>
            <w:vAlign w:val="center"/>
          </w:tcPr>
          <w:p w14:paraId="7C7DA2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13B99A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482DC7B3">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471DD3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3CB21E47">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187DC25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0.01 </w:t>
            </w:r>
          </w:p>
        </w:tc>
        <w:tc>
          <w:tcPr>
            <w:tcW w:w="3284" w:type="dxa"/>
            <w:tcBorders>
              <w:tl2br w:val="nil"/>
              <w:tr2bl w:val="nil"/>
            </w:tcBorders>
            <w:shd w:val="clear" w:color="auto" w:fill="auto"/>
            <w:noWrap/>
            <w:vAlign w:val="center"/>
          </w:tcPr>
          <w:p w14:paraId="296AE4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161A55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5BD5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124324EF">
            <w:pPr>
              <w:pStyle w:val="71"/>
              <w:spacing w:before="48" w:after="48"/>
              <w:ind w:firstLine="0" w:firstLineChars="0"/>
              <w:rPr>
                <w:rFonts w:hint="default" w:ascii="新宋体" w:hAnsi="新宋体" w:eastAsia="新宋体" w:cs="新宋体"/>
                <w:i w:val="0"/>
                <w:iCs w:val="0"/>
                <w:color w:val="000000"/>
                <w:sz w:val="18"/>
                <w:szCs w:val="18"/>
                <w:u w:val="none"/>
                <w:lang w:val="en-US"/>
              </w:rPr>
            </w:pPr>
            <w:r>
              <w:rPr>
                <w:rFonts w:hint="eastAsia"/>
                <w:color w:val="auto"/>
                <w:sz w:val="20"/>
                <w:szCs w:val="22"/>
                <w:highlight w:val="none"/>
                <w:lang w:val="en-US" w:eastAsia="zh-CN"/>
              </w:rPr>
              <w:t>平衡重A</w:t>
            </w:r>
          </w:p>
        </w:tc>
        <w:tc>
          <w:tcPr>
            <w:tcW w:w="900" w:type="dxa"/>
            <w:tcBorders>
              <w:tl2br w:val="nil"/>
              <w:tr2bl w:val="nil"/>
            </w:tcBorders>
            <w:shd w:val="clear" w:color="auto" w:fill="auto"/>
            <w:noWrap/>
            <w:vAlign w:val="center"/>
          </w:tcPr>
          <w:p w14:paraId="2F7E4E4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01A16B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2362DD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4336777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79D4485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6A730A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0.75 </w:t>
            </w:r>
          </w:p>
        </w:tc>
        <w:tc>
          <w:tcPr>
            <w:tcW w:w="3284" w:type="dxa"/>
            <w:tcBorders>
              <w:tl2br w:val="nil"/>
              <w:tr2bl w:val="nil"/>
            </w:tcBorders>
            <w:shd w:val="clear" w:color="auto" w:fill="auto"/>
            <w:noWrap/>
            <w:vAlign w:val="center"/>
          </w:tcPr>
          <w:p w14:paraId="58C5F8E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71A2D5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3566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33714B80">
            <w:pPr>
              <w:pStyle w:val="71"/>
              <w:spacing w:before="48" w:after="48"/>
              <w:ind w:firstLine="0" w:firstLineChars="0"/>
              <w:rPr>
                <w:rFonts w:hint="default"/>
                <w:color w:val="auto"/>
                <w:sz w:val="20"/>
                <w:szCs w:val="22"/>
                <w:highlight w:val="none"/>
                <w:lang w:val="en-US" w:eastAsia="zh-CN"/>
              </w:rPr>
            </w:pPr>
            <w:r>
              <w:rPr>
                <w:rFonts w:hint="eastAsia"/>
                <w:color w:val="auto"/>
                <w:sz w:val="20"/>
                <w:szCs w:val="22"/>
                <w:highlight w:val="none"/>
                <w:lang w:val="en-US" w:eastAsia="zh-CN"/>
              </w:rPr>
              <w:t>平衡重B</w:t>
            </w:r>
          </w:p>
        </w:tc>
        <w:tc>
          <w:tcPr>
            <w:tcW w:w="900" w:type="dxa"/>
            <w:tcBorders>
              <w:tl2br w:val="nil"/>
              <w:tr2bl w:val="nil"/>
            </w:tcBorders>
            <w:shd w:val="clear" w:color="auto" w:fill="auto"/>
            <w:noWrap/>
            <w:vAlign w:val="center"/>
          </w:tcPr>
          <w:p w14:paraId="151341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718A2D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1A94A18A">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716FA1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2949CC9B">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444DDE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0.54 </w:t>
            </w:r>
          </w:p>
        </w:tc>
        <w:tc>
          <w:tcPr>
            <w:tcW w:w="3284" w:type="dxa"/>
            <w:tcBorders>
              <w:tl2br w:val="nil"/>
              <w:tr2bl w:val="nil"/>
            </w:tcBorders>
            <w:shd w:val="clear" w:color="auto" w:fill="auto"/>
            <w:noWrap/>
            <w:vAlign w:val="center"/>
          </w:tcPr>
          <w:p w14:paraId="64F38B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0C1075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r w14:paraId="617D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75" w:type="dxa"/>
            <w:tcBorders>
              <w:tl2br w:val="nil"/>
              <w:tr2bl w:val="nil"/>
            </w:tcBorders>
            <w:shd w:val="clear" w:color="auto" w:fill="auto"/>
            <w:noWrap/>
            <w:vAlign w:val="center"/>
          </w:tcPr>
          <w:p w14:paraId="1E6A9DAC">
            <w:pPr>
              <w:pStyle w:val="71"/>
              <w:spacing w:before="48" w:after="48"/>
              <w:ind w:firstLine="0" w:firstLineChars="0"/>
              <w:rPr>
                <w:rFonts w:hint="eastAsia"/>
                <w:color w:val="auto"/>
                <w:sz w:val="20"/>
                <w:szCs w:val="22"/>
                <w:highlight w:val="none"/>
                <w:lang w:val="en-US" w:eastAsia="zh-CN"/>
              </w:rPr>
            </w:pPr>
            <w:r>
              <w:rPr>
                <w:rFonts w:hint="eastAsia"/>
                <w:color w:val="auto"/>
                <w:sz w:val="20"/>
                <w:szCs w:val="22"/>
                <w:highlight w:val="none"/>
                <w:lang w:val="en-US" w:eastAsia="zh-CN"/>
              </w:rPr>
              <w:t>平衡重C</w:t>
            </w:r>
          </w:p>
        </w:tc>
        <w:tc>
          <w:tcPr>
            <w:tcW w:w="900" w:type="dxa"/>
            <w:tcBorders>
              <w:tl2br w:val="nil"/>
              <w:tr2bl w:val="nil"/>
            </w:tcBorders>
            <w:shd w:val="clear" w:color="auto" w:fill="auto"/>
            <w:noWrap/>
            <w:vAlign w:val="center"/>
          </w:tcPr>
          <w:p w14:paraId="78D571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Times New Roman" w:hAnsi="Times New Roman" w:eastAsia="宋体" w:cs="Times New Roman"/>
                <w:i w:val="0"/>
                <w:iCs w:val="0"/>
                <w:color w:val="000000"/>
                <w:kern w:val="0"/>
                <w:sz w:val="18"/>
                <w:szCs w:val="18"/>
                <w:u w:val="none"/>
                <w:lang w:val="en-US" w:eastAsia="zh-CN" w:bidi="ar"/>
              </w:rPr>
              <w:t>绳</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点</w:t>
            </w:r>
          </w:p>
        </w:tc>
        <w:tc>
          <w:tcPr>
            <w:tcW w:w="588" w:type="dxa"/>
            <w:tcBorders>
              <w:tl2br w:val="nil"/>
              <w:tr2bl w:val="nil"/>
            </w:tcBorders>
            <w:shd w:val="clear" w:color="auto" w:fill="auto"/>
            <w:noWrap/>
            <w:vAlign w:val="center"/>
          </w:tcPr>
          <w:p w14:paraId="19E934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625" w:type="dxa"/>
            <w:tcBorders>
              <w:tl2br w:val="nil"/>
              <w:tr2bl w:val="nil"/>
            </w:tcBorders>
            <w:shd w:val="clear" w:color="auto" w:fill="auto"/>
            <w:noWrap/>
            <w:vAlign w:val="center"/>
          </w:tcPr>
          <w:p w14:paraId="62AEE279">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16</w:t>
            </w:r>
          </w:p>
        </w:tc>
        <w:tc>
          <w:tcPr>
            <w:tcW w:w="702" w:type="dxa"/>
            <w:tcBorders>
              <w:tl2br w:val="nil"/>
              <w:tr2bl w:val="nil"/>
            </w:tcBorders>
            <w:shd w:val="clear" w:color="auto" w:fill="auto"/>
            <w:noWrap/>
            <w:vAlign w:val="center"/>
          </w:tcPr>
          <w:p w14:paraId="151961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60.0</w:t>
            </w:r>
          </w:p>
        </w:tc>
        <w:tc>
          <w:tcPr>
            <w:tcW w:w="750" w:type="dxa"/>
            <w:tcBorders>
              <w:tl2br w:val="nil"/>
              <w:tr2bl w:val="nil"/>
            </w:tcBorders>
            <w:shd w:val="clear" w:color="auto" w:fill="auto"/>
            <w:noWrap/>
            <w:vAlign w:val="center"/>
          </w:tcPr>
          <w:p w14:paraId="759553B4">
            <w:pPr>
              <w:keepNext w:val="0"/>
              <w:keepLines w:val="0"/>
              <w:widowControl/>
              <w:suppressLineNumbers w:val="0"/>
              <w:jc w:val="center"/>
              <w:textAlignment w:val="center"/>
              <w:rPr>
                <w:rFonts w:hint="eastAsia" w:eastAsia="宋体" w:cs="Times New Roman"/>
                <w:i w:val="0"/>
                <w:iCs w:val="0"/>
                <w:color w:val="000000"/>
                <w:kern w:val="0"/>
                <w:sz w:val="18"/>
                <w:szCs w:val="18"/>
                <w:u w:val="none"/>
                <w:lang w:val="en-US" w:eastAsia="zh-CN" w:bidi="ar"/>
              </w:rPr>
            </w:pPr>
            <w:r>
              <w:rPr>
                <w:rFonts w:hint="eastAsia" w:eastAsia="宋体" w:cs="Times New Roman"/>
                <w:i w:val="0"/>
                <w:iCs w:val="0"/>
                <w:color w:val="000000"/>
                <w:kern w:val="0"/>
                <w:sz w:val="18"/>
                <w:szCs w:val="18"/>
                <w:u w:val="none"/>
                <w:lang w:val="en-US" w:eastAsia="zh-CN" w:bidi="ar"/>
              </w:rPr>
              <w:t>26.34</w:t>
            </w:r>
          </w:p>
        </w:tc>
        <w:tc>
          <w:tcPr>
            <w:tcW w:w="735" w:type="dxa"/>
            <w:tcBorders>
              <w:tl2br w:val="nil"/>
              <w:tr2bl w:val="nil"/>
            </w:tcBorders>
            <w:shd w:val="clear" w:color="auto" w:fill="auto"/>
            <w:noWrap/>
            <w:vAlign w:val="center"/>
          </w:tcPr>
          <w:p w14:paraId="6EA5F7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0.24 </w:t>
            </w:r>
          </w:p>
        </w:tc>
        <w:tc>
          <w:tcPr>
            <w:tcW w:w="3284" w:type="dxa"/>
            <w:tcBorders>
              <w:tl2br w:val="nil"/>
              <w:tr2bl w:val="nil"/>
            </w:tcBorders>
            <w:shd w:val="clear" w:color="auto" w:fill="auto"/>
            <w:noWrap/>
            <w:vAlign w:val="center"/>
          </w:tcPr>
          <w:p w14:paraId="4BC158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r>
              <w:rPr>
                <w:rFonts w:hint="eastAsia" w:eastAsia="宋体" w:cs="Times New Roman"/>
                <w:i w:val="0"/>
                <w:iCs w:val="0"/>
                <w:color w:val="000000"/>
                <w:kern w:val="0"/>
                <w:sz w:val="18"/>
                <w:szCs w:val="18"/>
                <w:u w:val="none"/>
                <w:lang w:val="en-US" w:eastAsia="zh-CN" w:bidi="ar"/>
              </w:rPr>
              <w:t>19</w:t>
            </w:r>
            <w:r>
              <w:rPr>
                <w:rFonts w:hint="default" w:ascii="Times New Roman" w:hAnsi="Times New Roman" w:eastAsia="宋体" w:cs="Times New Roman"/>
                <w:i w:val="0"/>
                <w:iCs w:val="0"/>
                <w:color w:val="000000"/>
                <w:kern w:val="0"/>
                <w:sz w:val="18"/>
                <w:szCs w:val="18"/>
                <w:u w:val="none"/>
                <w:lang w:val="en-US" w:eastAsia="zh-CN" w:bidi="ar"/>
              </w:rPr>
              <w:t>S+FC-1</w:t>
            </w:r>
            <w:r>
              <w:rPr>
                <w:rFonts w:hint="eastAsia" w:eastAsia="宋体"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zh-CN" w:bidi="ar"/>
              </w:rPr>
              <w:t>70-φ</w:t>
            </w:r>
            <w:r>
              <w:rPr>
                <w:rFonts w:hint="eastAsia" w:eastAsia="宋体" w:cs="Times New Roman"/>
                <w:i w:val="0"/>
                <w:iCs w:val="0"/>
                <w:color w:val="000000"/>
                <w:kern w:val="0"/>
                <w:sz w:val="18"/>
                <w:szCs w:val="18"/>
                <w:u w:val="none"/>
                <w:lang w:val="en-US" w:eastAsia="zh-CN" w:bidi="ar"/>
              </w:rPr>
              <w:t>16</w:t>
            </w:r>
            <w:r>
              <w:rPr>
                <w:rFonts w:hint="default" w:ascii="Times New Roman" w:hAnsi="Times New Roman" w:eastAsia="宋体" w:cs="Times New Roman"/>
                <w:i w:val="0"/>
                <w:iCs w:val="0"/>
                <w:color w:val="000000"/>
                <w:kern w:val="0"/>
                <w:sz w:val="18"/>
                <w:szCs w:val="18"/>
                <w:u w:val="none"/>
                <w:lang w:val="en-US" w:eastAsia="zh-CN" w:bidi="ar"/>
              </w:rPr>
              <w:t>mm纤维芯钢丝绳</w:t>
            </w:r>
          </w:p>
        </w:tc>
        <w:tc>
          <w:tcPr>
            <w:tcW w:w="1916" w:type="dxa"/>
            <w:tcBorders>
              <w:tl2br w:val="nil"/>
              <w:tr2bl w:val="nil"/>
            </w:tcBorders>
            <w:shd w:val="clear" w:color="auto" w:fill="auto"/>
            <w:noWrap/>
            <w:vAlign w:val="center"/>
          </w:tcPr>
          <w:p w14:paraId="07E5A3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GB/T 25854-6-DW</w:t>
            </w:r>
            <w:r>
              <w:rPr>
                <w:rFonts w:hint="eastAsia" w:eastAsia="宋体" w:cs="Times New Roman"/>
                <w:i w:val="0"/>
                <w:iCs w:val="0"/>
                <w:color w:val="000000"/>
                <w:kern w:val="0"/>
                <w:sz w:val="18"/>
                <w:szCs w:val="18"/>
                <w:u w:val="none"/>
                <w:lang w:val="en-US" w:eastAsia="zh-CN" w:bidi="ar"/>
              </w:rPr>
              <w:t>5</w:t>
            </w:r>
          </w:p>
        </w:tc>
      </w:tr>
    </w:tbl>
    <w:p w14:paraId="338CB86A">
      <w:pPr>
        <w:keepNext w:val="0"/>
        <w:keepLines w:val="0"/>
        <w:widowControl/>
        <w:suppressLineNumbers w:val="0"/>
        <w:jc w:val="left"/>
        <w:rPr>
          <w:rFonts w:hint="default"/>
          <w:lang w:val="en-US"/>
        </w:rPr>
      </w:pPr>
      <w:r>
        <w:rPr>
          <w:rFonts w:hint="eastAsia" w:ascii="宋体" w:hAnsi="宋体" w:eastAsia="宋体" w:cs="宋体"/>
          <w:color w:val="000000"/>
          <w:kern w:val="0"/>
          <w:sz w:val="24"/>
          <w:szCs w:val="24"/>
          <w:lang w:val="en-US" w:eastAsia="zh-CN" w:bidi="ar"/>
        </w:rPr>
        <w:t>钢丝绳计算详见13.1章节</w:t>
      </w:r>
    </w:p>
    <w:p w14:paraId="55765D7C">
      <w:pPr>
        <w:pStyle w:val="5"/>
        <w:rPr>
          <w:rFonts w:hint="default" w:cs="Times New Roman"/>
          <w:b/>
          <w:bCs/>
          <w:kern w:val="2"/>
          <w:sz w:val="28"/>
          <w:szCs w:val="32"/>
          <w:lang w:val="en-US" w:eastAsia="zh-CN" w:bidi="ar-SA"/>
        </w:rPr>
      </w:pPr>
      <w:bookmarkStart w:id="56" w:name="_Toc12070"/>
      <w:r>
        <w:rPr>
          <w:rFonts w:hint="eastAsia" w:cs="Times New Roman"/>
          <w:b/>
          <w:bCs/>
          <w:kern w:val="2"/>
          <w:sz w:val="28"/>
          <w:szCs w:val="32"/>
          <w:lang w:val="en-US" w:eastAsia="zh-CN" w:bidi="ar-SA"/>
        </w:rPr>
        <w:t>8.4安装工艺流程及步骤</w:t>
      </w:r>
      <w:bookmarkEnd w:id="56"/>
    </w:p>
    <w:p w14:paraId="2DAFD080">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lang w:val="en-US" w:eastAsia="zh-CN"/>
        </w:rPr>
      </w:pPr>
      <w:bookmarkStart w:id="57" w:name="_Toc9203"/>
      <w:bookmarkStart w:id="58" w:name="_Toc18789"/>
      <w:r>
        <w:rPr>
          <w:rFonts w:hint="eastAsia" w:ascii="宋体" w:hAnsi="宋体" w:eastAsia="宋体" w:cs="Times New Roman"/>
          <w:b/>
          <w:bCs/>
          <w:lang w:val="en-US" w:eastAsia="zh-CN"/>
        </w:rPr>
        <w:t>安装工艺流程</w:t>
      </w:r>
      <w:bookmarkEnd w:id="57"/>
      <w:bookmarkEnd w:id="58"/>
    </w:p>
    <w:p w14:paraId="42282855">
      <w:pPr>
        <w:ind w:firstLine="0" w:firstLineChars="0"/>
        <w:jc w:val="center"/>
        <w:rPr>
          <w:rFonts w:hint="eastAsia" w:ascii="宋体" w:hAnsi="宋体" w:eastAsia="宋体" w:cs="Times New Roman"/>
          <w:b/>
          <w:bCs/>
          <w:kern w:val="2"/>
          <w:sz w:val="24"/>
          <w:szCs w:val="24"/>
          <w:lang w:val="en-US" w:eastAsia="zh-CN" w:bidi="ar-SA"/>
        </w:rPr>
      </w:pPr>
      <w:r>
        <w:drawing>
          <wp:inline distT="0" distB="0" distL="114300" distR="114300">
            <wp:extent cx="5268595" cy="2341880"/>
            <wp:effectExtent l="0" t="0" r="8255" b="127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0"/>
                    <a:stretch>
                      <a:fillRect/>
                    </a:stretch>
                  </pic:blipFill>
                  <pic:spPr>
                    <a:xfrm>
                      <a:off x="0" y="0"/>
                      <a:ext cx="5268595" cy="2341880"/>
                    </a:xfrm>
                    <a:prstGeom prst="rect">
                      <a:avLst/>
                    </a:prstGeom>
                    <a:noFill/>
                    <a:ln>
                      <a:noFill/>
                    </a:ln>
                  </pic:spPr>
                </pic:pic>
              </a:graphicData>
            </a:graphic>
          </wp:inline>
        </w:drawing>
      </w:r>
      <w:r>
        <w:rPr>
          <w:rFonts w:hint="eastAsia" w:ascii="宋体" w:hAnsi="宋体" w:eastAsia="宋体" w:cs="Times New Roman"/>
          <w:b/>
          <w:bCs/>
          <w:kern w:val="2"/>
          <w:sz w:val="24"/>
          <w:szCs w:val="24"/>
          <w:lang w:val="en-US" w:eastAsia="zh-CN" w:bidi="ar-SA"/>
        </w:rPr>
        <w:t>图8.4.1-1</w:t>
      </w:r>
      <w:r>
        <w:rPr>
          <w:rFonts w:hint="eastAsia" w:ascii="宋体" w:hAnsi="宋体" w:cs="Times New Roman"/>
          <w:b/>
          <w:bCs/>
          <w:kern w:val="2"/>
          <w:sz w:val="24"/>
          <w:szCs w:val="24"/>
          <w:lang w:val="en-US" w:eastAsia="zh-CN" w:bidi="ar-SA"/>
        </w:rPr>
        <w:t>：</w:t>
      </w:r>
      <w:r>
        <w:rPr>
          <w:rFonts w:hint="eastAsia" w:ascii="宋体" w:hAnsi="宋体" w:eastAsia="宋体" w:cs="Times New Roman"/>
          <w:b/>
          <w:bCs/>
          <w:kern w:val="2"/>
          <w:sz w:val="24"/>
          <w:szCs w:val="24"/>
          <w:lang w:val="en-US" w:eastAsia="zh-CN" w:bidi="ar-SA"/>
        </w:rPr>
        <w:t xml:space="preserve"> 安装工艺流程</w:t>
      </w:r>
    </w:p>
    <w:p w14:paraId="1B5AFB64">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kern w:val="2"/>
          <w:sz w:val="28"/>
          <w:szCs w:val="32"/>
          <w:highlight w:val="none"/>
          <w:lang w:val="en-US" w:eastAsia="zh-CN" w:bidi="ar-SA"/>
        </w:rPr>
      </w:pPr>
      <w:r>
        <w:rPr>
          <w:rFonts w:hint="eastAsia" w:ascii="宋体" w:hAnsi="宋体" w:eastAsia="宋体" w:cs="Times New Roman"/>
          <w:b/>
          <w:bCs/>
          <w:kern w:val="2"/>
          <w:sz w:val="28"/>
          <w:szCs w:val="32"/>
          <w:highlight w:val="none"/>
          <w:lang w:val="en-US" w:eastAsia="zh-CN" w:bidi="ar-SA"/>
        </w:rPr>
        <w:t>塔机基础</w:t>
      </w:r>
    </w:p>
    <w:p w14:paraId="11795DD7">
      <w:pPr>
        <w:numPr>
          <w:ilvl w:val="0"/>
          <w:numId w:val="37"/>
        </w:numPr>
        <w:bidi w:val="0"/>
        <w:ind w:left="0" w:leftChars="0" w:firstLine="420" w:firstLineChars="0"/>
        <w:rPr>
          <w:rFonts w:hint="eastAsia"/>
          <w:lang w:val="en-US" w:eastAsia="zh-CN"/>
        </w:rPr>
      </w:pPr>
      <w:r>
        <w:rPr>
          <w:rFonts w:hint="eastAsia"/>
          <w:lang w:val="en-US" w:eastAsia="zh-CN"/>
        </w:rPr>
        <w:t>预埋螺栓式基础的施工</w:t>
      </w:r>
    </w:p>
    <w:p w14:paraId="26002A1F">
      <w:pPr>
        <w:pStyle w:val="29"/>
        <w:numPr>
          <w:ilvl w:val="0"/>
          <w:numId w:val="0"/>
        </w:numPr>
        <w:spacing w:beforeAutospacing="0" w:afterAutospacing="0" w:line="240" w:lineRule="auto"/>
        <w:ind w:firstLine="480" w:firstLineChars="200"/>
        <w:rPr>
          <w:rFonts w:hint="eastAsia"/>
          <w:b w:val="0"/>
          <w:bCs/>
          <w:highlight w:val="none"/>
          <w:lang w:eastAsia="zh-CN"/>
        </w:rPr>
      </w:pPr>
      <w:r>
        <w:rPr>
          <w:rFonts w:hint="eastAsia" w:ascii="宋体" w:hAnsi="宋体" w:eastAsia="宋体" w:cs="宋体"/>
          <w:b w:val="0"/>
          <w:bCs/>
          <w:sz w:val="24"/>
          <w:szCs w:val="24"/>
          <w:highlight w:val="none"/>
          <w:lang w:val="en-US" w:eastAsia="zh-CN"/>
        </w:rPr>
        <w:t>1）</w:t>
      </w:r>
      <w:r>
        <w:rPr>
          <w:rFonts w:hint="eastAsia" w:ascii="宋体" w:hAnsi="宋体" w:eastAsia="宋体" w:cs="宋体"/>
          <w:b w:val="0"/>
          <w:bCs/>
          <w:sz w:val="24"/>
          <w:szCs w:val="24"/>
          <w:highlight w:val="none"/>
        </w:rPr>
        <w:t>根据塔机基础图的有关要求</w:t>
      </w:r>
      <w:r>
        <w:rPr>
          <w:rFonts w:hint="eastAsia" w:ascii="宋体" w:hAnsi="宋体" w:cs="宋体"/>
          <w:b w:val="0"/>
          <w:bCs/>
          <w:sz w:val="24"/>
          <w:szCs w:val="24"/>
          <w:highlight w:val="none"/>
          <w:lang w:val="en-US" w:eastAsia="zh-CN"/>
        </w:rPr>
        <w:t>捆扎钢筋</w:t>
      </w: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塔机基础预埋螺栓直接预埋于主体墩身内，基础计算详见附件4</w:t>
      </w:r>
      <w:r>
        <w:rPr>
          <w:rFonts w:hint="eastAsia"/>
          <w:b w:val="0"/>
          <w:bCs/>
          <w:highlight w:val="none"/>
          <w:lang w:eastAsia="zh-CN"/>
        </w:rPr>
        <w:t>。</w:t>
      </w:r>
    </w:p>
    <w:p w14:paraId="353DDA56">
      <w:pPr>
        <w:pStyle w:val="78"/>
        <w:keepNext w:val="0"/>
        <w:keepLines w:val="0"/>
        <w:pageBreakBefore w:val="0"/>
        <w:numPr>
          <w:ilvl w:val="0"/>
          <w:numId w:val="0"/>
        </w:numPr>
        <w:kinsoku/>
        <w:overflowPunct/>
        <w:topLinePunct w:val="0"/>
        <w:bidi w:val="0"/>
        <w:spacing w:beforeAutospacing="0" w:afterAutospacing="0" w:line="240" w:lineRule="auto"/>
        <w:ind w:firstLine="480" w:firstLineChars="200"/>
        <w:textAlignment w:val="auto"/>
        <w:rPr>
          <w:rFonts w:hint="eastAsia" w:eastAsia="宋体"/>
          <w:highlight w:val="none"/>
          <w:lang w:eastAsia="zh-CN"/>
        </w:rPr>
      </w:pPr>
      <w:r>
        <w:rPr>
          <w:rFonts w:hint="eastAsia" w:ascii="宋体" w:hAnsi="宋体" w:eastAsia="宋体" w:cs="宋体"/>
          <w:b w:val="0"/>
          <w:bCs/>
          <w:color w:val="auto"/>
          <w:kern w:val="2"/>
          <w:sz w:val="24"/>
          <w:szCs w:val="24"/>
          <w:highlight w:val="none"/>
          <w:lang w:val="en-US" w:eastAsia="zh-CN" w:bidi="ar-SA"/>
        </w:rPr>
        <w:t>2）塔机基础：根据基础要求准备好预埋螺栓，在浇筑砼基础时，将预埋螺栓放入基础内固定好，根据说明书要求施工。在浇筑砼前必须对预埋螺栓检查垂直度。其垂直度小于2/1000。</w:t>
      </w:r>
    </w:p>
    <w:p w14:paraId="7A3AE0DF">
      <w:pPr>
        <w:pStyle w:val="78"/>
        <w:keepNext w:val="0"/>
        <w:keepLines w:val="0"/>
        <w:pageBreakBefore w:val="0"/>
        <w:numPr>
          <w:ilvl w:val="0"/>
          <w:numId w:val="0"/>
        </w:numPr>
        <w:kinsoku/>
        <w:overflowPunct/>
        <w:topLinePunct w:val="0"/>
        <w:bidi w:val="0"/>
        <w:spacing w:beforeAutospacing="0" w:afterAutospacing="0" w:line="240" w:lineRule="auto"/>
        <w:ind w:firstLine="480" w:firstLineChars="200"/>
        <w:textAlignment w:val="auto"/>
        <w:rPr>
          <w:rFonts w:hint="eastAsia" w:eastAsia="宋体"/>
          <w:highlight w:val="none"/>
          <w:lang w:eastAsia="zh-CN"/>
        </w:rPr>
      </w:pPr>
    </w:p>
    <w:p w14:paraId="5E39C55D">
      <w:pPr>
        <w:pStyle w:val="10"/>
        <w:ind w:left="0" w:leftChars="0" w:firstLine="0" w:firstLineChars="0"/>
        <w:jc w:val="center"/>
        <w:rPr>
          <w:rFonts w:hint="eastAsia"/>
          <w:highlight w:val="none"/>
          <w:lang w:eastAsia="zh-CN"/>
        </w:rPr>
      </w:pPr>
      <w:r>
        <w:drawing>
          <wp:inline distT="0" distB="0" distL="114300" distR="114300">
            <wp:extent cx="5124450" cy="4185920"/>
            <wp:effectExtent l="0" t="0" r="0" b="5080"/>
            <wp:docPr id="18" name="图片 18" descr="0b386443876554b30eb2ae1edf85f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b386443876554b30eb2ae1edf85fed3"/>
                    <pic:cNvPicPr>
                      <a:picLocks noChangeAspect="1"/>
                    </pic:cNvPicPr>
                  </pic:nvPicPr>
                  <pic:blipFill>
                    <a:blip r:embed="rId31"/>
                    <a:stretch>
                      <a:fillRect/>
                    </a:stretch>
                  </pic:blipFill>
                  <pic:spPr>
                    <a:xfrm>
                      <a:off x="0" y="0"/>
                      <a:ext cx="5124450" cy="4185920"/>
                    </a:xfrm>
                    <a:prstGeom prst="rect">
                      <a:avLst/>
                    </a:prstGeom>
                  </pic:spPr>
                </pic:pic>
              </a:graphicData>
            </a:graphic>
          </wp:inline>
        </w:drawing>
      </w:r>
      <w:r>
        <w:drawing>
          <wp:inline distT="0" distB="0" distL="114300" distR="114300">
            <wp:extent cx="5269865" cy="3185795"/>
            <wp:effectExtent l="0" t="0" r="6985" b="146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2"/>
                    <a:stretch>
                      <a:fillRect/>
                    </a:stretch>
                  </pic:blipFill>
                  <pic:spPr>
                    <a:xfrm>
                      <a:off x="0" y="0"/>
                      <a:ext cx="5269865" cy="3185795"/>
                    </a:xfrm>
                    <a:prstGeom prst="rect">
                      <a:avLst/>
                    </a:prstGeom>
                    <a:noFill/>
                    <a:ln>
                      <a:noFill/>
                    </a:ln>
                  </pic:spPr>
                </pic:pic>
              </a:graphicData>
            </a:graphic>
          </wp:inline>
        </w:drawing>
      </w:r>
      <w:r>
        <w:drawing>
          <wp:inline distT="0" distB="0" distL="114300" distR="114300">
            <wp:extent cx="5200650" cy="542925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3"/>
                    <a:stretch>
                      <a:fillRect/>
                    </a:stretch>
                  </pic:blipFill>
                  <pic:spPr>
                    <a:xfrm>
                      <a:off x="0" y="0"/>
                      <a:ext cx="5200650" cy="5429250"/>
                    </a:xfrm>
                    <a:prstGeom prst="rect">
                      <a:avLst/>
                    </a:prstGeom>
                    <a:noFill/>
                    <a:ln>
                      <a:noFill/>
                    </a:ln>
                  </pic:spPr>
                </pic:pic>
              </a:graphicData>
            </a:graphic>
          </wp:inline>
        </w:drawing>
      </w:r>
      <w:bookmarkStart w:id="248" w:name="_GoBack"/>
      <w:bookmarkEnd w:id="248"/>
    </w:p>
    <w:p w14:paraId="6B9EA81D">
      <w:pPr>
        <w:keepNext w:val="0"/>
        <w:keepLines w:val="0"/>
        <w:pageBreakBefore w:val="0"/>
        <w:kinsoku/>
        <w:overflowPunct/>
        <w:topLinePunct w:val="0"/>
        <w:bidi w:val="0"/>
        <w:spacing w:beforeAutospacing="0" w:afterAutospacing="0" w:line="360" w:lineRule="auto"/>
        <w:ind w:firstLine="482" w:firstLineChars="200"/>
        <w:jc w:val="center"/>
        <w:textAlignment w:val="auto"/>
        <w:rPr>
          <w:rFonts w:hint="eastAsia" w:ascii="宋体" w:hAnsi="宋体" w:eastAsia="宋体" w:cs="Times New Roman"/>
          <w:b/>
          <w:bCs/>
          <w:color w:val="000000"/>
          <w:sz w:val="24"/>
          <w:szCs w:val="24"/>
          <w:lang w:val="en-US" w:eastAsia="zh-CN"/>
        </w:rPr>
      </w:pPr>
      <w:r>
        <w:rPr>
          <w:rFonts w:hint="eastAsia" w:ascii="宋体" w:hAnsi="宋体"/>
          <w:b/>
          <w:bCs/>
          <w:color w:val="000000"/>
          <w:sz w:val="24"/>
          <w:szCs w:val="24"/>
          <w:highlight w:val="none"/>
        </w:rPr>
        <w:t>图</w:t>
      </w:r>
      <w:r>
        <w:rPr>
          <w:rFonts w:hint="eastAsia" w:ascii="宋体" w:hAnsi="宋体"/>
          <w:b/>
          <w:bCs/>
          <w:color w:val="000000"/>
          <w:sz w:val="24"/>
          <w:szCs w:val="24"/>
          <w:highlight w:val="none"/>
          <w:lang w:val="en-US" w:eastAsia="zh-CN"/>
        </w:rPr>
        <w:t>8.4</w:t>
      </w:r>
      <w:r>
        <w:rPr>
          <w:rFonts w:hint="eastAsia" w:ascii="宋体" w:hAnsi="宋体"/>
          <w:b/>
          <w:bCs/>
          <w:color w:val="000000"/>
          <w:sz w:val="24"/>
          <w:szCs w:val="24"/>
          <w:highlight w:val="none"/>
        </w:rPr>
        <w:t>.2-</w:t>
      </w:r>
      <w:r>
        <w:rPr>
          <w:rFonts w:hint="eastAsia" w:ascii="宋体" w:hAnsi="宋体"/>
          <w:b/>
          <w:bCs/>
          <w:color w:val="000000"/>
          <w:sz w:val="24"/>
          <w:szCs w:val="24"/>
          <w:highlight w:val="none"/>
          <w:lang w:val="en-US" w:eastAsia="zh-CN"/>
        </w:rPr>
        <w:t>1：</w:t>
      </w:r>
      <w:r>
        <w:rPr>
          <w:rFonts w:hint="eastAsia" w:ascii="宋体" w:hAnsi="宋体"/>
          <w:b/>
          <w:bCs/>
          <w:color w:val="000000"/>
          <w:sz w:val="24"/>
          <w:szCs w:val="24"/>
          <w:highlight w:val="none"/>
        </w:rPr>
        <w:t xml:space="preserve"> </w:t>
      </w:r>
      <w:r>
        <w:rPr>
          <w:rFonts w:hint="eastAsia" w:ascii="宋体" w:hAnsi="宋体" w:eastAsia="宋体" w:cs="Times New Roman"/>
          <w:b/>
          <w:bCs/>
          <w:color w:val="000000"/>
          <w:sz w:val="24"/>
          <w:szCs w:val="24"/>
          <w:highlight w:val="none"/>
          <w:lang w:val="en-US" w:eastAsia="zh-CN"/>
        </w:rPr>
        <w:t>基础示意图</w:t>
      </w:r>
    </w:p>
    <w:p w14:paraId="2BD335C0">
      <w:pPr>
        <w:numPr>
          <w:ilvl w:val="0"/>
          <w:numId w:val="37"/>
        </w:numPr>
        <w:bidi w:val="0"/>
        <w:ind w:left="0" w:leftChars="0" w:firstLine="420" w:firstLineChars="0"/>
        <w:rPr>
          <w:rFonts w:hint="eastAsia"/>
          <w:lang w:val="en-US" w:eastAsia="zh-CN"/>
        </w:rPr>
      </w:pPr>
      <w:r>
        <w:rPr>
          <w:rFonts w:hint="eastAsia"/>
          <w:lang w:val="en-US" w:eastAsia="zh-CN"/>
        </w:rPr>
        <w:t>接地装置</w:t>
      </w:r>
    </w:p>
    <w:p w14:paraId="11AE8379">
      <w:pPr>
        <w:pStyle w:val="8"/>
        <w:jc w:val="left"/>
        <w:rPr>
          <w:rFonts w:hint="eastAsia"/>
          <w:sz w:val="24"/>
          <w:szCs w:val="24"/>
        </w:rPr>
      </w:pPr>
      <w:r>
        <w:rPr>
          <w:rFonts w:hint="eastAsia"/>
          <w:sz w:val="24"/>
          <w:szCs w:val="24"/>
        </w:rPr>
        <w:t>（1）根据国标GB5144-</w:t>
      </w:r>
      <w:r>
        <w:rPr>
          <w:sz w:val="24"/>
          <w:szCs w:val="24"/>
        </w:rPr>
        <w:t>2006</w:t>
      </w:r>
      <w:r>
        <w:rPr>
          <w:rFonts w:hint="eastAsia"/>
          <w:sz w:val="24"/>
          <w:szCs w:val="24"/>
        </w:rPr>
        <w:t>《塔式起重机安全规程》中的规定，起重机金属结构、所有电气设备的金属外壳、金属线管等均须可靠地接地。</w:t>
      </w:r>
    </w:p>
    <w:p w14:paraId="040173DB">
      <w:pPr>
        <w:pStyle w:val="8"/>
        <w:jc w:val="left"/>
        <w:rPr>
          <w:rFonts w:hint="eastAsia"/>
          <w:sz w:val="24"/>
          <w:szCs w:val="24"/>
        </w:rPr>
      </w:pPr>
      <w:r>
        <w:rPr>
          <w:rFonts w:hint="eastAsia"/>
          <w:sz w:val="24"/>
          <w:szCs w:val="24"/>
        </w:rPr>
        <w:t>（2）现场必须按图施工，且接地电阻不大于4</w:t>
      </w:r>
      <w:r>
        <w:rPr>
          <w:rFonts w:hint="eastAsia"/>
          <w:sz w:val="24"/>
          <w:szCs w:val="24"/>
          <w:lang w:val="en-US" w:eastAsia="zh-CN"/>
        </w:rPr>
        <w:t>Ω</w:t>
      </w:r>
      <w:r>
        <w:rPr>
          <w:rFonts w:hint="eastAsia"/>
          <w:sz w:val="24"/>
          <w:szCs w:val="24"/>
        </w:rPr>
        <w:t>。</w:t>
      </w:r>
    </w:p>
    <w:p w14:paraId="53F6214C">
      <w:pPr>
        <w:pStyle w:val="8"/>
        <w:jc w:val="left"/>
        <w:rPr>
          <w:rFonts w:hint="eastAsia"/>
          <w:sz w:val="24"/>
          <w:szCs w:val="24"/>
        </w:rPr>
      </w:pPr>
      <w:r>
        <w:rPr>
          <w:rFonts w:hint="eastAsia"/>
          <w:sz w:val="24"/>
          <w:szCs w:val="24"/>
        </w:rPr>
        <w:t>（3）连接接地装置注意事项：</w:t>
      </w:r>
    </w:p>
    <w:p w14:paraId="68E69EA7">
      <w:pPr>
        <w:pStyle w:val="8"/>
        <w:ind w:firstLine="720" w:firstLineChars="300"/>
        <w:jc w:val="left"/>
        <w:rPr>
          <w:rFonts w:hint="eastAsia"/>
          <w:sz w:val="24"/>
          <w:szCs w:val="24"/>
        </w:rPr>
      </w:pPr>
      <w:r>
        <w:rPr>
          <w:rFonts w:hint="eastAsia"/>
          <w:sz w:val="24"/>
          <w:szCs w:val="24"/>
        </w:rPr>
        <w:t>①连接处应清除涂料。</w:t>
      </w:r>
    </w:p>
    <w:p w14:paraId="0CEF0214">
      <w:pPr>
        <w:pStyle w:val="8"/>
        <w:ind w:firstLine="720" w:firstLineChars="300"/>
        <w:jc w:val="left"/>
        <w:rPr>
          <w:rFonts w:hint="eastAsia"/>
          <w:sz w:val="24"/>
          <w:szCs w:val="24"/>
        </w:rPr>
      </w:pPr>
      <w:r>
        <w:rPr>
          <w:rFonts w:hint="eastAsia"/>
          <w:sz w:val="24"/>
          <w:szCs w:val="24"/>
        </w:rPr>
        <w:t>②防雷接地保护装置的电缆可与任何一根主弦杆的螺栓连接,并清除螺栓螺母及套管上的涂料。</w:t>
      </w:r>
    </w:p>
    <w:p w14:paraId="70681685">
      <w:pPr>
        <w:pStyle w:val="8"/>
        <w:ind w:firstLine="720" w:firstLineChars="300"/>
        <w:jc w:val="left"/>
        <w:rPr>
          <w:rFonts w:hint="eastAsia"/>
          <w:sz w:val="24"/>
          <w:szCs w:val="24"/>
        </w:rPr>
      </w:pPr>
      <w:r>
        <w:rPr>
          <w:rFonts w:hint="eastAsia"/>
          <w:sz w:val="24"/>
          <w:szCs w:val="24"/>
        </w:rPr>
        <w:t>③与地基铆固连接的底盘决不能用作防雷装置的接地极，必须在塔机基础外另设一个防雷接地装置。</w:t>
      </w:r>
    </w:p>
    <w:p w14:paraId="7EFF3F0C">
      <w:pPr>
        <w:pStyle w:val="8"/>
        <w:ind w:firstLine="720" w:firstLineChars="300"/>
        <w:jc w:val="left"/>
        <w:rPr>
          <w:rFonts w:hint="eastAsia"/>
          <w:sz w:val="24"/>
          <w:szCs w:val="24"/>
        </w:rPr>
      </w:pPr>
      <w:r>
        <w:rPr>
          <w:rFonts w:hint="eastAsia"/>
          <w:sz w:val="24"/>
          <w:szCs w:val="24"/>
        </w:rPr>
        <w:t>④即使可以用其它安全保护装置，如高灵敏度的差动继电器（自动断路器），按规定也必须安装这种接地保护装置。</w:t>
      </w:r>
    </w:p>
    <w:p w14:paraId="2D28A011">
      <w:pPr>
        <w:pStyle w:val="8"/>
        <w:ind w:firstLine="720" w:firstLineChars="300"/>
        <w:jc w:val="left"/>
        <w:rPr>
          <w:rFonts w:hint="eastAsia"/>
          <w:lang w:val="en-US" w:eastAsia="zh-CN"/>
        </w:rPr>
      </w:pPr>
      <w:r>
        <w:rPr>
          <w:rFonts w:hint="eastAsia"/>
          <w:sz w:val="24"/>
          <w:szCs w:val="24"/>
        </w:rPr>
        <w:t>⑤接地装置应由专人安装，因为接地电阻率视时间和当地条件的不同有很大变化,而且测定电阻时要高精密的仪器。</w:t>
      </w:r>
    </w:p>
    <w:p w14:paraId="50F3DC0D">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default" w:ascii="宋体" w:hAnsi="宋体" w:eastAsia="宋体" w:cs="Times New Roman"/>
          <w:b/>
          <w:bCs/>
          <w:lang w:val="en-US" w:eastAsia="zh-CN"/>
        </w:rPr>
      </w:pPr>
      <w:r>
        <w:rPr>
          <w:rFonts w:hint="eastAsia" w:ascii="宋体" w:hAnsi="宋体" w:eastAsia="宋体" w:cs="Times New Roman"/>
          <w:b/>
          <w:bCs/>
          <w:lang w:val="en-US" w:eastAsia="zh-CN"/>
        </w:rPr>
        <w:t>安装基础节与第一节标准节</w:t>
      </w:r>
    </w:p>
    <w:p w14:paraId="08AF70E1">
      <w:pPr>
        <w:ind w:firstLine="480"/>
        <w:rPr>
          <w:rFonts w:hint="eastAsia" w:ascii="Times New Roman" w:hAnsi="Times New Roman"/>
          <w:lang w:val="en-US" w:eastAsia="zh-CN"/>
        </w:rPr>
      </w:pPr>
      <w:r>
        <w:rPr>
          <w:rFonts w:hint="eastAsia" w:ascii="Times New Roman" w:hAnsi="Times New Roman"/>
          <w:lang w:eastAsia="zh-CN"/>
        </w:rPr>
        <w:t>基础节吊重为</w:t>
      </w:r>
      <w:r>
        <w:rPr>
          <w:rFonts w:hint="eastAsia" w:ascii="Times New Roman" w:hAnsi="Times New Roman"/>
          <w:lang w:val="en-US" w:eastAsia="zh-CN"/>
        </w:rPr>
        <w:t>4.085</w:t>
      </w:r>
      <w:r>
        <w:rPr>
          <w:rFonts w:hint="eastAsia" w:ascii="Times New Roman" w:hAnsi="Times New Roman"/>
          <w:lang w:eastAsia="zh-CN"/>
        </w:rPr>
        <w:t>t，</w:t>
      </w:r>
      <w:r>
        <w:rPr>
          <w:rFonts w:hint="eastAsia" w:ascii="Times New Roman" w:hAnsi="Times New Roman"/>
          <w:lang w:val="en-US" w:eastAsia="zh-CN"/>
        </w:rPr>
        <w:t>标准</w:t>
      </w:r>
      <w:r>
        <w:rPr>
          <w:rFonts w:hint="eastAsia" w:ascii="Times New Roman" w:hAnsi="Times New Roman"/>
          <w:lang w:eastAsia="zh-CN"/>
        </w:rPr>
        <w:t>节吊重为</w:t>
      </w:r>
      <w:r>
        <w:rPr>
          <w:rFonts w:hint="eastAsia" w:ascii="Times New Roman" w:hAnsi="Times New Roman"/>
          <w:lang w:val="en-US" w:eastAsia="zh-CN"/>
        </w:rPr>
        <w:t>1.8</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4.085</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13195DFD">
      <w:pPr>
        <w:ind w:firstLine="480"/>
        <w:rPr>
          <w:rFonts w:hint="eastAsia" w:ascii="Times New Roman" w:hAnsi="Times New Roman"/>
          <w:lang w:eastAsia="zh-CN"/>
        </w:rPr>
      </w:pPr>
      <w:r>
        <w:rPr>
          <w:rFonts w:hint="eastAsia" w:ascii="Times New Roman" w:hAnsi="Times New Roman"/>
          <w:lang w:eastAsia="zh-CN"/>
        </w:rPr>
        <w:t>基础节吊装采用四点吊，基础节以顶部四个销轴孔作为吊装孔，采用4根</w:t>
      </w:r>
      <w:r>
        <w:rPr>
          <w:rFonts w:hint="eastAsia" w:ascii="Times New Roman" w:hAnsi="Times New Roman"/>
          <w:lang w:val="en-US" w:eastAsia="zh-CN"/>
        </w:rPr>
        <w:t>18</w:t>
      </w:r>
      <w:r>
        <w:rPr>
          <w:rFonts w:hint="eastAsia" w:ascii="Times New Roman" w:hAnsi="Times New Roman"/>
          <w:lang w:eastAsia="zh-CN"/>
        </w:rPr>
        <w:t>mm6×19S+FC1870Mpa的钢丝绳配套GB/T 25854-6-DW</w:t>
      </w:r>
      <w:r>
        <w:rPr>
          <w:rFonts w:hint="eastAsia" w:ascii="Times New Roman" w:hAnsi="Times New Roman"/>
          <w:lang w:val="en-US" w:eastAsia="zh-CN"/>
        </w:rPr>
        <w:t>5</w:t>
      </w:r>
      <w:r>
        <w:rPr>
          <w:rFonts w:hint="eastAsia" w:ascii="Times New Roman" w:hAnsi="Times New Roman"/>
          <w:lang w:eastAsia="zh-CN"/>
        </w:rPr>
        <w:t>卸扣进行吊装。</w:t>
      </w:r>
    </w:p>
    <w:p w14:paraId="696876F4">
      <w:pPr>
        <w:ind w:firstLine="480"/>
        <w:rPr>
          <w:rFonts w:hint="eastAsia"/>
        </w:rPr>
      </w:pPr>
      <w:r>
        <w:rPr>
          <w:rFonts w:hint="eastAsia"/>
        </w:rPr>
        <w:t>作业人员在地面上先将钢丝绳一端挂在吊机吊钩，另一端与卸扣连接，卸扣与吊装孔连接，并在基础节立杆上栓好2根溜绳。启动吊机，将基础节缓慢提升，用溜绳控制其摆动。起吊基础节至</w:t>
      </w:r>
      <w:r>
        <w:rPr>
          <w:rFonts w:hint="eastAsia"/>
          <w:lang w:eastAsia="zh-CN"/>
        </w:rPr>
        <w:t>塔机</w:t>
      </w:r>
      <w:r>
        <w:rPr>
          <w:rFonts w:hint="eastAsia"/>
        </w:rPr>
        <w:t>固定支腿上方，吊机缓慢落钩，直至基础节底部销轴孔与预埋固定支腿轴孔对齐，作业人员插入与预埋固定支腿的连接销轴，完成基础节与固定支腿的连接，并在销轴端部插入开口销固定。基础节吊装示意如下图所示</w:t>
      </w:r>
    </w:p>
    <w:tbl>
      <w:tblPr>
        <w:tblStyle w:val="30"/>
        <w:tblpPr w:leftFromText="180" w:rightFromText="180" w:vertAnchor="text" w:horzAnchor="page" w:tblpXSpec="center" w:tblpY="5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428A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3532B0AF">
            <w:pPr>
              <w:spacing w:line="360" w:lineRule="auto"/>
              <w:jc w:val="center"/>
              <w:rPr>
                <w:rFonts w:hint="default" w:ascii="Times New Roman" w:hAnsi="Times New Roman" w:eastAsiaTheme="majorEastAsia" w:cstheme="majorBidi"/>
                <w:b/>
                <w:bCs/>
                <w:kern w:val="2"/>
                <w:sz w:val="28"/>
                <w:szCs w:val="32"/>
                <w:lang w:val="en-US" w:eastAsia="zh-CN" w:bidi="ar-SA"/>
              </w:rPr>
            </w:pPr>
            <w:r>
              <w:drawing>
                <wp:inline distT="0" distB="0" distL="114300" distR="114300">
                  <wp:extent cx="2904490" cy="2782570"/>
                  <wp:effectExtent l="0" t="0" r="10160" b="1778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4"/>
                          <a:stretch>
                            <a:fillRect/>
                          </a:stretch>
                        </pic:blipFill>
                        <pic:spPr>
                          <a:xfrm>
                            <a:off x="0" y="0"/>
                            <a:ext cx="2904490" cy="2782570"/>
                          </a:xfrm>
                          <a:prstGeom prst="rect">
                            <a:avLst/>
                          </a:prstGeom>
                          <a:noFill/>
                          <a:ln>
                            <a:noFill/>
                          </a:ln>
                        </pic:spPr>
                      </pic:pic>
                    </a:graphicData>
                  </a:graphic>
                </wp:inline>
              </w:drawing>
            </w:r>
          </w:p>
        </w:tc>
      </w:tr>
      <w:tr w14:paraId="0756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57CA6F74">
            <w:pPr>
              <w:spacing w:line="360" w:lineRule="auto"/>
              <w:ind w:firstLine="480"/>
              <w:jc w:val="center"/>
              <w:rPr>
                <w:rFonts w:hint="default" w:ascii="Times New Roman" w:hAnsi="Times New Roman" w:eastAsiaTheme="majorEastAsia" w:cstheme="majorBidi"/>
                <w:b/>
                <w:bCs/>
                <w:kern w:val="2"/>
                <w:sz w:val="28"/>
                <w:szCs w:val="32"/>
                <w:lang w:val="en-US" w:eastAsia="zh-CN" w:bidi="ar-SA"/>
              </w:rPr>
            </w:pPr>
            <w:r>
              <w:rPr>
                <w:rFonts w:hint="eastAsia" w:ascii="宋体" w:hAnsi="宋体" w:cs="宋体"/>
                <w:sz w:val="21"/>
                <w:szCs w:val="22"/>
                <w:lang w:val="en-US" w:eastAsia="zh-CN"/>
              </w:rPr>
              <w:t>安装一节基础节、一节标准节平面示意图</w:t>
            </w:r>
          </w:p>
        </w:tc>
      </w:tr>
      <w:tr w14:paraId="31BB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2B898AAF">
            <w:pPr>
              <w:spacing w:line="360" w:lineRule="auto"/>
              <w:jc w:val="center"/>
              <w:rPr>
                <w:rFonts w:hint="default" w:ascii="Times New Roman" w:hAnsi="Times New Roman" w:eastAsiaTheme="majorEastAsia" w:cstheme="majorBidi"/>
                <w:b/>
                <w:bCs/>
                <w:kern w:val="2"/>
                <w:sz w:val="28"/>
                <w:szCs w:val="32"/>
                <w:lang w:val="en-US" w:eastAsia="zh-CN" w:bidi="ar-SA"/>
              </w:rPr>
            </w:pPr>
            <w:r>
              <w:drawing>
                <wp:inline distT="0" distB="0" distL="114300" distR="114300">
                  <wp:extent cx="2753995" cy="1762125"/>
                  <wp:effectExtent l="0" t="0" r="8255" b="952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5"/>
                          <a:stretch>
                            <a:fillRect/>
                          </a:stretch>
                        </pic:blipFill>
                        <pic:spPr>
                          <a:xfrm>
                            <a:off x="0" y="0"/>
                            <a:ext cx="2753995" cy="1762125"/>
                          </a:xfrm>
                          <a:prstGeom prst="rect">
                            <a:avLst/>
                          </a:prstGeom>
                          <a:noFill/>
                          <a:ln>
                            <a:noFill/>
                          </a:ln>
                        </pic:spPr>
                      </pic:pic>
                    </a:graphicData>
                  </a:graphic>
                </wp:inline>
              </w:drawing>
            </w:r>
            <w:r>
              <w:drawing>
                <wp:inline distT="0" distB="0" distL="114300" distR="114300">
                  <wp:extent cx="2281555" cy="2078355"/>
                  <wp:effectExtent l="0" t="0" r="4445" b="1714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6"/>
                          <a:stretch>
                            <a:fillRect/>
                          </a:stretch>
                        </pic:blipFill>
                        <pic:spPr>
                          <a:xfrm>
                            <a:off x="0" y="0"/>
                            <a:ext cx="2281555" cy="2078355"/>
                          </a:xfrm>
                          <a:prstGeom prst="rect">
                            <a:avLst/>
                          </a:prstGeom>
                          <a:noFill/>
                          <a:ln>
                            <a:noFill/>
                          </a:ln>
                        </pic:spPr>
                      </pic:pic>
                    </a:graphicData>
                  </a:graphic>
                </wp:inline>
              </w:drawing>
            </w:r>
          </w:p>
        </w:tc>
      </w:tr>
      <w:tr w14:paraId="2A32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4C2716EA">
            <w:pPr>
              <w:spacing w:line="360" w:lineRule="auto"/>
              <w:ind w:firstLine="480"/>
              <w:jc w:val="center"/>
              <w:rPr>
                <w:rFonts w:hint="default" w:ascii="Times New Roman" w:hAnsi="Times New Roman" w:eastAsiaTheme="majorEastAsia" w:cstheme="majorBidi"/>
                <w:b/>
                <w:bCs/>
                <w:kern w:val="2"/>
                <w:sz w:val="28"/>
                <w:szCs w:val="32"/>
                <w:lang w:val="en-US" w:eastAsia="zh-CN" w:bidi="ar-SA"/>
              </w:rPr>
            </w:pPr>
            <w:r>
              <w:rPr>
                <w:rFonts w:hint="eastAsia" w:ascii="宋体" w:hAnsi="宋体" w:cs="宋体"/>
                <w:sz w:val="21"/>
                <w:szCs w:val="22"/>
                <w:lang w:val="en-US" w:eastAsia="zh-CN"/>
              </w:rPr>
              <w:t>安装一节基础节、一节标准节立面示意图</w:t>
            </w:r>
          </w:p>
        </w:tc>
      </w:tr>
    </w:tbl>
    <w:p w14:paraId="0A2F1B52">
      <w:pPr>
        <w:pStyle w:val="10"/>
        <w:spacing w:after="0" w:line="240" w:lineRule="auto"/>
      </w:pPr>
    </w:p>
    <w:p w14:paraId="6DB618D5">
      <w:pPr>
        <w:ind w:firstLine="480"/>
      </w:pPr>
      <w:r>
        <w:rPr>
          <w:rFonts w:hint="eastAsia"/>
        </w:rPr>
        <w:t>作业人员通过基础节爬梯爬至基础节顶部，系挂好安全带，站立在基础节横杆上，吊机放松吊钩，作业人员解除卸扣与基础节的连接，完成基础节的安装。采用同样步骤完成</w:t>
      </w:r>
      <w:r>
        <w:rPr>
          <w:rFonts w:hint="eastAsia"/>
          <w:lang w:val="en-US" w:eastAsia="zh-CN"/>
        </w:rPr>
        <w:t>一节标准节</w:t>
      </w:r>
      <w:r>
        <w:rPr>
          <w:rFonts w:hint="eastAsia"/>
        </w:rPr>
        <w:t>安装。</w:t>
      </w:r>
    </w:p>
    <w:p w14:paraId="1B06EC41">
      <w:pPr>
        <w:ind w:firstLine="480"/>
        <w:rPr>
          <w:rFonts w:hint="eastAsia"/>
          <w:lang w:eastAsia="zh-CN"/>
        </w:rPr>
      </w:pPr>
      <w:r>
        <w:rPr>
          <w:rFonts w:hint="eastAsia"/>
          <w:lang w:eastAsia="zh-CN"/>
        </w:rPr>
        <w:t>塔机</w:t>
      </w:r>
      <w:r>
        <w:rPr>
          <w:rFonts w:hint="eastAsia"/>
        </w:rPr>
        <w:t>基础节</w:t>
      </w:r>
      <w:r>
        <w:rPr>
          <w:rFonts w:hint="eastAsia"/>
          <w:lang w:eastAsia="zh-CN"/>
        </w:rPr>
        <w:t>、</w:t>
      </w:r>
      <w:r>
        <w:rPr>
          <w:rFonts w:hint="eastAsia"/>
          <w:lang w:val="en-US" w:eastAsia="zh-CN"/>
        </w:rPr>
        <w:t>标准节</w:t>
      </w:r>
      <w:r>
        <w:rPr>
          <w:rFonts w:hint="eastAsia"/>
        </w:rPr>
        <w:t>安装时设置警戒区，起吊安排专人负责指挥，专人操作，严禁无关人员进入起重作业范围内。基础节吊装后采</w:t>
      </w:r>
      <w:r>
        <w:t>用</w:t>
      </w:r>
      <w:r>
        <w:rPr>
          <w:rFonts w:hint="eastAsia"/>
        </w:rPr>
        <w:t>垂</w:t>
      </w:r>
      <w:r>
        <w:t>线法检查其垂直度，主弦杆四个侧面的垂直度误差应不大于1.5/1000。</w:t>
      </w:r>
    </w:p>
    <w:p w14:paraId="352026DA">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default" w:ascii="宋体" w:hAnsi="宋体" w:eastAsia="宋体" w:cs="Times New Roman"/>
          <w:b/>
          <w:bCs/>
          <w:lang w:val="en-US" w:eastAsia="zh-CN"/>
        </w:rPr>
      </w:pPr>
      <w:r>
        <w:rPr>
          <w:rFonts w:hint="eastAsia" w:ascii="宋体" w:hAnsi="宋体" w:eastAsia="宋体" w:cs="Times New Roman"/>
          <w:b/>
          <w:bCs/>
          <w:lang w:val="en-US" w:eastAsia="zh-CN"/>
        </w:rPr>
        <w:t>安装爬升架</w:t>
      </w:r>
    </w:p>
    <w:p w14:paraId="563FC0CA">
      <w:pPr>
        <w:ind w:firstLine="480"/>
        <w:rPr>
          <w:rFonts w:hint="eastAsia" w:ascii="Times New Roman" w:hAnsi="Times New Roman"/>
          <w:lang w:val="en-US" w:eastAsia="zh-CN"/>
        </w:rPr>
      </w:pPr>
      <w:r>
        <w:rPr>
          <w:rFonts w:hint="eastAsia" w:ascii="Times New Roman" w:hAnsi="Times New Roman"/>
          <w:lang w:val="en-US" w:eastAsia="zh-CN"/>
        </w:rPr>
        <w:t>爬升架</w:t>
      </w:r>
      <w:r>
        <w:rPr>
          <w:rFonts w:hint="eastAsia" w:ascii="Times New Roman" w:hAnsi="Times New Roman"/>
          <w:lang w:eastAsia="zh-CN"/>
        </w:rPr>
        <w:t>吊重为</w:t>
      </w:r>
      <w:r>
        <w:rPr>
          <w:rFonts w:hint="eastAsia" w:ascii="Times New Roman" w:hAnsi="Times New Roman"/>
          <w:lang w:val="en-US" w:eastAsia="zh-CN"/>
        </w:rPr>
        <w:t>5.35</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5.35</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6CB06585">
      <w:pPr>
        <w:ind w:firstLine="480"/>
        <w:rPr>
          <w:rFonts w:hint="eastAsia" w:ascii="Times New Roman" w:hAnsi="Times New Roman"/>
          <w:lang w:val="en-US" w:eastAsia="zh-CN"/>
        </w:rPr>
      </w:pPr>
      <w:r>
        <w:rPr>
          <w:rFonts w:hint="eastAsia" w:ascii="Times New Roman" w:hAnsi="Times New Roman"/>
          <w:lang w:val="en-US" w:eastAsia="zh-CN"/>
        </w:rPr>
        <w:t>采用吊机配合人工在地面上将套架架体、平台、顶升横梁、油缸及液压站等拼装成整体，套架吊装采用四点吊，以套架顶部四个销轴孔作为吊装孔，采用4根18mm6×19S+FC1870Mpa的钢丝绳配套GB/T 25854-6-DW5卸扣进行吊装。</w:t>
      </w:r>
    </w:p>
    <w:p w14:paraId="28BC855C">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套架吊装示意如下图所示。</w:t>
      </w:r>
    </w:p>
    <w:tbl>
      <w:tblPr>
        <w:tblStyle w:val="30"/>
        <w:tblpPr w:leftFromText="180" w:rightFromText="180" w:vertAnchor="text" w:horzAnchor="page" w:tblpXSpec="center" w:tblpY="5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3270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7EACA666">
            <w:pPr>
              <w:spacing w:line="360" w:lineRule="auto"/>
              <w:jc w:val="center"/>
            </w:pPr>
            <w:r>
              <w:drawing>
                <wp:inline distT="0" distB="0" distL="114300" distR="114300">
                  <wp:extent cx="2910205" cy="2788285"/>
                  <wp:effectExtent l="0" t="0" r="4445" b="1206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34"/>
                          <a:stretch>
                            <a:fillRect/>
                          </a:stretch>
                        </pic:blipFill>
                        <pic:spPr>
                          <a:xfrm>
                            <a:off x="0" y="0"/>
                            <a:ext cx="2910205" cy="2788285"/>
                          </a:xfrm>
                          <a:prstGeom prst="rect">
                            <a:avLst/>
                          </a:prstGeom>
                          <a:noFill/>
                          <a:ln>
                            <a:noFill/>
                          </a:ln>
                        </pic:spPr>
                      </pic:pic>
                    </a:graphicData>
                  </a:graphic>
                </wp:inline>
              </w:drawing>
            </w:r>
          </w:p>
        </w:tc>
      </w:tr>
      <w:tr w14:paraId="3B7E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1629430C">
            <w:pPr>
              <w:spacing w:line="360" w:lineRule="auto"/>
              <w:ind w:firstLine="480"/>
              <w:jc w:val="center"/>
            </w:pPr>
            <w:r>
              <w:rPr>
                <w:rFonts w:hint="eastAsia" w:ascii="宋体" w:hAnsi="宋体" w:cs="宋体"/>
                <w:sz w:val="21"/>
                <w:szCs w:val="22"/>
                <w:lang w:val="en-US" w:eastAsia="zh-CN"/>
              </w:rPr>
              <w:t>安装</w:t>
            </w:r>
            <w:r>
              <w:rPr>
                <w:rFonts w:hint="eastAsia" w:ascii="宋体" w:hAnsi="宋体" w:cs="宋体"/>
                <w:sz w:val="21"/>
                <w:szCs w:val="22"/>
              </w:rPr>
              <w:t>爬升架平面示意图</w:t>
            </w:r>
          </w:p>
        </w:tc>
      </w:tr>
      <w:tr w14:paraId="0F74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7025927A">
            <w:pPr>
              <w:spacing w:line="360" w:lineRule="auto"/>
              <w:jc w:val="center"/>
            </w:pPr>
            <w:r>
              <w:drawing>
                <wp:inline distT="0" distB="0" distL="114300" distR="114300">
                  <wp:extent cx="3322955" cy="2648585"/>
                  <wp:effectExtent l="0" t="0" r="10795" b="1841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7"/>
                          <a:stretch>
                            <a:fillRect/>
                          </a:stretch>
                        </pic:blipFill>
                        <pic:spPr>
                          <a:xfrm>
                            <a:off x="0" y="0"/>
                            <a:ext cx="3322955" cy="2648585"/>
                          </a:xfrm>
                          <a:prstGeom prst="rect">
                            <a:avLst/>
                          </a:prstGeom>
                          <a:noFill/>
                          <a:ln>
                            <a:noFill/>
                          </a:ln>
                        </pic:spPr>
                      </pic:pic>
                    </a:graphicData>
                  </a:graphic>
                </wp:inline>
              </w:drawing>
            </w:r>
          </w:p>
        </w:tc>
      </w:tr>
      <w:tr w14:paraId="624D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33B3A73C">
            <w:pPr>
              <w:spacing w:line="360" w:lineRule="auto"/>
              <w:ind w:firstLine="480"/>
              <w:jc w:val="center"/>
            </w:pPr>
            <w:r>
              <w:rPr>
                <w:rFonts w:hint="eastAsia" w:ascii="宋体" w:hAnsi="宋体" w:cs="宋体"/>
                <w:sz w:val="21"/>
                <w:szCs w:val="22"/>
                <w:lang w:val="en-US" w:eastAsia="zh-CN"/>
              </w:rPr>
              <w:t>安装</w:t>
            </w:r>
            <w:r>
              <w:rPr>
                <w:rFonts w:hint="eastAsia" w:ascii="宋体" w:hAnsi="宋体" w:cs="宋体"/>
                <w:sz w:val="21"/>
                <w:szCs w:val="22"/>
              </w:rPr>
              <w:t>爬升架</w:t>
            </w:r>
            <w:r>
              <w:rPr>
                <w:rFonts w:hint="eastAsia" w:ascii="宋体" w:hAnsi="宋体" w:cs="宋体"/>
                <w:sz w:val="21"/>
                <w:szCs w:val="22"/>
                <w:lang w:val="en-US" w:eastAsia="zh-CN"/>
              </w:rPr>
              <w:t>立</w:t>
            </w:r>
            <w:r>
              <w:rPr>
                <w:rFonts w:hint="eastAsia" w:ascii="宋体" w:hAnsi="宋体" w:cs="宋体"/>
                <w:sz w:val="21"/>
                <w:szCs w:val="22"/>
              </w:rPr>
              <w:t>面示意图</w:t>
            </w:r>
          </w:p>
        </w:tc>
      </w:tr>
    </w:tbl>
    <w:p w14:paraId="0E16C43A">
      <w:pPr>
        <w:pStyle w:val="10"/>
        <w:spacing w:after="0" w:line="240" w:lineRule="auto"/>
        <w:rPr>
          <w:rFonts w:hint="eastAsia"/>
        </w:rPr>
      </w:pPr>
    </w:p>
    <w:p w14:paraId="3F6741D4">
      <w:pPr>
        <w:ind w:firstLine="480"/>
        <w:rPr>
          <w:rFonts w:hint="eastAsia" w:ascii="Times New Roman" w:hAnsi="Times New Roman"/>
          <w:lang w:val="en-US" w:eastAsia="zh-CN"/>
        </w:rPr>
      </w:pPr>
      <w:r>
        <w:rPr>
          <w:rFonts w:hint="eastAsia" w:ascii="Times New Roman" w:hAnsi="Times New Roman"/>
          <w:lang w:val="en-US" w:eastAsia="zh-CN"/>
        </w:rPr>
        <w:t>作业人员通过爬梯爬至套架顶部，将安全带系挂在套架顶部的横杆上，站立在套架顶部的平台上，吊机放松吊钩，作业人员解除卸扣与套架的连接。</w:t>
      </w:r>
    </w:p>
    <w:p w14:paraId="29CB38CC">
      <w:pPr>
        <w:ind w:firstLine="480"/>
        <w:rPr>
          <w:rFonts w:hint="eastAsia" w:ascii="Times New Roman" w:hAnsi="Times New Roman"/>
          <w:lang w:val="en-US" w:eastAsia="zh-CN"/>
        </w:rPr>
      </w:pPr>
      <w:r>
        <w:rPr>
          <w:rFonts w:hint="eastAsia"/>
          <w:lang w:val="en-US" w:eastAsia="zh-CN"/>
        </w:rPr>
        <w:t>塔机</w:t>
      </w:r>
      <w:r>
        <w:rPr>
          <w:rFonts w:hint="eastAsia" w:ascii="Times New Roman" w:hAnsi="Times New Roman"/>
          <w:lang w:val="en-US" w:eastAsia="zh-CN"/>
        </w:rPr>
        <w:t>套架安装时设置警戒区，起吊安排专人负责指挥，专人操作，严禁无关人员进入起重作业范围内。</w:t>
      </w:r>
    </w:p>
    <w:p w14:paraId="790B8879">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default" w:ascii="宋体" w:hAnsi="宋体" w:eastAsia="宋体" w:cs="Times New Roman"/>
          <w:b/>
          <w:bCs/>
          <w:lang w:val="en-US" w:eastAsia="zh-CN"/>
        </w:rPr>
      </w:pPr>
      <w:r>
        <w:rPr>
          <w:rFonts w:hint="eastAsia" w:ascii="宋体" w:hAnsi="宋体" w:eastAsia="宋体" w:cs="Times New Roman"/>
          <w:b/>
          <w:bCs/>
          <w:lang w:val="en-US" w:eastAsia="zh-CN"/>
        </w:rPr>
        <w:t>安装特殊节</w:t>
      </w:r>
    </w:p>
    <w:p w14:paraId="597E4BE4">
      <w:pPr>
        <w:ind w:firstLine="480"/>
        <w:rPr>
          <w:rFonts w:hint="eastAsia" w:ascii="Times New Roman" w:hAnsi="Times New Roman"/>
          <w:lang w:val="en-US" w:eastAsia="zh-CN"/>
        </w:rPr>
      </w:pPr>
      <w:r>
        <w:rPr>
          <w:rFonts w:hint="eastAsia" w:ascii="Times New Roman" w:hAnsi="Times New Roman"/>
          <w:lang w:val="en-US" w:eastAsia="zh-CN"/>
        </w:rPr>
        <w:t>特殊节</w:t>
      </w:r>
      <w:r>
        <w:rPr>
          <w:rFonts w:hint="eastAsia" w:ascii="Times New Roman" w:hAnsi="Times New Roman"/>
          <w:lang w:eastAsia="zh-CN"/>
        </w:rPr>
        <w:t>吊重为</w:t>
      </w:r>
      <w:r>
        <w:rPr>
          <w:rFonts w:hint="eastAsia" w:ascii="Times New Roman" w:hAnsi="Times New Roman"/>
          <w:lang w:val="en-US" w:eastAsia="zh-CN"/>
        </w:rPr>
        <w:t>3</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3</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04FFD720">
      <w:pPr>
        <w:ind w:firstLine="480"/>
        <w:rPr>
          <w:rFonts w:hint="eastAsia" w:ascii="Times New Roman" w:hAnsi="Times New Roman"/>
          <w:lang w:val="en-US" w:eastAsia="zh-CN"/>
        </w:rPr>
      </w:pPr>
      <w:r>
        <w:rPr>
          <w:rFonts w:hint="eastAsia" w:ascii="Times New Roman" w:hAnsi="Times New Roman"/>
          <w:lang w:val="en-US" w:eastAsia="zh-CN"/>
        </w:rPr>
        <w:t>采用吊机配合人工在地面上将特殊节结构、特殊节平台、引进衡量等拼装成特殊节总成，特殊节吊装采用四点吊，以特殊节顶部四个销轴孔作为吊装孔，采用4根18mm6×19S+FC1870Mpa的钢丝绳配套GB/T 25854-6-DW5卸扣进行吊装。</w:t>
      </w:r>
    </w:p>
    <w:p w14:paraId="4C72495E">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7803DC8A">
      <w:pPr>
        <w:ind w:firstLine="480"/>
        <w:rPr>
          <w:rFonts w:hint="eastAsia" w:ascii="Times New Roman" w:hAnsi="Times New Roman"/>
          <w:lang w:val="en-US" w:eastAsia="zh-CN"/>
        </w:rPr>
      </w:pPr>
      <w:r>
        <w:rPr>
          <w:rFonts w:hint="eastAsia" w:ascii="Times New Roman" w:hAnsi="Times New Roman"/>
          <w:lang w:val="en-US" w:eastAsia="zh-CN"/>
        </w:rPr>
        <w:t>操作顶升系统，将油缸伸长，使顶升横梁销轴落入到最上面一个塔身节的踏步圆弧槽内，再将套架顶升至与特殊节连接耳板接触，用销轴将套架与</w:t>
      </w:r>
      <w:r>
        <w:rPr>
          <w:rFonts w:hint="eastAsia"/>
          <w:lang w:val="en-US" w:eastAsia="zh-CN"/>
        </w:rPr>
        <w:t>特殊节</w:t>
      </w:r>
      <w:r>
        <w:rPr>
          <w:rFonts w:hint="eastAsia" w:ascii="Times New Roman" w:hAnsi="Times New Roman"/>
          <w:lang w:val="en-US" w:eastAsia="zh-CN"/>
        </w:rPr>
        <w:t>连接牢固。特殊节的安装示意图如下</w:t>
      </w:r>
    </w:p>
    <w:tbl>
      <w:tblPr>
        <w:tblStyle w:val="30"/>
        <w:tblpPr w:leftFromText="180" w:rightFromText="180" w:vertAnchor="text" w:horzAnchor="page" w:tblpXSpec="center" w:tblpY="5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0858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191E0920">
            <w:pPr>
              <w:spacing w:line="360" w:lineRule="auto"/>
              <w:jc w:val="center"/>
            </w:pPr>
            <w:r>
              <w:drawing>
                <wp:inline distT="0" distB="0" distL="114300" distR="114300">
                  <wp:extent cx="3130550" cy="2999105"/>
                  <wp:effectExtent l="0" t="0" r="12700" b="1079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34"/>
                          <a:stretch>
                            <a:fillRect/>
                          </a:stretch>
                        </pic:blipFill>
                        <pic:spPr>
                          <a:xfrm>
                            <a:off x="0" y="0"/>
                            <a:ext cx="3130550" cy="2999105"/>
                          </a:xfrm>
                          <a:prstGeom prst="rect">
                            <a:avLst/>
                          </a:prstGeom>
                          <a:noFill/>
                          <a:ln>
                            <a:noFill/>
                          </a:ln>
                        </pic:spPr>
                      </pic:pic>
                    </a:graphicData>
                  </a:graphic>
                </wp:inline>
              </w:drawing>
            </w:r>
          </w:p>
        </w:tc>
      </w:tr>
      <w:tr w14:paraId="67B9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352" w:type="dxa"/>
          </w:tcPr>
          <w:p w14:paraId="03635DDA">
            <w:pPr>
              <w:spacing w:line="360" w:lineRule="auto"/>
              <w:ind w:firstLine="480"/>
              <w:jc w:val="center"/>
            </w:pPr>
            <w:r>
              <w:rPr>
                <w:rFonts w:hint="eastAsia" w:ascii="宋体" w:hAnsi="宋体" w:cs="宋体"/>
                <w:sz w:val="21"/>
                <w:szCs w:val="22"/>
                <w:lang w:val="en-US" w:eastAsia="zh-CN"/>
              </w:rPr>
              <w:t>安装特殊节</w:t>
            </w:r>
            <w:r>
              <w:rPr>
                <w:rFonts w:hint="eastAsia" w:ascii="宋体" w:hAnsi="宋体" w:cs="宋体"/>
                <w:sz w:val="21"/>
                <w:szCs w:val="22"/>
              </w:rPr>
              <w:t>平面示意图</w:t>
            </w:r>
          </w:p>
        </w:tc>
      </w:tr>
      <w:tr w14:paraId="565B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4C967D81">
            <w:pPr>
              <w:spacing w:line="360" w:lineRule="auto"/>
              <w:jc w:val="center"/>
            </w:pPr>
            <w:r>
              <w:drawing>
                <wp:inline distT="0" distB="0" distL="114300" distR="114300">
                  <wp:extent cx="3187700" cy="2746375"/>
                  <wp:effectExtent l="0" t="0" r="12700" b="1587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38"/>
                          <a:stretch>
                            <a:fillRect/>
                          </a:stretch>
                        </pic:blipFill>
                        <pic:spPr>
                          <a:xfrm>
                            <a:off x="0" y="0"/>
                            <a:ext cx="3187700" cy="2746375"/>
                          </a:xfrm>
                          <a:prstGeom prst="rect">
                            <a:avLst/>
                          </a:prstGeom>
                          <a:noFill/>
                          <a:ln>
                            <a:noFill/>
                          </a:ln>
                        </pic:spPr>
                      </pic:pic>
                    </a:graphicData>
                  </a:graphic>
                </wp:inline>
              </w:drawing>
            </w:r>
          </w:p>
        </w:tc>
      </w:tr>
      <w:tr w14:paraId="0C4B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352" w:type="dxa"/>
          </w:tcPr>
          <w:p w14:paraId="4B954C02">
            <w:pPr>
              <w:spacing w:line="360" w:lineRule="auto"/>
              <w:ind w:firstLine="480"/>
              <w:jc w:val="center"/>
            </w:pPr>
            <w:r>
              <w:rPr>
                <w:rFonts w:hint="eastAsia" w:ascii="宋体" w:hAnsi="宋体" w:cs="宋体"/>
                <w:sz w:val="21"/>
                <w:szCs w:val="22"/>
                <w:lang w:val="en-US" w:eastAsia="zh-CN"/>
              </w:rPr>
              <w:t>安装特殊节立</w:t>
            </w:r>
            <w:r>
              <w:rPr>
                <w:rFonts w:hint="eastAsia" w:ascii="宋体" w:hAnsi="宋体" w:cs="宋体"/>
                <w:sz w:val="21"/>
                <w:szCs w:val="22"/>
              </w:rPr>
              <w:t>面示意图</w:t>
            </w:r>
          </w:p>
        </w:tc>
      </w:tr>
    </w:tbl>
    <w:p w14:paraId="1A7F9561">
      <w:pPr>
        <w:pStyle w:val="10"/>
        <w:spacing w:after="0" w:line="240" w:lineRule="auto"/>
      </w:pPr>
    </w:p>
    <w:p w14:paraId="51C53A48">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安装回转总成</w:t>
      </w:r>
    </w:p>
    <w:p w14:paraId="1EEFB068">
      <w:pPr>
        <w:ind w:firstLine="480"/>
        <w:rPr>
          <w:rFonts w:hint="eastAsia" w:ascii="Times New Roman" w:hAnsi="Times New Roman"/>
          <w:lang w:val="en-US" w:eastAsia="zh-CN"/>
        </w:rPr>
      </w:pPr>
      <w:r>
        <w:rPr>
          <w:rFonts w:hint="eastAsia" w:ascii="Times New Roman" w:hAnsi="Times New Roman"/>
          <w:lang w:val="en-US" w:eastAsia="zh-CN"/>
        </w:rPr>
        <w:t>回转总成</w:t>
      </w:r>
      <w:r>
        <w:rPr>
          <w:rFonts w:hint="eastAsia" w:ascii="Times New Roman" w:hAnsi="Times New Roman"/>
          <w:lang w:eastAsia="zh-CN"/>
        </w:rPr>
        <w:t>吊重为</w:t>
      </w:r>
      <w:r>
        <w:rPr>
          <w:rFonts w:hint="eastAsia" w:ascii="Times New Roman" w:hAnsi="Times New Roman"/>
          <w:lang w:val="en-US" w:eastAsia="zh-CN"/>
        </w:rPr>
        <w:t>4.758</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4.758</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6E181883">
      <w:pPr>
        <w:ind w:firstLine="480"/>
        <w:rPr>
          <w:rFonts w:hint="eastAsia" w:ascii="Times New Roman" w:hAnsi="Times New Roman"/>
          <w:lang w:val="en-US" w:eastAsia="zh-CN"/>
        </w:rPr>
      </w:pPr>
      <w:r>
        <w:rPr>
          <w:rFonts w:hint="eastAsia" w:ascii="Times New Roman" w:hAnsi="Times New Roman"/>
          <w:lang w:val="en-US" w:eastAsia="zh-CN"/>
        </w:rPr>
        <w:t>采用吊机配合人工在地面上将回转支座、回转限位器、司机室和维修平台等拼装成回转总成，回转总成吊装采用四点吊，以回转总成顶部四个销轴孔作为吊装孔，采用4根18mm6×19S+FC1870Mpa的钢丝绳配</w:t>
      </w:r>
      <w:r>
        <w:rPr>
          <w:rFonts w:hint="eastAsia"/>
          <w:lang w:val="en-US" w:eastAsia="zh-CN"/>
        </w:rPr>
        <w:t>套</w:t>
      </w:r>
      <w:r>
        <w:rPr>
          <w:rFonts w:hint="eastAsia" w:ascii="Times New Roman" w:hAnsi="Times New Roman"/>
          <w:lang w:val="en-US" w:eastAsia="zh-CN"/>
        </w:rPr>
        <w:t>GB/T</w:t>
      </w:r>
      <w:r>
        <w:rPr>
          <w:rFonts w:hint="eastAsia"/>
          <w:lang w:val="en-US" w:eastAsia="zh-CN"/>
        </w:rPr>
        <w:t xml:space="preserve"> </w:t>
      </w:r>
      <w:r>
        <w:rPr>
          <w:rFonts w:hint="eastAsia" w:ascii="Times New Roman" w:hAnsi="Times New Roman"/>
          <w:lang w:val="en-US" w:eastAsia="zh-CN"/>
        </w:rPr>
        <w:t>25854-6-DW5卸扣进行吊装。</w:t>
      </w:r>
    </w:p>
    <w:p w14:paraId="62188A61">
      <w:pPr>
        <w:ind w:firstLine="480"/>
        <w:rPr>
          <w:rFonts w:hint="eastAsia"/>
          <w:lang w:eastAsia="zh-CN"/>
        </w:rPr>
      </w:pPr>
      <w:r>
        <w:rPr>
          <w:rFonts w:hint="eastAsia" w:ascii="Times New Roman" w:hAnsi="Times New Roman"/>
          <w:lang w:val="en-US" w:eastAsia="zh-CN"/>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回转总成的安装示意图如下</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1DC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2767E55">
            <w:pPr>
              <w:spacing w:line="360" w:lineRule="auto"/>
              <w:jc w:val="center"/>
            </w:pPr>
            <w:r>
              <w:drawing>
                <wp:inline distT="0" distB="0" distL="114300" distR="114300">
                  <wp:extent cx="2856230" cy="2736850"/>
                  <wp:effectExtent l="0" t="0" r="1270" b="635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34"/>
                          <a:stretch>
                            <a:fillRect/>
                          </a:stretch>
                        </pic:blipFill>
                        <pic:spPr>
                          <a:xfrm>
                            <a:off x="0" y="0"/>
                            <a:ext cx="2856230" cy="2736850"/>
                          </a:xfrm>
                          <a:prstGeom prst="rect">
                            <a:avLst/>
                          </a:prstGeom>
                          <a:noFill/>
                          <a:ln>
                            <a:noFill/>
                          </a:ln>
                        </pic:spPr>
                      </pic:pic>
                    </a:graphicData>
                  </a:graphic>
                </wp:inline>
              </w:drawing>
            </w:r>
          </w:p>
        </w:tc>
      </w:tr>
      <w:tr w14:paraId="38FF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901F0E4">
            <w:pPr>
              <w:spacing w:line="360" w:lineRule="auto"/>
              <w:ind w:firstLine="480"/>
              <w:jc w:val="center"/>
            </w:pPr>
            <w:r>
              <w:rPr>
                <w:rFonts w:hint="eastAsia" w:ascii="宋体" w:hAnsi="宋体" w:cs="宋体"/>
                <w:sz w:val="21"/>
                <w:szCs w:val="22"/>
                <w:lang w:val="en-US" w:eastAsia="zh-CN"/>
              </w:rPr>
              <w:t>安装回转总成</w:t>
            </w:r>
            <w:r>
              <w:rPr>
                <w:rFonts w:hint="eastAsia" w:ascii="宋体" w:hAnsi="宋体" w:cs="宋体"/>
                <w:sz w:val="21"/>
                <w:szCs w:val="22"/>
              </w:rPr>
              <w:t>平面示意图</w:t>
            </w:r>
          </w:p>
        </w:tc>
      </w:tr>
      <w:tr w14:paraId="3A2C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50B37D48">
            <w:pPr>
              <w:spacing w:line="360" w:lineRule="auto"/>
              <w:jc w:val="center"/>
            </w:pPr>
            <w:r>
              <w:drawing>
                <wp:inline distT="0" distB="0" distL="114300" distR="114300">
                  <wp:extent cx="2646045" cy="2339975"/>
                  <wp:effectExtent l="0" t="0" r="1905"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9"/>
                          <a:stretch>
                            <a:fillRect/>
                          </a:stretch>
                        </pic:blipFill>
                        <pic:spPr>
                          <a:xfrm>
                            <a:off x="0" y="0"/>
                            <a:ext cx="2646045" cy="2339975"/>
                          </a:xfrm>
                          <a:prstGeom prst="rect">
                            <a:avLst/>
                          </a:prstGeom>
                          <a:noFill/>
                          <a:ln>
                            <a:noFill/>
                          </a:ln>
                        </pic:spPr>
                      </pic:pic>
                    </a:graphicData>
                  </a:graphic>
                </wp:inline>
              </w:drawing>
            </w:r>
          </w:p>
        </w:tc>
      </w:tr>
      <w:tr w14:paraId="1B25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5DE7A524">
            <w:pPr>
              <w:spacing w:line="360" w:lineRule="auto"/>
              <w:ind w:firstLine="480"/>
              <w:jc w:val="center"/>
            </w:pPr>
            <w:r>
              <w:rPr>
                <w:rFonts w:hint="eastAsia" w:ascii="宋体" w:hAnsi="宋体" w:cs="宋体"/>
                <w:sz w:val="21"/>
                <w:szCs w:val="22"/>
                <w:lang w:val="en-US" w:eastAsia="zh-CN"/>
              </w:rPr>
              <w:t>安装回转总成立</w:t>
            </w:r>
            <w:r>
              <w:rPr>
                <w:rFonts w:hint="eastAsia" w:ascii="宋体" w:hAnsi="宋体" w:cs="宋体"/>
                <w:sz w:val="21"/>
                <w:szCs w:val="22"/>
              </w:rPr>
              <w:t>面示意图</w:t>
            </w:r>
          </w:p>
        </w:tc>
      </w:tr>
    </w:tbl>
    <w:p w14:paraId="2C85E29C">
      <w:pPr>
        <w:ind w:firstLine="480"/>
        <w:rPr>
          <w:rFonts w:hint="eastAsia"/>
          <w:lang w:eastAsia="zh-CN"/>
        </w:rPr>
      </w:pPr>
    </w:p>
    <w:p w14:paraId="38F8614A">
      <w:pPr>
        <w:ind w:firstLine="480"/>
        <w:rPr>
          <w:rFonts w:hint="eastAsia" w:ascii="Times New Roman" w:hAnsi="Times New Roman"/>
          <w:lang w:val="en-US" w:eastAsia="zh-CN"/>
        </w:rPr>
      </w:pPr>
      <w:r>
        <w:rPr>
          <w:rFonts w:hint="eastAsia" w:ascii="Times New Roman" w:hAnsi="Times New Roman"/>
          <w:lang w:val="en-US" w:eastAsia="zh-CN"/>
        </w:rPr>
        <w:t>作业人员通过爬梯爬至回转总成顶部，将安全带系挂在回转总成顶部的横杆上，站立在回转总成顶部，吊机放松吊钩，作业人员解除卸扣与回转总成的连接。</w:t>
      </w:r>
    </w:p>
    <w:p w14:paraId="666C13F6">
      <w:pPr>
        <w:ind w:firstLine="480"/>
        <w:rPr>
          <w:rFonts w:hint="eastAsia" w:ascii="Times New Roman" w:hAnsi="Times New Roman"/>
          <w:lang w:val="en-US" w:eastAsia="zh-CN"/>
        </w:rPr>
      </w:pPr>
      <w:r>
        <w:rPr>
          <w:rFonts w:hint="eastAsia"/>
          <w:lang w:val="en-US" w:eastAsia="zh-CN"/>
        </w:rPr>
        <w:t>塔机</w:t>
      </w:r>
      <w:r>
        <w:rPr>
          <w:rFonts w:hint="eastAsia" w:ascii="Times New Roman" w:hAnsi="Times New Roman"/>
          <w:lang w:val="en-US" w:eastAsia="zh-CN"/>
        </w:rPr>
        <w:t>回转总成安装时设置警戒区，起吊安排专人负责指挥，专人操作，严禁无关人员进入起重作业范围内。</w:t>
      </w:r>
    </w:p>
    <w:p w14:paraId="3E1A1C1F">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安装起重臂根节</w:t>
      </w:r>
    </w:p>
    <w:p w14:paraId="38021604">
      <w:pPr>
        <w:ind w:firstLine="480"/>
        <w:rPr>
          <w:rFonts w:hint="eastAsia" w:ascii="Times New Roman" w:hAnsi="Times New Roman"/>
          <w:lang w:val="en-US" w:eastAsia="zh-CN"/>
        </w:rPr>
      </w:pPr>
      <w:r>
        <w:rPr>
          <w:rFonts w:hint="eastAsia" w:ascii="Times New Roman" w:hAnsi="Times New Roman"/>
          <w:lang w:val="en-US" w:eastAsia="zh-CN"/>
        </w:rPr>
        <w:t>起重臂臂根节</w:t>
      </w:r>
      <w:r>
        <w:rPr>
          <w:rFonts w:hint="eastAsia" w:ascii="Times New Roman" w:hAnsi="Times New Roman"/>
          <w:lang w:eastAsia="zh-CN"/>
        </w:rPr>
        <w:t>吊重为</w:t>
      </w:r>
      <w:r>
        <w:rPr>
          <w:rFonts w:hint="eastAsia" w:ascii="Times New Roman" w:hAnsi="Times New Roman"/>
          <w:lang w:val="en-US" w:eastAsia="zh-CN"/>
        </w:rPr>
        <w:t>3.8</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3.8</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591586A8">
      <w:pPr>
        <w:ind w:firstLine="480"/>
        <w:rPr>
          <w:rFonts w:hint="eastAsia" w:ascii="Times New Roman" w:hAnsi="Times New Roman"/>
          <w:lang w:val="en-US" w:eastAsia="zh-CN"/>
        </w:rPr>
      </w:pPr>
      <w:r>
        <w:rPr>
          <w:rFonts w:hint="eastAsia" w:ascii="Times New Roman" w:hAnsi="Times New Roman"/>
          <w:lang w:val="en-US" w:eastAsia="zh-CN"/>
        </w:rPr>
        <w:t>在地面将小车安装在臂根节靠塔身引进侧根部，打入防脱销轴以固定。</w:t>
      </w:r>
    </w:p>
    <w:p w14:paraId="32D27D67">
      <w:pPr>
        <w:ind w:firstLine="480"/>
        <w:rPr>
          <w:rFonts w:hint="eastAsia" w:ascii="Times New Roman" w:hAnsi="Times New Roman"/>
          <w:lang w:val="en-US" w:eastAsia="zh-CN"/>
        </w:rPr>
      </w:pPr>
      <w:r>
        <w:rPr>
          <w:rFonts w:hint="eastAsia" w:ascii="Times New Roman" w:hAnsi="Times New Roman"/>
          <w:lang w:val="en-US" w:eastAsia="zh-CN"/>
        </w:rPr>
        <w:t>采用吊机配合人工在地面上将臂根节拼装完成，臂根节吊装采用四点吊，以臂根节顶部四个销轴孔作为吊装孔，采用4根18mm6×19S+FC1870Mpa的钢丝绳配套GB/T 25854-6-DW5卸扣进行吊装。</w:t>
      </w:r>
    </w:p>
    <w:p w14:paraId="7CD985D6">
      <w:pPr>
        <w:ind w:firstLine="480"/>
        <w:rPr>
          <w:rFonts w:hint="default" w:ascii="宋体" w:hAnsi="宋体" w:eastAsia="宋体" w:cs="宋体"/>
          <w:color w:val="auto"/>
          <w:lang w:val="en-US" w:eastAsia="zh-CN"/>
        </w:rPr>
      </w:pPr>
      <w:r>
        <w:rPr>
          <w:rFonts w:hint="eastAsia" w:ascii="Times New Roman" w:hAnsi="Times New Roman"/>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D1C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7EB650F">
            <w:pPr>
              <w:spacing w:line="360" w:lineRule="auto"/>
              <w:jc w:val="center"/>
            </w:pPr>
            <w:r>
              <w:drawing>
                <wp:inline distT="0" distB="0" distL="114300" distR="114300">
                  <wp:extent cx="2955290" cy="2816860"/>
                  <wp:effectExtent l="0" t="0" r="16510" b="254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40"/>
                          <a:stretch>
                            <a:fillRect/>
                          </a:stretch>
                        </pic:blipFill>
                        <pic:spPr>
                          <a:xfrm>
                            <a:off x="0" y="0"/>
                            <a:ext cx="2955290" cy="2816860"/>
                          </a:xfrm>
                          <a:prstGeom prst="rect">
                            <a:avLst/>
                          </a:prstGeom>
                          <a:noFill/>
                          <a:ln>
                            <a:noFill/>
                          </a:ln>
                        </pic:spPr>
                      </pic:pic>
                    </a:graphicData>
                  </a:graphic>
                </wp:inline>
              </w:drawing>
            </w:r>
          </w:p>
        </w:tc>
      </w:tr>
      <w:tr w14:paraId="0396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3DB37424">
            <w:pPr>
              <w:spacing w:line="360" w:lineRule="auto"/>
              <w:ind w:firstLine="480"/>
              <w:jc w:val="center"/>
            </w:pPr>
            <w:r>
              <w:rPr>
                <w:rFonts w:hint="eastAsia" w:ascii="宋体" w:hAnsi="宋体" w:cs="宋体"/>
                <w:sz w:val="21"/>
                <w:szCs w:val="22"/>
                <w:lang w:val="en-US" w:eastAsia="zh-CN"/>
              </w:rPr>
              <w:t>安装起重臂臂根节</w:t>
            </w:r>
            <w:r>
              <w:rPr>
                <w:rFonts w:hint="eastAsia" w:ascii="宋体" w:hAnsi="宋体" w:cs="宋体"/>
                <w:sz w:val="21"/>
                <w:szCs w:val="22"/>
              </w:rPr>
              <w:t>平面示意图</w:t>
            </w:r>
          </w:p>
        </w:tc>
      </w:tr>
      <w:tr w14:paraId="5D8E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1A3F6E0">
            <w:pPr>
              <w:spacing w:line="360" w:lineRule="auto"/>
              <w:jc w:val="center"/>
            </w:pPr>
            <w:r>
              <w:drawing>
                <wp:inline distT="0" distB="0" distL="114300" distR="114300">
                  <wp:extent cx="2334895" cy="1917700"/>
                  <wp:effectExtent l="0" t="0" r="8255" b="635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41"/>
                          <a:stretch>
                            <a:fillRect/>
                          </a:stretch>
                        </pic:blipFill>
                        <pic:spPr>
                          <a:xfrm>
                            <a:off x="0" y="0"/>
                            <a:ext cx="2334895" cy="1917700"/>
                          </a:xfrm>
                          <a:prstGeom prst="rect">
                            <a:avLst/>
                          </a:prstGeom>
                          <a:noFill/>
                          <a:ln>
                            <a:noFill/>
                          </a:ln>
                        </pic:spPr>
                      </pic:pic>
                    </a:graphicData>
                  </a:graphic>
                </wp:inline>
              </w:drawing>
            </w:r>
          </w:p>
        </w:tc>
      </w:tr>
      <w:tr w14:paraId="5546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428DE90">
            <w:pPr>
              <w:spacing w:line="360" w:lineRule="auto"/>
              <w:ind w:firstLine="480"/>
              <w:jc w:val="center"/>
            </w:pPr>
            <w:r>
              <w:rPr>
                <w:rFonts w:hint="eastAsia" w:ascii="宋体" w:hAnsi="宋体" w:cs="宋体"/>
                <w:sz w:val="21"/>
                <w:szCs w:val="22"/>
                <w:lang w:val="en-US" w:eastAsia="zh-CN"/>
              </w:rPr>
              <w:t>安装起重臂臂根节立</w:t>
            </w:r>
            <w:r>
              <w:rPr>
                <w:rFonts w:hint="eastAsia" w:ascii="宋体" w:hAnsi="宋体" w:cs="宋体"/>
                <w:sz w:val="21"/>
                <w:szCs w:val="22"/>
              </w:rPr>
              <w:t>面示意图</w:t>
            </w:r>
          </w:p>
        </w:tc>
      </w:tr>
    </w:tbl>
    <w:p w14:paraId="367D7247">
      <w:pPr>
        <w:ind w:firstLine="480"/>
        <w:rPr>
          <w:rFonts w:hint="default" w:ascii="宋体" w:hAnsi="宋体" w:eastAsia="宋体" w:cs="宋体"/>
          <w:color w:val="auto"/>
          <w:lang w:val="en-US" w:eastAsia="zh-CN"/>
        </w:rPr>
      </w:pPr>
    </w:p>
    <w:p w14:paraId="4B94AC4B">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安装平衡臂总成</w:t>
      </w:r>
    </w:p>
    <w:p w14:paraId="7B3CE978">
      <w:pPr>
        <w:ind w:firstLine="480"/>
        <w:rPr>
          <w:rFonts w:hint="eastAsia" w:ascii="Times New Roman" w:hAnsi="Times New Roman"/>
          <w:lang w:val="en-US" w:eastAsia="zh-CN"/>
        </w:rPr>
      </w:pPr>
      <w:r>
        <w:rPr>
          <w:rFonts w:hint="eastAsia" w:ascii="Times New Roman" w:hAnsi="Times New Roman"/>
          <w:lang w:val="en-US" w:eastAsia="zh-CN"/>
        </w:rPr>
        <w:t>平衡臂</w:t>
      </w:r>
      <w:r>
        <w:rPr>
          <w:rFonts w:hint="eastAsia" w:ascii="Times New Roman" w:hAnsi="Times New Roman"/>
          <w:lang w:eastAsia="zh-CN"/>
        </w:rPr>
        <w:t>吊重为</w:t>
      </w:r>
      <w:r>
        <w:rPr>
          <w:rFonts w:hint="eastAsia" w:ascii="Times New Roman" w:hAnsi="Times New Roman"/>
          <w:lang w:val="en-US" w:eastAsia="zh-CN"/>
        </w:rPr>
        <w:t>5.2</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5.2</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630464F4">
      <w:pPr>
        <w:ind w:firstLine="480"/>
        <w:rPr>
          <w:rFonts w:hint="eastAsia" w:ascii="Times New Roman" w:hAnsi="Times New Roman"/>
          <w:lang w:val="en-US" w:eastAsia="zh-CN"/>
        </w:rPr>
      </w:pPr>
      <w:r>
        <w:rPr>
          <w:rFonts w:hint="eastAsia" w:ascii="Times New Roman" w:hAnsi="Times New Roman"/>
          <w:lang w:val="en-US" w:eastAsia="zh-CN"/>
        </w:rPr>
        <w:t>采用吊机配合人工在地面上将平衡臂分别组装好（含走台及栏杆）平衡臂吊装采用四点吊，以平衡臂臂节上弦杆吊耳作为吊装孔，采用4根18mm6×19S+FC1870Mpa的钢丝绳配套GB/T 25854-6-DW5卸扣进行吊装。</w:t>
      </w:r>
    </w:p>
    <w:p w14:paraId="3FFE447A">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安装示意图如下</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71F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80A0B91">
            <w:pPr>
              <w:spacing w:line="360" w:lineRule="auto"/>
              <w:jc w:val="center"/>
            </w:pPr>
            <w:r>
              <w:drawing>
                <wp:inline distT="0" distB="0" distL="114300" distR="114300">
                  <wp:extent cx="2710815" cy="2701290"/>
                  <wp:effectExtent l="0" t="0" r="13335" b="381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42"/>
                          <a:stretch>
                            <a:fillRect/>
                          </a:stretch>
                        </pic:blipFill>
                        <pic:spPr>
                          <a:xfrm>
                            <a:off x="0" y="0"/>
                            <a:ext cx="2710815" cy="2701290"/>
                          </a:xfrm>
                          <a:prstGeom prst="rect">
                            <a:avLst/>
                          </a:prstGeom>
                          <a:noFill/>
                          <a:ln>
                            <a:noFill/>
                          </a:ln>
                        </pic:spPr>
                      </pic:pic>
                    </a:graphicData>
                  </a:graphic>
                </wp:inline>
              </w:drawing>
            </w:r>
          </w:p>
        </w:tc>
      </w:tr>
      <w:tr w14:paraId="5549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5A903E0">
            <w:pPr>
              <w:spacing w:line="360" w:lineRule="auto"/>
              <w:ind w:firstLine="480"/>
              <w:jc w:val="center"/>
            </w:pPr>
            <w:r>
              <w:rPr>
                <w:rFonts w:hint="eastAsia" w:ascii="宋体" w:hAnsi="宋体" w:cs="宋体"/>
                <w:sz w:val="21"/>
                <w:szCs w:val="22"/>
                <w:lang w:val="en-US" w:eastAsia="zh-CN"/>
              </w:rPr>
              <w:t>安装平衡臂</w:t>
            </w:r>
            <w:r>
              <w:rPr>
                <w:rFonts w:hint="eastAsia" w:ascii="宋体" w:hAnsi="宋体" w:cs="宋体"/>
                <w:sz w:val="21"/>
                <w:szCs w:val="22"/>
              </w:rPr>
              <w:t>平面示意图</w:t>
            </w:r>
          </w:p>
        </w:tc>
      </w:tr>
      <w:tr w14:paraId="16AD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F170650">
            <w:pPr>
              <w:spacing w:line="360" w:lineRule="auto"/>
              <w:jc w:val="center"/>
            </w:pPr>
            <w:r>
              <w:drawing>
                <wp:inline distT="0" distB="0" distL="114300" distR="114300">
                  <wp:extent cx="3072130" cy="2892425"/>
                  <wp:effectExtent l="0" t="0" r="13970" b="3175"/>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43"/>
                          <a:stretch>
                            <a:fillRect/>
                          </a:stretch>
                        </pic:blipFill>
                        <pic:spPr>
                          <a:xfrm>
                            <a:off x="0" y="0"/>
                            <a:ext cx="3072130" cy="2892425"/>
                          </a:xfrm>
                          <a:prstGeom prst="rect">
                            <a:avLst/>
                          </a:prstGeom>
                          <a:noFill/>
                          <a:ln>
                            <a:noFill/>
                          </a:ln>
                        </pic:spPr>
                      </pic:pic>
                    </a:graphicData>
                  </a:graphic>
                </wp:inline>
              </w:drawing>
            </w:r>
          </w:p>
        </w:tc>
      </w:tr>
      <w:tr w14:paraId="5091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E35C907">
            <w:pPr>
              <w:spacing w:line="360" w:lineRule="auto"/>
              <w:ind w:firstLine="480"/>
              <w:jc w:val="center"/>
            </w:pPr>
            <w:r>
              <w:rPr>
                <w:rFonts w:hint="eastAsia" w:ascii="宋体" w:hAnsi="宋体" w:cs="宋体"/>
                <w:sz w:val="21"/>
                <w:szCs w:val="22"/>
                <w:lang w:val="en-US" w:eastAsia="zh-CN"/>
              </w:rPr>
              <w:t>安装平衡臂立</w:t>
            </w:r>
            <w:r>
              <w:rPr>
                <w:rFonts w:hint="eastAsia" w:ascii="宋体" w:hAnsi="宋体" w:cs="宋体"/>
                <w:sz w:val="21"/>
                <w:szCs w:val="22"/>
              </w:rPr>
              <w:t>面示意图</w:t>
            </w:r>
          </w:p>
        </w:tc>
      </w:tr>
    </w:tbl>
    <w:p w14:paraId="5C686AF1">
      <w:pPr>
        <w:rPr>
          <w:rFonts w:hint="eastAsia" w:ascii="Times New Roman" w:hAnsi="Times New Roman"/>
          <w:lang w:val="en-US" w:eastAsia="zh-CN"/>
        </w:rPr>
      </w:pPr>
    </w:p>
    <w:p w14:paraId="787901E1">
      <w:pPr>
        <w:ind w:firstLine="480"/>
        <w:rPr>
          <w:rFonts w:hint="eastAsia" w:ascii="Times New Roman" w:hAnsi="Times New Roman"/>
          <w:lang w:val="en-US" w:eastAsia="zh-CN"/>
        </w:rPr>
      </w:pPr>
      <w:r>
        <w:rPr>
          <w:rFonts w:hint="eastAsia" w:ascii="Times New Roman" w:hAnsi="Times New Roman"/>
          <w:lang w:val="en-US" w:eastAsia="zh-CN"/>
        </w:rPr>
        <w:t>作业人员通过爬梯爬至臂根节，将安全带交替系挂在平衡臂臂节护栏，沿走道走行至平衡臂臂节吊点位置，吊机放松吊钩，作业人员解除钢丝绳与平衡臂臂节吊点的连接。</w:t>
      </w:r>
    </w:p>
    <w:p w14:paraId="507E195F">
      <w:pPr>
        <w:ind w:firstLine="480"/>
        <w:rPr>
          <w:rFonts w:hint="eastAsia" w:ascii="Times New Roman" w:hAnsi="Times New Roman"/>
          <w:lang w:val="en-US" w:eastAsia="zh-CN"/>
        </w:rPr>
      </w:pPr>
      <w:r>
        <w:rPr>
          <w:rFonts w:hint="eastAsia" w:ascii="Times New Roman" w:hAnsi="Times New Roman"/>
          <w:lang w:val="en-US" w:eastAsia="zh-CN"/>
        </w:rPr>
        <w:t>平衡臂臂节安装时设置警戒区，起吊安排专人负责指挥，专人操作，严禁无关人员进入起重作业范围内。</w:t>
      </w:r>
    </w:p>
    <w:p w14:paraId="12AA5F1A">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安装1块3.2t平衡重</w:t>
      </w:r>
    </w:p>
    <w:p w14:paraId="6A0934C8">
      <w:pPr>
        <w:ind w:firstLine="480"/>
        <w:rPr>
          <w:rFonts w:hint="eastAsia" w:ascii="Times New Roman" w:hAnsi="Times New Roman"/>
          <w:lang w:val="en-US" w:eastAsia="zh-CN"/>
        </w:rPr>
      </w:pPr>
      <w:r>
        <w:rPr>
          <w:rFonts w:hint="eastAsia" w:ascii="Times New Roman" w:hAnsi="Times New Roman"/>
          <w:lang w:val="en-US" w:eastAsia="zh-CN"/>
        </w:rPr>
        <w:t>平衡重</w:t>
      </w:r>
      <w:r>
        <w:rPr>
          <w:rFonts w:hint="eastAsia" w:ascii="Times New Roman" w:hAnsi="Times New Roman"/>
          <w:lang w:eastAsia="zh-CN"/>
        </w:rPr>
        <w:t>吊重为</w:t>
      </w:r>
      <w:r>
        <w:rPr>
          <w:rFonts w:hint="eastAsia" w:ascii="Times New Roman" w:hAnsi="Times New Roman"/>
          <w:lang w:val="en-US" w:eastAsia="zh-CN"/>
        </w:rPr>
        <w:t>3.2</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3.2</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1674E560">
      <w:pPr>
        <w:ind w:firstLine="480"/>
        <w:rPr>
          <w:rFonts w:hint="eastAsia" w:ascii="Times New Roman" w:hAnsi="Times New Roman"/>
          <w:lang w:val="en-US" w:eastAsia="zh-CN"/>
        </w:rPr>
      </w:pPr>
      <w:r>
        <w:rPr>
          <w:rFonts w:hint="eastAsia" w:ascii="Times New Roman" w:hAnsi="Times New Roman"/>
          <w:lang w:val="en-US" w:eastAsia="zh-CN"/>
        </w:rPr>
        <w:t>平衡重吊装采用两点吊，采用2根16mm6×19S+FC1870Mpa的钢丝绳配套GB/T 25854-6-DW5卸扣与平衡重吊耳进行连接吊装。</w:t>
      </w:r>
    </w:p>
    <w:p w14:paraId="573C0922">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61E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FEA6F58">
            <w:pPr>
              <w:spacing w:line="360" w:lineRule="auto"/>
              <w:jc w:val="center"/>
            </w:pPr>
            <w:r>
              <w:drawing>
                <wp:inline distT="0" distB="0" distL="114300" distR="114300">
                  <wp:extent cx="3423920" cy="3409950"/>
                  <wp:effectExtent l="0" t="0" r="5080" b="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42"/>
                          <a:stretch>
                            <a:fillRect/>
                          </a:stretch>
                        </pic:blipFill>
                        <pic:spPr>
                          <a:xfrm>
                            <a:off x="0" y="0"/>
                            <a:ext cx="3423920" cy="3409950"/>
                          </a:xfrm>
                          <a:prstGeom prst="rect">
                            <a:avLst/>
                          </a:prstGeom>
                          <a:noFill/>
                          <a:ln>
                            <a:noFill/>
                          </a:ln>
                        </pic:spPr>
                      </pic:pic>
                    </a:graphicData>
                  </a:graphic>
                </wp:inline>
              </w:drawing>
            </w:r>
          </w:p>
        </w:tc>
      </w:tr>
      <w:tr w14:paraId="75F3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1787849B">
            <w:pPr>
              <w:spacing w:line="360" w:lineRule="auto"/>
              <w:ind w:firstLine="480"/>
              <w:jc w:val="center"/>
            </w:pPr>
            <w:r>
              <w:rPr>
                <w:rFonts w:hint="eastAsia" w:ascii="宋体" w:hAnsi="宋体" w:cs="宋体"/>
                <w:sz w:val="21"/>
                <w:szCs w:val="22"/>
                <w:lang w:val="en-US" w:eastAsia="zh-CN"/>
              </w:rPr>
              <w:t>安装1块平衡重</w:t>
            </w:r>
            <w:r>
              <w:rPr>
                <w:rFonts w:hint="eastAsia" w:ascii="宋体" w:hAnsi="宋体" w:cs="宋体"/>
                <w:sz w:val="21"/>
                <w:szCs w:val="22"/>
              </w:rPr>
              <w:t>平面示意图</w:t>
            </w:r>
          </w:p>
        </w:tc>
      </w:tr>
      <w:tr w14:paraId="4186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5009D06">
            <w:pPr>
              <w:spacing w:line="360" w:lineRule="auto"/>
              <w:jc w:val="center"/>
            </w:pPr>
            <w:r>
              <w:drawing>
                <wp:inline distT="0" distB="0" distL="114300" distR="114300">
                  <wp:extent cx="3620135" cy="3309620"/>
                  <wp:effectExtent l="0" t="0" r="18415" b="508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44"/>
                          <a:stretch>
                            <a:fillRect/>
                          </a:stretch>
                        </pic:blipFill>
                        <pic:spPr>
                          <a:xfrm>
                            <a:off x="0" y="0"/>
                            <a:ext cx="3620135" cy="3309620"/>
                          </a:xfrm>
                          <a:prstGeom prst="rect">
                            <a:avLst/>
                          </a:prstGeom>
                          <a:noFill/>
                          <a:ln>
                            <a:noFill/>
                          </a:ln>
                        </pic:spPr>
                      </pic:pic>
                    </a:graphicData>
                  </a:graphic>
                </wp:inline>
              </w:drawing>
            </w:r>
          </w:p>
        </w:tc>
      </w:tr>
      <w:tr w14:paraId="0EC7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598A4DBD">
            <w:pPr>
              <w:spacing w:line="360" w:lineRule="auto"/>
              <w:ind w:firstLine="480"/>
              <w:jc w:val="center"/>
            </w:pPr>
            <w:r>
              <w:rPr>
                <w:rFonts w:hint="eastAsia" w:ascii="宋体" w:hAnsi="宋体" w:cs="宋体"/>
                <w:sz w:val="21"/>
                <w:szCs w:val="22"/>
                <w:lang w:val="en-US" w:eastAsia="zh-CN"/>
              </w:rPr>
              <w:t>安装1块平衡重立</w:t>
            </w:r>
            <w:r>
              <w:rPr>
                <w:rFonts w:hint="eastAsia" w:ascii="宋体" w:hAnsi="宋体" w:cs="宋体"/>
                <w:sz w:val="21"/>
                <w:szCs w:val="22"/>
              </w:rPr>
              <w:t>面示意图</w:t>
            </w:r>
          </w:p>
        </w:tc>
      </w:tr>
    </w:tbl>
    <w:p w14:paraId="7A83FCD5">
      <w:pPr>
        <w:ind w:firstLine="480"/>
        <w:rPr>
          <w:rFonts w:hint="eastAsia"/>
          <w:lang w:eastAsia="zh-CN"/>
        </w:rPr>
      </w:pPr>
    </w:p>
    <w:p w14:paraId="7489222C">
      <w:pPr>
        <w:ind w:firstLine="480"/>
      </w:pPr>
      <w:r>
        <w:rPr>
          <w:rFonts w:hint="eastAsia"/>
          <w:lang w:val="en-US" w:eastAsia="zh-CN"/>
        </w:rPr>
        <w:t>塔机</w:t>
      </w:r>
      <w:r>
        <w:rPr>
          <w:rFonts w:hint="eastAsia" w:ascii="Times New Roman" w:hAnsi="Times New Roman"/>
          <w:lang w:val="en-US" w:eastAsia="zh-CN"/>
        </w:rPr>
        <w:t>平衡重安装时设置警戒区，起吊安排专人负责指挥，专人操作，严禁无关人员进入起重作业范围内。</w:t>
      </w:r>
    </w:p>
    <w:p w14:paraId="32434D2B">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default" w:ascii="宋体" w:hAnsi="宋体" w:eastAsia="宋体" w:cs="Times New Roman"/>
          <w:b/>
          <w:bCs/>
          <w:lang w:val="en-US" w:eastAsia="zh-CN"/>
        </w:rPr>
      </w:pPr>
      <w:r>
        <w:rPr>
          <w:rFonts w:hint="eastAsia" w:ascii="宋体" w:hAnsi="宋体" w:eastAsia="宋体" w:cs="Times New Roman"/>
          <w:b/>
          <w:bCs/>
          <w:lang w:val="en-US" w:eastAsia="zh-CN"/>
        </w:rPr>
        <w:t>安装剩余起重臂</w:t>
      </w:r>
    </w:p>
    <w:p w14:paraId="433688A3">
      <w:pPr>
        <w:ind w:firstLine="480"/>
        <w:rPr>
          <w:rFonts w:hint="default" w:ascii="Times New Roman" w:hAnsi="Times New Roman"/>
          <w:lang w:val="en-US" w:eastAsia="zh-CN"/>
        </w:rPr>
      </w:pPr>
      <w:r>
        <w:rPr>
          <w:rFonts w:hint="eastAsia" w:ascii="Times New Roman" w:hAnsi="Times New Roman"/>
          <w:lang w:val="en-US" w:eastAsia="zh-CN"/>
        </w:rPr>
        <w:t>依次安装臂节二</w:t>
      </w:r>
      <w:r>
        <w:rPr>
          <w:rFonts w:hint="default" w:ascii="Times New Roman" w:hAnsi="Times New Roman"/>
          <w:lang w:val="en-US" w:eastAsia="zh-CN"/>
        </w:rPr>
        <w:t>T</w:t>
      </w:r>
      <w:r>
        <w:rPr>
          <w:rFonts w:hint="eastAsia" w:ascii="Times New Roman" w:hAnsi="Times New Roman"/>
          <w:lang w:val="en-US" w:eastAsia="zh-CN"/>
        </w:rPr>
        <w:t>1212、臂节三</w:t>
      </w:r>
      <w:r>
        <w:rPr>
          <w:rFonts w:hint="default" w:ascii="Times New Roman" w:hAnsi="Times New Roman"/>
          <w:lang w:val="en-US" w:eastAsia="zh-CN"/>
        </w:rPr>
        <w:t>T</w:t>
      </w:r>
      <w:r>
        <w:rPr>
          <w:rFonts w:hint="eastAsia" w:ascii="Times New Roman" w:hAnsi="Times New Roman"/>
          <w:lang w:val="en-US" w:eastAsia="zh-CN"/>
        </w:rPr>
        <w:t>1203、臂节四</w:t>
      </w:r>
      <w:r>
        <w:rPr>
          <w:rFonts w:hint="default" w:ascii="Times New Roman" w:hAnsi="Times New Roman"/>
          <w:lang w:val="en-US" w:eastAsia="zh-CN"/>
        </w:rPr>
        <w:t>T</w:t>
      </w:r>
      <w:r>
        <w:rPr>
          <w:rFonts w:hint="eastAsia" w:ascii="Times New Roman" w:hAnsi="Times New Roman"/>
          <w:lang w:val="en-US" w:eastAsia="zh-CN"/>
        </w:rPr>
        <w:t>1214</w:t>
      </w:r>
      <w:r>
        <w:rPr>
          <w:rFonts w:hint="eastAsia"/>
          <w:lang w:val="en-US" w:eastAsia="zh-CN"/>
        </w:rPr>
        <w:t>A</w:t>
      </w:r>
      <w:r>
        <w:rPr>
          <w:rFonts w:hint="eastAsia" w:ascii="Times New Roman" w:hAnsi="Times New Roman"/>
          <w:lang w:val="en-US" w:eastAsia="zh-CN"/>
        </w:rPr>
        <w:t>、臂节五</w:t>
      </w:r>
      <w:r>
        <w:rPr>
          <w:rFonts w:hint="default" w:ascii="Times New Roman" w:hAnsi="Times New Roman"/>
          <w:lang w:val="en-US" w:eastAsia="zh-CN"/>
        </w:rPr>
        <w:t>T</w:t>
      </w:r>
      <w:r>
        <w:rPr>
          <w:rFonts w:hint="eastAsia" w:ascii="Times New Roman" w:hAnsi="Times New Roman"/>
          <w:lang w:val="en-US" w:eastAsia="zh-CN"/>
        </w:rPr>
        <w:t>1205、臂节六</w:t>
      </w:r>
      <w:r>
        <w:rPr>
          <w:rFonts w:hint="default" w:ascii="Times New Roman" w:hAnsi="Times New Roman"/>
          <w:lang w:val="en-US" w:eastAsia="zh-CN"/>
        </w:rPr>
        <w:t>T</w:t>
      </w:r>
      <w:r>
        <w:rPr>
          <w:rFonts w:hint="eastAsia" w:ascii="Times New Roman" w:hAnsi="Times New Roman"/>
          <w:lang w:val="en-US" w:eastAsia="zh-CN"/>
        </w:rPr>
        <w:t>1206、臂节七T1217、臂节八T1209、臂节九T1210</w:t>
      </w:r>
      <w:r>
        <w:rPr>
          <w:rFonts w:hint="eastAsia"/>
          <w:lang w:val="en-US" w:eastAsia="zh-CN"/>
        </w:rPr>
        <w:t>及</w:t>
      </w:r>
      <w:r>
        <w:rPr>
          <w:rFonts w:hint="eastAsia" w:ascii="Times New Roman" w:hAnsi="Times New Roman"/>
          <w:lang w:val="en-US" w:eastAsia="zh-CN"/>
        </w:rPr>
        <w:t>臂头</w:t>
      </w:r>
      <w:r>
        <w:rPr>
          <w:rFonts w:hint="default" w:ascii="Times New Roman" w:hAnsi="Times New Roman"/>
          <w:lang w:val="en-US" w:eastAsia="zh-CN"/>
        </w:rPr>
        <w:t>T1</w:t>
      </w:r>
      <w:r>
        <w:rPr>
          <w:rFonts w:hint="eastAsia" w:ascii="Times New Roman" w:hAnsi="Times New Roman"/>
          <w:lang w:val="en-US" w:eastAsia="zh-CN"/>
        </w:rPr>
        <w:t>2</w:t>
      </w:r>
      <w:r>
        <w:rPr>
          <w:rFonts w:hint="default" w:ascii="Times New Roman" w:hAnsi="Times New Roman"/>
          <w:lang w:val="en-US" w:eastAsia="zh-CN"/>
        </w:rPr>
        <w:t>T</w:t>
      </w:r>
      <w:r>
        <w:rPr>
          <w:rFonts w:hint="eastAsia" w:ascii="Times New Roman" w:hAnsi="Times New Roman"/>
          <w:lang w:val="en-US" w:eastAsia="zh-CN"/>
        </w:rPr>
        <w:t>1。其中最重</w:t>
      </w:r>
      <w:r>
        <w:rPr>
          <w:rFonts w:hint="eastAsia" w:ascii="Times New Roman" w:hAnsi="Times New Roman"/>
          <w:lang w:eastAsia="zh-CN"/>
        </w:rPr>
        <w:t>吊重为</w:t>
      </w:r>
      <w:r>
        <w:rPr>
          <w:rFonts w:hint="eastAsia" w:ascii="Times New Roman" w:hAnsi="Times New Roman"/>
          <w:lang w:val="en-US" w:eastAsia="zh-CN"/>
        </w:rPr>
        <w:t>臂节三1.401</w:t>
      </w:r>
      <w:r>
        <w:rPr>
          <w:rFonts w:hint="eastAsia" w:ascii="Times New Roman" w:hAnsi="Times New Roman"/>
          <w:lang w:eastAsia="zh-CN"/>
        </w:rPr>
        <w:t>t，</w:t>
      </w:r>
      <w:r>
        <w:rPr>
          <w:rFonts w:hint="eastAsia" w:ascii="Times New Roman" w:hAnsi="Times New Roman"/>
          <w:lang w:val="en-US" w:eastAsia="zh-CN"/>
        </w:rPr>
        <w:t>2#塔机作业半径</w:t>
      </w:r>
      <w:r>
        <w:rPr>
          <w:rFonts w:hint="eastAsia" w:ascii="Times New Roman" w:hAnsi="Times New Roman"/>
          <w:lang w:eastAsia="zh-CN"/>
        </w:rPr>
        <w:t>为</w:t>
      </w:r>
      <w:r>
        <w:rPr>
          <w:rFonts w:hint="eastAsia" w:ascii="Times New Roman" w:hAnsi="Times New Roman"/>
          <w:lang w:val="en-US" w:eastAsia="zh-CN"/>
        </w:rPr>
        <w:t>60</w:t>
      </w:r>
      <w:r>
        <w:rPr>
          <w:rFonts w:hint="eastAsia" w:ascii="Times New Roman" w:hAnsi="Times New Roman"/>
          <w:lang w:eastAsia="zh-CN"/>
        </w:rPr>
        <w:t>m，起重能力为</w:t>
      </w:r>
      <w:r>
        <w:rPr>
          <w:rFonts w:hint="eastAsia" w:ascii="Times New Roman" w:hAnsi="Times New Roman"/>
          <w:lang w:val="en-US" w:eastAsia="zh-CN"/>
        </w:rPr>
        <w:t>18.32</w:t>
      </w:r>
      <w:r>
        <w:rPr>
          <w:rFonts w:hint="eastAsia" w:ascii="Times New Roman" w:hAnsi="Times New Roman"/>
          <w:lang w:eastAsia="zh-CN"/>
        </w:rPr>
        <w:t>t&gt;</w:t>
      </w:r>
      <w:r>
        <w:rPr>
          <w:rFonts w:hint="eastAsia" w:ascii="Times New Roman" w:hAnsi="Times New Roman"/>
          <w:lang w:val="en-US" w:eastAsia="zh-CN"/>
        </w:rPr>
        <w:t>1.401</w:t>
      </w:r>
      <w:r>
        <w:rPr>
          <w:rFonts w:hint="eastAsia" w:ascii="Times New Roman" w:hAnsi="Times New Roman"/>
          <w:lang w:eastAsia="zh-CN"/>
        </w:rPr>
        <w:t>t，</w:t>
      </w:r>
      <w:r>
        <w:rPr>
          <w:rFonts w:hint="eastAsia" w:ascii="Times New Roman" w:hAnsi="Times New Roman"/>
          <w:lang w:val="en-US" w:eastAsia="zh-CN"/>
        </w:rPr>
        <w:t>2#塔机</w:t>
      </w:r>
      <w:r>
        <w:rPr>
          <w:rFonts w:hint="eastAsia" w:ascii="Times New Roman" w:hAnsi="Times New Roman"/>
          <w:lang w:eastAsia="zh-CN"/>
        </w:rPr>
        <w:t>起重性能满足要求。</w:t>
      </w:r>
    </w:p>
    <w:p w14:paraId="6ECEDF11">
      <w:pPr>
        <w:ind w:firstLine="480"/>
        <w:rPr>
          <w:rFonts w:hint="eastAsia" w:ascii="Times New Roman" w:hAnsi="Times New Roman"/>
          <w:lang w:val="en-GB" w:eastAsia="zh-CN"/>
        </w:rPr>
      </w:pPr>
      <w:r>
        <w:rPr>
          <w:rFonts w:hint="eastAsia" w:ascii="Times New Roman" w:hAnsi="Times New Roman"/>
          <w:lang w:val="en-US" w:eastAsia="zh-CN"/>
        </w:rPr>
        <w:t>起重臂的安装采用分节吊装的方式。用2根16mm6×19S+FC1870Mpa配套GB/T 25854-6-DW5卸扣按顺序吊装起重臂臂节，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高强螺栓，完成一节起重臂的安装。</w:t>
      </w:r>
    </w:p>
    <w:p w14:paraId="440FB0DE">
      <w:pPr>
        <w:ind w:firstLine="480"/>
        <w:rPr>
          <w:rFonts w:hint="eastAsia" w:ascii="Times New Roman" w:hAnsi="Times New Roman"/>
          <w:lang w:val="en-US" w:eastAsia="zh-CN"/>
        </w:rPr>
      </w:pPr>
      <w:r>
        <w:rPr>
          <w:rFonts w:hint="eastAsia"/>
          <w:lang w:val="en-US" w:eastAsia="zh-CN"/>
        </w:rPr>
        <w:t>按相同步骤安装剩余起重臂臂节</w:t>
      </w:r>
      <w:r>
        <w:rPr>
          <w:rFonts w:hint="eastAsia" w:ascii="Times New Roman" w:hAnsi="Times New Roman"/>
          <w:lang w:val="en-US" w:eastAsia="zh-CN"/>
        </w:rPr>
        <w:t>。如下图所示。</w:t>
      </w:r>
    </w:p>
    <w:p w14:paraId="5F65D745">
      <w:pPr>
        <w:keepNext w:val="0"/>
        <w:keepLines w:val="0"/>
        <w:pageBreakBefore w:val="0"/>
        <w:kinsoku/>
        <w:overflowPunct/>
        <w:topLinePunct w:val="0"/>
        <w:bidi w:val="0"/>
        <w:spacing w:beforeAutospacing="0" w:afterAutospacing="0" w:line="360" w:lineRule="auto"/>
        <w:jc w:val="center"/>
        <w:textAlignment w:val="auto"/>
      </w:pPr>
      <w:r>
        <w:drawing>
          <wp:inline distT="0" distB="0" distL="114300" distR="114300">
            <wp:extent cx="5746750" cy="2897505"/>
            <wp:effectExtent l="0" t="0" r="6350" b="1714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45"/>
                    <a:stretch>
                      <a:fillRect/>
                    </a:stretch>
                  </pic:blipFill>
                  <pic:spPr>
                    <a:xfrm>
                      <a:off x="0" y="0"/>
                      <a:ext cx="5746750" cy="2897505"/>
                    </a:xfrm>
                    <a:prstGeom prst="rect">
                      <a:avLst/>
                    </a:prstGeom>
                    <a:noFill/>
                    <a:ln>
                      <a:noFill/>
                    </a:ln>
                  </pic:spPr>
                </pic:pic>
              </a:graphicData>
            </a:graphic>
          </wp:inline>
        </w:drawing>
      </w:r>
    </w:p>
    <w:p w14:paraId="4D8374BB">
      <w:pPr>
        <w:keepNext w:val="0"/>
        <w:keepLines w:val="0"/>
        <w:pageBreakBefore w:val="0"/>
        <w:kinsoku/>
        <w:overflowPunct/>
        <w:topLinePunct w:val="0"/>
        <w:bidi w:val="0"/>
        <w:spacing w:beforeAutospacing="0" w:afterAutospacing="0" w:line="360" w:lineRule="auto"/>
        <w:jc w:val="center"/>
        <w:textAlignment w:val="auto"/>
        <w:rPr>
          <w:rFonts w:hint="eastAsia" w:ascii="宋体" w:hAnsi="宋体" w:eastAsia="宋体" w:cs="宋体"/>
          <w:b/>
          <w:bCs/>
          <w:lang w:eastAsia="zh-CN"/>
        </w:rPr>
      </w:pPr>
      <w:r>
        <w:rPr>
          <w:rFonts w:hint="eastAsia" w:ascii="宋体" w:hAnsi="宋体"/>
          <w:b/>
          <w:bCs/>
          <w:color w:val="000000"/>
          <w:sz w:val="24"/>
          <w:szCs w:val="24"/>
        </w:rPr>
        <w:t>图</w:t>
      </w:r>
      <w:r>
        <w:rPr>
          <w:rFonts w:hint="eastAsia" w:ascii="宋体" w:hAnsi="宋体"/>
          <w:b/>
          <w:bCs/>
          <w:color w:val="000000"/>
          <w:sz w:val="24"/>
          <w:szCs w:val="24"/>
          <w:lang w:val="en-US" w:eastAsia="zh-CN"/>
        </w:rPr>
        <w:t>8</w:t>
      </w:r>
      <w:r>
        <w:rPr>
          <w:rFonts w:hint="eastAsia" w:ascii="宋体" w:hAnsi="宋体"/>
          <w:b/>
          <w:bCs/>
          <w:color w:val="000000"/>
          <w:sz w:val="24"/>
          <w:szCs w:val="24"/>
        </w:rPr>
        <w:t>.</w:t>
      </w:r>
      <w:r>
        <w:rPr>
          <w:rFonts w:hint="eastAsia" w:ascii="宋体" w:hAnsi="宋体"/>
          <w:b/>
          <w:bCs/>
          <w:color w:val="000000"/>
          <w:sz w:val="24"/>
          <w:szCs w:val="24"/>
          <w:lang w:val="en-US" w:eastAsia="zh-CN"/>
        </w:rPr>
        <w:t>4.10</w:t>
      </w:r>
      <w:r>
        <w:rPr>
          <w:rFonts w:hint="eastAsia" w:ascii="宋体" w:hAnsi="宋体"/>
          <w:b/>
          <w:bCs/>
          <w:color w:val="000000"/>
          <w:sz w:val="24"/>
          <w:szCs w:val="24"/>
        </w:rPr>
        <w:t>-</w:t>
      </w:r>
      <w:r>
        <w:rPr>
          <w:rFonts w:hint="eastAsia" w:ascii="宋体" w:hAnsi="宋体"/>
          <w:b/>
          <w:bCs/>
          <w:color w:val="000000"/>
          <w:sz w:val="24"/>
          <w:szCs w:val="24"/>
          <w:lang w:val="en-US" w:eastAsia="zh-CN"/>
        </w:rPr>
        <w:t>1：</w:t>
      </w:r>
      <w:r>
        <w:rPr>
          <w:rFonts w:hint="eastAsia" w:ascii="宋体" w:hAnsi="宋体"/>
          <w:b/>
          <w:bCs/>
          <w:color w:val="000000"/>
          <w:sz w:val="24"/>
          <w:szCs w:val="24"/>
        </w:rPr>
        <w:t xml:space="preserve"> </w:t>
      </w:r>
      <w:r>
        <w:rPr>
          <w:rFonts w:hint="eastAsia" w:ascii="宋体" w:hAnsi="宋体" w:eastAsia="宋体" w:cs="宋体"/>
          <w:b/>
          <w:bCs/>
          <w:lang w:val="en-US" w:eastAsia="zh-CN"/>
        </w:rPr>
        <w:t>起重臂组成</w:t>
      </w:r>
      <w:r>
        <w:rPr>
          <w:rFonts w:hint="eastAsia" w:ascii="宋体" w:hAnsi="宋体" w:eastAsia="宋体" w:cs="宋体"/>
          <w:b/>
          <w:bCs/>
          <w:lang w:eastAsia="zh-CN"/>
        </w:rPr>
        <w:t>示意图</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156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CA9D4F5">
            <w:pPr>
              <w:spacing w:line="360" w:lineRule="auto"/>
              <w:jc w:val="center"/>
            </w:pPr>
            <w:r>
              <w:drawing>
                <wp:inline distT="0" distB="0" distL="114300" distR="114300">
                  <wp:extent cx="2262505" cy="2409190"/>
                  <wp:effectExtent l="0" t="0" r="4445" b="10160"/>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pic:cNvPicPr>
                            <a:picLocks noChangeAspect="1"/>
                          </pic:cNvPicPr>
                        </pic:nvPicPr>
                        <pic:blipFill>
                          <a:blip r:embed="rId46"/>
                          <a:stretch>
                            <a:fillRect/>
                          </a:stretch>
                        </pic:blipFill>
                        <pic:spPr>
                          <a:xfrm>
                            <a:off x="0" y="0"/>
                            <a:ext cx="2262505" cy="2409190"/>
                          </a:xfrm>
                          <a:prstGeom prst="rect">
                            <a:avLst/>
                          </a:prstGeom>
                          <a:noFill/>
                          <a:ln>
                            <a:noFill/>
                          </a:ln>
                        </pic:spPr>
                      </pic:pic>
                    </a:graphicData>
                  </a:graphic>
                </wp:inline>
              </w:drawing>
            </w:r>
            <w:r>
              <w:drawing>
                <wp:inline distT="0" distB="0" distL="114300" distR="114300">
                  <wp:extent cx="2708910" cy="2105660"/>
                  <wp:effectExtent l="0" t="0" r="15240" b="8890"/>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47"/>
                          <a:stretch>
                            <a:fillRect/>
                          </a:stretch>
                        </pic:blipFill>
                        <pic:spPr>
                          <a:xfrm>
                            <a:off x="0" y="0"/>
                            <a:ext cx="2708910" cy="2105660"/>
                          </a:xfrm>
                          <a:prstGeom prst="rect">
                            <a:avLst/>
                          </a:prstGeom>
                          <a:noFill/>
                          <a:ln>
                            <a:noFill/>
                          </a:ln>
                        </pic:spPr>
                      </pic:pic>
                    </a:graphicData>
                  </a:graphic>
                </wp:inline>
              </w:drawing>
            </w:r>
          </w:p>
        </w:tc>
      </w:tr>
      <w:tr w14:paraId="65C3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522" w:type="dxa"/>
          </w:tcPr>
          <w:p w14:paraId="5C8CEC14">
            <w:pPr>
              <w:spacing w:line="360" w:lineRule="auto"/>
              <w:ind w:firstLine="480"/>
              <w:jc w:val="center"/>
            </w:pPr>
            <w:r>
              <w:rPr>
                <w:rFonts w:hint="eastAsia" w:ascii="宋体" w:hAnsi="宋体" w:cs="宋体"/>
                <w:sz w:val="21"/>
                <w:szCs w:val="22"/>
                <w:lang w:val="en-US" w:eastAsia="zh-CN"/>
              </w:rPr>
              <w:t>安装起重臂臂节二</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080B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D79C662">
            <w:pPr>
              <w:spacing w:line="360" w:lineRule="auto"/>
              <w:jc w:val="center"/>
            </w:pPr>
            <w:r>
              <w:drawing>
                <wp:inline distT="0" distB="0" distL="114300" distR="114300">
                  <wp:extent cx="2367280" cy="2383790"/>
                  <wp:effectExtent l="0" t="0" r="13970" b="16510"/>
                  <wp:docPr id="9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7"/>
                          <pic:cNvPicPr>
                            <a:picLocks noChangeAspect="1"/>
                          </pic:cNvPicPr>
                        </pic:nvPicPr>
                        <pic:blipFill>
                          <a:blip r:embed="rId48"/>
                          <a:stretch>
                            <a:fillRect/>
                          </a:stretch>
                        </pic:blipFill>
                        <pic:spPr>
                          <a:xfrm>
                            <a:off x="0" y="0"/>
                            <a:ext cx="2367280" cy="2383790"/>
                          </a:xfrm>
                          <a:prstGeom prst="rect">
                            <a:avLst/>
                          </a:prstGeom>
                          <a:noFill/>
                          <a:ln>
                            <a:noFill/>
                          </a:ln>
                        </pic:spPr>
                      </pic:pic>
                    </a:graphicData>
                  </a:graphic>
                </wp:inline>
              </w:drawing>
            </w:r>
            <w:r>
              <w:drawing>
                <wp:inline distT="0" distB="0" distL="114300" distR="114300">
                  <wp:extent cx="2409190" cy="1718310"/>
                  <wp:effectExtent l="0" t="0" r="10160" b="15240"/>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49"/>
                          <a:stretch>
                            <a:fillRect/>
                          </a:stretch>
                        </pic:blipFill>
                        <pic:spPr>
                          <a:xfrm>
                            <a:off x="0" y="0"/>
                            <a:ext cx="2409190" cy="1718310"/>
                          </a:xfrm>
                          <a:prstGeom prst="rect">
                            <a:avLst/>
                          </a:prstGeom>
                          <a:noFill/>
                          <a:ln>
                            <a:noFill/>
                          </a:ln>
                        </pic:spPr>
                      </pic:pic>
                    </a:graphicData>
                  </a:graphic>
                </wp:inline>
              </w:drawing>
            </w:r>
          </w:p>
        </w:tc>
      </w:tr>
      <w:tr w14:paraId="7090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59FDE0F">
            <w:pPr>
              <w:spacing w:line="360" w:lineRule="auto"/>
              <w:ind w:firstLine="480"/>
              <w:jc w:val="center"/>
            </w:pPr>
            <w:r>
              <w:rPr>
                <w:rFonts w:hint="eastAsia" w:ascii="宋体" w:hAnsi="宋体" w:cs="宋体"/>
                <w:sz w:val="21"/>
                <w:szCs w:val="22"/>
                <w:lang w:val="en-US" w:eastAsia="zh-CN"/>
              </w:rPr>
              <w:t>安装起重臂臂节三</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4ADB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892C995">
            <w:pPr>
              <w:spacing w:line="360" w:lineRule="auto"/>
              <w:jc w:val="center"/>
            </w:pPr>
            <w:r>
              <w:drawing>
                <wp:inline distT="0" distB="0" distL="114300" distR="114300">
                  <wp:extent cx="2362200" cy="2248535"/>
                  <wp:effectExtent l="0" t="0" r="0" b="18415"/>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50"/>
                          <a:stretch>
                            <a:fillRect/>
                          </a:stretch>
                        </pic:blipFill>
                        <pic:spPr>
                          <a:xfrm>
                            <a:off x="0" y="0"/>
                            <a:ext cx="2362200" cy="2248535"/>
                          </a:xfrm>
                          <a:prstGeom prst="rect">
                            <a:avLst/>
                          </a:prstGeom>
                          <a:noFill/>
                          <a:ln>
                            <a:noFill/>
                          </a:ln>
                        </pic:spPr>
                      </pic:pic>
                    </a:graphicData>
                  </a:graphic>
                </wp:inline>
              </w:drawing>
            </w:r>
            <w:r>
              <w:drawing>
                <wp:inline distT="0" distB="0" distL="114300" distR="114300">
                  <wp:extent cx="2461260" cy="1551305"/>
                  <wp:effectExtent l="0" t="0" r="15240" b="1079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51"/>
                          <a:stretch>
                            <a:fillRect/>
                          </a:stretch>
                        </pic:blipFill>
                        <pic:spPr>
                          <a:xfrm>
                            <a:off x="0" y="0"/>
                            <a:ext cx="2461260" cy="1551305"/>
                          </a:xfrm>
                          <a:prstGeom prst="rect">
                            <a:avLst/>
                          </a:prstGeom>
                          <a:noFill/>
                          <a:ln>
                            <a:noFill/>
                          </a:ln>
                        </pic:spPr>
                      </pic:pic>
                    </a:graphicData>
                  </a:graphic>
                </wp:inline>
              </w:drawing>
            </w:r>
          </w:p>
        </w:tc>
      </w:tr>
      <w:tr w14:paraId="1AC2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6208CFF">
            <w:pPr>
              <w:spacing w:line="360" w:lineRule="auto"/>
              <w:ind w:firstLine="480"/>
              <w:jc w:val="center"/>
            </w:pPr>
            <w:r>
              <w:rPr>
                <w:rFonts w:hint="eastAsia" w:ascii="宋体" w:hAnsi="宋体" w:cs="宋体"/>
                <w:sz w:val="21"/>
                <w:szCs w:val="22"/>
                <w:lang w:val="en-US" w:eastAsia="zh-CN"/>
              </w:rPr>
              <w:t>安装起重臂臂节四</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3CD7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48AB35B">
            <w:pPr>
              <w:spacing w:line="360" w:lineRule="auto"/>
              <w:jc w:val="both"/>
            </w:pPr>
            <w:r>
              <w:drawing>
                <wp:inline distT="0" distB="0" distL="114300" distR="114300">
                  <wp:extent cx="2385695" cy="2440305"/>
                  <wp:effectExtent l="0" t="0" r="14605" b="17145"/>
                  <wp:docPr id="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2"/>
                          <pic:cNvPicPr>
                            <a:picLocks noChangeAspect="1"/>
                          </pic:cNvPicPr>
                        </pic:nvPicPr>
                        <pic:blipFill>
                          <a:blip r:embed="rId52"/>
                          <a:stretch>
                            <a:fillRect/>
                          </a:stretch>
                        </pic:blipFill>
                        <pic:spPr>
                          <a:xfrm>
                            <a:off x="0" y="0"/>
                            <a:ext cx="2385695" cy="2440305"/>
                          </a:xfrm>
                          <a:prstGeom prst="rect">
                            <a:avLst/>
                          </a:prstGeom>
                          <a:noFill/>
                          <a:ln>
                            <a:noFill/>
                          </a:ln>
                        </pic:spPr>
                      </pic:pic>
                    </a:graphicData>
                  </a:graphic>
                </wp:inline>
              </w:drawing>
            </w:r>
            <w:r>
              <w:drawing>
                <wp:inline distT="0" distB="0" distL="114300" distR="114300">
                  <wp:extent cx="2755900" cy="1522730"/>
                  <wp:effectExtent l="0" t="0" r="6350" b="127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53"/>
                          <a:stretch>
                            <a:fillRect/>
                          </a:stretch>
                        </pic:blipFill>
                        <pic:spPr>
                          <a:xfrm>
                            <a:off x="0" y="0"/>
                            <a:ext cx="2755900" cy="1522730"/>
                          </a:xfrm>
                          <a:prstGeom prst="rect">
                            <a:avLst/>
                          </a:prstGeom>
                          <a:noFill/>
                          <a:ln>
                            <a:noFill/>
                          </a:ln>
                        </pic:spPr>
                      </pic:pic>
                    </a:graphicData>
                  </a:graphic>
                </wp:inline>
              </w:drawing>
            </w:r>
          </w:p>
        </w:tc>
      </w:tr>
      <w:tr w14:paraId="5C10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149A433F">
            <w:pPr>
              <w:spacing w:line="360" w:lineRule="auto"/>
              <w:ind w:firstLine="480"/>
              <w:jc w:val="center"/>
            </w:pPr>
            <w:r>
              <w:rPr>
                <w:rFonts w:hint="eastAsia" w:ascii="宋体" w:hAnsi="宋体" w:cs="宋体"/>
                <w:sz w:val="21"/>
                <w:szCs w:val="22"/>
                <w:lang w:val="en-US" w:eastAsia="zh-CN"/>
              </w:rPr>
              <w:t>安装起重臂臂节五</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52D9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DAF95A5">
            <w:pPr>
              <w:spacing w:line="360" w:lineRule="auto"/>
              <w:jc w:val="both"/>
              <w:rPr>
                <w:rFonts w:hint="eastAsia" w:ascii="宋体" w:hAnsi="宋体" w:cs="宋体"/>
                <w:sz w:val="21"/>
                <w:szCs w:val="22"/>
                <w:lang w:val="en-US" w:eastAsia="zh-CN"/>
              </w:rPr>
            </w:pPr>
            <w:r>
              <w:drawing>
                <wp:inline distT="0" distB="0" distL="114300" distR="114300">
                  <wp:extent cx="2211705" cy="2103120"/>
                  <wp:effectExtent l="0" t="0" r="17145" b="11430"/>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
                          <pic:cNvPicPr>
                            <a:picLocks noChangeAspect="1"/>
                          </pic:cNvPicPr>
                        </pic:nvPicPr>
                        <pic:blipFill>
                          <a:blip r:embed="rId54"/>
                          <a:stretch>
                            <a:fillRect/>
                          </a:stretch>
                        </pic:blipFill>
                        <pic:spPr>
                          <a:xfrm>
                            <a:off x="0" y="0"/>
                            <a:ext cx="2211705" cy="2103120"/>
                          </a:xfrm>
                          <a:prstGeom prst="rect">
                            <a:avLst/>
                          </a:prstGeom>
                          <a:noFill/>
                          <a:ln>
                            <a:noFill/>
                          </a:ln>
                        </pic:spPr>
                      </pic:pic>
                    </a:graphicData>
                  </a:graphic>
                </wp:inline>
              </w:drawing>
            </w:r>
            <w:r>
              <w:drawing>
                <wp:inline distT="0" distB="0" distL="114300" distR="114300">
                  <wp:extent cx="3023235" cy="1393190"/>
                  <wp:effectExtent l="0" t="0" r="5715" b="16510"/>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55"/>
                          <a:stretch>
                            <a:fillRect/>
                          </a:stretch>
                        </pic:blipFill>
                        <pic:spPr>
                          <a:xfrm>
                            <a:off x="0" y="0"/>
                            <a:ext cx="3023235" cy="1393190"/>
                          </a:xfrm>
                          <a:prstGeom prst="rect">
                            <a:avLst/>
                          </a:prstGeom>
                          <a:noFill/>
                          <a:ln>
                            <a:noFill/>
                          </a:ln>
                        </pic:spPr>
                      </pic:pic>
                    </a:graphicData>
                  </a:graphic>
                </wp:inline>
              </w:drawing>
            </w:r>
          </w:p>
        </w:tc>
      </w:tr>
      <w:tr w14:paraId="68B3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3A2E72A9">
            <w:pPr>
              <w:spacing w:line="360" w:lineRule="auto"/>
              <w:ind w:firstLine="480"/>
              <w:jc w:val="center"/>
              <w:rPr>
                <w:rFonts w:hint="eastAsia" w:ascii="宋体" w:hAnsi="宋体" w:cs="宋体"/>
                <w:sz w:val="21"/>
                <w:szCs w:val="22"/>
                <w:lang w:val="en-US" w:eastAsia="zh-CN"/>
              </w:rPr>
            </w:pPr>
            <w:r>
              <w:rPr>
                <w:rFonts w:hint="eastAsia" w:ascii="宋体" w:hAnsi="宋体" w:cs="宋体"/>
                <w:sz w:val="21"/>
                <w:szCs w:val="22"/>
                <w:lang w:val="en-US" w:eastAsia="zh-CN"/>
              </w:rPr>
              <w:t>安装起重臂臂节六</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16B1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D2A10F4">
            <w:pPr>
              <w:spacing w:line="360" w:lineRule="auto"/>
              <w:jc w:val="both"/>
              <w:rPr>
                <w:rFonts w:hint="eastAsia" w:ascii="宋体" w:hAnsi="宋体" w:cs="宋体"/>
                <w:sz w:val="21"/>
                <w:szCs w:val="22"/>
                <w:lang w:val="en-US" w:eastAsia="zh-CN"/>
              </w:rPr>
            </w:pPr>
            <w:r>
              <w:drawing>
                <wp:inline distT="0" distB="0" distL="114300" distR="114300">
                  <wp:extent cx="2288540" cy="2342515"/>
                  <wp:effectExtent l="0" t="0" r="16510" b="635"/>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pic:cNvPicPr>
                        </pic:nvPicPr>
                        <pic:blipFill>
                          <a:blip r:embed="rId56"/>
                          <a:stretch>
                            <a:fillRect/>
                          </a:stretch>
                        </pic:blipFill>
                        <pic:spPr>
                          <a:xfrm>
                            <a:off x="0" y="0"/>
                            <a:ext cx="2288540" cy="2342515"/>
                          </a:xfrm>
                          <a:prstGeom prst="rect">
                            <a:avLst/>
                          </a:prstGeom>
                          <a:noFill/>
                          <a:ln>
                            <a:noFill/>
                          </a:ln>
                        </pic:spPr>
                      </pic:pic>
                    </a:graphicData>
                  </a:graphic>
                </wp:inline>
              </w:drawing>
            </w:r>
            <w:r>
              <w:drawing>
                <wp:inline distT="0" distB="0" distL="114300" distR="114300">
                  <wp:extent cx="2936875" cy="1297305"/>
                  <wp:effectExtent l="0" t="0" r="15875" b="17145"/>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57"/>
                          <a:stretch>
                            <a:fillRect/>
                          </a:stretch>
                        </pic:blipFill>
                        <pic:spPr>
                          <a:xfrm>
                            <a:off x="0" y="0"/>
                            <a:ext cx="2936875" cy="1297305"/>
                          </a:xfrm>
                          <a:prstGeom prst="rect">
                            <a:avLst/>
                          </a:prstGeom>
                          <a:noFill/>
                          <a:ln>
                            <a:noFill/>
                          </a:ln>
                        </pic:spPr>
                      </pic:pic>
                    </a:graphicData>
                  </a:graphic>
                </wp:inline>
              </w:drawing>
            </w:r>
          </w:p>
        </w:tc>
      </w:tr>
      <w:tr w14:paraId="369E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5A86B107">
            <w:pPr>
              <w:spacing w:line="360" w:lineRule="auto"/>
              <w:ind w:firstLine="480"/>
              <w:jc w:val="center"/>
              <w:rPr>
                <w:rFonts w:hint="eastAsia" w:ascii="宋体" w:hAnsi="宋体" w:cs="宋体"/>
                <w:sz w:val="21"/>
                <w:szCs w:val="22"/>
                <w:lang w:val="en-US" w:eastAsia="zh-CN"/>
              </w:rPr>
            </w:pPr>
            <w:r>
              <w:rPr>
                <w:rFonts w:hint="eastAsia" w:ascii="宋体" w:hAnsi="宋体" w:cs="宋体"/>
                <w:sz w:val="21"/>
                <w:szCs w:val="22"/>
                <w:lang w:val="en-US" w:eastAsia="zh-CN"/>
              </w:rPr>
              <w:t>安装起重臂臂节七</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5110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46169A4">
            <w:pPr>
              <w:spacing w:line="360" w:lineRule="auto"/>
              <w:jc w:val="both"/>
              <w:rPr>
                <w:rFonts w:hint="eastAsia" w:ascii="宋体" w:hAnsi="宋体" w:cs="宋体"/>
                <w:sz w:val="21"/>
                <w:szCs w:val="22"/>
                <w:lang w:val="en-US" w:eastAsia="zh-CN"/>
              </w:rPr>
            </w:pPr>
            <w:r>
              <w:drawing>
                <wp:inline distT="0" distB="0" distL="114300" distR="114300">
                  <wp:extent cx="2562860" cy="2556510"/>
                  <wp:effectExtent l="0" t="0" r="8890" b="15240"/>
                  <wp:docPr id="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5"/>
                          <pic:cNvPicPr>
                            <a:picLocks noChangeAspect="1"/>
                          </pic:cNvPicPr>
                        </pic:nvPicPr>
                        <pic:blipFill>
                          <a:blip r:embed="rId58"/>
                          <a:stretch>
                            <a:fillRect/>
                          </a:stretch>
                        </pic:blipFill>
                        <pic:spPr>
                          <a:xfrm>
                            <a:off x="0" y="0"/>
                            <a:ext cx="2562860" cy="2556510"/>
                          </a:xfrm>
                          <a:prstGeom prst="rect">
                            <a:avLst/>
                          </a:prstGeom>
                          <a:noFill/>
                          <a:ln>
                            <a:noFill/>
                          </a:ln>
                        </pic:spPr>
                      </pic:pic>
                    </a:graphicData>
                  </a:graphic>
                </wp:inline>
              </w:drawing>
            </w:r>
            <w:r>
              <w:drawing>
                <wp:inline distT="0" distB="0" distL="114300" distR="114300">
                  <wp:extent cx="2660015" cy="1129030"/>
                  <wp:effectExtent l="0" t="0" r="6985" b="13970"/>
                  <wp:docPr id="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pic:cNvPicPr>
                            <a:picLocks noChangeAspect="1"/>
                          </pic:cNvPicPr>
                        </pic:nvPicPr>
                        <pic:blipFill>
                          <a:blip r:embed="rId59"/>
                          <a:stretch>
                            <a:fillRect/>
                          </a:stretch>
                        </pic:blipFill>
                        <pic:spPr>
                          <a:xfrm>
                            <a:off x="0" y="0"/>
                            <a:ext cx="2660015" cy="1129030"/>
                          </a:xfrm>
                          <a:prstGeom prst="rect">
                            <a:avLst/>
                          </a:prstGeom>
                          <a:noFill/>
                          <a:ln>
                            <a:noFill/>
                          </a:ln>
                        </pic:spPr>
                      </pic:pic>
                    </a:graphicData>
                  </a:graphic>
                </wp:inline>
              </w:drawing>
            </w:r>
          </w:p>
        </w:tc>
      </w:tr>
      <w:tr w14:paraId="656C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A31BCE2">
            <w:pPr>
              <w:spacing w:line="360" w:lineRule="auto"/>
              <w:ind w:firstLine="480"/>
              <w:jc w:val="center"/>
              <w:rPr>
                <w:rFonts w:hint="eastAsia" w:ascii="宋体" w:hAnsi="宋体" w:cs="宋体"/>
                <w:sz w:val="21"/>
                <w:szCs w:val="22"/>
                <w:lang w:val="en-US" w:eastAsia="zh-CN"/>
              </w:rPr>
            </w:pPr>
            <w:r>
              <w:rPr>
                <w:rFonts w:hint="eastAsia" w:ascii="宋体" w:hAnsi="宋体" w:cs="宋体"/>
                <w:sz w:val="21"/>
                <w:szCs w:val="22"/>
                <w:lang w:val="en-US" w:eastAsia="zh-CN"/>
              </w:rPr>
              <w:t>安装起重臂臂节八</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r w14:paraId="4E97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52F3D25">
            <w:pPr>
              <w:spacing w:line="360" w:lineRule="auto"/>
              <w:jc w:val="center"/>
              <w:rPr>
                <w:rFonts w:hint="eastAsia" w:ascii="宋体" w:hAnsi="宋体" w:cs="宋体"/>
                <w:sz w:val="21"/>
                <w:szCs w:val="22"/>
                <w:lang w:val="en-US" w:eastAsia="zh-CN"/>
              </w:rPr>
            </w:pPr>
            <w:r>
              <w:drawing>
                <wp:inline distT="0" distB="0" distL="114300" distR="114300">
                  <wp:extent cx="2648585" cy="2600960"/>
                  <wp:effectExtent l="0" t="0" r="18415" b="889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pic:cNvPicPr>
                        </pic:nvPicPr>
                        <pic:blipFill>
                          <a:blip r:embed="rId60"/>
                          <a:stretch>
                            <a:fillRect/>
                          </a:stretch>
                        </pic:blipFill>
                        <pic:spPr>
                          <a:xfrm>
                            <a:off x="0" y="0"/>
                            <a:ext cx="2648585" cy="2600960"/>
                          </a:xfrm>
                          <a:prstGeom prst="rect">
                            <a:avLst/>
                          </a:prstGeom>
                          <a:noFill/>
                          <a:ln>
                            <a:noFill/>
                          </a:ln>
                        </pic:spPr>
                      </pic:pic>
                    </a:graphicData>
                  </a:graphic>
                </wp:inline>
              </w:drawing>
            </w:r>
            <w:r>
              <w:drawing>
                <wp:inline distT="0" distB="0" distL="114300" distR="114300">
                  <wp:extent cx="5256530" cy="2030095"/>
                  <wp:effectExtent l="0" t="0" r="1270" b="8255"/>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61"/>
                          <a:stretch>
                            <a:fillRect/>
                          </a:stretch>
                        </pic:blipFill>
                        <pic:spPr>
                          <a:xfrm>
                            <a:off x="0" y="0"/>
                            <a:ext cx="5256530" cy="2030095"/>
                          </a:xfrm>
                          <a:prstGeom prst="rect">
                            <a:avLst/>
                          </a:prstGeom>
                          <a:noFill/>
                          <a:ln>
                            <a:noFill/>
                          </a:ln>
                        </pic:spPr>
                      </pic:pic>
                    </a:graphicData>
                  </a:graphic>
                </wp:inline>
              </w:drawing>
            </w:r>
          </w:p>
        </w:tc>
      </w:tr>
      <w:tr w14:paraId="45C7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E71E90C">
            <w:pPr>
              <w:spacing w:line="360" w:lineRule="auto"/>
              <w:ind w:firstLine="480"/>
              <w:jc w:val="center"/>
              <w:rPr>
                <w:rFonts w:hint="eastAsia" w:ascii="宋体" w:hAnsi="宋体" w:cs="宋体"/>
                <w:sz w:val="21"/>
                <w:szCs w:val="22"/>
                <w:lang w:val="en-US" w:eastAsia="zh-CN"/>
              </w:rPr>
            </w:pPr>
            <w:r>
              <w:rPr>
                <w:rFonts w:hint="eastAsia" w:ascii="宋体" w:hAnsi="宋体" w:cs="宋体"/>
                <w:sz w:val="21"/>
                <w:szCs w:val="22"/>
                <w:lang w:val="en-US" w:eastAsia="zh-CN"/>
              </w:rPr>
              <w:t>安装起重臂臂节九及臂头</w:t>
            </w:r>
            <w:r>
              <w:rPr>
                <w:rFonts w:hint="eastAsia" w:ascii="宋体" w:hAnsi="宋体" w:cs="宋体"/>
                <w:sz w:val="21"/>
                <w:szCs w:val="22"/>
              </w:rPr>
              <w:t>平面</w:t>
            </w:r>
            <w:r>
              <w:rPr>
                <w:rFonts w:hint="eastAsia" w:ascii="宋体" w:hAnsi="宋体" w:cs="宋体"/>
                <w:sz w:val="21"/>
                <w:szCs w:val="22"/>
                <w:lang w:eastAsia="zh-CN"/>
              </w:rPr>
              <w:t>、</w:t>
            </w:r>
            <w:r>
              <w:rPr>
                <w:rFonts w:hint="eastAsia" w:ascii="宋体" w:hAnsi="宋体" w:cs="宋体"/>
                <w:sz w:val="21"/>
                <w:szCs w:val="22"/>
                <w:lang w:val="en-US" w:eastAsia="zh-CN"/>
              </w:rPr>
              <w:t>立面</w:t>
            </w:r>
            <w:r>
              <w:rPr>
                <w:rFonts w:hint="eastAsia" w:ascii="宋体" w:hAnsi="宋体" w:cs="宋体"/>
                <w:sz w:val="21"/>
                <w:szCs w:val="22"/>
              </w:rPr>
              <w:t>示意图</w:t>
            </w:r>
          </w:p>
        </w:tc>
      </w:tr>
    </w:tbl>
    <w:p w14:paraId="70197CDE">
      <w:pPr>
        <w:ind w:firstLine="480"/>
        <w:rPr>
          <w:rFonts w:hint="eastAsia" w:ascii="Times New Roman" w:hAnsi="Times New Roman"/>
          <w:lang w:val="en-US" w:eastAsia="zh-CN"/>
        </w:rPr>
      </w:pPr>
      <w:r>
        <w:rPr>
          <w:rFonts w:hint="eastAsia" w:ascii="Times New Roman" w:hAnsi="Times New Roman"/>
          <w:lang w:val="en-US" w:eastAsia="zh-CN"/>
        </w:rPr>
        <w:t>塔机起重臂总成安装时设置警戒区，起吊安排专人负责指挥，专人操作，严禁无关人员进入起重作业范围内。</w:t>
      </w:r>
    </w:p>
    <w:p w14:paraId="19B41F73">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安装剩余的平衡重</w:t>
      </w:r>
    </w:p>
    <w:p w14:paraId="7006B0CB">
      <w:pPr>
        <w:ind w:firstLine="480"/>
        <w:rPr>
          <w:rFonts w:hint="eastAsia" w:ascii="Times New Roman" w:hAnsi="Times New Roman"/>
          <w:lang w:val="en-US" w:eastAsia="zh-CN"/>
        </w:rPr>
      </w:pPr>
      <w:r>
        <w:rPr>
          <w:rFonts w:hint="eastAsia" w:ascii="Times New Roman" w:hAnsi="Times New Roman"/>
          <w:lang w:val="en-US" w:eastAsia="zh-CN"/>
        </w:rPr>
        <w:t>剩余平衡重吊装方法同安装第1块平衡重。吊装完成后检查并确认相邻平衡重块的整个表面是否贴紧。</w:t>
      </w:r>
    </w:p>
    <w:p w14:paraId="26662AED">
      <w:pPr>
        <w:ind w:left="0" w:leftChars="0" w:firstLine="0" w:firstLineChars="0"/>
        <w:jc w:val="center"/>
      </w:pPr>
      <w:r>
        <w:rPr>
          <w:rFonts w:hint="eastAsia" w:ascii="宋体" w:hAnsi="宋体" w:eastAsia="宋体" w:cs="Times New Roman"/>
          <w:b/>
          <w:bCs w:val="0"/>
          <w:snapToGrid w:val="0"/>
          <w:sz w:val="21"/>
          <w:szCs w:val="21"/>
          <w:lang w:val="en-US" w:eastAsia="zh-CN" w:bidi="ar-SA"/>
        </w:rPr>
        <w:t>表8.4.11-</w:t>
      </w:r>
      <w:r>
        <w:rPr>
          <w:rFonts w:hint="eastAsia" w:ascii="宋体" w:hAnsi="宋体" w:cs="Times New Roman"/>
          <w:b/>
          <w:bCs w:val="0"/>
          <w:snapToGrid w:val="0"/>
          <w:sz w:val="21"/>
          <w:szCs w:val="21"/>
          <w:lang w:val="en-US" w:eastAsia="zh-CN" w:bidi="ar-SA"/>
        </w:rPr>
        <w:t>1</w:t>
      </w:r>
      <w:r>
        <w:rPr>
          <w:rFonts w:hint="eastAsia" w:ascii="宋体" w:hAnsi="宋体" w:eastAsia="宋体" w:cs="Times New Roman"/>
          <w:b/>
          <w:bCs w:val="0"/>
          <w:snapToGrid w:val="0"/>
          <w:sz w:val="21"/>
          <w:szCs w:val="21"/>
          <w:lang w:val="en-US" w:eastAsia="zh-CN" w:bidi="ar-SA"/>
        </w:rPr>
        <w:t xml:space="preserve"> </w:t>
      </w:r>
      <w:r>
        <w:rPr>
          <w:rFonts w:hint="eastAsia" w:ascii="宋体" w:hAnsi="宋体" w:cs="Times New Roman"/>
          <w:b/>
          <w:bCs w:val="0"/>
          <w:snapToGrid w:val="0"/>
          <w:sz w:val="21"/>
          <w:szCs w:val="21"/>
          <w:lang w:val="en-US" w:eastAsia="zh-CN" w:bidi="ar-SA"/>
        </w:rPr>
        <w:t>平衡重配置表</w:t>
      </w:r>
      <w:r>
        <w:drawing>
          <wp:inline distT="0" distB="0" distL="114300" distR="114300">
            <wp:extent cx="5544820" cy="2845435"/>
            <wp:effectExtent l="0" t="0" r="17780" b="12065"/>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pic:cNvPicPr>
                  </pic:nvPicPr>
                  <pic:blipFill>
                    <a:blip r:embed="rId62"/>
                    <a:stretch>
                      <a:fillRect/>
                    </a:stretch>
                  </pic:blipFill>
                  <pic:spPr>
                    <a:xfrm>
                      <a:off x="0" y="0"/>
                      <a:ext cx="5544820" cy="2845435"/>
                    </a:xfrm>
                    <a:prstGeom prst="rect">
                      <a:avLst/>
                    </a:prstGeom>
                    <a:noFill/>
                    <a:ln>
                      <a:noFill/>
                    </a:ln>
                  </pic:spPr>
                </pic:pic>
              </a:graphicData>
            </a:graphic>
          </wp:inline>
        </w:drawing>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FD1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5D54A2F2">
            <w:pPr>
              <w:spacing w:line="360" w:lineRule="auto"/>
              <w:jc w:val="center"/>
            </w:pPr>
            <w:r>
              <w:drawing>
                <wp:inline distT="0" distB="0" distL="114300" distR="114300">
                  <wp:extent cx="3554095" cy="3331210"/>
                  <wp:effectExtent l="0" t="0" r="8255" b="2540"/>
                  <wp:docPr id="1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1"/>
                          <pic:cNvPicPr>
                            <a:picLocks noChangeAspect="1"/>
                          </pic:cNvPicPr>
                        </pic:nvPicPr>
                        <pic:blipFill>
                          <a:blip r:embed="rId63"/>
                          <a:stretch>
                            <a:fillRect/>
                          </a:stretch>
                        </pic:blipFill>
                        <pic:spPr>
                          <a:xfrm>
                            <a:off x="0" y="0"/>
                            <a:ext cx="3554095" cy="3331210"/>
                          </a:xfrm>
                          <a:prstGeom prst="rect">
                            <a:avLst/>
                          </a:prstGeom>
                          <a:noFill/>
                          <a:ln>
                            <a:noFill/>
                          </a:ln>
                        </pic:spPr>
                      </pic:pic>
                    </a:graphicData>
                  </a:graphic>
                </wp:inline>
              </w:drawing>
            </w:r>
          </w:p>
        </w:tc>
      </w:tr>
      <w:tr w14:paraId="4763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07A2FDD">
            <w:pPr>
              <w:spacing w:line="360" w:lineRule="auto"/>
              <w:ind w:firstLine="480"/>
              <w:jc w:val="center"/>
            </w:pPr>
            <w:r>
              <w:rPr>
                <w:rFonts w:hint="eastAsia" w:ascii="宋体" w:hAnsi="宋体" w:cs="宋体"/>
                <w:sz w:val="21"/>
                <w:szCs w:val="22"/>
                <w:lang w:val="en-US" w:eastAsia="zh-CN"/>
              </w:rPr>
              <w:t>安装平衡重</w:t>
            </w:r>
            <w:r>
              <w:rPr>
                <w:rFonts w:hint="eastAsia" w:ascii="宋体" w:hAnsi="宋体" w:cs="宋体"/>
                <w:sz w:val="21"/>
                <w:szCs w:val="22"/>
              </w:rPr>
              <w:t>平面示意图</w:t>
            </w:r>
          </w:p>
        </w:tc>
      </w:tr>
      <w:tr w14:paraId="074A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133E45F9">
            <w:pPr>
              <w:spacing w:line="360" w:lineRule="auto"/>
              <w:jc w:val="center"/>
            </w:pPr>
            <w:r>
              <w:drawing>
                <wp:inline distT="0" distB="0" distL="114300" distR="114300">
                  <wp:extent cx="5262880" cy="2110105"/>
                  <wp:effectExtent l="0" t="0" r="13970" b="4445"/>
                  <wp:docPr id="10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2"/>
                          <pic:cNvPicPr>
                            <a:picLocks noChangeAspect="1"/>
                          </pic:cNvPicPr>
                        </pic:nvPicPr>
                        <pic:blipFill>
                          <a:blip r:embed="rId64"/>
                          <a:stretch>
                            <a:fillRect/>
                          </a:stretch>
                        </pic:blipFill>
                        <pic:spPr>
                          <a:xfrm>
                            <a:off x="0" y="0"/>
                            <a:ext cx="5262880" cy="2110105"/>
                          </a:xfrm>
                          <a:prstGeom prst="rect">
                            <a:avLst/>
                          </a:prstGeom>
                          <a:noFill/>
                          <a:ln>
                            <a:noFill/>
                          </a:ln>
                        </pic:spPr>
                      </pic:pic>
                    </a:graphicData>
                  </a:graphic>
                </wp:inline>
              </w:drawing>
            </w:r>
          </w:p>
        </w:tc>
      </w:tr>
      <w:tr w14:paraId="33E7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BD424E4">
            <w:pPr>
              <w:spacing w:line="360" w:lineRule="auto"/>
              <w:ind w:firstLine="480"/>
              <w:jc w:val="center"/>
            </w:pPr>
            <w:r>
              <w:rPr>
                <w:rFonts w:hint="eastAsia" w:ascii="宋体" w:hAnsi="宋体" w:cs="宋体"/>
                <w:sz w:val="21"/>
                <w:szCs w:val="22"/>
                <w:lang w:val="en-US" w:eastAsia="zh-CN"/>
              </w:rPr>
              <w:t>安装平衡重立</w:t>
            </w:r>
            <w:r>
              <w:rPr>
                <w:rFonts w:hint="eastAsia" w:ascii="宋体" w:hAnsi="宋体" w:cs="宋体"/>
                <w:sz w:val="21"/>
                <w:szCs w:val="22"/>
              </w:rPr>
              <w:t>面示意图</w:t>
            </w:r>
          </w:p>
        </w:tc>
      </w:tr>
    </w:tbl>
    <w:p w14:paraId="2E30E628">
      <w:pPr>
        <w:ind w:firstLine="480"/>
        <w:rPr>
          <w:rFonts w:hint="eastAsia" w:ascii="Times New Roman" w:hAnsi="Times New Roman"/>
          <w:lang w:val="en-US" w:eastAsia="zh-CN"/>
        </w:rPr>
      </w:pPr>
      <w:r>
        <w:rPr>
          <w:rFonts w:hint="eastAsia" w:ascii="Times New Roman" w:hAnsi="Times New Roman"/>
          <w:lang w:val="en-US" w:eastAsia="zh-CN"/>
        </w:rPr>
        <w:t>按从起升机构侧向远离塔身侧依次吊装平衡重。</w:t>
      </w:r>
    </w:p>
    <w:p w14:paraId="4F3B6D49">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72DC0016">
      <w:pPr>
        <w:ind w:firstLine="480"/>
        <w:rPr>
          <w:rFonts w:hint="eastAsia" w:ascii="Times New Roman" w:hAnsi="Times New Roman"/>
          <w:lang w:val="en-US" w:eastAsia="zh-CN"/>
        </w:rPr>
      </w:pPr>
      <w:r>
        <w:rPr>
          <w:rFonts w:hint="eastAsia"/>
          <w:lang w:val="en-US" w:eastAsia="zh-CN"/>
        </w:rPr>
        <w:t>塔机</w:t>
      </w:r>
      <w:r>
        <w:rPr>
          <w:rFonts w:hint="eastAsia" w:ascii="Times New Roman" w:hAnsi="Times New Roman"/>
          <w:lang w:val="en-US" w:eastAsia="zh-CN"/>
        </w:rPr>
        <w:t>平衡重安装时设置警戒区，起吊安排专人负责指挥，专人操作，严禁无关人员进入起重作业范围内。</w:t>
      </w:r>
    </w:p>
    <w:p w14:paraId="13D610BE">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穿绕起升钢丝绳</w:t>
      </w:r>
    </w:p>
    <w:p w14:paraId="7E82D84F">
      <w:pPr>
        <w:ind w:firstLine="480"/>
        <w:rPr>
          <w:rFonts w:hint="eastAsia" w:cs="宋体"/>
          <w:b w:val="0"/>
          <w:bCs/>
          <w:color w:val="auto"/>
          <w:kern w:val="2"/>
          <w:sz w:val="24"/>
          <w:szCs w:val="24"/>
          <w:lang w:val="en-US" w:eastAsia="zh-CN" w:bidi="ar-SA"/>
        </w:rPr>
      </w:pPr>
      <w:r>
        <w:rPr>
          <w:rFonts w:hint="eastAsia" w:ascii="Times New Roman" w:hAnsi="Times New Roman"/>
          <w:lang w:val="en-US" w:eastAsia="zh-CN"/>
        </w:rPr>
        <w:t>将起升钢丝绳引经起重臂第一节臂上导向滑轮后，绕过在塔顶中心位置上的起重量限制器滑轮，再引向小车滑轮与吊钩滑轮穿绕，最后，将绳端固定在臂头上采用钢丝绳专用锁扣进行固定(见图 8.4.1</w:t>
      </w:r>
      <w:r>
        <w:rPr>
          <w:rFonts w:hint="eastAsia"/>
          <w:lang w:val="en-US" w:eastAsia="zh-CN"/>
        </w:rPr>
        <w:t>2</w:t>
      </w:r>
      <w:r>
        <w:rPr>
          <w:rFonts w:hint="eastAsia" w:ascii="Times New Roman" w:hAnsi="Times New Roman"/>
          <w:lang w:val="en-US" w:eastAsia="zh-CN"/>
        </w:rPr>
        <w:t>-1)。检查起升钢丝绳是否穿绕正确，连接是否可靠（4倍率）。</w:t>
      </w:r>
    </w:p>
    <w:p w14:paraId="0A73F41F">
      <w:pPr>
        <w:pStyle w:val="78"/>
        <w:spacing w:beforeAutospacing="0" w:afterAutospacing="0" w:line="240" w:lineRule="auto"/>
        <w:ind w:left="0" w:leftChars="0" w:firstLine="0" w:firstLineChars="0"/>
        <w:jc w:val="center"/>
        <w:rPr>
          <w:rFonts w:hint="eastAsia" w:ascii="宋体" w:hAnsi="宋体" w:eastAsia="宋体" w:cs="宋体"/>
          <w:b w:val="0"/>
          <w:bCs/>
          <w:color w:val="auto"/>
          <w:kern w:val="2"/>
          <w:sz w:val="24"/>
          <w:szCs w:val="24"/>
          <w:lang w:val="en-US" w:eastAsia="zh-CN" w:bidi="ar-SA"/>
        </w:rPr>
      </w:pPr>
      <w:r>
        <w:rPr>
          <w:rFonts w:ascii="宋体" w:hAnsi="宋体" w:eastAsia="宋体" w:cs="宋体"/>
          <w:kern w:val="0"/>
          <w:sz w:val="24"/>
          <w:szCs w:val="24"/>
          <w:lang w:val="en-US" w:eastAsia="zh-CN" w:bidi="ar"/>
        </w:rPr>
        <w:drawing>
          <wp:inline distT="0" distB="0" distL="114300" distR="114300">
            <wp:extent cx="5400040" cy="1800225"/>
            <wp:effectExtent l="0" t="0" r="10160" b="9525"/>
            <wp:docPr id="77" name="图片 15" descr="IMG_256"/>
            <wp:cNvGraphicFramePr/>
            <a:graphic xmlns:a="http://schemas.openxmlformats.org/drawingml/2006/main">
              <a:graphicData uri="http://schemas.openxmlformats.org/drawingml/2006/picture">
                <pic:pic xmlns:pic="http://schemas.openxmlformats.org/drawingml/2006/picture">
                  <pic:nvPicPr>
                    <pic:cNvPr id="77" name="图片 15" descr="IMG_256"/>
                    <pic:cNvPicPr/>
                  </pic:nvPicPr>
                  <pic:blipFill>
                    <a:blip r:embed="rId65"/>
                    <a:stretch>
                      <a:fillRect/>
                    </a:stretch>
                  </pic:blipFill>
                  <pic:spPr>
                    <a:xfrm>
                      <a:off x="0" y="0"/>
                      <a:ext cx="5400040" cy="1800225"/>
                    </a:xfrm>
                    <a:prstGeom prst="rect">
                      <a:avLst/>
                    </a:prstGeom>
                    <a:ln w="9525">
                      <a:noFill/>
                    </a:ln>
                  </pic:spPr>
                </pic:pic>
              </a:graphicData>
            </a:graphic>
          </wp:inline>
        </w:drawing>
      </w:r>
    </w:p>
    <w:p w14:paraId="7A84FC16">
      <w:pPr>
        <w:pStyle w:val="10"/>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图 8.4.12-1： 起升钢丝绳穿绕示意图</w:t>
      </w:r>
    </w:p>
    <w:p w14:paraId="79D395BD">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穿绕变幅钢丝绳</w:t>
      </w:r>
    </w:p>
    <w:p w14:paraId="5DEC4B65">
      <w:pPr>
        <w:pStyle w:val="29"/>
        <w:numPr>
          <w:ilvl w:val="0"/>
          <w:numId w:val="0"/>
        </w:numPr>
        <w:jc w:val="center"/>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5400040" cy="1800225"/>
            <wp:effectExtent l="0" t="0" r="10160" b="9525"/>
            <wp:docPr id="78" name="图片 16" descr="IMG_256"/>
            <wp:cNvGraphicFramePr/>
            <a:graphic xmlns:a="http://schemas.openxmlformats.org/drawingml/2006/main">
              <a:graphicData uri="http://schemas.openxmlformats.org/drawingml/2006/picture">
                <pic:pic xmlns:pic="http://schemas.openxmlformats.org/drawingml/2006/picture">
                  <pic:nvPicPr>
                    <pic:cNvPr id="78" name="图片 16" descr="IMG_256"/>
                    <pic:cNvPicPr/>
                  </pic:nvPicPr>
                  <pic:blipFill>
                    <a:blip r:embed="rId66"/>
                    <a:stretch>
                      <a:fillRect/>
                    </a:stretch>
                  </pic:blipFill>
                  <pic:spPr>
                    <a:xfrm>
                      <a:off x="0" y="0"/>
                      <a:ext cx="5400040" cy="1800225"/>
                    </a:xfrm>
                    <a:prstGeom prst="rect">
                      <a:avLst/>
                    </a:prstGeom>
                    <a:ln w="9525">
                      <a:noFill/>
                    </a:ln>
                  </pic:spPr>
                </pic:pic>
              </a:graphicData>
            </a:graphic>
          </wp:inline>
        </w:drawing>
      </w:r>
    </w:p>
    <w:p w14:paraId="69CCA57A">
      <w:pPr>
        <w:pStyle w:val="10"/>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图 8.4.13-1： 变幅钢丝绳穿绕示意图</w:t>
      </w:r>
    </w:p>
    <w:p w14:paraId="7EE110C7">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电气系统安装</w:t>
      </w:r>
    </w:p>
    <w:p w14:paraId="5E572990">
      <w:pPr>
        <w:ind w:firstLine="480"/>
        <w:rPr>
          <w:rFonts w:hint="eastAsia" w:ascii="Times New Roman" w:hAnsi="Times New Roman"/>
          <w:lang w:val="en-US" w:eastAsia="zh-CN"/>
        </w:rPr>
      </w:pPr>
      <w:r>
        <w:rPr>
          <w:rFonts w:hint="eastAsia" w:ascii="Times New Roman" w:hAnsi="Times New Roman"/>
          <w:lang w:val="en-US" w:eastAsia="zh-CN"/>
        </w:rPr>
        <w:t>根据说明书中操作维护指南部分电气连接的相关内容连接好起升机构、回转机构、变幅机构、顶升机构及司机室内的电气设备，使整个塔机电气设备均可以正常工作</w:t>
      </w:r>
      <w:r>
        <w:rPr>
          <w:rFonts w:hint="eastAsia"/>
          <w:lang w:val="en-US" w:eastAsia="zh-CN"/>
        </w:rPr>
        <w:t>。</w:t>
      </w:r>
    </w:p>
    <w:p w14:paraId="0FE7D861">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电气安装注意事项</w:t>
      </w:r>
    </w:p>
    <w:p w14:paraId="14BF196F">
      <w:pPr>
        <w:ind w:firstLine="480"/>
        <w:rPr>
          <w:rFonts w:hint="eastAsia" w:ascii="Times New Roman" w:hAnsi="Times New Roman"/>
          <w:lang w:val="en-US" w:eastAsia="zh-CN"/>
        </w:rPr>
      </w:pPr>
      <w:r>
        <w:rPr>
          <w:rFonts w:hint="eastAsia" w:ascii="Times New Roman" w:hAnsi="Times New Roman"/>
          <w:lang w:val="en-US" w:eastAsia="zh-CN"/>
        </w:rPr>
        <w:t>1）起重机电源主电缆线截面应与说明书相符；。</w:t>
      </w:r>
    </w:p>
    <w:p w14:paraId="3891E5C0">
      <w:pPr>
        <w:ind w:firstLine="480"/>
        <w:rPr>
          <w:rFonts w:hint="eastAsia" w:ascii="Times New Roman" w:hAnsi="Times New Roman"/>
          <w:lang w:val="en-US" w:eastAsia="zh-CN"/>
        </w:rPr>
      </w:pPr>
      <w:r>
        <w:rPr>
          <w:rFonts w:hint="eastAsia" w:ascii="Times New Roman" w:hAnsi="Times New Roman"/>
          <w:lang w:val="en-US" w:eastAsia="zh-CN"/>
        </w:rPr>
        <w:t>2）电气安装应在塔机安装完毕后(塔机处于安装高度时)进行，参看原理图、外部接线图及控制接线图。联接控制与动力电缆、制动器电缆、安全装置、接地装置、障碍灯、探照灯、风速仪等的线路；</w:t>
      </w:r>
    </w:p>
    <w:p w14:paraId="536D1F92">
      <w:pPr>
        <w:ind w:firstLine="480"/>
        <w:rPr>
          <w:rFonts w:hint="eastAsia" w:ascii="Times New Roman" w:hAnsi="Times New Roman"/>
          <w:lang w:val="en-US" w:eastAsia="zh-CN"/>
        </w:rPr>
      </w:pPr>
      <w:r>
        <w:rPr>
          <w:rFonts w:hint="eastAsia" w:ascii="Times New Roman" w:hAnsi="Times New Roman"/>
          <w:lang w:val="en-US" w:eastAsia="zh-CN"/>
        </w:rPr>
        <w:t>3）送电之前对电气系统进行检查，符合要求后方可通电；所有线路联接必须正确无误，该固定的电线电缆应有可靠的固定，防止塔机在运行时损伤电缆；</w:t>
      </w:r>
    </w:p>
    <w:p w14:paraId="1E1E5C53">
      <w:pPr>
        <w:ind w:firstLine="480"/>
        <w:rPr>
          <w:rFonts w:hint="eastAsia" w:ascii="Times New Roman" w:hAnsi="Times New Roman"/>
          <w:lang w:val="en-US" w:eastAsia="zh-CN"/>
        </w:rPr>
      </w:pPr>
      <w:r>
        <w:rPr>
          <w:rFonts w:hint="eastAsia" w:ascii="Times New Roman" w:hAnsi="Times New Roman"/>
          <w:lang w:val="en-US" w:eastAsia="zh-CN"/>
        </w:rPr>
        <w:t>4）在通电之前应对电气进行绝缘检查，电路对地绝缘电阻不应小于0.5MΩ，塔身对地的接地电阻应不大于4Ω，重复接地电阻应不大于10Ω；塔机接地时要求：</w:t>
      </w:r>
    </w:p>
    <w:p w14:paraId="2A0357C6">
      <w:pPr>
        <w:ind w:firstLine="480"/>
        <w:rPr>
          <w:rFonts w:hint="eastAsia" w:ascii="Times New Roman" w:hAnsi="Times New Roman"/>
          <w:lang w:val="en-US" w:eastAsia="zh-CN"/>
        </w:rPr>
      </w:pPr>
      <w:r>
        <w:rPr>
          <w:rFonts w:hint="eastAsia" w:ascii="Times New Roman" w:hAnsi="Times New Roman"/>
          <w:lang w:val="en-US" w:eastAsia="zh-CN"/>
        </w:rPr>
        <w:t>a 接地杆插入地面以下长度不得小于1.5米，不要与建筑物基础的金属加固件连接；</w:t>
      </w:r>
    </w:p>
    <w:p w14:paraId="1B3BB2A3">
      <w:pPr>
        <w:ind w:firstLine="480"/>
        <w:rPr>
          <w:rFonts w:hint="eastAsia" w:ascii="Times New Roman" w:hAnsi="Times New Roman"/>
          <w:lang w:val="en-US" w:eastAsia="zh-CN"/>
        </w:rPr>
      </w:pPr>
      <w:r>
        <w:rPr>
          <w:rFonts w:hint="eastAsia" w:ascii="Times New Roman" w:hAnsi="Times New Roman"/>
          <w:lang w:val="en-US" w:eastAsia="zh-CN"/>
        </w:rPr>
        <w:t>b 与基础节连接的绝缘铜电缆截面不得小于25mm2，且必须把与塔机基础节连接处的涂料清理干净；</w:t>
      </w:r>
    </w:p>
    <w:p w14:paraId="3253D7F4">
      <w:pPr>
        <w:ind w:firstLine="480"/>
        <w:rPr>
          <w:rFonts w:hint="eastAsia" w:ascii="Times New Roman" w:hAnsi="Times New Roman"/>
          <w:lang w:val="en-US" w:eastAsia="zh-CN"/>
        </w:rPr>
      </w:pPr>
      <w:r>
        <w:rPr>
          <w:rFonts w:hint="eastAsia" w:ascii="Times New Roman" w:hAnsi="Times New Roman"/>
          <w:lang w:val="en-US" w:eastAsia="zh-CN"/>
        </w:rPr>
        <w:t>c 不得安装保险丝或开关；</w:t>
      </w:r>
    </w:p>
    <w:p w14:paraId="5335C4FD">
      <w:pPr>
        <w:ind w:firstLine="480"/>
        <w:rPr>
          <w:rFonts w:hint="eastAsia" w:ascii="Times New Roman" w:hAnsi="Times New Roman"/>
          <w:lang w:val="en-US" w:eastAsia="zh-CN"/>
        </w:rPr>
      </w:pPr>
      <w:r>
        <w:rPr>
          <w:rFonts w:hint="eastAsia" w:ascii="Times New Roman" w:hAnsi="Times New Roman"/>
          <w:lang w:val="en-US" w:eastAsia="zh-CN"/>
        </w:rPr>
        <w:t>d接地装置应由专门人员安装；</w:t>
      </w:r>
    </w:p>
    <w:p w14:paraId="04E215DF">
      <w:pPr>
        <w:ind w:firstLine="480"/>
        <w:rPr>
          <w:rFonts w:hint="eastAsia" w:ascii="Times New Roman" w:hAnsi="Times New Roman"/>
          <w:lang w:val="en-US" w:eastAsia="zh-CN"/>
        </w:rPr>
      </w:pPr>
      <w:r>
        <w:rPr>
          <w:rFonts w:hint="eastAsia" w:ascii="Times New Roman" w:hAnsi="Times New Roman"/>
          <w:lang w:val="en-US" w:eastAsia="zh-CN"/>
        </w:rPr>
        <w:t>e检测接地电阻时要用高效精密仪器，且需定期检查接地线和电阻；</w:t>
      </w:r>
    </w:p>
    <w:p w14:paraId="0AEB6896">
      <w:pPr>
        <w:ind w:firstLine="480"/>
        <w:rPr>
          <w:rFonts w:hint="eastAsia" w:ascii="Times New Roman" w:hAnsi="Times New Roman"/>
          <w:lang w:val="en-US" w:eastAsia="zh-CN"/>
        </w:rPr>
      </w:pPr>
      <w:r>
        <w:rPr>
          <w:rFonts w:hint="eastAsia" w:ascii="Times New Roman" w:hAnsi="Times New Roman"/>
          <w:lang w:val="en-US" w:eastAsia="zh-CN"/>
        </w:rPr>
        <w:t>5）主电缆（地面加司机室电缆）在进入司机室前应穿入电缆保护圈后再进入司机室，并留适当长度，保证塔机在左右一圈半的旋转时不致损坏电缆，且保证爬升时不损伤电缆；</w:t>
      </w:r>
    </w:p>
    <w:p w14:paraId="67676A34">
      <w:pPr>
        <w:ind w:firstLine="480"/>
        <w:rPr>
          <w:rFonts w:hint="eastAsia" w:ascii="Times New Roman" w:hAnsi="Times New Roman"/>
          <w:lang w:val="en-US" w:eastAsia="zh-CN"/>
        </w:rPr>
      </w:pPr>
      <w:r>
        <w:rPr>
          <w:rFonts w:hint="eastAsia" w:ascii="Times New Roman" w:hAnsi="Times New Roman"/>
          <w:lang w:val="en-US" w:eastAsia="zh-CN"/>
        </w:rPr>
        <w:t>6）将司机室所有操作机构放置在安全位置，主开关放在断电位置，最后联接好地面电源电缆。</w:t>
      </w:r>
    </w:p>
    <w:p w14:paraId="361A33D8">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安全设施</w:t>
      </w:r>
    </w:p>
    <w:p w14:paraId="7D572202">
      <w:pPr>
        <w:ind w:firstLine="480"/>
        <w:rPr>
          <w:rFonts w:hint="eastAsia" w:ascii="Times New Roman" w:hAnsi="Times New Roman"/>
          <w:lang w:val="en-US" w:eastAsia="zh-CN"/>
        </w:rPr>
      </w:pPr>
      <w:r>
        <w:rPr>
          <w:rFonts w:hint="eastAsia" w:ascii="Times New Roman" w:hAnsi="Times New Roman"/>
          <w:lang w:val="en-US" w:eastAsia="zh-CN"/>
        </w:rPr>
        <w:t>（1）</w:t>
      </w:r>
      <w:r>
        <w:rPr>
          <w:rFonts w:hint="eastAsia"/>
          <w:lang w:val="en-US" w:eastAsia="zh-CN"/>
        </w:rPr>
        <w:t>塔机</w:t>
      </w:r>
      <w:r>
        <w:rPr>
          <w:rFonts w:hint="eastAsia" w:ascii="Times New Roman" w:hAnsi="Times New Roman"/>
          <w:lang w:val="en-US" w:eastAsia="zh-CN"/>
        </w:rPr>
        <w:t>基础四周应设置围挡，悬挂安全警示标牌。</w:t>
      </w:r>
    </w:p>
    <w:p w14:paraId="75098412">
      <w:pPr>
        <w:ind w:firstLine="480"/>
        <w:rPr>
          <w:rFonts w:hint="eastAsia" w:ascii="Times New Roman" w:hAnsi="Times New Roman"/>
          <w:lang w:val="en-US" w:eastAsia="zh-CN"/>
        </w:rPr>
      </w:pPr>
      <w:r>
        <w:rPr>
          <w:rFonts w:hint="eastAsia" w:ascii="Times New Roman" w:hAnsi="Times New Roman"/>
          <w:lang w:val="en-US" w:eastAsia="zh-CN"/>
        </w:rPr>
        <w:t>（2）</w:t>
      </w:r>
      <w:r>
        <w:rPr>
          <w:rFonts w:hint="eastAsia"/>
          <w:lang w:val="en-US" w:eastAsia="zh-CN"/>
        </w:rPr>
        <w:t>塔机</w:t>
      </w:r>
      <w:r>
        <w:rPr>
          <w:rFonts w:hint="eastAsia" w:ascii="Times New Roman" w:hAnsi="Times New Roman"/>
          <w:lang w:val="en-US" w:eastAsia="zh-CN"/>
        </w:rPr>
        <w:t>操作人员须每天检查起重量限制器、起重力矩限制器、行程限位装置、安全监控报警系统，保证其灵敏有效，并做好检查维修记录，严禁机械带病作业。</w:t>
      </w:r>
    </w:p>
    <w:p w14:paraId="23573409">
      <w:pPr>
        <w:ind w:firstLine="480"/>
        <w:rPr>
          <w:rFonts w:hint="eastAsia" w:ascii="Times New Roman" w:hAnsi="Times New Roman"/>
          <w:lang w:val="en-US" w:eastAsia="zh-CN"/>
        </w:rPr>
      </w:pPr>
      <w:r>
        <w:rPr>
          <w:rFonts w:hint="eastAsia" w:ascii="Times New Roman" w:hAnsi="Times New Roman"/>
          <w:lang w:val="en-US" w:eastAsia="zh-CN"/>
        </w:rPr>
        <w:t>（3）塔身高于30m的塔机，应在塔顶和臂架端部设置红色警示灯；夜间工作的</w:t>
      </w:r>
      <w:r>
        <w:rPr>
          <w:rFonts w:hint="eastAsia"/>
          <w:lang w:val="en-US" w:eastAsia="zh-CN"/>
        </w:rPr>
        <w:t>塔机</w:t>
      </w:r>
      <w:r>
        <w:rPr>
          <w:rFonts w:hint="eastAsia" w:ascii="Times New Roman" w:hAnsi="Times New Roman"/>
          <w:lang w:val="en-US" w:eastAsia="zh-CN"/>
        </w:rPr>
        <w:t>应在正对工作面设置投光灯。</w:t>
      </w:r>
    </w:p>
    <w:p w14:paraId="63B173A8">
      <w:pPr>
        <w:tabs>
          <w:tab w:val="left" w:pos="4296"/>
        </w:tabs>
        <w:ind w:firstLine="480"/>
        <w:rPr>
          <w:rFonts w:ascii="宋体" w:hAnsi="宋体"/>
          <w:snapToGrid/>
          <w:lang w:val="en-US" w:eastAsia="zh-CN"/>
        </w:rPr>
      </w:pPr>
      <w:r>
        <w:rPr>
          <w:rFonts w:hint="eastAsia" w:ascii="宋体" w:hAnsi="宋体"/>
          <w:snapToGrid/>
          <w:lang w:val="en-US" w:eastAsia="zh-CN"/>
        </w:rPr>
        <w:t xml:space="preserve">    </w:t>
      </w:r>
      <w:r>
        <w:rPr>
          <w:rFonts w:ascii="宋体" w:hAnsi="宋体"/>
          <w:snapToGrid/>
        </w:rPr>
        <w:drawing>
          <wp:inline distT="0" distB="0" distL="114300" distR="114300">
            <wp:extent cx="1800225" cy="1800225"/>
            <wp:effectExtent l="9525" t="9525" r="19050" b="19050"/>
            <wp:docPr id="79" name="图片 2"/>
            <wp:cNvGraphicFramePr/>
            <a:graphic xmlns:a="http://schemas.openxmlformats.org/drawingml/2006/main">
              <a:graphicData uri="http://schemas.openxmlformats.org/drawingml/2006/picture">
                <pic:pic xmlns:pic="http://schemas.openxmlformats.org/drawingml/2006/picture">
                  <pic:nvPicPr>
                    <pic:cNvPr id="79" name="图片 2"/>
                    <pic:cNvPicPr/>
                  </pic:nvPicPr>
                  <pic:blipFill>
                    <a:blip r:embed="rId67"/>
                    <a:srcRect b="6735"/>
                    <a:stretch>
                      <a:fillRect/>
                    </a:stretch>
                  </pic:blipFill>
                  <pic:spPr>
                    <a:xfrm>
                      <a:off x="0" y="0"/>
                      <a:ext cx="1800225" cy="1800225"/>
                    </a:xfrm>
                    <a:prstGeom prst="rect">
                      <a:avLst/>
                    </a:prstGeom>
                    <a:ln w="9525" cap="flat" cmpd="sng">
                      <a:solidFill>
                        <a:srgbClr val="4F81BD"/>
                      </a:solidFill>
                      <a:prstDash val="solid"/>
                      <a:miter lim="0"/>
                      <a:headEnd type="none" w="med" len="med"/>
                      <a:tailEnd type="none" w="med" len="med"/>
                    </a:ln>
                  </pic:spPr>
                </pic:pic>
              </a:graphicData>
            </a:graphic>
          </wp:inline>
        </w:drawing>
      </w:r>
      <w:r>
        <w:rPr>
          <w:rFonts w:ascii="宋体" w:hAnsi="宋体"/>
          <w:snapToGrid/>
        </w:rPr>
        <w:drawing>
          <wp:inline distT="0" distB="0" distL="114300" distR="114300">
            <wp:extent cx="1800225" cy="1800225"/>
            <wp:effectExtent l="9525" t="9525" r="19050" b="19050"/>
            <wp:docPr id="81" name="图片 3"/>
            <wp:cNvGraphicFramePr/>
            <a:graphic xmlns:a="http://schemas.openxmlformats.org/drawingml/2006/main">
              <a:graphicData uri="http://schemas.openxmlformats.org/drawingml/2006/picture">
                <pic:pic xmlns:pic="http://schemas.openxmlformats.org/drawingml/2006/picture">
                  <pic:nvPicPr>
                    <pic:cNvPr id="81" name="图片 3"/>
                    <pic:cNvPicPr/>
                  </pic:nvPicPr>
                  <pic:blipFill>
                    <a:blip r:embed="rId68"/>
                    <a:srcRect b="7131"/>
                    <a:stretch>
                      <a:fillRect/>
                    </a:stretch>
                  </pic:blipFill>
                  <pic:spPr>
                    <a:xfrm>
                      <a:off x="0" y="0"/>
                      <a:ext cx="1800225" cy="1800225"/>
                    </a:xfrm>
                    <a:prstGeom prst="rect">
                      <a:avLst/>
                    </a:prstGeom>
                    <a:ln w="9525" cap="flat" cmpd="sng">
                      <a:solidFill>
                        <a:srgbClr val="4F81BD"/>
                      </a:solidFill>
                      <a:prstDash val="solid"/>
                      <a:miter lim="0"/>
                      <a:headEnd type="none" w="med" len="med"/>
                      <a:tailEnd type="none" w="med" len="med"/>
                    </a:ln>
                  </pic:spPr>
                </pic:pic>
              </a:graphicData>
            </a:graphic>
          </wp:inline>
        </w:drawing>
      </w:r>
      <w:r>
        <w:rPr>
          <w:rFonts w:ascii="宋体" w:hAnsi="宋体"/>
        </w:rPr>
        <w:tab/>
      </w:r>
      <w:r>
        <w:rPr>
          <w:rFonts w:hint="eastAsia" w:ascii="宋体" w:hAnsi="宋体"/>
          <w:lang w:val="en-US" w:eastAsia="zh-CN"/>
        </w:rPr>
        <w:t xml:space="preserve">          </w:t>
      </w:r>
    </w:p>
    <w:p w14:paraId="74378B9C">
      <w:pPr>
        <w:pStyle w:val="29"/>
        <w:spacing w:beforeAutospacing="0" w:after="0" w:afterAutospacing="0"/>
        <w:ind w:left="0" w:leftChars="0" w:firstLine="482"/>
        <w:jc w:val="center"/>
        <w:rPr>
          <w:rFonts w:hint="eastAsia" w:ascii="宋体" w:hAnsi="宋体" w:eastAsia="宋体" w:cs="宋体"/>
          <w:b/>
          <w:bCs w:val="0"/>
          <w:sz w:val="24"/>
          <w:szCs w:val="24"/>
        </w:rPr>
      </w:pPr>
      <w:r>
        <w:rPr>
          <w:rFonts w:hint="eastAsia" w:ascii="宋体" w:hAnsi="宋体" w:eastAsia="宋体" w:cs="宋体"/>
          <w:b/>
          <w:bCs w:val="0"/>
          <w:snapToGrid w:val="0"/>
          <w:sz w:val="24"/>
          <w:szCs w:val="24"/>
          <w:lang w:val="en-US" w:eastAsia="zh-CN" w:bidi="ar-SA"/>
        </w:rPr>
        <w:t>图</w:t>
      </w:r>
      <w:r>
        <w:rPr>
          <w:rFonts w:hint="eastAsia" w:ascii="宋体" w:hAnsi="宋体" w:eastAsia="宋体" w:cs="宋体"/>
          <w:b/>
          <w:bCs w:val="0"/>
          <w:color w:val="auto"/>
          <w:kern w:val="2"/>
          <w:sz w:val="24"/>
          <w:szCs w:val="24"/>
          <w:lang w:val="en-US" w:eastAsia="zh-CN" w:bidi="ar-SA"/>
        </w:rPr>
        <w:t>8.4.16-1</w:t>
      </w:r>
      <w:r>
        <w:rPr>
          <w:rFonts w:hint="eastAsia" w:ascii="宋体" w:hAnsi="宋体" w:eastAsia="宋体" w:cs="宋体"/>
          <w:b/>
          <w:bCs w:val="0"/>
          <w:snapToGrid w:val="0"/>
          <w:sz w:val="24"/>
          <w:szCs w:val="24"/>
          <w:lang w:val="en-US" w:eastAsia="zh-CN" w:bidi="ar-SA"/>
        </w:rPr>
        <w:t xml:space="preserve"> 塔机基础围挡</w:t>
      </w:r>
    </w:p>
    <w:p w14:paraId="128FB5F7">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塔机的沉降、垂直度测定及偏差校正</w:t>
      </w:r>
    </w:p>
    <w:p w14:paraId="4E861B09">
      <w:pPr>
        <w:ind w:firstLine="480"/>
        <w:rPr>
          <w:rFonts w:hint="eastAsia" w:ascii="Times New Roman" w:hAnsi="Times New Roman"/>
          <w:lang w:val="en-US" w:eastAsia="zh-CN"/>
        </w:rPr>
      </w:pPr>
      <w:r>
        <w:rPr>
          <w:rFonts w:hint="eastAsia" w:ascii="Times New Roman" w:hAnsi="Times New Roman"/>
          <w:lang w:val="en-US" w:eastAsia="zh-CN"/>
        </w:rPr>
        <w:t>（一）基础水平</w:t>
      </w:r>
    </w:p>
    <w:p w14:paraId="668C21A0">
      <w:pPr>
        <w:ind w:firstLine="480"/>
        <w:rPr>
          <w:rFonts w:hint="eastAsia" w:ascii="Times New Roman" w:hAnsi="Times New Roman"/>
          <w:lang w:val="en-US" w:eastAsia="zh-CN"/>
        </w:rPr>
      </w:pPr>
      <w:r>
        <w:rPr>
          <w:rFonts w:hint="eastAsia" w:ascii="Times New Roman" w:hAnsi="Times New Roman"/>
          <w:lang w:val="en-US" w:eastAsia="zh-CN"/>
        </w:rPr>
        <w:t>使用水平仪和全站仪对基础水平进行监控，应保证预埋后标准节中心线与水平面的垂直度≤1/1000；四个支腿与标准节连接接触断面所组成的平面的平面度不大于2mm。</w:t>
      </w:r>
    </w:p>
    <w:p w14:paraId="6CEA59EF">
      <w:pPr>
        <w:ind w:firstLine="480"/>
        <w:rPr>
          <w:rFonts w:hint="eastAsia" w:ascii="Times New Roman" w:hAnsi="Times New Roman"/>
          <w:lang w:val="en-US" w:eastAsia="zh-CN"/>
        </w:rPr>
      </w:pPr>
      <w:r>
        <w:rPr>
          <w:rFonts w:hint="eastAsia" w:ascii="Times New Roman" w:hAnsi="Times New Roman"/>
          <w:lang w:val="en-US" w:eastAsia="zh-CN"/>
        </w:rPr>
        <w:t>（二）塔身垂直度</w:t>
      </w:r>
    </w:p>
    <w:p w14:paraId="73A5994E">
      <w:pPr>
        <w:ind w:firstLine="480"/>
        <w:rPr>
          <w:rFonts w:hint="eastAsia" w:ascii="Times New Roman" w:hAnsi="Times New Roman"/>
          <w:lang w:val="en-US" w:eastAsia="zh-CN"/>
        </w:rPr>
      </w:pPr>
      <w:r>
        <w:rPr>
          <w:rFonts w:hint="eastAsia" w:ascii="Times New Roman" w:hAnsi="Times New Roman"/>
          <w:lang w:val="en-US" w:eastAsia="zh-CN"/>
        </w:rPr>
        <w:t>利用全站仪对塔身垂直度进行监测，要求空载，风速不大于3m/s状态下，独立状态塔身（或附着状态下最高附着点以上塔身）轴心线的侧向垂直度允差不大于4‰，最高附着点以下塔身轴心线的垂直度允差不大于2‰。当塔身不满足以上要求时应纠正垂直度。</w:t>
      </w:r>
    </w:p>
    <w:p w14:paraId="6455CA6C">
      <w:pPr>
        <w:ind w:firstLine="480"/>
        <w:rPr>
          <w:rFonts w:hint="eastAsia" w:ascii="Times New Roman" w:hAnsi="Times New Roman"/>
          <w:lang w:val="en-US" w:eastAsia="zh-CN"/>
        </w:rPr>
      </w:pPr>
      <w:r>
        <w:rPr>
          <w:rFonts w:hint="eastAsia" w:ascii="Times New Roman" w:hAnsi="Times New Roman"/>
          <w:lang w:val="en-US" w:eastAsia="zh-CN"/>
        </w:rPr>
        <w:t>（三）现场作业监测</w:t>
      </w:r>
    </w:p>
    <w:p w14:paraId="3AA61D25">
      <w:pPr>
        <w:ind w:firstLine="480"/>
        <w:rPr>
          <w:rFonts w:hint="eastAsia" w:ascii="Times New Roman" w:hAnsi="Times New Roman"/>
          <w:lang w:val="en-US" w:eastAsia="zh-CN"/>
        </w:rPr>
      </w:pPr>
      <w:r>
        <w:rPr>
          <w:rFonts w:hint="eastAsia" w:ascii="Times New Roman" w:hAnsi="Times New Roman"/>
          <w:lang w:val="en-US" w:eastAsia="zh-CN"/>
        </w:rPr>
        <w:t>（1）组织学习施工方案，对班组作业人员进行技术方案交底，对分项工作内容、技术要求、安全措施以及注意事项等进行单独交底。</w:t>
      </w:r>
    </w:p>
    <w:p w14:paraId="2C4BF597">
      <w:pPr>
        <w:ind w:firstLine="480"/>
        <w:rPr>
          <w:rFonts w:hint="eastAsia" w:ascii="Times New Roman" w:hAnsi="Times New Roman"/>
          <w:lang w:val="en-US" w:eastAsia="zh-CN"/>
        </w:rPr>
      </w:pPr>
      <w:r>
        <w:rPr>
          <w:rFonts w:hint="eastAsia" w:ascii="Times New Roman" w:hAnsi="Times New Roman"/>
          <w:lang w:val="en-US" w:eastAsia="zh-CN"/>
        </w:rPr>
        <w:t>（2）作业人需持证上岗。</w:t>
      </w:r>
    </w:p>
    <w:p w14:paraId="4789BC88">
      <w:pPr>
        <w:ind w:firstLine="480"/>
        <w:rPr>
          <w:rFonts w:hint="eastAsia" w:ascii="Times New Roman" w:hAnsi="Times New Roman"/>
          <w:lang w:val="en-US" w:eastAsia="zh-CN"/>
        </w:rPr>
      </w:pPr>
      <w:r>
        <w:rPr>
          <w:rFonts w:hint="eastAsia" w:ascii="Times New Roman" w:hAnsi="Times New Roman"/>
          <w:lang w:val="en-US" w:eastAsia="zh-CN"/>
        </w:rPr>
        <w:t>（3）严禁酒后作业，身体不适者禁止施工作业。</w:t>
      </w:r>
    </w:p>
    <w:p w14:paraId="13D68139">
      <w:pPr>
        <w:ind w:firstLine="480"/>
        <w:rPr>
          <w:rFonts w:hint="eastAsia" w:ascii="Times New Roman" w:hAnsi="Times New Roman"/>
          <w:lang w:val="en-US" w:eastAsia="zh-CN"/>
        </w:rPr>
      </w:pPr>
      <w:r>
        <w:rPr>
          <w:rFonts w:hint="eastAsia" w:ascii="Times New Roman" w:hAnsi="Times New Roman"/>
          <w:lang w:val="en-US" w:eastAsia="zh-CN"/>
        </w:rPr>
        <w:t>（4）作业区域设置红白警戒线，严禁任何无关人员进入施工现场。安全人员应现场旁站，及时消除各种安全隐患。</w:t>
      </w:r>
    </w:p>
    <w:p w14:paraId="69702F2E">
      <w:pPr>
        <w:ind w:firstLine="480"/>
        <w:rPr>
          <w:rFonts w:hint="eastAsia" w:ascii="Times New Roman" w:hAnsi="Times New Roman"/>
          <w:lang w:val="en-US" w:eastAsia="zh-CN"/>
        </w:rPr>
      </w:pPr>
      <w:r>
        <w:rPr>
          <w:rFonts w:hint="eastAsia" w:ascii="Times New Roman" w:hAnsi="Times New Roman"/>
          <w:lang w:val="en-US" w:eastAsia="zh-CN"/>
        </w:rPr>
        <w:t>（5）作业前各类工具均应严格检查，确认合格方可使用。</w:t>
      </w:r>
    </w:p>
    <w:p w14:paraId="533EA3C0">
      <w:pPr>
        <w:ind w:firstLine="480"/>
        <w:rPr>
          <w:rFonts w:hint="eastAsia" w:ascii="Times New Roman" w:hAnsi="Times New Roman"/>
          <w:lang w:val="en-US" w:eastAsia="zh-CN"/>
        </w:rPr>
      </w:pPr>
      <w:r>
        <w:rPr>
          <w:rFonts w:hint="eastAsia" w:ascii="Times New Roman" w:hAnsi="Times New Roman"/>
          <w:lang w:val="en-US" w:eastAsia="zh-CN"/>
        </w:rPr>
        <w:t>（6）12m/s风速以上及下雨等恶劣天气禁止作业。</w:t>
      </w:r>
    </w:p>
    <w:p w14:paraId="59B3C5CA">
      <w:pPr>
        <w:ind w:firstLine="480"/>
        <w:rPr>
          <w:rFonts w:hint="eastAsia" w:ascii="Times New Roman" w:hAnsi="Times New Roman"/>
          <w:lang w:val="en-US" w:eastAsia="zh-CN"/>
        </w:rPr>
      </w:pPr>
      <w:r>
        <w:rPr>
          <w:rFonts w:hint="eastAsia" w:ascii="Times New Roman" w:hAnsi="Times New Roman"/>
          <w:lang w:val="en-US" w:eastAsia="zh-CN"/>
        </w:rPr>
        <w:t>（7）所有作业人员必须穿戴好安全带和安全帽后方可上塔作业。</w:t>
      </w:r>
    </w:p>
    <w:p w14:paraId="7851CD97">
      <w:pPr>
        <w:ind w:firstLine="480"/>
        <w:rPr>
          <w:rFonts w:hint="eastAsia" w:ascii="Times New Roman" w:hAnsi="Times New Roman"/>
          <w:lang w:val="en-US" w:eastAsia="zh-CN"/>
        </w:rPr>
      </w:pPr>
      <w:r>
        <w:rPr>
          <w:rFonts w:hint="eastAsia" w:ascii="Times New Roman" w:hAnsi="Times New Roman"/>
          <w:lang w:val="en-US" w:eastAsia="zh-CN"/>
        </w:rPr>
        <w:t>（8）每施工一个工序合格后方可施工下一个工序。</w:t>
      </w:r>
    </w:p>
    <w:p w14:paraId="6DB06BC0">
      <w:pPr>
        <w:ind w:firstLine="480"/>
        <w:rPr>
          <w:rFonts w:hint="default" w:ascii="Times New Roman" w:hAnsi="Times New Roman"/>
          <w:lang w:val="en-US" w:eastAsia="zh-CN"/>
        </w:rPr>
      </w:pPr>
      <w:r>
        <w:rPr>
          <w:rFonts w:hint="eastAsia" w:ascii="Times New Roman" w:hAnsi="Times New Roman"/>
          <w:lang w:val="en-US" w:eastAsia="zh-CN"/>
        </w:rPr>
        <w:t>（9）起重作业人员需熟知“十不吊”内容；①‌信号不明不吊‌：如果指挥信号不明确或指挥人员乱指挥，不得进行吊装作业。②‌超负荷不吊‌：如果吊物的重量超过起重设备的额定负荷，不得进行吊装作业。③‌工件紧固不牢不吊‌：如果工件捆缚不牢固，不符合安全规则，不得进行吊装作业。④‌吊物上有人不吊‌：如果吊物上有人或工件上浮放着有活动物，不得进行吊装作业。⑤‌安全装置失灵不吊‌：如果安全装置失灵或带病工作，不得进行吊装作业。⑥‌工件埋在地下不吊‌：如果工件埋在地下，不得进行吊装作业。⑦‌光线阴暗不吊‌：如果现场光线阴暗，看不清吊物起落点，不得进行吊装作业。⑧‌斜拉工件不吊‌：如果工件歪拉斜挂，不得进行吊装作业。⑨‌带棱角缺口未垫好不吊‌：如果带棱角的物件没有采取保护措施，不得进行吊装作业。⑩‌六级以上强风不吊‌：在六级以上强风天气下，不得进行吊装作业。起重吊装过程严禁人员站于吊物下方。</w:t>
      </w:r>
    </w:p>
    <w:p w14:paraId="6B99785B">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调试与试运转</w:t>
      </w:r>
    </w:p>
    <w:p w14:paraId="7920BC4E">
      <w:pPr>
        <w:ind w:firstLine="0" w:firstLineChars="0"/>
      </w:pPr>
      <w:r>
        <w:t>试</w:t>
      </w:r>
      <w:r>
        <w:rPr>
          <w:rFonts w:hint="eastAsia" w:ascii="黑体" w:hAnsi="黑体" w:cs="黑体"/>
          <w:color w:val="000000"/>
        </w:rPr>
        <w:t>运转</w:t>
      </w:r>
      <w:r>
        <w:t>目的</w:t>
      </w:r>
    </w:p>
    <w:p w14:paraId="77E4EFA6">
      <w:pPr>
        <w:ind w:firstLine="560"/>
      </w:pPr>
      <w:r>
        <w:t>（1）验证塔式起重机的承载能力，保证塔式起重机正常使用。</w:t>
      </w:r>
    </w:p>
    <w:p w14:paraId="24CAA220">
      <w:pPr>
        <w:ind w:firstLine="560"/>
      </w:pPr>
      <w:r>
        <w:t>（2）通过加载试验，在塔式起重机正式使用前，消除其结构的非弹性变形。</w:t>
      </w:r>
    </w:p>
    <w:p w14:paraId="0CBA71FB">
      <w:pPr>
        <w:ind w:firstLine="560"/>
      </w:pPr>
      <w:r>
        <w:rPr>
          <w:rFonts w:hint="eastAsia"/>
        </w:rPr>
        <w:t>（3）</w:t>
      </w:r>
      <w:r>
        <w:t>试吊载荷</w:t>
      </w:r>
    </w:p>
    <w:p w14:paraId="67B3612E">
      <w:pPr>
        <w:adjustRightInd w:val="0"/>
        <w:snapToGrid w:val="0"/>
        <w:ind w:firstLine="560"/>
      </w:pPr>
      <w:r>
        <w:t>根据工程实际工程概况使用四倍率进行载荷试验，确定如下试吊载荷</w:t>
      </w:r>
    </w:p>
    <w:p w14:paraId="67A407FC">
      <w:pPr>
        <w:adjustRightInd w:val="0"/>
        <w:snapToGrid w:val="0"/>
        <w:ind w:firstLine="560"/>
      </w:pPr>
      <w:r>
        <w:rPr>
          <w:rFonts w:hint="eastAsia"/>
          <w:lang w:val="en-US" w:eastAsia="zh-CN"/>
        </w:rPr>
        <w:t>XGT6515-10S</w:t>
      </w:r>
      <w:r>
        <w:rPr>
          <w:rFonts w:hint="eastAsia"/>
        </w:rPr>
        <w:t>塔机</w:t>
      </w:r>
      <w:r>
        <w:t>最大试验载荷：</w:t>
      </w:r>
      <w:r>
        <w:rPr>
          <w:rFonts w:hint="eastAsia"/>
          <w:lang w:val="en-US" w:eastAsia="zh-CN"/>
        </w:rPr>
        <w:t>10</w:t>
      </w:r>
      <w:r>
        <w:t>t （1.1倍载荷试验）</w:t>
      </w:r>
    </w:p>
    <w:p w14:paraId="1AD34C6E">
      <w:pPr>
        <w:adjustRightInd w:val="0"/>
        <w:snapToGrid w:val="0"/>
        <w:ind w:firstLine="560"/>
      </w:pPr>
      <w:r>
        <w:t>力矩调试试验载荷： (</w:t>
      </w:r>
      <w:r>
        <w:rPr>
          <w:rFonts w:hint="eastAsia"/>
        </w:rPr>
        <w:t>1</w:t>
      </w:r>
      <w:r>
        <w:t xml:space="preserve">) </w:t>
      </w:r>
      <w:r>
        <w:rPr>
          <w:rFonts w:hint="eastAsia"/>
          <w:lang w:val="en-US" w:eastAsia="zh-CN"/>
        </w:rPr>
        <w:t>11</w:t>
      </w:r>
      <w:r>
        <w:t>t(</w:t>
      </w:r>
      <w:r>
        <w:rPr>
          <w:rFonts w:hint="eastAsia"/>
        </w:rPr>
        <w:t>15</w:t>
      </w:r>
      <w:r>
        <w:t xml:space="preserve">m)       (2) </w:t>
      </w:r>
      <w:r>
        <w:rPr>
          <w:rFonts w:hint="eastAsia"/>
          <w:lang w:val="en-US" w:eastAsia="zh-CN"/>
        </w:rPr>
        <w:t>1.562t</w:t>
      </w:r>
      <w:r>
        <w:t>(</w:t>
      </w:r>
      <w:r>
        <w:rPr>
          <w:rFonts w:hint="eastAsia"/>
          <w:lang w:val="en-US" w:eastAsia="zh-CN"/>
        </w:rPr>
        <w:t>65</w:t>
      </w:r>
      <w:r>
        <w:rPr>
          <w:rFonts w:hint="eastAsia"/>
        </w:rPr>
        <w:t>m</w:t>
      </w:r>
      <w:r>
        <w:t xml:space="preserve">)    </w:t>
      </w:r>
    </w:p>
    <w:p w14:paraId="3727D16F">
      <w:pPr>
        <w:ind w:firstLine="562"/>
        <w:rPr>
          <w:b/>
          <w:bCs/>
        </w:rPr>
      </w:pPr>
      <w:bookmarkStart w:id="59" w:name="_Toc15536"/>
      <w:r>
        <w:rPr>
          <w:b/>
          <w:bCs/>
        </w:rPr>
        <w:t>塔式起重机加载试验工序</w:t>
      </w:r>
      <w:bookmarkEnd w:id="59"/>
    </w:p>
    <w:p w14:paraId="0D9A4F04">
      <w:pPr>
        <w:ind w:firstLine="0" w:firstLineChars="0"/>
        <w:rPr>
          <w:b/>
          <w:bCs/>
        </w:rPr>
      </w:pPr>
      <w:r>
        <w:rPr>
          <w:b/>
          <w:bCs/>
        </w:rPr>
        <w:t>试验前检查</w:t>
      </w:r>
    </w:p>
    <w:p w14:paraId="73D60F10">
      <w:pPr>
        <w:ind w:firstLine="560"/>
      </w:pPr>
      <w:r>
        <w:t>试吊前按人员分工进行全面检查：</w:t>
      </w:r>
    </w:p>
    <w:p w14:paraId="760CC502">
      <w:pPr>
        <w:numPr>
          <w:ilvl w:val="0"/>
          <w:numId w:val="38"/>
        </w:numPr>
        <w:ind w:firstLine="560"/>
      </w:pPr>
      <w:r>
        <w:t>对塔机基础和主体结构焊缝质量、油漆质量等外观质量进行目测检查；</w:t>
      </w:r>
    </w:p>
    <w:p w14:paraId="62EEC2A7">
      <w:pPr>
        <w:numPr>
          <w:ilvl w:val="0"/>
          <w:numId w:val="38"/>
        </w:numPr>
        <w:ind w:firstLine="560"/>
      </w:pPr>
      <w:r>
        <w:t>对电气系统、操作室进行检查；</w:t>
      </w:r>
    </w:p>
    <w:p w14:paraId="7CAE7447">
      <w:pPr>
        <w:numPr>
          <w:ilvl w:val="0"/>
          <w:numId w:val="38"/>
        </w:numPr>
        <w:ind w:firstLine="560"/>
      </w:pPr>
      <w:r>
        <w:t>对起升、回转、变幅等机构进行检查；</w:t>
      </w:r>
    </w:p>
    <w:p w14:paraId="4BAFD269">
      <w:pPr>
        <w:numPr>
          <w:ilvl w:val="0"/>
          <w:numId w:val="38"/>
        </w:numPr>
        <w:ind w:firstLine="560"/>
      </w:pPr>
      <w:r>
        <w:t>对吊索、吊具、试吊物进行全面检查；</w:t>
      </w:r>
    </w:p>
    <w:p w14:paraId="3327E17C">
      <w:pPr>
        <w:numPr>
          <w:ilvl w:val="0"/>
          <w:numId w:val="38"/>
        </w:numPr>
        <w:ind w:firstLine="560"/>
      </w:pPr>
      <w:r>
        <w:t>测量组顺着起重臂方向测量塔身垂直度，需东西向与南北向测量两次</w:t>
      </w:r>
      <w:r>
        <w:rPr>
          <w:rFonts w:hint="eastAsia"/>
        </w:rPr>
        <w:t>.</w:t>
      </w:r>
    </w:p>
    <w:p w14:paraId="1C0215A2">
      <w:pPr>
        <w:ind w:firstLine="0" w:firstLineChars="0"/>
        <w:rPr>
          <w:rFonts w:hint="default" w:ascii="Times New Roman" w:hAnsi="Times New Roman"/>
          <w:b/>
          <w:bCs/>
        </w:rPr>
      </w:pPr>
      <w:r>
        <w:rPr>
          <w:rFonts w:ascii="Times New Roman" w:hAnsi="Times New Roman"/>
          <w:b/>
          <w:bCs/>
        </w:rPr>
        <w:t>绝缘试验</w:t>
      </w:r>
    </w:p>
    <w:p w14:paraId="1704BB8D">
      <w:pPr>
        <w:ind w:firstLine="560"/>
      </w:pPr>
      <w:r>
        <w:rPr>
          <w:rFonts w:hint="eastAsia"/>
        </w:rPr>
        <w:t>利用接地电阻仪，对附近土壤和预埋接地体进行阻值测试，利用兆欧表对塔身的接地测试是否良好</w:t>
      </w:r>
    </w:p>
    <w:p w14:paraId="2B9BBF94">
      <w:pPr>
        <w:ind w:firstLine="0" w:firstLineChars="0"/>
        <w:rPr>
          <w:b/>
          <w:bCs/>
        </w:rPr>
      </w:pPr>
      <w:r>
        <w:rPr>
          <w:b/>
          <w:bCs/>
        </w:rPr>
        <w:t>空载试验</w:t>
      </w:r>
    </w:p>
    <w:p w14:paraId="111162D1">
      <w:pPr>
        <w:ind w:firstLine="560"/>
      </w:pPr>
      <w:r>
        <w:t>塔机空载状态下，起升、回转、变幅等各动作的操作试验。检查：</w:t>
      </w:r>
    </w:p>
    <w:p w14:paraId="63089B6E">
      <w:pPr>
        <w:ind w:firstLine="560"/>
      </w:pPr>
      <w:r>
        <w:t>（1）操作系统、控制系统、联锁装置动作准确性和灵活性；</w:t>
      </w:r>
    </w:p>
    <w:p w14:paraId="5C3FAAF1">
      <w:pPr>
        <w:ind w:firstLine="560"/>
      </w:pPr>
      <w:r>
        <w:t>（2）各行程限位器的动作准确性和可靠性，（本次试验测试高度限位器与幅度限位器）；</w:t>
      </w:r>
    </w:p>
    <w:p w14:paraId="118DD38B">
      <w:pPr>
        <w:ind w:firstLine="560"/>
      </w:pPr>
      <w:r>
        <w:t>（3）各机构中无相对运动部位是否有漏油现象，有相对运动部位的渗漏情况，各机构运动的平稳性，是否有爬行、振颤、冲击、过热、异常噪声等现象。</w:t>
      </w:r>
    </w:p>
    <w:p w14:paraId="08F935DE">
      <w:pPr>
        <w:ind w:firstLine="0" w:firstLineChars="0"/>
        <w:rPr>
          <w:b/>
          <w:bCs/>
        </w:rPr>
      </w:pPr>
      <w:r>
        <w:rPr>
          <w:b/>
          <w:bCs/>
        </w:rPr>
        <w:t>额定荷载试验</w:t>
      </w:r>
    </w:p>
    <w:p w14:paraId="5B944C3B">
      <w:pPr>
        <w:ind w:firstLine="560"/>
      </w:pPr>
      <w:r>
        <w:t>根据设计的额定载荷，按照GB/T5031规定的工况、试验方法和要求，进行起升、变幅、回转试验，每一工况的试验次数不得少于3次。还应当检查以下内容是否符合要求：</w:t>
      </w:r>
    </w:p>
    <w:p w14:paraId="633D5151">
      <w:pPr>
        <w:ind w:firstLine="560"/>
      </w:pPr>
      <w:r>
        <w:t>（1）起升、回转、变幅的额定速度在允差范围内。</w:t>
      </w:r>
    </w:p>
    <w:p w14:paraId="4265811E">
      <w:pPr>
        <w:ind w:firstLine="560"/>
        <w:rPr>
          <w:b/>
          <w:sz w:val="21"/>
        </w:rPr>
      </w:pPr>
      <w:r>
        <w:t>（2）起重量限制器、起重力矩限制器信号显示、报警精度在允许范围内。</w:t>
      </w:r>
    </w:p>
    <w:p w14:paraId="4B173CEE">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w:t>
      </w:r>
      <w:r>
        <w:rPr>
          <w:rFonts w:hint="eastAsia" w:ascii="宋体" w:hAnsi="宋体" w:eastAsia="宋体" w:cs="宋体"/>
          <w:b/>
          <w:bCs/>
          <w:color w:val="171717"/>
          <w:sz w:val="21"/>
          <w:lang w:val="en-US" w:eastAsia="zh-CN"/>
        </w:rPr>
        <w:t>8</w:t>
      </w:r>
      <w:r>
        <w:rPr>
          <w:rFonts w:hint="eastAsia" w:ascii="宋体" w:hAnsi="宋体" w:eastAsia="宋体" w:cs="宋体"/>
          <w:b/>
          <w:bCs/>
          <w:color w:val="171717"/>
          <w:sz w:val="21"/>
        </w:rPr>
        <w:t>.4.</w:t>
      </w:r>
      <w:r>
        <w:rPr>
          <w:rFonts w:hint="eastAsia" w:ascii="宋体" w:hAnsi="宋体" w:eastAsia="宋体" w:cs="宋体"/>
          <w:b/>
          <w:bCs/>
          <w:color w:val="171717"/>
          <w:sz w:val="21"/>
          <w:lang w:val="en-US" w:eastAsia="zh-CN"/>
        </w:rPr>
        <w:t>18</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3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4"/>
        <w:gridCol w:w="1664"/>
        <w:gridCol w:w="1666"/>
        <w:gridCol w:w="1671"/>
        <w:gridCol w:w="1651"/>
      </w:tblGrid>
      <w:tr w14:paraId="0F56FC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558958EA">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1124FCC6">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530203C2">
            <w:pPr>
              <w:adjustRightInd w:val="0"/>
              <w:snapToGrid w:val="0"/>
              <w:spacing w:line="240" w:lineRule="auto"/>
              <w:ind w:firstLine="0" w:firstLineChars="0"/>
              <w:jc w:val="center"/>
              <w:rPr>
                <w:sz w:val="21"/>
              </w:rPr>
            </w:pPr>
            <w:r>
              <w:rPr>
                <w:sz w:val="21"/>
              </w:rPr>
              <w:t>试验目的</w:t>
            </w:r>
          </w:p>
        </w:tc>
      </w:tr>
      <w:tr w14:paraId="67A6FC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171E9800">
            <w:pPr>
              <w:adjustRightInd w:val="0"/>
              <w:snapToGrid w:val="0"/>
              <w:spacing w:line="240" w:lineRule="auto"/>
              <w:ind w:firstLine="0" w:firstLineChars="0"/>
              <w:jc w:val="center"/>
              <w:rPr>
                <w:sz w:val="21"/>
              </w:rPr>
            </w:pPr>
          </w:p>
        </w:tc>
        <w:tc>
          <w:tcPr>
            <w:tcW w:w="998" w:type="pct"/>
            <w:vAlign w:val="center"/>
          </w:tcPr>
          <w:p w14:paraId="0BB9E689">
            <w:pPr>
              <w:adjustRightInd w:val="0"/>
              <w:snapToGrid w:val="0"/>
              <w:spacing w:line="240" w:lineRule="auto"/>
              <w:ind w:firstLine="0" w:firstLineChars="0"/>
              <w:jc w:val="center"/>
              <w:rPr>
                <w:sz w:val="21"/>
              </w:rPr>
            </w:pPr>
            <w:r>
              <w:rPr>
                <w:sz w:val="21"/>
              </w:rPr>
              <w:t>起升</w:t>
            </w:r>
          </w:p>
        </w:tc>
        <w:tc>
          <w:tcPr>
            <w:tcW w:w="999" w:type="pct"/>
            <w:vAlign w:val="center"/>
          </w:tcPr>
          <w:p w14:paraId="75CDC186">
            <w:pPr>
              <w:adjustRightInd w:val="0"/>
              <w:snapToGrid w:val="0"/>
              <w:spacing w:line="240" w:lineRule="auto"/>
              <w:ind w:firstLine="0" w:firstLineChars="0"/>
              <w:jc w:val="center"/>
              <w:rPr>
                <w:sz w:val="21"/>
              </w:rPr>
            </w:pPr>
            <w:r>
              <w:rPr>
                <w:sz w:val="21"/>
              </w:rPr>
              <w:t>变幅</w:t>
            </w:r>
          </w:p>
        </w:tc>
        <w:tc>
          <w:tcPr>
            <w:tcW w:w="1002" w:type="pct"/>
            <w:vAlign w:val="center"/>
          </w:tcPr>
          <w:p w14:paraId="718634E0">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44A777AD">
            <w:pPr>
              <w:adjustRightInd w:val="0"/>
              <w:snapToGrid w:val="0"/>
              <w:spacing w:line="240" w:lineRule="auto"/>
              <w:ind w:firstLine="0" w:firstLineChars="0"/>
              <w:jc w:val="center"/>
              <w:rPr>
                <w:sz w:val="21"/>
              </w:rPr>
            </w:pPr>
          </w:p>
        </w:tc>
      </w:tr>
      <w:tr w14:paraId="57C128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0C4096E4">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4E95710">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6BDB710">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5724A7C5">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34450AEE">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5B3DF1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283D65C4">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5675E10D">
            <w:pPr>
              <w:adjustRightInd w:val="0"/>
              <w:snapToGrid w:val="0"/>
              <w:spacing w:line="240" w:lineRule="auto"/>
              <w:ind w:firstLine="0" w:firstLineChars="0"/>
              <w:jc w:val="center"/>
              <w:rPr>
                <w:sz w:val="21"/>
              </w:rPr>
            </w:pPr>
          </w:p>
        </w:tc>
        <w:tc>
          <w:tcPr>
            <w:tcW w:w="999" w:type="pct"/>
            <w:vAlign w:val="center"/>
          </w:tcPr>
          <w:p w14:paraId="03478931">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6A66CBA1">
            <w:pPr>
              <w:adjustRightInd w:val="0"/>
              <w:snapToGrid w:val="0"/>
              <w:spacing w:line="240" w:lineRule="auto"/>
              <w:ind w:firstLine="0" w:firstLineChars="0"/>
              <w:jc w:val="center"/>
              <w:rPr>
                <w:sz w:val="21"/>
              </w:rPr>
            </w:pPr>
          </w:p>
        </w:tc>
        <w:tc>
          <w:tcPr>
            <w:tcW w:w="990" w:type="pct"/>
            <w:vMerge w:val="continue"/>
            <w:vAlign w:val="center"/>
          </w:tcPr>
          <w:p w14:paraId="049ECD7D">
            <w:pPr>
              <w:adjustRightInd w:val="0"/>
              <w:snapToGrid w:val="0"/>
              <w:spacing w:line="240" w:lineRule="auto"/>
              <w:ind w:firstLine="0" w:firstLineChars="0"/>
              <w:jc w:val="center"/>
              <w:rPr>
                <w:sz w:val="21"/>
              </w:rPr>
            </w:pPr>
          </w:p>
        </w:tc>
      </w:tr>
    </w:tbl>
    <w:p w14:paraId="7262D0B6">
      <w:pPr>
        <w:ind w:firstLine="560"/>
      </w:pPr>
      <w:r>
        <w:t>具体过程如下：</w:t>
      </w:r>
      <w:r>
        <w:br w:type="textWrapping"/>
      </w:r>
      <w:r>
        <w:rPr>
          <w:rFonts w:hint="eastAsia"/>
          <w:lang w:val="en-US" w:eastAsia="zh-CN"/>
        </w:rPr>
        <w:t>XGT6515-10S</w:t>
      </w:r>
      <w:r>
        <w:rPr>
          <w:rFonts w:hint="eastAsia"/>
        </w:rPr>
        <w:t>塔机：</w:t>
      </w:r>
    </w:p>
    <w:p w14:paraId="53EDBD38">
      <w:pPr>
        <w:ind w:firstLine="480" w:firstLineChars="0"/>
      </w:pPr>
      <w:r>
        <w:t>1.起重力矩定码变幅调整（4倍率）</w:t>
      </w:r>
    </w:p>
    <w:p w14:paraId="6280E4C9">
      <w:pPr>
        <w:ind w:firstLine="480" w:firstLineChars="0"/>
      </w:pPr>
      <w:r>
        <w:t>吊重</w:t>
      </w:r>
      <w:r>
        <w:rPr>
          <w:rFonts w:hint="eastAsia"/>
          <w:lang w:val="en-US" w:eastAsia="zh-CN"/>
        </w:rPr>
        <w:t>10</w:t>
      </w:r>
      <w:r>
        <w:t>t，载重小车以慢速由</w:t>
      </w:r>
      <w:r>
        <w:rPr>
          <w:rFonts w:hint="eastAsia"/>
          <w:lang w:val="en-US" w:eastAsia="zh-CN"/>
        </w:rPr>
        <w:t>15</w:t>
      </w:r>
      <w:r>
        <w:t>m幅度开始向内变幅，使小车在</w:t>
      </w:r>
      <w:r>
        <w:rPr>
          <w:rFonts w:hint="eastAsia"/>
        </w:rPr>
        <w:t>1</w:t>
      </w:r>
      <w:r>
        <w:rPr>
          <w:rFonts w:hint="eastAsia"/>
          <w:lang w:val="en-US" w:eastAsia="zh-CN"/>
        </w:rPr>
        <w:t>5</w:t>
      </w:r>
      <w:r>
        <w:t>m-</w:t>
      </w:r>
      <w:r>
        <w:rPr>
          <w:rFonts w:hint="eastAsia"/>
          <w:lang w:val="en-US" w:eastAsia="zh-CN"/>
        </w:rPr>
        <w:t>13.5</w:t>
      </w:r>
      <w:r>
        <w:t>m处，90%起重力矩开关发挥作用，司机室内预报警灯亮。</w:t>
      </w:r>
    </w:p>
    <w:p w14:paraId="05D5CBE3">
      <w:pPr>
        <w:ind w:firstLine="480" w:firstLineChars="0"/>
      </w:pPr>
      <w:r>
        <w:t>调整定码变幅螺杆，使小车</w:t>
      </w:r>
      <w:r>
        <w:rPr>
          <w:rFonts w:hint="eastAsia"/>
          <w:lang w:val="en-US" w:eastAsia="zh-CN"/>
        </w:rPr>
        <w:t>13.5</w:t>
      </w:r>
      <w:r>
        <w:t>m-</w:t>
      </w:r>
      <w:r>
        <w:rPr>
          <w:rFonts w:hint="eastAsia"/>
        </w:rPr>
        <w:t>1</w:t>
      </w:r>
      <w:r>
        <w:rPr>
          <w:rFonts w:hint="eastAsia"/>
          <w:lang w:val="en-US" w:eastAsia="zh-CN"/>
        </w:rPr>
        <w:t>5</w:t>
      </w:r>
      <w:r>
        <w:t>m处，起升向上、变幅向外断电，同时发出超载警报。</w:t>
      </w:r>
    </w:p>
    <w:p w14:paraId="75FB8746">
      <w:pPr>
        <w:ind w:firstLine="480" w:firstLineChars="0"/>
      </w:pPr>
      <w:r>
        <w:t>2.起重力矩定幅变码调整（4倍率）</w:t>
      </w:r>
    </w:p>
    <w:p w14:paraId="4D817107">
      <w:pPr>
        <w:ind w:firstLine="480" w:firstLineChars="0"/>
      </w:pPr>
      <w:r>
        <w:t>在</w:t>
      </w:r>
      <w:r>
        <w:rPr>
          <w:rFonts w:hint="eastAsia"/>
          <w:lang w:val="en-US" w:eastAsia="zh-CN"/>
        </w:rPr>
        <w:t>65</w:t>
      </w:r>
      <w:r>
        <w:t>m处吊重</w:t>
      </w:r>
      <w:r>
        <w:rPr>
          <w:rFonts w:hint="eastAsia"/>
          <w:lang w:val="en-US" w:eastAsia="zh-CN"/>
        </w:rPr>
        <w:t>1.42</w:t>
      </w:r>
      <w:r>
        <w:t>t，起升机构应能向上起升，之后再加载</w:t>
      </w:r>
      <w:r>
        <w:rPr>
          <w:rFonts w:hint="eastAsia"/>
        </w:rPr>
        <w:t>25</w:t>
      </w:r>
      <w:r>
        <w:t>0kg，调节定幅变码螺杆，使起升不能向上，同时发出超载警报。</w:t>
      </w:r>
    </w:p>
    <w:p w14:paraId="79DA0942">
      <w:pPr>
        <w:ind w:firstLine="480" w:firstLineChars="0"/>
      </w:pPr>
      <w:r>
        <w:t>3.上述动作重复三次，保持功能稳定。</w:t>
      </w:r>
    </w:p>
    <w:p w14:paraId="3CA22283">
      <w:pPr>
        <w:ind w:firstLine="0" w:firstLineChars="0"/>
        <w:rPr>
          <w:b/>
          <w:bCs/>
        </w:rPr>
      </w:pPr>
      <w:r>
        <w:rPr>
          <w:b/>
          <w:bCs/>
        </w:rPr>
        <w:t>110 ％额定载荷动载试验</w:t>
      </w:r>
    </w:p>
    <w:p w14:paraId="3312C70B">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726AC776">
      <w:pPr>
        <w:ind w:firstLine="422"/>
        <w:jc w:val="center"/>
        <w:rPr>
          <w:rFonts w:ascii="宋体" w:hAnsi="宋体" w:eastAsia="宋体" w:cs="宋体"/>
          <w:b w:val="0"/>
          <w:bCs w:val="0"/>
          <w:color w:val="171717"/>
          <w:sz w:val="21"/>
        </w:rPr>
      </w:pPr>
      <w:r>
        <w:rPr>
          <w:rFonts w:hint="eastAsia" w:ascii="宋体" w:hAnsi="宋体" w:eastAsia="宋体" w:cs="宋体"/>
          <w:b/>
          <w:bCs/>
          <w:color w:val="171717"/>
          <w:sz w:val="21"/>
        </w:rPr>
        <w:t>表</w:t>
      </w:r>
      <w:r>
        <w:rPr>
          <w:rFonts w:hint="eastAsia" w:ascii="宋体" w:hAnsi="宋体" w:eastAsia="宋体" w:cs="宋体"/>
          <w:b/>
          <w:bCs/>
          <w:color w:val="171717"/>
          <w:sz w:val="21"/>
          <w:lang w:val="en-US" w:eastAsia="zh-CN"/>
        </w:rPr>
        <w:t>8</w:t>
      </w:r>
      <w:r>
        <w:rPr>
          <w:rFonts w:hint="eastAsia" w:ascii="宋体" w:hAnsi="宋体" w:eastAsia="宋体" w:cs="宋体"/>
          <w:b/>
          <w:bCs/>
          <w:color w:val="171717"/>
          <w:sz w:val="21"/>
        </w:rPr>
        <w:t>.4.</w:t>
      </w:r>
      <w:r>
        <w:rPr>
          <w:rFonts w:hint="eastAsia" w:ascii="宋体" w:hAnsi="宋体" w:eastAsia="宋体" w:cs="宋体"/>
          <w:b/>
          <w:bCs/>
          <w:color w:val="171717"/>
          <w:sz w:val="21"/>
          <w:lang w:val="en-US" w:eastAsia="zh-CN"/>
        </w:rPr>
        <w:t>18</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30"/>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1AE08F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0572EB3D">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24B72FE5">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22B52887">
            <w:pPr>
              <w:adjustRightInd w:val="0"/>
              <w:snapToGrid w:val="0"/>
              <w:spacing w:line="240" w:lineRule="auto"/>
              <w:ind w:firstLine="0" w:firstLineChars="0"/>
              <w:jc w:val="center"/>
              <w:rPr>
                <w:sz w:val="21"/>
              </w:rPr>
            </w:pPr>
            <w:r>
              <w:rPr>
                <w:sz w:val="21"/>
              </w:rPr>
              <w:t>试验目的</w:t>
            </w:r>
          </w:p>
        </w:tc>
      </w:tr>
      <w:tr w14:paraId="4662BF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33F57289">
            <w:pPr>
              <w:adjustRightInd w:val="0"/>
              <w:snapToGrid w:val="0"/>
              <w:spacing w:line="240" w:lineRule="auto"/>
              <w:ind w:firstLine="0" w:firstLineChars="0"/>
              <w:jc w:val="center"/>
              <w:rPr>
                <w:sz w:val="21"/>
              </w:rPr>
            </w:pPr>
          </w:p>
        </w:tc>
        <w:tc>
          <w:tcPr>
            <w:tcW w:w="1202" w:type="dxa"/>
            <w:vAlign w:val="center"/>
          </w:tcPr>
          <w:p w14:paraId="6A37C78F">
            <w:pPr>
              <w:autoSpaceDE w:val="0"/>
              <w:autoSpaceDN w:val="0"/>
              <w:adjustRightInd w:val="0"/>
              <w:snapToGrid w:val="0"/>
              <w:ind w:firstLine="0" w:firstLineChars="0"/>
              <w:jc w:val="center"/>
              <w:rPr>
                <w:sz w:val="21"/>
              </w:rPr>
            </w:pPr>
            <w:r>
              <w:rPr>
                <w:sz w:val="21"/>
              </w:rPr>
              <w:t>起升</w:t>
            </w:r>
          </w:p>
        </w:tc>
        <w:tc>
          <w:tcPr>
            <w:tcW w:w="2001" w:type="dxa"/>
            <w:vAlign w:val="center"/>
          </w:tcPr>
          <w:p w14:paraId="78EFB853">
            <w:pPr>
              <w:autoSpaceDE w:val="0"/>
              <w:autoSpaceDN w:val="0"/>
              <w:adjustRightInd w:val="0"/>
              <w:snapToGrid w:val="0"/>
              <w:ind w:firstLine="0" w:firstLineChars="0"/>
              <w:jc w:val="center"/>
              <w:rPr>
                <w:sz w:val="21"/>
              </w:rPr>
            </w:pPr>
            <w:r>
              <w:rPr>
                <w:sz w:val="21"/>
              </w:rPr>
              <w:t>小车变幅</w:t>
            </w:r>
          </w:p>
        </w:tc>
        <w:tc>
          <w:tcPr>
            <w:tcW w:w="1462" w:type="dxa"/>
            <w:vAlign w:val="center"/>
          </w:tcPr>
          <w:p w14:paraId="1F7F4044">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6FD12AC5">
            <w:pPr>
              <w:adjustRightInd w:val="0"/>
              <w:snapToGrid w:val="0"/>
              <w:spacing w:line="240" w:lineRule="auto"/>
              <w:ind w:firstLine="0" w:firstLineChars="0"/>
              <w:jc w:val="center"/>
              <w:rPr>
                <w:sz w:val="21"/>
              </w:rPr>
            </w:pPr>
          </w:p>
        </w:tc>
      </w:tr>
      <w:tr w14:paraId="63724E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55465185">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05B2321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20383682">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78FDBC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4EEAD11">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3BB6CE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332FD3DF">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4CDFF2D2">
            <w:pPr>
              <w:adjustRightInd w:val="0"/>
              <w:snapToGrid w:val="0"/>
              <w:spacing w:line="240" w:lineRule="auto"/>
              <w:ind w:firstLine="0" w:firstLineChars="0"/>
              <w:jc w:val="center"/>
              <w:rPr>
                <w:sz w:val="21"/>
              </w:rPr>
            </w:pPr>
          </w:p>
        </w:tc>
        <w:tc>
          <w:tcPr>
            <w:tcW w:w="2001" w:type="dxa"/>
            <w:vMerge w:val="restart"/>
            <w:vAlign w:val="center"/>
          </w:tcPr>
          <w:p w14:paraId="46732FD7">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4BFF24DF">
            <w:pPr>
              <w:adjustRightInd w:val="0"/>
              <w:snapToGrid w:val="0"/>
              <w:spacing w:line="240" w:lineRule="auto"/>
              <w:ind w:firstLine="0" w:firstLineChars="0"/>
              <w:jc w:val="center"/>
              <w:rPr>
                <w:sz w:val="21"/>
              </w:rPr>
            </w:pPr>
          </w:p>
        </w:tc>
        <w:tc>
          <w:tcPr>
            <w:tcW w:w="1716" w:type="dxa"/>
            <w:vMerge w:val="continue"/>
            <w:vAlign w:val="center"/>
          </w:tcPr>
          <w:p w14:paraId="163649B8">
            <w:pPr>
              <w:adjustRightInd w:val="0"/>
              <w:snapToGrid w:val="0"/>
              <w:spacing w:line="240" w:lineRule="auto"/>
              <w:ind w:firstLine="0" w:firstLineChars="0"/>
              <w:jc w:val="center"/>
              <w:rPr>
                <w:sz w:val="21"/>
              </w:rPr>
            </w:pPr>
          </w:p>
        </w:tc>
      </w:tr>
      <w:tr w14:paraId="150AEB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F2FB41F">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141DFEE7">
            <w:pPr>
              <w:adjustRightInd w:val="0"/>
              <w:snapToGrid w:val="0"/>
              <w:spacing w:line="240" w:lineRule="auto"/>
              <w:ind w:firstLine="0" w:firstLineChars="0"/>
              <w:jc w:val="center"/>
              <w:rPr>
                <w:sz w:val="21"/>
              </w:rPr>
            </w:pPr>
          </w:p>
        </w:tc>
        <w:tc>
          <w:tcPr>
            <w:tcW w:w="2001" w:type="dxa"/>
            <w:vMerge w:val="continue"/>
            <w:vAlign w:val="center"/>
          </w:tcPr>
          <w:p w14:paraId="5DC89E49">
            <w:pPr>
              <w:adjustRightInd w:val="0"/>
              <w:snapToGrid w:val="0"/>
              <w:spacing w:line="240" w:lineRule="auto"/>
              <w:ind w:firstLine="0" w:firstLineChars="0"/>
              <w:jc w:val="center"/>
              <w:rPr>
                <w:sz w:val="21"/>
              </w:rPr>
            </w:pPr>
          </w:p>
        </w:tc>
        <w:tc>
          <w:tcPr>
            <w:tcW w:w="1462" w:type="dxa"/>
            <w:vMerge w:val="continue"/>
            <w:vAlign w:val="center"/>
          </w:tcPr>
          <w:p w14:paraId="746D4376">
            <w:pPr>
              <w:adjustRightInd w:val="0"/>
              <w:snapToGrid w:val="0"/>
              <w:spacing w:line="240" w:lineRule="auto"/>
              <w:ind w:firstLine="0" w:firstLineChars="0"/>
              <w:jc w:val="center"/>
              <w:rPr>
                <w:sz w:val="21"/>
              </w:rPr>
            </w:pPr>
          </w:p>
        </w:tc>
        <w:tc>
          <w:tcPr>
            <w:tcW w:w="1716" w:type="dxa"/>
            <w:vMerge w:val="continue"/>
            <w:vAlign w:val="center"/>
          </w:tcPr>
          <w:p w14:paraId="1EC20A1E">
            <w:pPr>
              <w:adjustRightInd w:val="0"/>
              <w:snapToGrid w:val="0"/>
              <w:spacing w:line="240" w:lineRule="auto"/>
              <w:ind w:firstLine="0" w:firstLineChars="0"/>
              <w:jc w:val="center"/>
              <w:rPr>
                <w:sz w:val="21"/>
              </w:rPr>
            </w:pPr>
          </w:p>
        </w:tc>
      </w:tr>
    </w:tbl>
    <w:p w14:paraId="5EF1D0F9">
      <w:pPr>
        <w:ind w:firstLine="560"/>
      </w:pPr>
      <w:r>
        <w:t>具体过程如下：</w:t>
      </w:r>
    </w:p>
    <w:p w14:paraId="7DEABECA">
      <w:pPr>
        <w:ind w:firstLine="0" w:firstLineChars="0"/>
      </w:pPr>
      <w:r>
        <w:rPr>
          <w:rFonts w:hint="eastAsia"/>
          <w:lang w:val="en-US" w:eastAsia="zh-CN"/>
        </w:rPr>
        <w:t>XGT6515-10S</w:t>
      </w:r>
      <w:r>
        <w:rPr>
          <w:rFonts w:hint="eastAsia"/>
        </w:rPr>
        <w:t>塔机：</w:t>
      </w:r>
    </w:p>
    <w:p w14:paraId="31A63F86">
      <w:pPr>
        <w:ind w:firstLine="560"/>
      </w:pPr>
      <w:r>
        <w:t>工况1：最大幅度相应额定起重量的110%（4倍率）</w:t>
      </w:r>
    </w:p>
    <w:p w14:paraId="51DFC022">
      <w:pPr>
        <w:ind w:firstLine="560"/>
      </w:pPr>
      <w:r>
        <w:t>起重量为G</w:t>
      </w:r>
      <w:r>
        <w:rPr>
          <w:rFonts w:hint="eastAsia"/>
        </w:rPr>
        <w:t>=</w:t>
      </w:r>
      <w:r>
        <w:rPr>
          <w:rFonts w:hint="eastAsia"/>
          <w:lang w:val="en-US" w:eastAsia="zh-CN"/>
        </w:rPr>
        <w:t>1.562t</w:t>
      </w:r>
      <w:r>
        <w:t>；</w:t>
      </w:r>
    </w:p>
    <w:p w14:paraId="0FDACAFF">
      <w:pPr>
        <w:ind w:firstLine="560"/>
      </w:pPr>
      <w:r>
        <w:t>将100%重量限制、100%力矩限制继电器临时短接屏蔽，缓慢起钩，离地20cm,检查各构件，确保无误后从</w:t>
      </w:r>
      <w:r>
        <w:rPr>
          <w:rFonts w:hint="eastAsia"/>
          <w:lang w:val="en-US" w:eastAsia="zh-CN"/>
        </w:rPr>
        <w:t>65</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7AA48AA">
      <w:pPr>
        <w:ind w:firstLine="560"/>
      </w:pPr>
      <w:r>
        <w:t>试验完毕恢复起重量限制器与力矩限制器。</w:t>
      </w:r>
    </w:p>
    <w:p w14:paraId="3AB28C28">
      <w:pPr>
        <w:ind w:firstLine="560"/>
      </w:pPr>
      <w:r>
        <w:t>工况2：起吊最大额定起重量的110%，在该吊重相应的最大幅度时（4倍率）</w:t>
      </w:r>
    </w:p>
    <w:p w14:paraId="6EB7B1AC">
      <w:pPr>
        <w:ind w:firstLine="560"/>
      </w:pPr>
      <w:r>
        <w:t>起重量为G=</w:t>
      </w:r>
      <w:r>
        <w:rPr>
          <w:rFonts w:hint="eastAsia"/>
          <w:lang w:val="en-US" w:eastAsia="zh-CN"/>
        </w:rPr>
        <w:t>11</w:t>
      </w:r>
      <w:r>
        <w:t>t</w:t>
      </w:r>
    </w:p>
    <w:p w14:paraId="1827F6D8">
      <w:pPr>
        <w:ind w:firstLine="560"/>
      </w:pPr>
      <w:r>
        <w:t>将100%重量限制、100%力矩限制继电器临时短接屏蔽，缓慢起钩，离地</w:t>
      </w:r>
      <w:r>
        <w:rPr>
          <w:rFonts w:hint="eastAsia"/>
        </w:rPr>
        <w:t>15.8</w:t>
      </w:r>
      <w:r>
        <w:t>cm,检查各构件，确保无误后在从</w:t>
      </w:r>
      <w:r>
        <w:rPr>
          <w:rFonts w:hint="eastAsia"/>
          <w:lang w:val="en-US" w:eastAsia="zh-CN"/>
        </w:rPr>
        <w:t>15</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0356A8D">
      <w:pPr>
        <w:ind w:firstLine="560"/>
      </w:pPr>
      <w:r>
        <w:t>试验完毕恢复起重量限制器与力矩限制器。</w:t>
      </w:r>
    </w:p>
    <w:p w14:paraId="2C4571E6">
      <w:pPr>
        <w:ind w:firstLine="560"/>
      </w:pPr>
      <w:r>
        <w:t>工况3：在上两个幅度的中间幅度处，相应额定起重量的110%，这里取</w:t>
      </w:r>
      <w:r>
        <w:rPr>
          <w:rFonts w:hint="eastAsia"/>
          <w:lang w:val="en-US" w:eastAsia="zh-CN"/>
        </w:rPr>
        <w:t>30</w:t>
      </w:r>
      <w:r>
        <w:t>米幅度（4倍率额定起重量</w:t>
      </w:r>
      <w:r>
        <w:rPr>
          <w:rFonts w:hint="eastAsia"/>
          <w:lang w:val="en-US" w:eastAsia="zh-CN"/>
        </w:rPr>
        <w:t>4.379</w:t>
      </w:r>
      <w:r>
        <w:t>t）起重量为G=</w:t>
      </w:r>
      <w:r>
        <w:rPr>
          <w:rFonts w:hint="eastAsia"/>
          <w:lang w:val="en-US" w:eastAsia="zh-CN"/>
        </w:rPr>
        <w:t>4.8169</w:t>
      </w:r>
      <w:r>
        <w:t>t；</w:t>
      </w:r>
    </w:p>
    <w:p w14:paraId="7F2F53C0">
      <w:pPr>
        <w:spacing w:before="29" w:line="360" w:lineRule="auto"/>
        <w:ind w:right="159" w:firstLine="240" w:firstLineChars="100"/>
      </w:pPr>
      <w:r>
        <w:t>将100%重量限制、100%力矩限制继电器临时短接屏蔽，缓慢起钩，离地20cm,检查各构件，确保无误后从</w:t>
      </w:r>
      <w:r>
        <w:rPr>
          <w:rFonts w:hint="eastAsia"/>
          <w:lang w:val="en-US" w:eastAsia="zh-CN"/>
        </w:rPr>
        <w:t>30</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55ACECBA">
      <w:pPr>
        <w:ind w:firstLine="0" w:firstLineChars="0"/>
        <w:rPr>
          <w:b/>
          <w:bCs/>
        </w:rPr>
      </w:pPr>
      <w:bookmarkStart w:id="60" w:name="_Toc25574"/>
      <w:bookmarkStart w:id="61" w:name="_Toc20814"/>
      <w:r>
        <w:rPr>
          <w:b/>
          <w:bCs/>
        </w:rPr>
        <w:t>125%额定载荷静载试验</w:t>
      </w:r>
      <w:bookmarkEnd w:id="60"/>
      <w:bookmarkEnd w:id="61"/>
    </w:p>
    <w:p w14:paraId="66027EB3">
      <w:pPr>
        <w:ind w:firstLine="560"/>
      </w:pPr>
      <w:r>
        <w:t>125%额定载荷静载试验按照下表进行，试验时臂架分别位于与塔身成0°和45°两个方位</w:t>
      </w:r>
    </w:p>
    <w:tbl>
      <w:tblPr>
        <w:tblStyle w:val="30"/>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551BBA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08C37EC9">
            <w:pPr>
              <w:ind w:firstLine="0" w:firstLineChars="0"/>
              <w:jc w:val="center"/>
              <w:rPr>
                <w:sz w:val="24"/>
                <w:szCs w:val="24"/>
              </w:rPr>
            </w:pPr>
            <w:r>
              <w:rPr>
                <w:sz w:val="24"/>
                <w:szCs w:val="24"/>
              </w:rPr>
              <w:t>工况</w:t>
            </w:r>
          </w:p>
        </w:tc>
        <w:tc>
          <w:tcPr>
            <w:tcW w:w="2751" w:type="dxa"/>
            <w:noWrap/>
            <w:vAlign w:val="center"/>
          </w:tcPr>
          <w:p w14:paraId="4EE38BC2">
            <w:pPr>
              <w:ind w:firstLine="0" w:firstLineChars="0"/>
              <w:jc w:val="center"/>
              <w:rPr>
                <w:sz w:val="24"/>
                <w:szCs w:val="24"/>
              </w:rPr>
            </w:pPr>
            <w:r>
              <w:rPr>
                <w:sz w:val="24"/>
                <w:szCs w:val="24"/>
              </w:rPr>
              <w:t>试验方法</w:t>
            </w:r>
          </w:p>
        </w:tc>
        <w:tc>
          <w:tcPr>
            <w:tcW w:w="3252" w:type="dxa"/>
            <w:noWrap/>
            <w:vAlign w:val="center"/>
          </w:tcPr>
          <w:p w14:paraId="0A7567CC">
            <w:pPr>
              <w:ind w:firstLine="0" w:firstLineChars="0"/>
              <w:jc w:val="center"/>
              <w:rPr>
                <w:sz w:val="24"/>
                <w:szCs w:val="24"/>
              </w:rPr>
            </w:pPr>
            <w:r>
              <w:rPr>
                <w:sz w:val="24"/>
                <w:szCs w:val="24"/>
              </w:rPr>
              <w:t>试验目的</w:t>
            </w:r>
          </w:p>
        </w:tc>
      </w:tr>
      <w:tr w14:paraId="7E27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23C22B9D">
            <w:pPr>
              <w:ind w:firstLine="0" w:firstLineChars="0"/>
              <w:jc w:val="center"/>
              <w:rPr>
                <w:sz w:val="24"/>
                <w:szCs w:val="24"/>
              </w:rPr>
            </w:pPr>
            <w:r>
              <w:rPr>
                <w:sz w:val="24"/>
                <w:szCs w:val="24"/>
              </w:rPr>
              <w:t>吊重</w:t>
            </w:r>
            <w:r>
              <w:rPr>
                <w:rFonts w:hint="eastAsia"/>
                <w:sz w:val="24"/>
                <w:szCs w:val="24"/>
                <w:lang w:val="en-US" w:eastAsia="zh-CN"/>
              </w:rPr>
              <w:t>1.42</w:t>
            </w:r>
            <w:r>
              <w:rPr>
                <w:sz w:val="24"/>
                <w:szCs w:val="24"/>
              </w:rPr>
              <w:t>t×125%=</w:t>
            </w:r>
            <w:r>
              <w:rPr>
                <w:rFonts w:hint="eastAsia"/>
                <w:sz w:val="24"/>
                <w:szCs w:val="24"/>
                <w:lang w:val="en-US" w:eastAsia="zh-CN"/>
              </w:rPr>
              <w:t>1.775</w:t>
            </w:r>
            <w:r>
              <w:rPr>
                <w:sz w:val="24"/>
                <w:szCs w:val="24"/>
              </w:rPr>
              <w:t>t，工作幅度</w:t>
            </w:r>
            <w:r>
              <w:rPr>
                <w:rFonts w:hint="eastAsia"/>
                <w:sz w:val="24"/>
                <w:szCs w:val="24"/>
                <w:lang w:val="en-US" w:eastAsia="zh-CN"/>
              </w:rPr>
              <w:t>65</w:t>
            </w:r>
            <w:r>
              <w:rPr>
                <w:sz w:val="24"/>
                <w:szCs w:val="24"/>
              </w:rPr>
              <w:t>m</w:t>
            </w:r>
          </w:p>
        </w:tc>
        <w:tc>
          <w:tcPr>
            <w:tcW w:w="2751" w:type="dxa"/>
            <w:vMerge w:val="restart"/>
            <w:noWrap/>
            <w:vAlign w:val="center"/>
          </w:tcPr>
          <w:p w14:paraId="6B0FE2A6">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5B76F87C">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6A991C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vAlign w:val="center"/>
          </w:tcPr>
          <w:p w14:paraId="4CC20BE5">
            <w:pPr>
              <w:ind w:firstLine="0" w:firstLineChars="0"/>
              <w:jc w:val="center"/>
              <w:rPr>
                <w:sz w:val="24"/>
                <w:szCs w:val="24"/>
              </w:rPr>
            </w:pPr>
            <w:r>
              <w:rPr>
                <w:sz w:val="24"/>
                <w:szCs w:val="24"/>
              </w:rPr>
              <w:t>吊重</w:t>
            </w:r>
            <w:r>
              <w:rPr>
                <w:rFonts w:hint="eastAsia"/>
                <w:sz w:val="24"/>
                <w:szCs w:val="24"/>
                <w:lang w:val="en-US" w:eastAsia="zh-CN"/>
              </w:rPr>
              <w:t>10</w:t>
            </w:r>
            <w:r>
              <w:rPr>
                <w:sz w:val="24"/>
                <w:szCs w:val="24"/>
              </w:rPr>
              <w:t>t×125%=</w:t>
            </w:r>
            <w:r>
              <w:rPr>
                <w:rFonts w:hint="eastAsia"/>
                <w:sz w:val="24"/>
                <w:szCs w:val="24"/>
                <w:lang w:val="en-US" w:eastAsia="zh-CN"/>
              </w:rPr>
              <w:t>12.5</w:t>
            </w:r>
            <w:r>
              <w:rPr>
                <w:sz w:val="24"/>
                <w:szCs w:val="24"/>
              </w:rPr>
              <w:t>t，工作幅度</w:t>
            </w:r>
            <w:r>
              <w:rPr>
                <w:rFonts w:hint="eastAsia"/>
                <w:sz w:val="24"/>
                <w:szCs w:val="24"/>
                <w:lang w:val="en-US" w:eastAsia="zh-CN"/>
              </w:rPr>
              <w:t>15</w:t>
            </w:r>
            <w:r>
              <w:rPr>
                <w:sz w:val="24"/>
                <w:szCs w:val="24"/>
              </w:rPr>
              <w:t>m</w:t>
            </w:r>
          </w:p>
        </w:tc>
        <w:tc>
          <w:tcPr>
            <w:tcW w:w="2751" w:type="dxa"/>
            <w:vMerge w:val="continue"/>
            <w:noWrap/>
            <w:vAlign w:val="center"/>
          </w:tcPr>
          <w:p w14:paraId="4B4F3AD0">
            <w:pPr>
              <w:ind w:firstLine="0" w:firstLineChars="0"/>
              <w:jc w:val="center"/>
              <w:rPr>
                <w:sz w:val="24"/>
                <w:szCs w:val="24"/>
              </w:rPr>
            </w:pPr>
          </w:p>
        </w:tc>
        <w:tc>
          <w:tcPr>
            <w:tcW w:w="3252" w:type="dxa"/>
            <w:vMerge w:val="continue"/>
            <w:noWrap/>
            <w:vAlign w:val="center"/>
          </w:tcPr>
          <w:p w14:paraId="3990299C">
            <w:pPr>
              <w:ind w:firstLine="0" w:firstLineChars="0"/>
              <w:jc w:val="center"/>
              <w:rPr>
                <w:sz w:val="24"/>
                <w:szCs w:val="24"/>
              </w:rPr>
            </w:pPr>
          </w:p>
        </w:tc>
      </w:tr>
      <w:tr w14:paraId="4104C5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vAlign w:val="center"/>
          </w:tcPr>
          <w:p w14:paraId="0EED7B2E">
            <w:pPr>
              <w:ind w:firstLine="0" w:firstLineChars="0"/>
              <w:jc w:val="center"/>
              <w:rPr>
                <w:sz w:val="24"/>
                <w:szCs w:val="24"/>
              </w:rPr>
            </w:pPr>
            <w:r>
              <w:rPr>
                <w:sz w:val="24"/>
                <w:szCs w:val="24"/>
              </w:rPr>
              <w:t>吊重</w:t>
            </w:r>
            <w:r>
              <w:rPr>
                <w:rFonts w:hint="eastAsia"/>
                <w:sz w:val="24"/>
                <w:szCs w:val="24"/>
                <w:lang w:val="en-US" w:eastAsia="zh-CN"/>
              </w:rPr>
              <w:t>4.379</w:t>
            </w:r>
            <w:r>
              <w:rPr>
                <w:sz w:val="24"/>
                <w:szCs w:val="24"/>
              </w:rPr>
              <w:t>t×125%=</w:t>
            </w:r>
            <w:r>
              <w:rPr>
                <w:rFonts w:hint="eastAsia"/>
                <w:sz w:val="24"/>
                <w:szCs w:val="24"/>
                <w:lang w:val="en-US" w:eastAsia="zh-CN"/>
              </w:rPr>
              <w:t>5.47375t</w:t>
            </w:r>
            <w:r>
              <w:rPr>
                <w:sz w:val="24"/>
                <w:szCs w:val="24"/>
              </w:rPr>
              <w:t>，工作幅度</w:t>
            </w:r>
            <w:r>
              <w:rPr>
                <w:rFonts w:hint="eastAsia"/>
                <w:sz w:val="24"/>
                <w:szCs w:val="24"/>
                <w:lang w:val="en-US" w:eastAsia="zh-CN"/>
              </w:rPr>
              <w:t>30</w:t>
            </w:r>
            <w:r>
              <w:rPr>
                <w:sz w:val="24"/>
                <w:szCs w:val="24"/>
              </w:rPr>
              <w:t>m</w:t>
            </w:r>
          </w:p>
        </w:tc>
        <w:tc>
          <w:tcPr>
            <w:tcW w:w="2751" w:type="dxa"/>
            <w:vMerge w:val="continue"/>
            <w:noWrap/>
            <w:vAlign w:val="center"/>
          </w:tcPr>
          <w:p w14:paraId="479B49E2">
            <w:pPr>
              <w:ind w:firstLine="0" w:firstLineChars="0"/>
              <w:jc w:val="center"/>
              <w:rPr>
                <w:sz w:val="24"/>
                <w:szCs w:val="24"/>
              </w:rPr>
            </w:pPr>
          </w:p>
        </w:tc>
        <w:tc>
          <w:tcPr>
            <w:tcW w:w="3252" w:type="dxa"/>
            <w:vMerge w:val="continue"/>
            <w:noWrap/>
            <w:vAlign w:val="center"/>
          </w:tcPr>
          <w:p w14:paraId="2B6E4975">
            <w:pPr>
              <w:ind w:firstLine="0" w:firstLineChars="0"/>
              <w:jc w:val="center"/>
              <w:rPr>
                <w:sz w:val="24"/>
                <w:szCs w:val="24"/>
              </w:rPr>
            </w:pPr>
          </w:p>
        </w:tc>
      </w:tr>
    </w:tbl>
    <w:p w14:paraId="74CFA960">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r>
        <w:rPr>
          <w:rFonts w:hint="eastAsia" w:ascii="宋体" w:hAnsi="宋体" w:eastAsia="宋体" w:cs="Times New Roman"/>
          <w:b/>
          <w:bCs/>
          <w:lang w:val="en-US" w:eastAsia="zh-CN"/>
        </w:rPr>
        <w:t>自检、检测取证、交付使用</w:t>
      </w:r>
    </w:p>
    <w:p w14:paraId="3DABE96B">
      <w:pPr>
        <w:ind w:firstLine="480"/>
        <w:rPr>
          <w:rFonts w:hint="eastAsia" w:ascii="Times New Roman" w:hAnsi="Times New Roman"/>
          <w:lang w:val="en-US" w:eastAsia="zh-CN"/>
        </w:rPr>
      </w:pPr>
      <w:r>
        <w:rPr>
          <w:rFonts w:hint="eastAsia" w:ascii="Times New Roman" w:hAnsi="Times New Roman"/>
          <w:lang w:val="en-US" w:eastAsia="zh-CN"/>
        </w:rPr>
        <w:t xml:space="preserve">安装完毕后，在自检合格的基础上，组织项目部、监理单位进行联合验收，同时报安装当地市场监督管理局进行验收，验收合格后，整理好合格证、使用说明书、监督检验报告、使用登记证等相关资料交付使用单位，以备后续检查使用。 </w:t>
      </w:r>
    </w:p>
    <w:p w14:paraId="395EF406">
      <w:pPr>
        <w:pStyle w:val="6"/>
        <w:keepNext/>
        <w:keepLines/>
        <w:pageBreakBefore w:val="0"/>
        <w:widowControl w:val="0"/>
        <w:numPr>
          <w:ilvl w:val="0"/>
          <w:numId w:val="36"/>
        </w:numPr>
        <w:tabs>
          <w:tab w:val="left" w:pos="936"/>
        </w:tabs>
        <w:kinsoku/>
        <w:wordWrap/>
        <w:overflowPunct/>
        <w:topLinePunct w:val="0"/>
        <w:autoSpaceDE/>
        <w:autoSpaceDN/>
        <w:bidi w:val="0"/>
        <w:adjustRightInd/>
        <w:snapToGrid/>
        <w:ind w:left="0" w:leftChars="0" w:firstLine="0" w:firstLineChars="0"/>
        <w:textAlignment w:val="auto"/>
        <w:outlineLvl w:val="2"/>
        <w:rPr>
          <w:rFonts w:hint="eastAsia" w:ascii="宋体" w:hAnsi="宋体" w:eastAsia="宋体" w:cs="Times New Roman"/>
          <w:b/>
          <w:bCs/>
          <w:lang w:val="en-US" w:eastAsia="zh-CN"/>
        </w:rPr>
      </w:pPr>
      <w:bookmarkStart w:id="62" w:name="_Toc19835"/>
      <w:bookmarkEnd w:id="62"/>
      <w:bookmarkStart w:id="63" w:name="_Toc22253"/>
      <w:bookmarkEnd w:id="63"/>
      <w:bookmarkStart w:id="64" w:name="_Toc31704"/>
      <w:bookmarkEnd w:id="64"/>
      <w:bookmarkStart w:id="65" w:name="_Toc10705"/>
      <w:bookmarkStart w:id="66" w:name="_Toc27222"/>
      <w:r>
        <w:rPr>
          <w:rFonts w:hint="eastAsia" w:ascii="宋体" w:hAnsi="宋体" w:eastAsia="宋体" w:cs="Times New Roman"/>
          <w:b/>
          <w:bCs/>
          <w:lang w:val="en-US" w:eastAsia="zh-CN"/>
        </w:rPr>
        <w:t>顶升加节</w:t>
      </w:r>
    </w:p>
    <w:bookmarkEnd w:id="65"/>
    <w:bookmarkEnd w:id="66"/>
    <w:p w14:paraId="12176B01">
      <w:pPr>
        <w:ind w:firstLine="480"/>
        <w:rPr>
          <w:rFonts w:hint="eastAsia" w:ascii="Times New Roman" w:hAnsi="Times New Roman"/>
          <w:lang w:val="en-US" w:eastAsia="zh-CN"/>
        </w:rPr>
      </w:pPr>
      <w:r>
        <w:rPr>
          <w:rFonts w:hint="eastAsia" w:ascii="Times New Roman" w:hAnsi="Times New Roman"/>
          <w:lang w:val="en-US" w:eastAsia="zh-CN"/>
        </w:rPr>
        <w:t>根据现场施工需求，塔机最高高度为</w:t>
      </w:r>
      <w:r>
        <w:rPr>
          <w:rFonts w:hint="eastAsia"/>
          <w:lang w:val="en-US" w:eastAsia="zh-CN"/>
        </w:rPr>
        <w:t>36.2</w:t>
      </w:r>
      <w:r>
        <w:rPr>
          <w:rFonts w:hint="eastAsia" w:ascii="Times New Roman" w:hAnsi="Times New Roman"/>
          <w:lang w:val="en-US" w:eastAsia="zh-CN"/>
        </w:rPr>
        <w:t>m，根据</w:t>
      </w:r>
      <w:r>
        <w:rPr>
          <w:rFonts w:hint="eastAsia" w:asciiTheme="minorEastAsia" w:hAnsiTheme="minorEastAsia" w:cstheme="minorEastAsia"/>
          <w:szCs w:val="24"/>
          <w:lang w:val="en-US" w:eastAsia="zh-CN"/>
        </w:rPr>
        <w:t>第三章节</w:t>
      </w:r>
      <w:r>
        <w:rPr>
          <w:rFonts w:hint="eastAsia"/>
          <w:lang w:val="en-US" w:eastAsia="zh-CN"/>
        </w:rPr>
        <w:t>塔机</w:t>
      </w:r>
      <w:r>
        <w:rPr>
          <w:rFonts w:hint="eastAsia" w:ascii="Times New Roman" w:hAnsi="Times New Roman"/>
          <w:lang w:val="en-US" w:eastAsia="zh-CN"/>
        </w:rPr>
        <w:t>安装正视、俯视图依次进行顶升，以达到群塔高低错塔作业以确保现场施工安全性。</w:t>
      </w:r>
      <w:r>
        <w:rPr>
          <w:rFonts w:hint="eastAsia"/>
          <w:lang w:val="en-US" w:eastAsia="zh-CN"/>
        </w:rPr>
        <w:t>塔机</w:t>
      </w:r>
      <w:r>
        <w:rPr>
          <w:rFonts w:hint="eastAsia" w:ascii="Times New Roman" w:hAnsi="Times New Roman"/>
          <w:lang w:val="en-US" w:eastAsia="zh-CN"/>
        </w:rPr>
        <w:t>顶升加节前，首先应进行顶升交底和操作人员技能培训，待顶升操作人员清晰其工作界面后，方可开始顶升。</w:t>
      </w:r>
    </w:p>
    <w:p w14:paraId="00A78ADD">
      <w:pPr>
        <w:pageBreakBefore w:val="0"/>
        <w:numPr>
          <w:ilvl w:val="0"/>
          <w:numId w:val="39"/>
        </w:numPr>
        <w:kinsoku/>
        <w:overflowPunct/>
        <w:topLinePunct w:val="0"/>
        <w:bidi w:val="0"/>
        <w:spacing w:beforeAutospacing="0" w:afterAutospacing="0" w:line="240" w:lineRule="auto"/>
        <w:ind w:firstLine="480"/>
        <w:outlineLvl w:val="9"/>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顶升前的准备工作</w:t>
      </w:r>
    </w:p>
    <w:p w14:paraId="39550F5D">
      <w:pPr>
        <w:ind w:firstLine="480"/>
        <w:rPr>
          <w:rFonts w:hint="eastAsia" w:ascii="Times New Roman" w:hAnsi="Times New Roman"/>
          <w:lang w:val="en-US" w:eastAsia="zh-CN"/>
        </w:rPr>
      </w:pPr>
      <w:r>
        <w:rPr>
          <w:rFonts w:hint="eastAsia" w:ascii="Times New Roman" w:hAnsi="Times New Roman"/>
          <w:lang w:val="en-US" w:eastAsia="zh-CN"/>
        </w:rPr>
        <w:t>1、按液压泵站要求给其油箱加油，顶升横梁防脱装置的销轴退出踏步的圆孔。</w:t>
      </w:r>
    </w:p>
    <w:p w14:paraId="369BC32F">
      <w:pPr>
        <w:ind w:firstLine="480"/>
        <w:rPr>
          <w:rFonts w:hint="eastAsia" w:ascii="Times New Roman" w:hAnsi="Times New Roman"/>
          <w:lang w:val="en-US" w:eastAsia="zh-CN"/>
        </w:rPr>
      </w:pPr>
      <w:r>
        <w:rPr>
          <w:rFonts w:hint="eastAsia" w:ascii="Times New Roman" w:hAnsi="Times New Roman"/>
          <w:lang w:val="en-US" w:eastAsia="zh-CN"/>
        </w:rPr>
        <w:t>2、清理好各个塔身节，在塔身节连接套内涂上黄油，将待顶升加高用的标准节在顶升位置时的起重臂下排成一排，这样能使塔机在整个顶升加节过程中不用回转机构，能使顶升加节过程所用时间最短。</w:t>
      </w:r>
    </w:p>
    <w:p w14:paraId="196B0071">
      <w:pPr>
        <w:ind w:firstLine="480"/>
        <w:rPr>
          <w:rFonts w:hint="eastAsia" w:ascii="Times New Roman" w:hAnsi="Times New Roman"/>
          <w:lang w:val="en-US" w:eastAsia="zh-CN"/>
        </w:rPr>
      </w:pPr>
      <w:r>
        <w:rPr>
          <w:rFonts w:hint="eastAsia" w:ascii="Times New Roman" w:hAnsi="Times New Roman"/>
          <w:lang w:val="en-US" w:eastAsia="zh-CN"/>
        </w:rPr>
        <w:t>3、放松电缆长度略大于总的顶升高度，并紧固好电缆。将起重臂旋转至爬升架前方，平衡臂处于爬升架的后方（顶升油缸必须位于平衡臂下方）爬升架平台上准备好塔身高强度销轴。</w:t>
      </w:r>
    </w:p>
    <w:p w14:paraId="75DC792D">
      <w:pPr>
        <w:ind w:firstLine="480"/>
        <w:rPr>
          <w:rFonts w:hint="eastAsia" w:ascii="Times New Roman" w:hAnsi="Times New Roman"/>
          <w:lang w:val="en-US" w:eastAsia="zh-CN"/>
        </w:rPr>
      </w:pPr>
      <w:r>
        <w:rPr>
          <w:rFonts w:hint="eastAsia" w:ascii="Times New Roman" w:hAnsi="Times New Roman"/>
          <w:lang w:val="en-US" w:eastAsia="zh-CN"/>
        </w:rPr>
        <w:t>4、检查、调试并确认顶升机构工作正确、可靠，保证爬升架能按塔机爬升规定的程序上升、下降、可靠停止；运行过程中应平稳，无爬行、振动现象。检查爬升架支承系统，确保各部分运动灵活，承重可靠。液压顶升机构应保证安全，溢流阀的调整压力不得大于系统额定工作压力110%。</w:t>
      </w:r>
    </w:p>
    <w:p w14:paraId="7827A623">
      <w:pPr>
        <w:ind w:firstLine="480"/>
        <w:rPr>
          <w:rFonts w:hint="eastAsia" w:ascii="Times New Roman" w:hAnsi="Times New Roman"/>
          <w:lang w:val="en-US" w:eastAsia="zh-CN"/>
        </w:rPr>
      </w:pPr>
      <w:r>
        <w:rPr>
          <w:rFonts w:hint="eastAsia" w:ascii="Times New Roman" w:hAnsi="Times New Roman"/>
          <w:lang w:val="en-US" w:eastAsia="zh-CN"/>
        </w:rPr>
        <w:t xml:space="preserve">操作顺序如下述； </w:t>
      </w:r>
    </w:p>
    <w:p w14:paraId="0138B707">
      <w:pPr>
        <w:pageBreakBefore w:val="0"/>
        <w:numPr>
          <w:ilvl w:val="0"/>
          <w:numId w:val="39"/>
        </w:numPr>
        <w:kinsoku/>
        <w:overflowPunct/>
        <w:topLinePunct w:val="0"/>
        <w:bidi w:val="0"/>
        <w:spacing w:beforeAutospacing="0" w:afterAutospacing="0" w:line="240" w:lineRule="auto"/>
        <w:ind w:firstLine="480"/>
        <w:outlineLvl w:val="9"/>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顶升时的配平</w:t>
      </w:r>
    </w:p>
    <w:p w14:paraId="2BF4099F">
      <w:pPr>
        <w:ind w:firstLine="480"/>
        <w:rPr>
          <w:rFonts w:hint="eastAsia" w:ascii="Times New Roman" w:hAnsi="Times New Roman"/>
          <w:lang w:val="en-US" w:eastAsia="zh-CN"/>
        </w:rPr>
      </w:pPr>
      <w:r>
        <w:rPr>
          <w:rFonts w:hint="eastAsia" w:ascii="Times New Roman" w:hAnsi="Times New Roman"/>
          <w:lang w:val="en-US" w:eastAsia="zh-CN"/>
        </w:rPr>
        <w:t>1、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7A443912">
      <w:pPr>
        <w:ind w:firstLine="480"/>
        <w:rPr>
          <w:rFonts w:hint="eastAsia" w:ascii="Times New Roman" w:hAnsi="Times New Roman"/>
          <w:lang w:val="en-US" w:eastAsia="zh-CN"/>
        </w:rPr>
      </w:pPr>
      <w:r>
        <w:rPr>
          <w:rFonts w:hint="eastAsia" w:ascii="Times New Roman" w:hAnsi="Times New Roman"/>
          <w:lang w:val="en-US" w:eastAsia="zh-CN"/>
        </w:rPr>
        <w:t>2、注意：必须使得塔机上部重心落在顶升油缸梁的位置上，方能进行塔机的顶升工作，否则可能会导致塔机倾覆，造成人身伤害安全事故！</w:t>
      </w:r>
    </w:p>
    <w:p w14:paraId="4C5B7F69">
      <w:pPr>
        <w:pStyle w:val="72"/>
        <w:jc w:val="center"/>
        <w:rPr>
          <w:rFonts w:hint="eastAsia" w:ascii="宋体" w:hAnsi="宋体" w:eastAsia="宋体" w:cs="宋体"/>
          <w:color w:val="auto"/>
          <w:kern w:val="0"/>
          <w:sz w:val="24"/>
          <w:szCs w:val="24"/>
          <w:lang w:val="en-US" w:eastAsia="zh-CN" w:bidi="ar"/>
        </w:rPr>
      </w:pPr>
      <w:r>
        <w:drawing>
          <wp:inline distT="0" distB="0" distL="114300" distR="114300">
            <wp:extent cx="5271770" cy="1308735"/>
            <wp:effectExtent l="0" t="0" r="5080" b="5715"/>
            <wp:docPr id="14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1"/>
                    <pic:cNvPicPr>
                      <a:picLocks noChangeAspect="1"/>
                    </pic:cNvPicPr>
                  </pic:nvPicPr>
                  <pic:blipFill>
                    <a:blip r:embed="rId69"/>
                    <a:stretch>
                      <a:fillRect/>
                    </a:stretch>
                  </pic:blipFill>
                  <pic:spPr>
                    <a:xfrm>
                      <a:off x="0" y="0"/>
                      <a:ext cx="5271770" cy="1308735"/>
                    </a:xfrm>
                    <a:prstGeom prst="rect">
                      <a:avLst/>
                    </a:prstGeom>
                    <a:noFill/>
                    <a:ln>
                      <a:noFill/>
                    </a:ln>
                  </pic:spPr>
                </pic:pic>
              </a:graphicData>
            </a:graphic>
          </wp:inline>
        </w:drawing>
      </w:r>
    </w:p>
    <w:p w14:paraId="36220B7D">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b/>
          <w:bCs/>
          <w:lang w:val="en-US" w:eastAsia="zh-CN"/>
        </w:rPr>
      </w:pPr>
      <w:r>
        <w:rPr>
          <w:rFonts w:hint="eastAsia" w:ascii="宋体" w:hAnsi="宋体" w:eastAsia="宋体" w:cs="宋体"/>
          <w:b/>
          <w:bCs/>
          <w:lang w:val="en-US" w:eastAsia="zh-CN"/>
        </w:rPr>
        <w:t>图8.4.20</w:t>
      </w:r>
      <w:r>
        <w:rPr>
          <w:rFonts w:hint="eastAsia" w:ascii="宋体" w:hAnsi="宋体" w:cs="宋体"/>
          <w:b/>
          <w:bCs/>
          <w:lang w:val="en-US" w:eastAsia="zh-CN"/>
        </w:rPr>
        <w:t>-1</w:t>
      </w:r>
      <w:r>
        <w:rPr>
          <w:rFonts w:hint="eastAsia" w:ascii="宋体" w:hAnsi="宋体" w:eastAsia="宋体" w:cs="宋体"/>
          <w:b/>
          <w:bCs/>
          <w:lang w:val="en-US" w:eastAsia="zh-CN"/>
        </w:rPr>
        <w:t>：塔机配平示意图</w:t>
      </w:r>
    </w:p>
    <w:p w14:paraId="52FA7D02">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lang w:val="en-US" w:eastAsia="zh-CN"/>
        </w:rPr>
      </w:pPr>
      <w:r>
        <w:rPr>
          <w:rFonts w:hint="eastAsia" w:ascii="宋体" w:hAnsi="宋体" w:eastAsia="宋体" w:cs="宋体"/>
          <w:b/>
          <w:bCs/>
          <w:lang w:val="en-US" w:eastAsia="zh-CN"/>
        </w:rPr>
        <w:t>表8.4.20</w:t>
      </w:r>
      <w:r>
        <w:rPr>
          <w:rFonts w:hint="eastAsia" w:ascii="宋体" w:hAnsi="宋体" w:cs="宋体"/>
          <w:b/>
          <w:bCs/>
          <w:lang w:val="en-US" w:eastAsia="zh-CN"/>
        </w:rPr>
        <w:t>-1</w:t>
      </w:r>
      <w:r>
        <w:rPr>
          <w:rFonts w:hint="eastAsia" w:ascii="宋体" w:hAnsi="宋体" w:eastAsia="宋体" w:cs="宋体"/>
          <w:b/>
          <w:bCs/>
          <w:lang w:val="en-US" w:eastAsia="zh-CN"/>
        </w:rPr>
        <w:t xml:space="preserve"> 塔机各臂长配平参数明细表</w:t>
      </w:r>
    </w:p>
    <w:p w14:paraId="0DC44859">
      <w:pPr>
        <w:pStyle w:val="72"/>
        <w:jc w:val="center"/>
        <w:rPr>
          <w:rFonts w:ascii="宋体" w:hAnsi="宋体" w:eastAsia="宋体" w:cs="宋体"/>
          <w:kern w:val="0"/>
          <w:sz w:val="24"/>
          <w:szCs w:val="24"/>
          <w:lang w:val="en-US" w:eastAsia="zh-CN" w:bidi="ar"/>
        </w:rPr>
      </w:pPr>
      <w:r>
        <w:drawing>
          <wp:inline distT="0" distB="0" distL="114300" distR="114300">
            <wp:extent cx="5269865" cy="1911350"/>
            <wp:effectExtent l="0" t="0" r="6985" b="12700"/>
            <wp:docPr id="1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3"/>
                    <pic:cNvPicPr>
                      <a:picLocks noChangeAspect="1"/>
                    </pic:cNvPicPr>
                  </pic:nvPicPr>
                  <pic:blipFill>
                    <a:blip r:embed="rId70"/>
                    <a:stretch>
                      <a:fillRect/>
                    </a:stretch>
                  </pic:blipFill>
                  <pic:spPr>
                    <a:xfrm>
                      <a:off x="0" y="0"/>
                      <a:ext cx="5269865" cy="1911350"/>
                    </a:xfrm>
                    <a:prstGeom prst="rect">
                      <a:avLst/>
                    </a:prstGeom>
                    <a:noFill/>
                    <a:ln>
                      <a:noFill/>
                    </a:ln>
                  </pic:spPr>
                </pic:pic>
              </a:graphicData>
            </a:graphic>
          </wp:inline>
        </w:drawing>
      </w:r>
    </w:p>
    <w:p w14:paraId="67E8B44D">
      <w:pPr>
        <w:ind w:firstLine="480"/>
        <w:rPr>
          <w:rFonts w:hint="eastAsia" w:ascii="Times New Roman" w:hAnsi="Times New Roman"/>
          <w:lang w:val="en-US" w:eastAsia="zh-CN"/>
        </w:rPr>
      </w:pPr>
      <w:r>
        <w:rPr>
          <w:rFonts w:hint="eastAsia" w:ascii="Times New Roman" w:hAnsi="Times New Roman"/>
          <w:lang w:val="en-US" w:eastAsia="zh-CN"/>
        </w:rPr>
        <w:t>注意一：上表中的数据为理论配平尺寸，实际配平时以观察下支座支腿与塔身主弦杆在一条垂直线上，并观察爬升架8个导轮与塔身主弦杆间隙基本相同为准，否则可能造成配平错误，导致顶升倾覆安全事故。</w:t>
      </w:r>
    </w:p>
    <w:p w14:paraId="0D63F37E">
      <w:pPr>
        <w:ind w:firstLine="480"/>
        <w:rPr>
          <w:rFonts w:hint="eastAsia" w:ascii="Times New Roman" w:hAnsi="Times New Roman"/>
          <w:lang w:val="en-US" w:eastAsia="zh-CN"/>
        </w:rPr>
      </w:pPr>
      <w:r>
        <w:rPr>
          <w:rFonts w:hint="eastAsia" w:ascii="Times New Roman" w:hAnsi="Times New Roman"/>
          <w:lang w:val="en-US" w:eastAsia="zh-CN"/>
        </w:rPr>
        <w:t xml:space="preserve">注意二：在顶升过程中禁止： </w:t>
      </w:r>
    </w:p>
    <w:p w14:paraId="36F82141">
      <w:pPr>
        <w:ind w:firstLine="480"/>
        <w:rPr>
          <w:rFonts w:hint="eastAsia" w:ascii="Times New Roman" w:hAnsi="Times New Roman"/>
          <w:lang w:val="en-US" w:eastAsia="zh-CN"/>
        </w:rPr>
      </w:pPr>
      <w:r>
        <w:rPr>
          <w:rFonts w:hint="eastAsia" w:ascii="Times New Roman" w:hAnsi="Times New Roman"/>
          <w:lang w:val="en-US" w:eastAsia="zh-CN"/>
        </w:rPr>
        <w:t>1）回转起重臂。</w:t>
      </w:r>
    </w:p>
    <w:p w14:paraId="5E9062A4">
      <w:pPr>
        <w:ind w:firstLine="480"/>
        <w:rPr>
          <w:rFonts w:hint="eastAsia" w:ascii="Times New Roman" w:hAnsi="Times New Roman"/>
          <w:lang w:val="en-US" w:eastAsia="zh-CN"/>
        </w:rPr>
      </w:pPr>
      <w:r>
        <w:rPr>
          <w:rFonts w:hint="eastAsia" w:ascii="Times New Roman" w:hAnsi="Times New Roman"/>
          <w:lang w:val="en-US" w:eastAsia="zh-CN"/>
        </w:rPr>
        <w:t xml:space="preserve">2）移动小车。 </w:t>
      </w:r>
    </w:p>
    <w:p w14:paraId="61560BFE">
      <w:pPr>
        <w:ind w:firstLine="480"/>
        <w:rPr>
          <w:rFonts w:hint="eastAsia" w:ascii="Times New Roman" w:hAnsi="Times New Roman"/>
          <w:lang w:val="en-US" w:eastAsia="zh-CN"/>
        </w:rPr>
      </w:pPr>
      <w:r>
        <w:rPr>
          <w:rFonts w:hint="eastAsia" w:ascii="Times New Roman" w:hAnsi="Times New Roman"/>
          <w:lang w:val="en-US" w:eastAsia="zh-CN"/>
        </w:rPr>
        <w:t xml:space="preserve">3）提升重物（上升及下降）。 </w:t>
      </w:r>
    </w:p>
    <w:p w14:paraId="6219EE6C">
      <w:pPr>
        <w:ind w:firstLine="480"/>
        <w:rPr>
          <w:rFonts w:hint="eastAsia" w:ascii="Times New Roman" w:hAnsi="Times New Roman"/>
          <w:lang w:val="en-US" w:eastAsia="zh-CN"/>
        </w:rPr>
      </w:pPr>
      <w:r>
        <w:rPr>
          <w:rFonts w:hint="eastAsia" w:ascii="Times New Roman" w:hAnsi="Times New Roman"/>
          <w:lang w:val="en-US" w:eastAsia="zh-CN"/>
        </w:rPr>
        <w:t>否则将会造成产品损坏及人身伤害安全事故！</w:t>
      </w:r>
    </w:p>
    <w:p w14:paraId="491A4A8E">
      <w:pPr>
        <w:ind w:firstLine="480"/>
        <w:rPr>
          <w:rFonts w:hint="default" w:ascii="Times New Roman" w:hAnsi="Times New Roman"/>
          <w:lang w:val="en-US" w:eastAsia="zh-CN"/>
        </w:rPr>
      </w:pPr>
      <w:bookmarkStart w:id="67" w:name="_Toc6008"/>
      <w:r>
        <w:rPr>
          <w:rFonts w:hint="eastAsia" w:ascii="Times New Roman" w:hAnsi="Times New Roman"/>
          <w:lang w:val="en-US" w:eastAsia="zh-CN"/>
        </w:rPr>
        <w:t>3、一般说明</w:t>
      </w:r>
      <w:bookmarkEnd w:id="67"/>
    </w:p>
    <w:p w14:paraId="53D34669">
      <w:pPr>
        <w:ind w:firstLine="480"/>
        <w:rPr>
          <w:rFonts w:hint="eastAsia" w:ascii="Times New Roman" w:hAnsi="Times New Roman"/>
          <w:lang w:val="en-US" w:eastAsia="zh-CN"/>
        </w:rPr>
      </w:pPr>
      <w:r>
        <w:rPr>
          <w:rFonts w:hint="eastAsia" w:ascii="Times New Roman" w:hAnsi="Times New Roman"/>
          <w:lang w:val="en-US" w:eastAsia="zh-CN"/>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1EDF584E">
      <w:pPr>
        <w:ind w:firstLine="480"/>
        <w:rPr>
          <w:rFonts w:hint="default" w:ascii="Times New Roman" w:hAnsi="Times New Roman"/>
          <w:lang w:val="en-US" w:eastAsia="zh-CN"/>
        </w:rPr>
      </w:pPr>
      <w:bookmarkStart w:id="68" w:name="_Toc26861"/>
      <w:r>
        <w:rPr>
          <w:rFonts w:hint="eastAsia"/>
          <w:lang w:val="en-US" w:eastAsia="zh-CN"/>
        </w:rPr>
        <w:t>4</w:t>
      </w:r>
      <w:r>
        <w:rPr>
          <w:rFonts w:hint="eastAsia" w:ascii="Times New Roman" w:hAnsi="Times New Roman"/>
          <w:lang w:val="en-US" w:eastAsia="zh-CN"/>
        </w:rPr>
        <w:t>、配平起重机</w:t>
      </w:r>
      <w:bookmarkEnd w:id="68"/>
    </w:p>
    <w:p w14:paraId="6331E135">
      <w:pPr>
        <w:ind w:firstLine="480"/>
        <w:rPr>
          <w:rFonts w:hint="eastAsia" w:ascii="Times New Roman" w:hAnsi="Times New Roman"/>
          <w:lang w:val="en-US" w:eastAsia="zh-CN"/>
        </w:rPr>
      </w:pPr>
      <w:bookmarkStart w:id="69" w:name="_Toc11321"/>
      <w:r>
        <w:rPr>
          <w:rFonts w:hint="eastAsia" w:ascii="Times New Roman" w:hAnsi="Times New Roman"/>
          <w:lang w:val="en-US" w:eastAsia="zh-CN"/>
        </w:rPr>
        <w:t>1）准备</w:t>
      </w:r>
      <w:bookmarkEnd w:id="69"/>
      <w:r>
        <w:rPr>
          <w:rFonts w:hint="eastAsia" w:ascii="Times New Roman" w:hAnsi="Times New Roman"/>
          <w:lang w:val="en-US" w:eastAsia="zh-CN"/>
        </w:rPr>
        <w:t xml:space="preserve"> </w:t>
      </w:r>
    </w:p>
    <w:p w14:paraId="7B27C032">
      <w:pPr>
        <w:ind w:firstLine="480"/>
        <w:rPr>
          <w:rFonts w:hint="eastAsia" w:ascii="Times New Roman" w:hAnsi="Times New Roman"/>
          <w:lang w:val="en-US" w:eastAsia="zh-CN"/>
        </w:rPr>
      </w:pPr>
      <w:r>
        <w:rPr>
          <w:rFonts w:hint="eastAsia" w:ascii="Times New Roman" w:hAnsi="Times New Roman"/>
          <w:lang w:val="en-US" w:eastAsia="zh-CN"/>
        </w:rPr>
        <w:t>检查确认引进平台上放置着一个标节。检查确认爬升架由销轴固定到特殊节上。将变幅小车移到理论上的平衡距离。取下最后一节标节与特殊节之间的连接销轴。</w:t>
      </w:r>
    </w:p>
    <w:p w14:paraId="5F9E0861">
      <w:pPr>
        <w:ind w:firstLine="480"/>
        <w:rPr>
          <w:rFonts w:hint="eastAsia" w:ascii="Times New Roman" w:hAnsi="Times New Roman"/>
          <w:lang w:val="en-US" w:eastAsia="zh-CN"/>
        </w:rPr>
      </w:pPr>
      <w:bookmarkStart w:id="70" w:name="_Toc30525"/>
      <w:r>
        <w:rPr>
          <w:rFonts w:hint="eastAsia" w:ascii="Times New Roman" w:hAnsi="Times New Roman"/>
          <w:lang w:val="en-US" w:eastAsia="zh-CN"/>
        </w:rPr>
        <w:t>2）配平</w:t>
      </w:r>
      <w:bookmarkEnd w:id="70"/>
      <w:r>
        <w:rPr>
          <w:rFonts w:hint="eastAsia" w:ascii="Times New Roman" w:hAnsi="Times New Roman"/>
          <w:lang w:val="en-US" w:eastAsia="zh-CN"/>
        </w:rPr>
        <w:t xml:space="preserve"> </w:t>
      </w:r>
    </w:p>
    <w:p w14:paraId="07B257EA">
      <w:pPr>
        <w:ind w:firstLine="480"/>
        <w:rPr>
          <w:rFonts w:hint="eastAsia" w:ascii="宋体" w:hAnsi="宋体" w:eastAsia="宋体" w:cs="宋体"/>
          <w:b w:val="0"/>
          <w:bCs w:val="0"/>
          <w:color w:val="auto"/>
        </w:rPr>
      </w:pPr>
      <w:r>
        <w:rPr>
          <w:rFonts w:hint="eastAsia" w:ascii="Times New Roman" w:hAnsi="Times New Roman"/>
          <w:lang w:val="en-US" w:eastAsia="zh-CN"/>
        </w:rPr>
        <w:t>注意：只有在特殊节支脚被顶起离开塔身连接套时方可进行配平微调。</w:t>
      </w:r>
    </w:p>
    <w:p w14:paraId="328669E6">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b/>
          <w:bCs/>
          <w:lang w:val="en-US" w:eastAsia="zh-CN"/>
        </w:rPr>
      </w:pPr>
      <w:r>
        <w:drawing>
          <wp:inline distT="0" distB="0" distL="114300" distR="114300">
            <wp:extent cx="5273040" cy="1501140"/>
            <wp:effectExtent l="0" t="0" r="3810" b="3810"/>
            <wp:docPr id="15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4"/>
                    <pic:cNvPicPr>
                      <a:picLocks noChangeAspect="1"/>
                    </pic:cNvPicPr>
                  </pic:nvPicPr>
                  <pic:blipFill>
                    <a:blip r:embed="rId71"/>
                    <a:stretch>
                      <a:fillRect/>
                    </a:stretch>
                  </pic:blipFill>
                  <pic:spPr>
                    <a:xfrm>
                      <a:off x="0" y="0"/>
                      <a:ext cx="5273040" cy="1501140"/>
                    </a:xfrm>
                    <a:prstGeom prst="rect">
                      <a:avLst/>
                    </a:prstGeom>
                    <a:noFill/>
                    <a:ln>
                      <a:noFill/>
                    </a:ln>
                  </pic:spPr>
                </pic:pic>
              </a:graphicData>
            </a:graphic>
          </wp:inline>
        </w:drawing>
      </w:r>
      <w:r>
        <w:rPr>
          <w:rFonts w:hint="eastAsia" w:ascii="宋体" w:hAnsi="宋体" w:eastAsia="宋体" w:cs="宋体"/>
          <w:b/>
          <w:bCs/>
          <w:lang w:val="en-US" w:eastAsia="zh-CN"/>
        </w:rPr>
        <w:t>图 8.4.20</w:t>
      </w:r>
      <w:r>
        <w:rPr>
          <w:rFonts w:hint="eastAsia" w:ascii="宋体" w:hAnsi="宋体" w:cs="宋体"/>
          <w:b/>
          <w:bCs/>
          <w:lang w:val="en-US" w:eastAsia="zh-CN"/>
        </w:rPr>
        <w:t>-2</w:t>
      </w:r>
      <w:r>
        <w:rPr>
          <w:rFonts w:hint="eastAsia" w:ascii="宋体" w:hAnsi="宋体" w:eastAsia="宋体" w:cs="宋体"/>
          <w:b/>
          <w:bCs/>
          <w:lang w:val="en-US" w:eastAsia="zh-CN"/>
        </w:rPr>
        <w:t xml:space="preserve"> 塔机配平示意图</w:t>
      </w:r>
    </w:p>
    <w:p w14:paraId="6AC7A3B2">
      <w:pPr>
        <w:ind w:firstLine="480"/>
        <w:rPr>
          <w:rFonts w:hint="eastAsia" w:ascii="Times New Roman" w:hAnsi="Times New Roman"/>
          <w:lang w:val="en-US" w:eastAsia="zh-CN"/>
        </w:rPr>
      </w:pPr>
      <w:r>
        <w:rPr>
          <w:rFonts w:hint="eastAsia" w:ascii="Times New Roman" w:hAnsi="Times New Roman"/>
          <w:lang w:val="en-US" w:eastAsia="zh-CN"/>
        </w:rPr>
        <w:t xml:space="preserve">塔机配平前，必须先将载重小车运行到配平参考位置，并吊起一节标准节（顶升时必须根据实际情况的需要调整），然后拆除特殊节四个支腿与标准节的连接销轴。 </w:t>
      </w:r>
    </w:p>
    <w:p w14:paraId="3CEB395E">
      <w:pPr>
        <w:ind w:firstLine="480"/>
        <w:rPr>
          <w:rFonts w:hint="eastAsia" w:ascii="Times New Roman" w:hAnsi="Times New Roman"/>
          <w:lang w:val="en-US" w:eastAsia="zh-CN"/>
        </w:rPr>
      </w:pPr>
      <w:r>
        <w:rPr>
          <w:rFonts w:hint="eastAsia" w:ascii="Times New Roman" w:hAnsi="Times New Roman"/>
          <w:lang w:val="en-US" w:eastAsia="zh-CN"/>
        </w:rPr>
        <w:t xml:space="preserve">将液压顶升系统操纵杆推至“顶升”方向，使爬升架顶升至特殊节支腿刚刚脱离塔身节的主弦杆的位置。 </w:t>
      </w:r>
    </w:p>
    <w:p w14:paraId="7EC5D664">
      <w:pPr>
        <w:ind w:firstLine="480"/>
        <w:rPr>
          <w:rFonts w:hint="eastAsia" w:ascii="Times New Roman" w:hAnsi="Times New Roman"/>
          <w:lang w:val="en-US" w:eastAsia="zh-CN"/>
        </w:rPr>
      </w:pPr>
      <w:r>
        <w:rPr>
          <w:rFonts w:hint="eastAsia" w:ascii="Times New Roman" w:hAnsi="Times New Roman"/>
          <w:lang w:val="en-US" w:eastAsia="zh-CN"/>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6EC91B2B">
      <w:pPr>
        <w:ind w:firstLine="480"/>
        <w:rPr>
          <w:rFonts w:hint="eastAsia" w:ascii="Times New Roman" w:hAnsi="Times New Roman"/>
          <w:lang w:val="en-US" w:eastAsia="zh-CN"/>
        </w:rPr>
      </w:pPr>
      <w:r>
        <w:rPr>
          <w:rFonts w:hint="eastAsia" w:ascii="Times New Roman" w:hAnsi="Times New Roman"/>
          <w:lang w:val="en-US" w:eastAsia="zh-CN"/>
        </w:rPr>
        <w:t xml:space="preserve">记录下载重小车的配平位置。但要注意该位置随起重臂长度不同而改变。 </w:t>
      </w:r>
    </w:p>
    <w:p w14:paraId="58FD84A5">
      <w:pPr>
        <w:ind w:firstLine="480"/>
        <w:rPr>
          <w:rFonts w:hint="eastAsia" w:ascii="Times New Roman" w:hAnsi="Times New Roman"/>
          <w:lang w:val="en-US" w:eastAsia="zh-CN"/>
        </w:rPr>
      </w:pPr>
      <w:r>
        <w:rPr>
          <w:rFonts w:hint="eastAsia" w:ascii="Times New Roman" w:hAnsi="Times New Roman"/>
          <w:lang w:val="en-US" w:eastAsia="zh-CN"/>
        </w:rPr>
        <w:t>操纵液压系统使爬升架下降，连接好特殊节塔身节间的连接销轴。</w:t>
      </w:r>
    </w:p>
    <w:p w14:paraId="65F33AF5">
      <w:pPr>
        <w:pStyle w:val="72"/>
        <w:ind w:firstLine="482" w:firstLineChars="200"/>
        <w:outlineLvl w:val="9"/>
        <w:rPr>
          <w:rFonts w:hint="eastAsia" w:ascii="宋体" w:hAnsi="宋体" w:eastAsia="宋体" w:cs="宋体"/>
          <w:color w:val="auto"/>
          <w:kern w:val="0"/>
          <w:sz w:val="24"/>
          <w:szCs w:val="24"/>
          <w:lang w:val="en-US" w:eastAsia="zh-CN" w:bidi="ar"/>
        </w:rPr>
      </w:pPr>
      <w:bookmarkStart w:id="71" w:name="_Toc31271"/>
      <w:r>
        <w:rPr>
          <w:rFonts w:hint="eastAsia" w:ascii="宋体" w:hAnsi="宋体" w:eastAsia="宋体" w:cs="宋体"/>
          <w:b/>
          <w:bCs/>
          <w:color w:val="auto"/>
          <w:kern w:val="0"/>
          <w:sz w:val="24"/>
          <w:szCs w:val="24"/>
          <w:lang w:val="en-US" w:eastAsia="zh-CN" w:bidi="ar"/>
        </w:rPr>
        <w:t>（3）顶升作业</w:t>
      </w:r>
      <w:bookmarkEnd w:id="71"/>
    </w:p>
    <w:p w14:paraId="1050BAA9">
      <w:pPr>
        <w:ind w:firstLine="480"/>
        <w:rPr>
          <w:rFonts w:hint="eastAsia" w:ascii="Times New Roman" w:hAnsi="Times New Roman"/>
          <w:lang w:val="en-US" w:eastAsia="zh-CN"/>
        </w:rPr>
      </w:pPr>
      <w:bookmarkStart w:id="72" w:name="_Toc7545"/>
      <w:r>
        <w:rPr>
          <w:rFonts w:hint="eastAsia" w:ascii="Times New Roman" w:hAnsi="Times New Roman"/>
          <w:lang w:val="en-US" w:eastAsia="zh-CN"/>
        </w:rPr>
        <w:t>1）顶升作业顺序</w:t>
      </w:r>
      <w:bookmarkEnd w:id="72"/>
    </w:p>
    <w:p w14:paraId="37BA3680">
      <w:pPr>
        <w:ind w:firstLine="480"/>
        <w:rPr>
          <w:rFonts w:hint="eastAsia" w:ascii="Times New Roman" w:hAnsi="Times New Roman"/>
          <w:lang w:val="en-US" w:eastAsia="zh-CN"/>
        </w:rPr>
      </w:pPr>
      <w:r>
        <w:rPr>
          <w:rFonts w:hint="eastAsia" w:ascii="Times New Roman" w:hAnsi="Times New Roman"/>
          <w:lang w:val="en-US" w:eastAsia="zh-CN"/>
        </w:rPr>
        <w:t xml:space="preserve">顶升作业顺序包括了一连串将重复数次的操作： </w:t>
      </w:r>
    </w:p>
    <w:p w14:paraId="59E23063">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 xml:space="preserve">使用回转机构上的回转制动器，将塔机上部机构处于制动状态； </w:t>
      </w:r>
    </w:p>
    <w:p w14:paraId="30A0D6C1">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 xml:space="preserve">将引进梁小车①安装至根据塔身组成选出的标节②上； </w:t>
      </w:r>
    </w:p>
    <w:p w14:paraId="5C2C1063">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将引进梁小车①挂在顶升吊钩③上，吊起总成然后将小车①钩挂在引进梁④上，确保标节的顶升踏步⑤位于起重机侧，如下图</w:t>
      </w:r>
    </w:p>
    <w:p w14:paraId="4E4951A1">
      <w:pPr>
        <w:keepNext w:val="0"/>
        <w:keepLines w:val="0"/>
        <w:suppressLineNumbers w:val="0"/>
        <w:spacing w:beforeAutospacing="0" w:afterAutospacing="0" w:line="240" w:lineRule="auto"/>
        <w:jc w:val="center"/>
        <w:rPr>
          <w:rFonts w:hint="eastAsia" w:ascii="宋体" w:hAnsi="宋体" w:eastAsia="宋体" w:cs="宋体"/>
          <w:color w:val="auto"/>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86985" cy="1543050"/>
            <wp:effectExtent l="0" t="0" r="18415" b="0"/>
            <wp:docPr id="93" name="图片 32" descr="IMG_256"/>
            <wp:cNvGraphicFramePr/>
            <a:graphic xmlns:a="http://schemas.openxmlformats.org/drawingml/2006/main">
              <a:graphicData uri="http://schemas.openxmlformats.org/drawingml/2006/picture">
                <pic:pic xmlns:pic="http://schemas.openxmlformats.org/drawingml/2006/picture">
                  <pic:nvPicPr>
                    <pic:cNvPr id="93" name="图片 32" descr="IMG_256"/>
                    <pic:cNvPicPr/>
                  </pic:nvPicPr>
                  <pic:blipFill>
                    <a:blip r:embed="rId72"/>
                    <a:stretch>
                      <a:fillRect/>
                    </a:stretch>
                  </pic:blipFill>
                  <pic:spPr>
                    <a:xfrm>
                      <a:off x="0" y="0"/>
                      <a:ext cx="5086985" cy="1543050"/>
                    </a:xfrm>
                    <a:prstGeom prst="rect">
                      <a:avLst/>
                    </a:prstGeom>
                    <a:ln w="9525">
                      <a:noFill/>
                    </a:ln>
                  </pic:spPr>
                </pic:pic>
              </a:graphicData>
            </a:graphic>
          </wp:inline>
        </w:drawing>
      </w:r>
    </w:p>
    <w:p w14:paraId="52AB017A">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b/>
          <w:bCs/>
          <w:lang w:val="en-US" w:eastAsia="zh-CN"/>
        </w:rPr>
      </w:pPr>
      <w:r>
        <w:rPr>
          <w:rFonts w:hint="eastAsia" w:ascii="宋体" w:hAnsi="宋体" w:eastAsia="宋体" w:cs="宋体"/>
          <w:b/>
          <w:bCs/>
          <w:lang w:val="en-US" w:eastAsia="zh-CN"/>
        </w:rPr>
        <w:t>图 8.4.20</w:t>
      </w:r>
      <w:r>
        <w:rPr>
          <w:rFonts w:hint="eastAsia" w:ascii="宋体" w:hAnsi="宋体" w:cs="宋体"/>
          <w:b/>
          <w:bCs/>
          <w:lang w:val="en-US" w:eastAsia="zh-CN"/>
        </w:rPr>
        <w:t>-3</w:t>
      </w:r>
      <w:r>
        <w:rPr>
          <w:rFonts w:hint="eastAsia" w:ascii="宋体" w:hAnsi="宋体" w:eastAsia="宋体" w:cs="宋体"/>
          <w:b/>
          <w:bCs/>
          <w:lang w:val="en-US" w:eastAsia="zh-CN"/>
        </w:rPr>
        <w:t xml:space="preserve"> 顶升作业顺序示意图1</w:t>
      </w:r>
    </w:p>
    <w:p w14:paraId="7D96F3D7">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顶升横梁①通过销轴②和安全销③锁在标节的踏步（A）上。拆掉连接特殊节和顶升节的开口④立销⑤和横销⑥。将液压杆推至“上升”位。开动液压顶升系统，使油缸活塞杆伸出，将顶升横梁爬爪落入距顶升横梁最近的塔身节踏步上，插入安全销（必须设专人负责观察爬爪是否牢靠挂在踏步上并准确的插入了安全销），确认无误后继续顶升，将爬升架及以上部分顶起10~50mm时停止，检查顶升横梁等爬升架传力部件是否有异响、变形，油缸活塞杆是否有自动回缩等异常现象，确认正常后，继续顶升；</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890"/>
        <w:gridCol w:w="2145"/>
        <w:gridCol w:w="2190"/>
        <w:gridCol w:w="1553"/>
      </w:tblGrid>
      <w:tr w14:paraId="0D98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14:paraId="51BB851F">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序号</w:t>
            </w:r>
          </w:p>
        </w:tc>
        <w:tc>
          <w:tcPr>
            <w:tcW w:w="1890" w:type="dxa"/>
          </w:tcPr>
          <w:p w14:paraId="468E073D">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塔机编号</w:t>
            </w:r>
          </w:p>
        </w:tc>
        <w:tc>
          <w:tcPr>
            <w:tcW w:w="2145" w:type="dxa"/>
          </w:tcPr>
          <w:p w14:paraId="635F0CAF">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已安装基础节数量</w:t>
            </w:r>
          </w:p>
        </w:tc>
        <w:tc>
          <w:tcPr>
            <w:tcW w:w="2190" w:type="dxa"/>
          </w:tcPr>
          <w:p w14:paraId="178C90B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已安装标准节数量</w:t>
            </w:r>
          </w:p>
        </w:tc>
        <w:tc>
          <w:tcPr>
            <w:tcW w:w="1553" w:type="dxa"/>
          </w:tcPr>
          <w:p w14:paraId="6C7068D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需顶升数量</w:t>
            </w:r>
          </w:p>
        </w:tc>
      </w:tr>
      <w:tr w14:paraId="5AB5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14:paraId="021636E3">
            <w:pPr>
              <w:keepNext w:val="0"/>
              <w:keepLines w:val="0"/>
              <w:pageBreakBefore w:val="0"/>
              <w:suppressLineNumbers w:val="0"/>
              <w:kinsoku/>
              <w:overflowPunct/>
              <w:topLinePunct w:val="0"/>
              <w:bidi w:val="0"/>
              <w:adjustRightInd/>
              <w:spacing w:beforeAutospacing="0" w:afterAutospacing="0" w:line="36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1890" w:type="dxa"/>
            <w:shd w:val="clear" w:color="auto" w:fill="auto"/>
            <w:vAlign w:val="top"/>
          </w:tcPr>
          <w:p w14:paraId="2829AC3F">
            <w:pPr>
              <w:tabs>
                <w:tab w:val="left" w:pos="1134"/>
                <w:tab w:val="left" w:pos="1200"/>
              </w:tabs>
              <w:bidi w:val="0"/>
              <w:spacing w:line="360" w:lineRule="auto"/>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上游5#塔机</w:t>
            </w:r>
          </w:p>
        </w:tc>
        <w:tc>
          <w:tcPr>
            <w:tcW w:w="2145" w:type="dxa"/>
          </w:tcPr>
          <w:p w14:paraId="5367F9AA">
            <w:pPr>
              <w:keepNext w:val="0"/>
              <w:keepLines w:val="0"/>
              <w:pageBreakBefore w:val="0"/>
              <w:suppressLineNumbers w:val="0"/>
              <w:kinsoku/>
              <w:overflowPunct/>
              <w:topLinePunct w:val="0"/>
              <w:bidi w:val="0"/>
              <w:adjustRightInd/>
              <w:spacing w:beforeAutospacing="0" w:afterAutospacing="0" w:line="36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190" w:type="dxa"/>
          </w:tcPr>
          <w:p w14:paraId="549980B6">
            <w:pPr>
              <w:keepNext w:val="0"/>
              <w:keepLines w:val="0"/>
              <w:pageBreakBefore w:val="0"/>
              <w:suppressLineNumbers w:val="0"/>
              <w:kinsoku/>
              <w:overflowPunct/>
              <w:topLinePunct w:val="0"/>
              <w:bidi w:val="0"/>
              <w:adjustRightInd/>
              <w:spacing w:beforeAutospacing="0" w:afterAutospacing="0" w:line="36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553" w:type="dxa"/>
          </w:tcPr>
          <w:p w14:paraId="246F91DE">
            <w:pPr>
              <w:keepNext w:val="0"/>
              <w:keepLines w:val="0"/>
              <w:pageBreakBefore w:val="0"/>
              <w:suppressLineNumbers w:val="0"/>
              <w:kinsoku/>
              <w:overflowPunct/>
              <w:topLinePunct w:val="0"/>
              <w:bidi w:val="0"/>
              <w:adjustRightInd/>
              <w:spacing w:beforeAutospacing="0" w:afterAutospacing="0" w:line="360" w:lineRule="auto"/>
              <w:ind w:left="0" w:leftChars="0" w:firstLine="0" w:firstLineChars="0"/>
              <w:jc w:val="center"/>
              <w:textAlignment w:val="auto"/>
              <w:rPr>
                <w:rFonts w:hint="default" w:ascii="宋体" w:hAnsi="宋体" w:eastAsia="宋体" w:cs="宋体"/>
                <w:b w:val="0"/>
                <w:bCs w:val="0"/>
                <w:sz w:val="24"/>
                <w:szCs w:val="24"/>
                <w:highlight w:val="blue"/>
                <w:vertAlign w:val="baseline"/>
                <w:lang w:val="en-US" w:eastAsia="zh-CN"/>
              </w:rPr>
            </w:pPr>
            <w:r>
              <w:rPr>
                <w:rFonts w:hint="eastAsia" w:ascii="宋体" w:hAnsi="宋体" w:eastAsia="宋体" w:cs="宋体"/>
                <w:b w:val="0"/>
                <w:bCs w:val="0"/>
                <w:sz w:val="24"/>
                <w:szCs w:val="24"/>
                <w:highlight w:val="none"/>
                <w:vertAlign w:val="baseline"/>
                <w:lang w:val="en-US" w:eastAsia="zh-CN"/>
              </w:rPr>
              <w:t>8</w:t>
            </w:r>
          </w:p>
        </w:tc>
      </w:tr>
    </w:tbl>
    <w:p w14:paraId="4A265D86">
      <w:pPr>
        <w:ind w:firstLine="480"/>
        <w:rPr>
          <w:rFonts w:hint="eastAsia" w:ascii="Times New Roman" w:hAnsi="Times New Roman"/>
          <w:lang w:val="en-US" w:eastAsia="zh-CN"/>
        </w:rPr>
      </w:pPr>
      <w:r>
        <w:rPr>
          <w:rFonts w:hint="eastAsia" w:ascii="Times New Roman" w:hAnsi="Times New Roman"/>
          <w:lang w:val="en-US" w:eastAsia="zh-CN"/>
        </w:rPr>
        <w:t>注意：</w:t>
      </w:r>
    </w:p>
    <w:p w14:paraId="2C7050F1">
      <w:pPr>
        <w:ind w:firstLine="480"/>
        <w:rPr>
          <w:rFonts w:hint="eastAsia" w:ascii="Times New Roman" w:hAnsi="Times New Roman"/>
          <w:lang w:val="en-US" w:eastAsia="zh-CN"/>
        </w:rPr>
      </w:pPr>
      <w:r>
        <w:rPr>
          <w:rFonts w:hint="eastAsia" w:ascii="Times New Roman" w:hAnsi="Times New Roman"/>
          <w:lang w:val="en-US" w:eastAsia="zh-CN"/>
        </w:rPr>
        <w:t xml:space="preserve">－－顶升横梁固定在踏步之后安全销③必须插入锁定，否则可能造成顶升横梁脱落； </w:t>
      </w:r>
    </w:p>
    <w:p w14:paraId="3BDCF6E9">
      <w:pPr>
        <w:ind w:firstLine="480"/>
        <w:rPr>
          <w:rFonts w:hint="eastAsia" w:ascii="Times New Roman" w:hAnsi="Times New Roman"/>
          <w:lang w:val="en-US" w:eastAsia="zh-CN"/>
        </w:rPr>
      </w:pPr>
      <w:r>
        <w:rPr>
          <w:rFonts w:hint="eastAsia" w:ascii="Times New Roman" w:hAnsi="Times New Roman"/>
          <w:lang w:val="en-US" w:eastAsia="zh-CN"/>
        </w:rPr>
        <w:t>－－安全销③未退出标准节踏步（A）的防脱销孔，启动顶升机构强行使顶升横梁脱离标准节踏步会损坏防脱销轴。</w:t>
      </w:r>
    </w:p>
    <w:p w14:paraId="2355680B">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 xml:space="preserve">慢慢顶升直到特殊节根部⑦微微脱离标准节鱼尾板⑧； </w:t>
      </w:r>
    </w:p>
    <w:p w14:paraId="4EEFAC32">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确保顶升套架的爬爪（9）锁定在上位；</w:t>
      </w:r>
    </w:p>
    <w:p w14:paraId="32DE13E2">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 xml:space="preserve">顶升直到顶升套架爬爪⑨位于标准节的踏步（C）正上方，松开爬爪⑨； </w:t>
      </w:r>
    </w:p>
    <w:p w14:paraId="2C076487">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慢慢将液压杆推至“下降”位，慢慢操作操纵杆⑩以便将爬爪⑨靠在踏步（C）上；如下图所示</w:t>
      </w:r>
    </w:p>
    <w:p w14:paraId="5801CB7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272405" cy="4680585"/>
            <wp:effectExtent l="0" t="0" r="4445" b="5715"/>
            <wp:docPr id="15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5"/>
                    <pic:cNvPicPr>
                      <a:picLocks noChangeAspect="1"/>
                    </pic:cNvPicPr>
                  </pic:nvPicPr>
                  <pic:blipFill>
                    <a:blip r:embed="rId73"/>
                    <a:stretch>
                      <a:fillRect/>
                    </a:stretch>
                  </pic:blipFill>
                  <pic:spPr>
                    <a:xfrm>
                      <a:off x="0" y="0"/>
                      <a:ext cx="5272405" cy="4680585"/>
                    </a:xfrm>
                    <a:prstGeom prst="rect">
                      <a:avLst/>
                    </a:prstGeom>
                    <a:noFill/>
                    <a:ln>
                      <a:noFill/>
                    </a:ln>
                  </pic:spPr>
                </pic:pic>
              </a:graphicData>
            </a:graphic>
          </wp:inline>
        </w:drawing>
      </w:r>
    </w:p>
    <w:p w14:paraId="5C7BAE73">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b/>
          <w:bCs/>
          <w:lang w:val="en-US" w:eastAsia="zh-CN"/>
        </w:rPr>
      </w:pPr>
      <w:r>
        <w:rPr>
          <w:rFonts w:hint="eastAsia" w:ascii="宋体" w:hAnsi="宋体" w:eastAsia="宋体" w:cs="宋体"/>
          <w:b/>
          <w:bCs/>
          <w:lang w:val="en-US" w:eastAsia="zh-CN"/>
        </w:rPr>
        <w:t>图 8.4.20</w:t>
      </w:r>
      <w:r>
        <w:rPr>
          <w:rFonts w:hint="eastAsia" w:ascii="宋体" w:hAnsi="宋体" w:cs="宋体"/>
          <w:b/>
          <w:bCs/>
          <w:lang w:val="en-US" w:eastAsia="zh-CN"/>
        </w:rPr>
        <w:t>-4</w:t>
      </w:r>
      <w:r>
        <w:rPr>
          <w:rFonts w:hint="eastAsia" w:ascii="宋体" w:hAnsi="宋体" w:eastAsia="宋体" w:cs="宋体"/>
          <w:b/>
          <w:bCs/>
          <w:lang w:val="en-US" w:eastAsia="zh-CN"/>
        </w:rPr>
        <w:t xml:space="preserve"> 顶升作业顺序示意图2</w:t>
      </w:r>
    </w:p>
    <w:p w14:paraId="199B7DDA">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 xml:space="preserve">顶升套架通过爬爪①靠在踏步（C）上后。微微推动液压杆“向下”以便释放横梁③的爬爪②。然后通过拿掉安全销④将横梁③从踏步（A）上解锁。 </w:t>
      </w:r>
    </w:p>
    <w:p w14:paraId="28181726">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将顶升横梁③从踏步（A）上拿掉后，将液压杆推至“上升”方向以便提升横梁③。如下图所示</w:t>
      </w:r>
    </w:p>
    <w:p w14:paraId="0EF9AF9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4543425" cy="4067175"/>
            <wp:effectExtent l="0" t="0" r="9525" b="9525"/>
            <wp:docPr id="15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86"/>
                    <pic:cNvPicPr>
                      <a:picLocks noChangeAspect="1"/>
                    </pic:cNvPicPr>
                  </pic:nvPicPr>
                  <pic:blipFill>
                    <a:blip r:embed="rId74"/>
                    <a:stretch>
                      <a:fillRect/>
                    </a:stretch>
                  </pic:blipFill>
                  <pic:spPr>
                    <a:xfrm>
                      <a:off x="0" y="0"/>
                      <a:ext cx="4543425" cy="4067175"/>
                    </a:xfrm>
                    <a:prstGeom prst="rect">
                      <a:avLst/>
                    </a:prstGeom>
                    <a:noFill/>
                    <a:ln>
                      <a:noFill/>
                    </a:ln>
                  </pic:spPr>
                </pic:pic>
              </a:graphicData>
            </a:graphic>
          </wp:inline>
        </w:drawing>
      </w:r>
    </w:p>
    <w:p w14:paraId="54A658BF">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b/>
          <w:bCs/>
          <w:lang w:val="en-US" w:eastAsia="zh-CN"/>
        </w:rPr>
      </w:pPr>
      <w:r>
        <w:rPr>
          <w:rFonts w:hint="eastAsia" w:ascii="宋体" w:hAnsi="宋体" w:eastAsia="宋体" w:cs="宋体"/>
          <w:b/>
          <w:bCs/>
          <w:lang w:val="en-US" w:eastAsia="zh-CN"/>
        </w:rPr>
        <w:t>图 8.4.20</w:t>
      </w:r>
      <w:r>
        <w:rPr>
          <w:rFonts w:hint="eastAsia" w:ascii="宋体" w:hAnsi="宋体" w:cs="宋体"/>
          <w:b/>
          <w:bCs/>
          <w:lang w:val="en-US" w:eastAsia="zh-CN"/>
        </w:rPr>
        <w:t>-5</w:t>
      </w:r>
      <w:r>
        <w:rPr>
          <w:rFonts w:hint="eastAsia" w:ascii="宋体" w:hAnsi="宋体" w:eastAsia="宋体" w:cs="宋体"/>
          <w:b/>
          <w:bCs/>
          <w:lang w:val="en-US" w:eastAsia="zh-CN"/>
        </w:rPr>
        <w:t xml:space="preserve"> 顶升作业顺序示意图3</w:t>
      </w:r>
    </w:p>
    <w:p w14:paraId="44E6854A">
      <w:pPr>
        <w:keepNext w:val="0"/>
        <w:keepLines w:val="0"/>
        <w:pageBreakBefore w:val="0"/>
        <w:widowControl w:val="0"/>
        <w:numPr>
          <w:ilvl w:val="0"/>
          <w:numId w:val="4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lang w:val="en-US" w:eastAsia="zh-CN"/>
        </w:rPr>
      </w:pPr>
      <w:r>
        <w:rPr>
          <w:rFonts w:hint="eastAsia" w:ascii="Times New Roman" w:hAnsi="Times New Roman"/>
          <w:lang w:val="en-US" w:eastAsia="zh-CN"/>
        </w:rPr>
        <w:t>继续操作直到顶升横梁①能够垂直坐落并销连至踏步（B）。用爬爪②将横梁①钩至顶升踏步（B），通过安全销③将其锁定，如下图所示。</w:t>
      </w:r>
    </w:p>
    <w:p w14:paraId="030EED0B">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pPr>
      <w:r>
        <w:drawing>
          <wp:inline distT="0" distB="0" distL="114300" distR="114300">
            <wp:extent cx="3964305" cy="3208655"/>
            <wp:effectExtent l="0" t="0" r="17145" b="10795"/>
            <wp:docPr id="15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7"/>
                    <pic:cNvPicPr>
                      <a:picLocks noChangeAspect="1"/>
                    </pic:cNvPicPr>
                  </pic:nvPicPr>
                  <pic:blipFill>
                    <a:blip r:embed="rId75"/>
                    <a:stretch>
                      <a:fillRect/>
                    </a:stretch>
                  </pic:blipFill>
                  <pic:spPr>
                    <a:xfrm>
                      <a:off x="0" y="0"/>
                      <a:ext cx="3964305" cy="3208655"/>
                    </a:xfrm>
                    <a:prstGeom prst="rect">
                      <a:avLst/>
                    </a:prstGeom>
                    <a:noFill/>
                    <a:ln>
                      <a:noFill/>
                    </a:ln>
                  </pic:spPr>
                </pic:pic>
              </a:graphicData>
            </a:graphic>
          </wp:inline>
        </w:drawing>
      </w:r>
    </w:p>
    <w:p w14:paraId="347D1E65">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b/>
          <w:bCs/>
          <w:lang w:val="en-US" w:eastAsia="zh-CN"/>
        </w:rPr>
      </w:pPr>
      <w:r>
        <w:rPr>
          <w:rFonts w:hint="eastAsia" w:ascii="宋体" w:hAnsi="宋体" w:eastAsia="宋体" w:cs="宋体"/>
          <w:b/>
          <w:bCs/>
          <w:lang w:val="en-US" w:eastAsia="zh-CN"/>
        </w:rPr>
        <w:t>图 8.4.20</w:t>
      </w:r>
      <w:r>
        <w:rPr>
          <w:rFonts w:hint="eastAsia" w:ascii="宋体" w:hAnsi="宋体" w:cs="宋体"/>
          <w:b/>
          <w:bCs/>
          <w:lang w:val="en-US" w:eastAsia="zh-CN"/>
        </w:rPr>
        <w:t xml:space="preserve">-6 </w:t>
      </w:r>
      <w:r>
        <w:rPr>
          <w:rFonts w:hint="eastAsia" w:ascii="宋体" w:hAnsi="宋体" w:eastAsia="宋体" w:cs="宋体"/>
          <w:b/>
          <w:bCs/>
          <w:lang w:val="en-US" w:eastAsia="zh-CN"/>
        </w:rPr>
        <w:t>顶升作业顺序示意图4</w:t>
      </w:r>
    </w:p>
    <w:p w14:paraId="15A5905F">
      <w:pPr>
        <w:ind w:firstLine="480"/>
        <w:rPr>
          <w:rFonts w:hint="eastAsia" w:ascii="Times New Roman" w:hAnsi="Times New Roman"/>
          <w:lang w:val="en-US" w:eastAsia="zh-CN"/>
        </w:rPr>
      </w:pPr>
      <w:r>
        <w:rPr>
          <w:rFonts w:hint="eastAsia" w:ascii="Times New Roman" w:hAnsi="Times New Roman"/>
          <w:lang w:val="en-US" w:eastAsia="zh-CN"/>
        </w:rPr>
        <w:t>重复上述循环以便获得将标节引入顶升套架所需的空间（X），此时起重机各部分位于下述位置：</w:t>
      </w:r>
    </w:p>
    <w:p w14:paraId="65A6C86B">
      <w:pPr>
        <w:ind w:firstLine="480"/>
        <w:rPr>
          <w:rFonts w:hint="eastAsia" w:ascii="Times New Roman" w:hAnsi="Times New Roman"/>
          <w:lang w:val="en-US" w:eastAsia="zh-CN"/>
        </w:rPr>
      </w:pPr>
      <w:r>
        <w:rPr>
          <w:rFonts w:hint="eastAsia" w:ascii="Times New Roman" w:hAnsi="Times New Roman"/>
          <w:lang w:val="en-US" w:eastAsia="zh-CN"/>
        </w:rPr>
        <w:t>——被顶起的部分通过顶升套架的两个</w:t>
      </w:r>
      <w:r>
        <w:rPr>
          <w:rFonts w:hint="eastAsia"/>
          <w:lang w:val="en-US" w:eastAsia="zh-CN"/>
        </w:rPr>
        <w:t>爬爪</w:t>
      </w:r>
      <w:r>
        <w:rPr>
          <w:rFonts w:hint="eastAsia" w:ascii="Times New Roman" w:hAnsi="Times New Roman"/>
          <w:lang w:val="en-US" w:eastAsia="zh-CN"/>
        </w:rPr>
        <w:t>准确的压在标节踏步（E）上且无局部变形、异响等异常情况；</w:t>
      </w:r>
    </w:p>
    <w:p w14:paraId="4794E557">
      <w:pPr>
        <w:ind w:firstLine="480"/>
        <w:rPr>
          <w:rFonts w:hint="eastAsia" w:ascii="Times New Roman" w:hAnsi="Times New Roman"/>
          <w:lang w:val="en-US" w:eastAsia="zh-CN"/>
        </w:rPr>
      </w:pPr>
      <w:r>
        <w:rPr>
          <w:rFonts w:hint="eastAsia" w:ascii="Times New Roman" w:hAnsi="Times New Roman"/>
          <w:lang w:val="en-US" w:eastAsia="zh-CN"/>
        </w:rPr>
        <w:t>——横梁②通过</w:t>
      </w:r>
      <w:r>
        <w:rPr>
          <w:rFonts w:hint="eastAsia"/>
          <w:lang w:val="en-US" w:eastAsia="zh-CN"/>
        </w:rPr>
        <w:t>爬爪</w:t>
      </w:r>
      <w:r>
        <w:rPr>
          <w:rFonts w:hint="eastAsia" w:ascii="Times New Roman" w:hAnsi="Times New Roman"/>
          <w:lang w:val="en-US" w:eastAsia="zh-CN"/>
        </w:rPr>
        <w:t>③及安全销④锁定在标节踏步（C）上。活塞杆几乎完全伸出，整个行程不许</w:t>
      </w:r>
      <w:r>
        <w:rPr>
          <w:rFonts w:hint="eastAsia"/>
          <w:lang w:val="en-US" w:eastAsia="zh-CN"/>
        </w:rPr>
        <w:t>上导杆</w:t>
      </w:r>
      <w:r>
        <w:rPr>
          <w:rFonts w:hint="eastAsia" w:ascii="Times New Roman" w:hAnsi="Times New Roman"/>
          <w:lang w:val="en-US" w:eastAsia="zh-CN"/>
        </w:rPr>
        <w:t>脱离</w:t>
      </w:r>
      <w:r>
        <w:rPr>
          <w:rFonts w:hint="eastAsia"/>
          <w:lang w:val="en-US" w:eastAsia="zh-CN"/>
        </w:rPr>
        <w:t>标</w:t>
      </w:r>
      <w:r>
        <w:rPr>
          <w:rFonts w:hint="eastAsia" w:ascii="Times New Roman" w:hAnsi="Times New Roman"/>
          <w:lang w:val="en-US" w:eastAsia="zh-CN"/>
        </w:rPr>
        <w:t>节的固定部分。</w:t>
      </w:r>
    </w:p>
    <w:p w14:paraId="0F408FE9">
      <w:pPr>
        <w:keepNext w:val="0"/>
        <w:keepLines w:val="0"/>
        <w:suppressLineNumbers w:val="0"/>
        <w:spacing w:beforeAutospacing="0" w:afterAutospacing="0" w:line="240" w:lineRule="auto"/>
        <w:jc w:val="center"/>
      </w:pPr>
      <w:r>
        <w:drawing>
          <wp:inline distT="0" distB="0" distL="114300" distR="114300">
            <wp:extent cx="5274310" cy="4634865"/>
            <wp:effectExtent l="0" t="0" r="2540" b="13335"/>
            <wp:docPr id="15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88"/>
                    <pic:cNvPicPr>
                      <a:picLocks noChangeAspect="1"/>
                    </pic:cNvPicPr>
                  </pic:nvPicPr>
                  <pic:blipFill>
                    <a:blip r:embed="rId76"/>
                    <a:stretch>
                      <a:fillRect/>
                    </a:stretch>
                  </pic:blipFill>
                  <pic:spPr>
                    <a:xfrm>
                      <a:off x="0" y="0"/>
                      <a:ext cx="5274310" cy="4634865"/>
                    </a:xfrm>
                    <a:prstGeom prst="rect">
                      <a:avLst/>
                    </a:prstGeom>
                    <a:noFill/>
                    <a:ln>
                      <a:noFill/>
                    </a:ln>
                  </pic:spPr>
                </pic:pic>
              </a:graphicData>
            </a:graphic>
          </wp:inline>
        </w:drawing>
      </w:r>
    </w:p>
    <w:p w14:paraId="75E6D9B7">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b/>
          <w:bCs/>
          <w:lang w:val="en-US" w:eastAsia="zh-CN"/>
        </w:rPr>
      </w:pPr>
      <w:r>
        <w:rPr>
          <w:rFonts w:hint="eastAsia" w:ascii="宋体" w:hAnsi="宋体" w:eastAsia="宋体" w:cs="宋体"/>
          <w:b/>
          <w:bCs/>
          <w:lang w:val="en-US" w:eastAsia="zh-CN"/>
        </w:rPr>
        <w:t>图8.4.20</w:t>
      </w:r>
      <w:r>
        <w:rPr>
          <w:rFonts w:hint="eastAsia" w:ascii="宋体" w:hAnsi="宋体" w:cs="宋体"/>
          <w:b/>
          <w:bCs/>
          <w:lang w:val="en-US" w:eastAsia="zh-CN"/>
        </w:rPr>
        <w:t xml:space="preserve">-7 </w:t>
      </w:r>
      <w:r>
        <w:rPr>
          <w:rFonts w:hint="eastAsia" w:ascii="宋体" w:hAnsi="宋体" w:eastAsia="宋体" w:cs="宋体"/>
          <w:b/>
          <w:bCs/>
          <w:lang w:val="en-US" w:eastAsia="zh-CN"/>
        </w:rPr>
        <w:t>顶升作业顺序示意图5</w:t>
      </w:r>
    </w:p>
    <w:p w14:paraId="7F265F2E">
      <w:pPr>
        <w:ind w:firstLine="480"/>
        <w:rPr>
          <w:rFonts w:hint="eastAsia" w:ascii="Times New Roman" w:hAnsi="Times New Roman"/>
          <w:lang w:val="en-US" w:eastAsia="zh-CN"/>
        </w:rPr>
      </w:pPr>
      <w:bookmarkStart w:id="73" w:name="_Toc26500"/>
      <w:r>
        <w:rPr>
          <w:rFonts w:hint="eastAsia" w:ascii="Times New Roman" w:hAnsi="Times New Roman"/>
          <w:lang w:val="en-US" w:eastAsia="zh-CN"/>
        </w:rPr>
        <w:t>2）引进标节</w:t>
      </w:r>
      <w:bookmarkEnd w:id="73"/>
      <w:r>
        <w:rPr>
          <w:rFonts w:hint="eastAsia" w:ascii="Times New Roman" w:hAnsi="Times New Roman"/>
          <w:lang w:val="en-US" w:eastAsia="zh-CN"/>
        </w:rPr>
        <w:t xml:space="preserve"> </w:t>
      </w:r>
    </w:p>
    <w:p w14:paraId="79758891">
      <w:pPr>
        <w:ind w:firstLine="480"/>
        <w:rPr>
          <w:rFonts w:hint="eastAsia" w:ascii="Times New Roman" w:hAnsi="Times New Roman"/>
          <w:lang w:val="en-US" w:eastAsia="zh-CN"/>
        </w:rPr>
      </w:pPr>
      <w:r>
        <w:rPr>
          <w:rFonts w:hint="eastAsia" w:ascii="Times New Roman" w:hAnsi="Times New Roman"/>
          <w:lang w:val="en-US" w:eastAsia="zh-CN"/>
        </w:rPr>
        <w:t>起重机通过引进梁将标节引进顶升套架内：将悬挂在引进梁小车②上的标节通过该动作提供的抓</w:t>
      </w:r>
      <w:r>
        <w:rPr>
          <w:rFonts w:hint="eastAsia"/>
          <w:lang w:val="en-US" w:eastAsia="zh-CN"/>
        </w:rPr>
        <w:t>手</w:t>
      </w:r>
      <w:r>
        <w:rPr>
          <w:rFonts w:hint="eastAsia" w:ascii="Times New Roman" w:hAnsi="Times New Roman"/>
          <w:lang w:val="en-US" w:eastAsia="zh-CN"/>
        </w:rPr>
        <w:t>引进顶升套架③。</w:t>
      </w:r>
    </w:p>
    <w:p w14:paraId="64AED37A">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pPr>
      <w:r>
        <w:drawing>
          <wp:inline distT="0" distB="0" distL="114300" distR="114300">
            <wp:extent cx="3803015" cy="2469515"/>
            <wp:effectExtent l="0" t="0" r="6985" b="6985"/>
            <wp:docPr id="15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9"/>
                    <pic:cNvPicPr>
                      <a:picLocks noChangeAspect="1"/>
                    </pic:cNvPicPr>
                  </pic:nvPicPr>
                  <pic:blipFill>
                    <a:blip r:embed="rId77"/>
                    <a:stretch>
                      <a:fillRect/>
                    </a:stretch>
                  </pic:blipFill>
                  <pic:spPr>
                    <a:xfrm>
                      <a:off x="0" y="0"/>
                      <a:ext cx="3803015" cy="2469515"/>
                    </a:xfrm>
                    <a:prstGeom prst="rect">
                      <a:avLst/>
                    </a:prstGeom>
                    <a:noFill/>
                    <a:ln>
                      <a:noFill/>
                    </a:ln>
                  </pic:spPr>
                </pic:pic>
              </a:graphicData>
            </a:graphic>
          </wp:inline>
        </w:drawing>
      </w:r>
    </w:p>
    <w:p w14:paraId="6F8CDF1E">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b/>
          <w:bCs/>
          <w:lang w:val="en-US" w:eastAsia="zh-CN"/>
        </w:rPr>
      </w:pPr>
      <w:r>
        <w:rPr>
          <w:rFonts w:hint="eastAsia" w:ascii="宋体" w:hAnsi="宋体" w:eastAsia="宋体" w:cs="宋体"/>
          <w:b/>
          <w:bCs/>
          <w:lang w:val="en-US" w:eastAsia="zh-CN"/>
        </w:rPr>
        <w:t>图8.4.20</w:t>
      </w:r>
      <w:r>
        <w:rPr>
          <w:rFonts w:hint="eastAsia" w:ascii="宋体" w:hAnsi="宋体" w:cs="宋体"/>
          <w:b/>
          <w:bCs/>
          <w:lang w:val="en-US" w:eastAsia="zh-CN"/>
        </w:rPr>
        <w:t xml:space="preserve">-8 </w:t>
      </w:r>
      <w:r>
        <w:rPr>
          <w:rFonts w:hint="eastAsia" w:ascii="宋体" w:hAnsi="宋体" w:eastAsia="宋体" w:cs="宋体"/>
          <w:b/>
          <w:bCs/>
          <w:lang w:val="en-US" w:eastAsia="zh-CN"/>
        </w:rPr>
        <w:t>引进标准节示意图1</w:t>
      </w:r>
    </w:p>
    <w:p w14:paraId="58858486">
      <w:pPr>
        <w:ind w:firstLine="480"/>
        <w:rPr>
          <w:rFonts w:hint="eastAsia" w:ascii="Times New Roman" w:hAnsi="Times New Roman"/>
          <w:lang w:val="en-US" w:eastAsia="zh-CN"/>
        </w:rPr>
      </w:pPr>
      <w:r>
        <w:rPr>
          <w:rFonts w:hint="eastAsia" w:ascii="Times New Roman" w:hAnsi="Times New Roman"/>
          <w:lang w:val="en-US" w:eastAsia="zh-CN"/>
        </w:rPr>
        <w:t>标节的鱼尾板连接</w:t>
      </w:r>
    </w:p>
    <w:p w14:paraId="6D7CA5CA">
      <w:pPr>
        <w:numPr>
          <w:ilvl w:val="0"/>
          <w:numId w:val="41"/>
        </w:numPr>
        <w:ind w:firstLine="480"/>
        <w:rPr>
          <w:rFonts w:hint="eastAsia"/>
          <w:lang w:val="en-US" w:eastAsia="zh-CN"/>
        </w:rPr>
      </w:pPr>
      <w:r>
        <w:rPr>
          <w:rFonts w:hint="eastAsia" w:ascii="Times New Roman" w:hAnsi="Times New Roman"/>
          <w:lang w:val="en-US" w:eastAsia="zh-CN"/>
        </w:rPr>
        <w:t>将标节引进顶升套架后，</w:t>
      </w:r>
      <w:r>
        <w:rPr>
          <w:rFonts w:hint="eastAsia"/>
          <w:lang w:val="en-US" w:eastAsia="zh-CN"/>
        </w:rPr>
        <w:t>锁定爬爪</w:t>
      </w:r>
      <w:r>
        <w:rPr>
          <w:rFonts w:hint="eastAsia" w:ascii="Times New Roman" w:hAnsi="Times New Roman"/>
          <w:lang w:val="en-US" w:eastAsia="zh-CN"/>
        </w:rPr>
        <w:t>①；</w:t>
      </w:r>
    </w:p>
    <w:p w14:paraId="2A9133CA">
      <w:pPr>
        <w:numPr>
          <w:ilvl w:val="0"/>
          <w:numId w:val="41"/>
        </w:numPr>
        <w:ind w:firstLine="480"/>
        <w:rPr>
          <w:rFonts w:hint="eastAsia" w:ascii="Times New Roman" w:hAnsi="Times New Roman"/>
          <w:lang w:val="en-US" w:eastAsia="zh-CN"/>
        </w:rPr>
      </w:pPr>
      <w:r>
        <w:rPr>
          <w:rFonts w:hint="eastAsia" w:ascii="Times New Roman" w:hAnsi="Times New Roman"/>
          <w:lang w:val="en-US" w:eastAsia="zh-CN"/>
        </w:rPr>
        <w:t>液压杆微微推向“上升”位，以便将顶升套架的</w:t>
      </w:r>
      <w:r>
        <w:rPr>
          <w:rFonts w:hint="eastAsia"/>
          <w:lang w:val="en-US" w:eastAsia="zh-CN"/>
        </w:rPr>
        <w:t>爬爪</w:t>
      </w:r>
      <w:r>
        <w:rPr>
          <w:rFonts w:hint="eastAsia" w:ascii="Times New Roman" w:hAnsi="Times New Roman"/>
          <w:lang w:val="en-US" w:eastAsia="zh-CN"/>
        </w:rPr>
        <w:t>①脱离标节踏步②；转动操纵杆③以便将</w:t>
      </w:r>
      <w:r>
        <w:rPr>
          <w:rFonts w:hint="eastAsia"/>
          <w:lang w:val="en-US" w:eastAsia="zh-CN"/>
        </w:rPr>
        <w:t>爬爪</w:t>
      </w:r>
      <w:r>
        <w:rPr>
          <w:rFonts w:hint="eastAsia" w:ascii="Times New Roman" w:hAnsi="Times New Roman"/>
          <w:lang w:val="en-US" w:eastAsia="zh-CN"/>
        </w:rPr>
        <w:t>①从标节上拿下；</w:t>
      </w:r>
    </w:p>
    <w:p w14:paraId="0C0F8B2C">
      <w:pPr>
        <w:ind w:firstLine="480"/>
        <w:rPr>
          <w:rFonts w:hint="eastAsia" w:ascii="Times New Roman" w:hAnsi="Times New Roman"/>
          <w:lang w:val="en-US" w:eastAsia="zh-CN"/>
        </w:rPr>
      </w:pPr>
      <w:bookmarkStart w:id="74" w:name="_Toc1237"/>
      <w:r>
        <w:rPr>
          <w:rFonts w:hint="eastAsia"/>
          <w:lang w:val="en-US" w:eastAsia="zh-CN"/>
        </w:rPr>
        <w:t>3</w:t>
      </w:r>
      <w:r>
        <w:rPr>
          <w:rFonts w:hint="eastAsia" w:ascii="Times New Roman" w:hAnsi="Times New Roman"/>
          <w:lang w:val="en-US" w:eastAsia="zh-CN"/>
        </w:rPr>
        <w:t>)将爬爪①锁定在上位；</w:t>
      </w:r>
      <w:bookmarkEnd w:id="74"/>
    </w:p>
    <w:p w14:paraId="177D3F6C">
      <w:pPr>
        <w:ind w:firstLine="480"/>
        <w:rPr>
          <w:rFonts w:hint="eastAsia" w:ascii="Times New Roman" w:hAnsi="Times New Roman"/>
          <w:lang w:val="en-US" w:eastAsia="zh-CN"/>
        </w:rPr>
      </w:pPr>
      <w:r>
        <w:rPr>
          <w:rFonts w:hint="eastAsia"/>
          <w:lang w:val="en-US" w:eastAsia="zh-CN"/>
        </w:rPr>
        <w:t>4</w:t>
      </w:r>
      <w:r>
        <w:rPr>
          <w:rFonts w:hint="eastAsia" w:ascii="Times New Roman" w:hAnsi="Times New Roman"/>
          <w:lang w:val="en-US" w:eastAsia="zh-CN"/>
        </w:rPr>
        <w:t>)将液压杆推至“下降”位。确保标节④恰当地插入塔身顶升节的</w:t>
      </w:r>
      <w:r>
        <w:rPr>
          <w:rFonts w:hint="eastAsia"/>
          <w:lang w:val="en-US" w:eastAsia="zh-CN"/>
        </w:rPr>
        <w:t>鱼尾板</w:t>
      </w:r>
      <w:r>
        <w:rPr>
          <w:rFonts w:hint="eastAsia" w:ascii="Times New Roman" w:hAnsi="Times New Roman"/>
          <w:lang w:val="en-US" w:eastAsia="zh-CN"/>
        </w:rPr>
        <w:t>⑤</w:t>
      </w:r>
      <w:r>
        <w:rPr>
          <w:rFonts w:hint="eastAsia"/>
          <w:lang w:val="en-US" w:eastAsia="zh-CN"/>
        </w:rPr>
        <w:t>，</w:t>
      </w:r>
      <w:r>
        <w:rPr>
          <w:rFonts w:hint="eastAsia" w:ascii="Times New Roman" w:hAnsi="Times New Roman"/>
          <w:lang w:val="en-US" w:eastAsia="zh-CN"/>
        </w:rPr>
        <w:t>通过8个销轴⑦，4个立销⑧以及4个开口销⑨将标节④与顶升节⑥连接；</w:t>
      </w:r>
    </w:p>
    <w:p w14:paraId="68B1E361">
      <w:pPr>
        <w:ind w:firstLine="480"/>
        <w:rPr>
          <w:rFonts w:hint="eastAsia" w:ascii="Times New Roman" w:hAnsi="Times New Roman"/>
          <w:lang w:val="en-US" w:eastAsia="zh-CN"/>
        </w:rPr>
      </w:pPr>
      <w:bookmarkStart w:id="75" w:name="_Toc13368"/>
      <w:r>
        <w:rPr>
          <w:rFonts w:hint="eastAsia"/>
          <w:lang w:val="en-US" w:eastAsia="zh-CN"/>
        </w:rPr>
        <w:t>5</w:t>
      </w:r>
      <w:r>
        <w:rPr>
          <w:rFonts w:hint="eastAsia" w:ascii="Times New Roman" w:hAnsi="Times New Roman"/>
          <w:lang w:val="en-US" w:eastAsia="zh-CN"/>
        </w:rPr>
        <w:t>)将引进梁小车⑩从标节上松开，并挂入引进梁⑪。</w:t>
      </w:r>
      <w:bookmarkEnd w:id="75"/>
    </w:p>
    <w:p w14:paraId="0FEABD71">
      <w:pPr>
        <w:keepNext w:val="0"/>
        <w:keepLines w:val="0"/>
        <w:suppressLineNumbers w:val="0"/>
        <w:spacing w:beforeAutospacing="0" w:afterAutospacing="0" w:line="240" w:lineRule="auto"/>
        <w:jc w:val="center"/>
      </w:pPr>
      <w:r>
        <w:drawing>
          <wp:inline distT="0" distB="0" distL="114300" distR="114300">
            <wp:extent cx="3337560" cy="2987675"/>
            <wp:effectExtent l="0" t="0" r="15240" b="3175"/>
            <wp:docPr id="15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0"/>
                    <pic:cNvPicPr>
                      <a:picLocks noChangeAspect="1"/>
                    </pic:cNvPicPr>
                  </pic:nvPicPr>
                  <pic:blipFill>
                    <a:blip r:embed="rId78"/>
                    <a:stretch>
                      <a:fillRect/>
                    </a:stretch>
                  </pic:blipFill>
                  <pic:spPr>
                    <a:xfrm>
                      <a:off x="0" y="0"/>
                      <a:ext cx="3337560" cy="2987675"/>
                    </a:xfrm>
                    <a:prstGeom prst="rect">
                      <a:avLst/>
                    </a:prstGeom>
                    <a:noFill/>
                    <a:ln>
                      <a:noFill/>
                    </a:ln>
                  </pic:spPr>
                </pic:pic>
              </a:graphicData>
            </a:graphic>
          </wp:inline>
        </w:drawing>
      </w:r>
    </w:p>
    <w:p w14:paraId="09EC9426">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b/>
          <w:bCs/>
          <w:lang w:val="en-US" w:eastAsia="zh-CN"/>
        </w:rPr>
      </w:pPr>
      <w:r>
        <w:rPr>
          <w:rFonts w:hint="eastAsia" w:ascii="宋体" w:hAnsi="宋体" w:eastAsia="宋体" w:cs="宋体"/>
          <w:b/>
          <w:bCs/>
          <w:lang w:val="en-US" w:eastAsia="zh-CN"/>
        </w:rPr>
        <w:t>图 8.4.20</w:t>
      </w:r>
      <w:r>
        <w:rPr>
          <w:rFonts w:hint="eastAsia" w:ascii="宋体" w:hAnsi="宋体" w:cs="宋体"/>
          <w:b/>
          <w:bCs/>
          <w:lang w:val="en-US" w:eastAsia="zh-CN"/>
        </w:rPr>
        <w:t xml:space="preserve">-9 </w:t>
      </w:r>
      <w:r>
        <w:rPr>
          <w:rFonts w:hint="eastAsia" w:ascii="宋体" w:hAnsi="宋体" w:eastAsia="宋体" w:cs="宋体"/>
          <w:b/>
          <w:bCs/>
          <w:lang w:val="en-US" w:eastAsia="zh-CN"/>
        </w:rPr>
        <w:t>引进标准节示意图2</w:t>
      </w:r>
    </w:p>
    <w:p w14:paraId="6E3EA801">
      <w:pPr>
        <w:ind w:firstLine="480"/>
        <w:rPr>
          <w:rFonts w:hint="eastAsia" w:ascii="Times New Roman" w:hAnsi="Times New Roman"/>
          <w:lang w:val="en-US" w:eastAsia="zh-CN"/>
        </w:rPr>
      </w:pPr>
      <w:r>
        <w:rPr>
          <w:rFonts w:hint="eastAsia"/>
          <w:lang w:val="en-US" w:eastAsia="zh-CN"/>
        </w:rPr>
        <w:t>安装安全销</w:t>
      </w:r>
    </w:p>
    <w:p w14:paraId="119E817E">
      <w:pPr>
        <w:ind w:firstLine="480"/>
        <w:rPr>
          <w:rFonts w:hint="eastAsia" w:ascii="Times New Roman" w:hAnsi="Times New Roman"/>
          <w:lang w:val="en-US" w:eastAsia="zh-CN"/>
        </w:rPr>
      </w:pPr>
      <w:r>
        <w:rPr>
          <w:rFonts w:hint="eastAsia" w:ascii="Times New Roman" w:hAnsi="Times New Roman"/>
          <w:lang w:val="en-US" w:eastAsia="zh-CN"/>
        </w:rPr>
        <w:t>继续下降，确保特殊节②主弦恰当地插入已经安装的标节的鱼尾板③。通过安全销将特殊节②与标节③销连。</w:t>
      </w:r>
    </w:p>
    <w:p w14:paraId="5E3BD3FA">
      <w:pPr>
        <w:ind w:firstLine="480"/>
        <w:rPr>
          <w:rFonts w:hint="default" w:ascii="Times New Roman" w:hAnsi="Times New Roman"/>
          <w:lang w:val="en-US" w:eastAsia="zh-CN"/>
        </w:rPr>
      </w:pPr>
      <w:r>
        <w:rPr>
          <w:rFonts w:hint="eastAsia" w:ascii="Times New Roman" w:hAnsi="Times New Roman"/>
          <w:lang w:val="en-US" w:eastAsia="zh-CN"/>
        </w:rPr>
        <w:t>将平衡重下放至地面以便放空顶升吊钩。如果需要，使用顶升吊钩下放引进梁小车，以便将其安装至新的标节上。 重复该顶升步骤，直至达到所需高度。</w:t>
      </w:r>
    </w:p>
    <w:p w14:paraId="29C5C134">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drawing>
          <wp:inline distT="0" distB="0" distL="114300" distR="114300">
            <wp:extent cx="4022090" cy="2874010"/>
            <wp:effectExtent l="0" t="0" r="16510" b="2540"/>
            <wp:docPr id="15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1"/>
                    <pic:cNvPicPr>
                      <a:picLocks noChangeAspect="1"/>
                    </pic:cNvPicPr>
                  </pic:nvPicPr>
                  <pic:blipFill>
                    <a:blip r:embed="rId79"/>
                    <a:stretch>
                      <a:fillRect/>
                    </a:stretch>
                  </pic:blipFill>
                  <pic:spPr>
                    <a:xfrm>
                      <a:off x="0" y="0"/>
                      <a:ext cx="4022090" cy="2874010"/>
                    </a:xfrm>
                    <a:prstGeom prst="rect">
                      <a:avLst/>
                    </a:prstGeom>
                    <a:noFill/>
                    <a:ln>
                      <a:noFill/>
                    </a:ln>
                  </pic:spPr>
                </pic:pic>
              </a:graphicData>
            </a:graphic>
          </wp:inline>
        </w:drawing>
      </w:r>
    </w:p>
    <w:p w14:paraId="44C73DFB">
      <w:pPr>
        <w:pStyle w:val="72"/>
        <w:ind w:firstLine="482" w:firstLineChars="200"/>
        <w:outlineLvl w:val="9"/>
        <w:rPr>
          <w:rFonts w:hint="eastAsia" w:ascii="宋体" w:hAnsi="宋体" w:eastAsia="宋体" w:cs="宋体"/>
          <w:b/>
          <w:bCs/>
          <w:color w:val="auto"/>
          <w:kern w:val="0"/>
          <w:sz w:val="24"/>
          <w:szCs w:val="24"/>
          <w:lang w:val="en-US" w:eastAsia="zh-CN" w:bidi="ar"/>
        </w:rPr>
      </w:pPr>
      <w:bookmarkStart w:id="76" w:name="_Toc25335"/>
      <w:r>
        <w:rPr>
          <w:rFonts w:hint="eastAsia" w:ascii="宋体" w:hAnsi="宋体" w:eastAsia="宋体" w:cs="宋体"/>
          <w:b/>
          <w:bCs/>
          <w:color w:val="auto"/>
          <w:kern w:val="0"/>
          <w:sz w:val="24"/>
          <w:szCs w:val="24"/>
          <w:lang w:val="en-US" w:eastAsia="zh-CN" w:bidi="ar"/>
        </w:rPr>
        <w:t>（4）顶升作业注意事项</w:t>
      </w:r>
      <w:bookmarkEnd w:id="76"/>
    </w:p>
    <w:p w14:paraId="6AF6EB16">
      <w:pPr>
        <w:ind w:firstLine="480"/>
        <w:rPr>
          <w:rFonts w:hint="eastAsia" w:ascii="Times New Roman" w:hAnsi="Times New Roman"/>
          <w:lang w:val="en-US" w:eastAsia="zh-CN"/>
        </w:rPr>
      </w:pPr>
      <w:bookmarkStart w:id="77" w:name="_Toc26419"/>
      <w:r>
        <w:rPr>
          <w:rFonts w:hint="eastAsia" w:ascii="Times New Roman" w:hAnsi="Times New Roman"/>
          <w:lang w:val="en-US" w:eastAsia="zh-CN"/>
        </w:rPr>
        <w:t>1）塔机最高处风速大于12m/s时，不得进行顶升作业。</w:t>
      </w:r>
      <w:bookmarkEnd w:id="77"/>
    </w:p>
    <w:p w14:paraId="6B01ED49">
      <w:pPr>
        <w:ind w:firstLine="480"/>
        <w:rPr>
          <w:rFonts w:hint="eastAsia" w:ascii="Times New Roman" w:hAnsi="Times New Roman"/>
          <w:lang w:val="en-US" w:eastAsia="zh-CN"/>
        </w:rPr>
      </w:pPr>
      <w:r>
        <w:rPr>
          <w:rFonts w:hint="eastAsia" w:ascii="Times New Roman" w:hAnsi="Times New Roman"/>
          <w:lang w:val="en-US" w:eastAsia="zh-CN"/>
        </w:rPr>
        <w:t xml:space="preserve">2）塔机的爬升机构，其爬升作业时应确保爬升架上支承在塔身上的受力部位与塔身顶升支承部位应可靠定位和结合。并应及时查看顶升支承部位焊缝情况，若有异常情况应排除后才能继续进行爬升作业。 </w:t>
      </w:r>
    </w:p>
    <w:p w14:paraId="7471F5C2">
      <w:pPr>
        <w:ind w:firstLine="480"/>
        <w:rPr>
          <w:rFonts w:hint="eastAsia" w:ascii="Times New Roman" w:hAnsi="Times New Roman"/>
          <w:lang w:val="en-US" w:eastAsia="zh-CN"/>
        </w:rPr>
      </w:pPr>
      <w:r>
        <w:rPr>
          <w:rFonts w:hint="eastAsia" w:ascii="Times New Roman" w:hAnsi="Times New Roman"/>
          <w:lang w:val="en-US" w:eastAsia="zh-CN"/>
        </w:rPr>
        <w:t xml:space="preserve">3）顶升过程中必须保证起重臂与引入标准节方向一致，并利用回转机构制动器将起重臂制动住，载重小车必须停靠在顶升配平位置。 </w:t>
      </w:r>
    </w:p>
    <w:p w14:paraId="040D644F">
      <w:pPr>
        <w:ind w:firstLine="480"/>
        <w:rPr>
          <w:rFonts w:hint="eastAsia" w:ascii="Times New Roman" w:hAnsi="Times New Roman"/>
          <w:lang w:val="en-US" w:eastAsia="zh-CN"/>
        </w:rPr>
      </w:pPr>
      <w:r>
        <w:rPr>
          <w:rFonts w:hint="eastAsia" w:ascii="Times New Roman" w:hAnsi="Times New Roman"/>
          <w:lang w:val="en-US" w:eastAsia="zh-CN"/>
        </w:rPr>
        <w:t>4）若要连续加高几节标准节，则每加完一节后，用塔机自身起吊下一节标准节前，塔身4个主弦杆必须有8个安全销轴连接。</w:t>
      </w:r>
      <w:bookmarkStart w:id="78" w:name="_Toc4999"/>
    </w:p>
    <w:p w14:paraId="4927EA2C">
      <w:pPr>
        <w:ind w:firstLine="480"/>
        <w:rPr>
          <w:rFonts w:hint="eastAsia" w:ascii="Times New Roman" w:hAnsi="Times New Roman"/>
          <w:lang w:val="en-US" w:eastAsia="zh-CN"/>
        </w:rPr>
      </w:pPr>
      <w:r>
        <w:rPr>
          <w:rFonts w:hint="eastAsia" w:ascii="Times New Roman" w:hAnsi="Times New Roman"/>
          <w:lang w:val="en-US" w:eastAsia="zh-CN"/>
        </w:rPr>
        <w:t>5）所加标准节上的踏步，必须与已有塔身节对正。</w:t>
      </w:r>
      <w:bookmarkEnd w:id="78"/>
      <w:r>
        <w:rPr>
          <w:rFonts w:hint="eastAsia" w:ascii="Times New Roman" w:hAnsi="Times New Roman"/>
          <w:lang w:val="en-US" w:eastAsia="zh-CN"/>
        </w:rPr>
        <w:t xml:space="preserve"> </w:t>
      </w:r>
    </w:p>
    <w:p w14:paraId="4B87D751">
      <w:pPr>
        <w:ind w:firstLine="480"/>
        <w:rPr>
          <w:rFonts w:hint="eastAsia" w:ascii="Times New Roman" w:hAnsi="Times New Roman"/>
          <w:lang w:val="en-US" w:eastAsia="zh-CN"/>
        </w:rPr>
      </w:pPr>
      <w:r>
        <w:rPr>
          <w:rFonts w:hint="eastAsia" w:ascii="Times New Roman" w:hAnsi="Times New Roman"/>
          <w:lang w:val="en-US" w:eastAsia="zh-CN"/>
        </w:rPr>
        <w:t xml:space="preserve">6）在特殊节与塔身没有用销轴连接好之前，严禁起重臂回转、载重小车变幅和吊装作业。 </w:t>
      </w:r>
    </w:p>
    <w:p w14:paraId="62DCA89F">
      <w:pPr>
        <w:ind w:firstLine="480"/>
        <w:rPr>
          <w:rFonts w:hint="eastAsia" w:ascii="Times New Roman" w:hAnsi="Times New Roman"/>
          <w:lang w:val="en-US" w:eastAsia="zh-CN"/>
        </w:rPr>
      </w:pPr>
      <w:r>
        <w:rPr>
          <w:rFonts w:hint="eastAsia" w:ascii="Times New Roman" w:hAnsi="Times New Roman"/>
          <w:lang w:val="en-US" w:eastAsia="zh-CN"/>
        </w:rPr>
        <w:t>7）在顶升过程中，若液压顶升系统出现异常，应立即停止顶升，收回油缸，将</w:t>
      </w:r>
      <w:r>
        <w:rPr>
          <w:rFonts w:hint="eastAsia"/>
          <w:lang w:val="en-US" w:eastAsia="zh-CN"/>
        </w:rPr>
        <w:t>特殊节</w:t>
      </w:r>
      <w:r>
        <w:rPr>
          <w:rFonts w:hint="eastAsia" w:ascii="Times New Roman" w:hAnsi="Times New Roman"/>
          <w:lang w:val="en-US" w:eastAsia="zh-CN"/>
        </w:rPr>
        <w:t>落在塔身顶部，并用</w:t>
      </w:r>
      <w:r>
        <w:rPr>
          <w:rFonts w:hint="eastAsia"/>
          <w:lang w:val="en-US" w:eastAsia="zh-CN"/>
        </w:rPr>
        <w:t>8根</w:t>
      </w:r>
      <w:r>
        <w:rPr>
          <w:rFonts w:hint="eastAsia" w:ascii="Times New Roman" w:hAnsi="Times New Roman"/>
          <w:lang w:val="en-US" w:eastAsia="zh-CN"/>
        </w:rPr>
        <w:t xml:space="preserve">销轴将特殊节与塔身连接牢靠后，再排除液压系统的故障。 </w:t>
      </w:r>
    </w:p>
    <w:p w14:paraId="2AB421C2">
      <w:pPr>
        <w:ind w:firstLine="480"/>
        <w:rPr>
          <w:rFonts w:hint="eastAsia" w:ascii="宋体" w:hAnsi="宋体" w:eastAsia="宋体" w:cs="宋体"/>
          <w:color w:val="auto"/>
          <w:kern w:val="0"/>
          <w:sz w:val="24"/>
          <w:szCs w:val="24"/>
          <w:lang w:val="en-US" w:eastAsia="zh-CN" w:bidi="ar"/>
        </w:rPr>
      </w:pPr>
      <w:r>
        <w:rPr>
          <w:rFonts w:hint="eastAsia" w:ascii="Times New Roman" w:hAnsi="Times New Roman"/>
          <w:lang w:val="en-US" w:eastAsia="zh-CN"/>
        </w:rPr>
        <w:t>8）塔机加节达到所需工作高度（但不超过独立高度）后，应旋转起重臂至不同的角度，检查塔身各接头处</w:t>
      </w:r>
      <w:r>
        <w:rPr>
          <w:rFonts w:hint="eastAsia"/>
          <w:lang w:val="en-US" w:eastAsia="zh-CN"/>
        </w:rPr>
        <w:t>销轴的装配</w:t>
      </w:r>
      <w:r>
        <w:rPr>
          <w:rFonts w:hint="eastAsia" w:ascii="Times New Roman" w:hAnsi="Times New Roman"/>
          <w:lang w:val="en-US" w:eastAsia="zh-CN"/>
        </w:rPr>
        <w:t>、基础支脚处螺栓的拧紧问题。</w:t>
      </w:r>
    </w:p>
    <w:p w14:paraId="20B3D511">
      <w:pPr>
        <w:pStyle w:val="72"/>
        <w:ind w:firstLine="482" w:firstLineChars="200"/>
        <w:outlineLvl w:val="9"/>
        <w:rPr>
          <w:rFonts w:hint="eastAsia" w:ascii="宋体" w:hAnsi="宋体" w:eastAsia="宋体" w:cs="宋体"/>
          <w:b/>
          <w:bCs/>
          <w:color w:val="auto"/>
          <w:kern w:val="0"/>
          <w:sz w:val="24"/>
          <w:szCs w:val="24"/>
          <w:lang w:val="en-US" w:eastAsia="zh-CN" w:bidi="ar"/>
        </w:rPr>
      </w:pPr>
      <w:bookmarkStart w:id="79" w:name="_Toc25632"/>
      <w:r>
        <w:rPr>
          <w:rFonts w:hint="eastAsia" w:ascii="宋体" w:hAnsi="宋体" w:eastAsia="宋体" w:cs="宋体"/>
          <w:b/>
          <w:bCs/>
          <w:color w:val="auto"/>
          <w:kern w:val="0"/>
          <w:sz w:val="24"/>
          <w:szCs w:val="24"/>
          <w:lang w:val="en-US" w:eastAsia="zh-CN" w:bidi="ar"/>
        </w:rPr>
        <w:t>（</w:t>
      </w:r>
      <w:r>
        <w:rPr>
          <w:rFonts w:hint="eastAsia" w:ascii="宋体" w:hAnsi="宋体" w:cs="宋体"/>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）顶升后的收尾工作</w:t>
      </w:r>
      <w:bookmarkEnd w:id="79"/>
    </w:p>
    <w:p w14:paraId="036FEC21">
      <w:pPr>
        <w:ind w:firstLine="480"/>
        <w:rPr>
          <w:rFonts w:hint="eastAsia" w:ascii="Times New Roman" w:hAnsi="Times New Roman"/>
          <w:lang w:val="en-US" w:eastAsia="zh-CN"/>
        </w:rPr>
      </w:pPr>
      <w:r>
        <w:rPr>
          <w:rFonts w:hint="eastAsia" w:ascii="Times New Roman" w:hAnsi="Times New Roman"/>
          <w:lang w:val="en-US" w:eastAsia="zh-CN"/>
        </w:rPr>
        <w:t>1）顶升结束后利用套架制动块将顶升套架支承在塔身上，收回压缩升油缸。</w:t>
      </w:r>
    </w:p>
    <w:p w14:paraId="18399F96">
      <w:pPr>
        <w:ind w:firstLine="480"/>
        <w:rPr>
          <w:rFonts w:hint="eastAsia" w:ascii="Times New Roman" w:hAnsi="Times New Roman"/>
          <w:lang w:val="en-US" w:eastAsia="zh-CN"/>
        </w:rPr>
      </w:pPr>
      <w:r>
        <w:rPr>
          <w:rFonts w:hint="eastAsia" w:ascii="Times New Roman" w:hAnsi="Times New Roman"/>
          <w:lang w:val="en-US" w:eastAsia="zh-CN"/>
        </w:rPr>
        <w:t>2）顶升工作全面完成后可以半顶升套架下降到标准节底部或拆除顶升套架，以降低整个塔机的重心和减小迎风面积。</w:t>
      </w:r>
    </w:p>
    <w:p w14:paraId="207666A4">
      <w:pPr>
        <w:ind w:firstLine="480"/>
        <w:rPr>
          <w:rFonts w:hint="default"/>
          <w:lang w:val="en-US" w:eastAsia="zh-CN"/>
        </w:rPr>
      </w:pPr>
      <w:bookmarkStart w:id="80" w:name="_Toc14758"/>
      <w:bookmarkEnd w:id="80"/>
      <w:bookmarkStart w:id="81" w:name="_Toc4956"/>
      <w:bookmarkEnd w:id="81"/>
      <w:bookmarkStart w:id="82" w:name="_Toc22934"/>
      <w:bookmarkEnd w:id="82"/>
      <w:bookmarkStart w:id="83" w:name="_Toc9915"/>
      <w:bookmarkEnd w:id="83"/>
      <w:r>
        <w:rPr>
          <w:rFonts w:hint="eastAsia" w:ascii="Times New Roman" w:hAnsi="Times New Roman"/>
          <w:lang w:val="en-US" w:eastAsia="zh-CN"/>
        </w:rPr>
        <w:t>3）顶升完毕后可将引进梁缩回下支座内或者拆除引进梁。以免吊钩在最小幅度工作时碰到。</w:t>
      </w:r>
    </w:p>
    <w:p w14:paraId="5C96972B">
      <w:pPr>
        <w:pStyle w:val="3"/>
        <w:ind w:left="562" w:hanging="562"/>
        <w:rPr>
          <w:rFonts w:cs="Times New Roman"/>
        </w:rPr>
      </w:pPr>
      <w:bookmarkStart w:id="84" w:name="_Toc13345"/>
      <w:r>
        <w:rPr>
          <w:rFonts w:cs="Times New Roman"/>
        </w:rPr>
        <w:t>拆除</w:t>
      </w:r>
      <w:r>
        <w:rPr>
          <w:rFonts w:hint="eastAsia" w:cs="Times New Roman"/>
        </w:rPr>
        <w:t>顺序</w:t>
      </w:r>
      <w:bookmarkEnd w:id="84"/>
    </w:p>
    <w:p w14:paraId="7A7325D2">
      <w:pPr>
        <w:pStyle w:val="5"/>
        <w:keepNext/>
        <w:keepLines/>
        <w:pageBreakBefore w:val="0"/>
        <w:widowControl w:val="0"/>
        <w:numPr>
          <w:ilvl w:val="0"/>
          <w:numId w:val="42"/>
        </w:numPr>
        <w:kinsoku/>
        <w:wordWrap/>
        <w:overflowPunct/>
        <w:topLinePunct w:val="0"/>
        <w:autoSpaceDE/>
        <w:autoSpaceDN/>
        <w:bidi w:val="0"/>
        <w:adjustRightInd/>
        <w:snapToGrid/>
        <w:ind w:left="0" w:leftChars="0" w:firstLine="0" w:firstLineChars="0"/>
        <w:textAlignment w:val="auto"/>
        <w:rPr>
          <w:rFonts w:cs="Times New Roman"/>
        </w:rPr>
      </w:pPr>
      <w:bookmarkStart w:id="85" w:name="_Toc12152"/>
      <w:r>
        <w:rPr>
          <w:rFonts w:cs="Times New Roman"/>
        </w:rPr>
        <w:t>项目现场准备工作</w:t>
      </w:r>
      <w:bookmarkEnd w:id="85"/>
    </w:p>
    <w:p w14:paraId="7178E629">
      <w:pPr>
        <w:pStyle w:val="37"/>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拆塔期间，非拆塔人员不得进行现场，设专人看守施工现场，确保无关人员不得进入。</w:t>
      </w:r>
    </w:p>
    <w:p w14:paraId="0595D8DE">
      <w:pPr>
        <w:pStyle w:val="37"/>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cs="Times New Roman"/>
          <w:sz w:val="24"/>
          <w:szCs w:val="24"/>
        </w:rPr>
        <w:t>运输车辆</w:t>
      </w:r>
      <w:r>
        <w:rPr>
          <w:rFonts w:ascii="Times New Roman" w:cs="Times New Roman"/>
          <w:sz w:val="24"/>
          <w:szCs w:val="24"/>
        </w:rPr>
        <w:t>所经过路线宽度不得小于</w:t>
      </w:r>
      <w:r>
        <w:rPr>
          <w:rFonts w:ascii="Times New Roman" w:hAnsi="Times New Roman" w:cs="Times New Roman"/>
          <w:sz w:val="24"/>
          <w:szCs w:val="24"/>
        </w:rPr>
        <w:t>5</w:t>
      </w:r>
      <w:r>
        <w:rPr>
          <w:rFonts w:ascii="Times New Roman" w:cs="Times New Roman"/>
          <w:sz w:val="24"/>
          <w:szCs w:val="24"/>
        </w:rPr>
        <w:t>米，轮距</w:t>
      </w:r>
      <w:r>
        <w:rPr>
          <w:rFonts w:ascii="Times New Roman" w:hAnsi="Times New Roman" w:cs="Times New Roman"/>
          <w:sz w:val="24"/>
          <w:szCs w:val="24"/>
        </w:rPr>
        <w:t>3</w:t>
      </w:r>
      <w:r>
        <w:rPr>
          <w:rFonts w:ascii="Times New Roman" w:cs="Times New Roman"/>
          <w:sz w:val="24"/>
          <w:szCs w:val="24"/>
        </w:rPr>
        <w:t>米，转弯处圆弧半径不得小于</w:t>
      </w:r>
      <w:r>
        <w:rPr>
          <w:rFonts w:ascii="Times New Roman" w:hAnsi="Times New Roman" w:cs="Times New Roman"/>
          <w:sz w:val="24"/>
          <w:szCs w:val="24"/>
        </w:rPr>
        <w:t>12</w:t>
      </w:r>
      <w:r>
        <w:rPr>
          <w:rFonts w:ascii="Times New Roman" w:cs="Times New Roman"/>
          <w:sz w:val="24"/>
          <w:szCs w:val="24"/>
        </w:rPr>
        <w:t>米。</w:t>
      </w:r>
    </w:p>
    <w:p w14:paraId="47860656">
      <w:pPr>
        <w:pStyle w:val="37"/>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firstLine="480" w:firstLineChars="200"/>
        <w:textAlignment w:val="auto"/>
        <w:rPr>
          <w:rFonts w:hint="eastAsia" w:ascii="Times New Roman" w:cs="Times New Roman"/>
          <w:sz w:val="24"/>
          <w:szCs w:val="24"/>
        </w:rPr>
      </w:pPr>
      <w:r>
        <w:rPr>
          <w:rFonts w:hint="eastAsia" w:ascii="Times New Roman" w:cs="Times New Roman"/>
          <w:sz w:val="24"/>
          <w:szCs w:val="24"/>
        </w:rPr>
        <w:t>汽车吊站位处为</w:t>
      </w:r>
      <w:r>
        <w:rPr>
          <w:rFonts w:hint="eastAsia" w:ascii="Times New Roman" w:cs="Times New Roman"/>
          <w:sz w:val="24"/>
          <w:szCs w:val="24"/>
          <w:lang w:val="en-US" w:eastAsia="zh-CN"/>
        </w:rPr>
        <w:t>岩层，</w:t>
      </w:r>
      <w:r>
        <w:rPr>
          <w:rFonts w:hint="eastAsia" w:ascii="Times New Roman" w:cs="Times New Roman"/>
          <w:sz w:val="24"/>
          <w:szCs w:val="24"/>
        </w:rPr>
        <w:t>其设计承载能力满足汽车吊支腿受力要求。</w:t>
      </w:r>
    </w:p>
    <w:p w14:paraId="5A264057">
      <w:pPr>
        <w:pStyle w:val="37"/>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firstLine="480" w:firstLineChars="200"/>
        <w:textAlignment w:val="auto"/>
        <w:rPr>
          <w:rFonts w:ascii="Times New Roman" w:cs="Times New Roman"/>
          <w:sz w:val="24"/>
          <w:szCs w:val="24"/>
        </w:rPr>
      </w:pPr>
      <w:r>
        <w:rPr>
          <w:rFonts w:hint="eastAsia" w:ascii="Times New Roman" w:cs="Times New Roman"/>
          <w:sz w:val="24"/>
          <w:szCs w:val="24"/>
        </w:rPr>
        <w:t>清除塔机部件处的杂物、易燃物等。</w:t>
      </w:r>
    </w:p>
    <w:p w14:paraId="3FC74071">
      <w:pPr>
        <w:pStyle w:val="37"/>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firstLine="480" w:firstLineChars="200"/>
        <w:textAlignment w:val="auto"/>
        <w:rPr>
          <w:rFonts w:ascii="Times New Roman" w:cs="Times New Roman"/>
          <w:sz w:val="24"/>
          <w:szCs w:val="24"/>
        </w:rPr>
      </w:pPr>
      <w:r>
        <w:rPr>
          <w:rFonts w:hint="eastAsia" w:ascii="Times New Roman" w:cs="Times New Roman"/>
          <w:sz w:val="24"/>
          <w:szCs w:val="24"/>
        </w:rPr>
        <w:t>现场准备灭火器，并随着拆除气割部件时，进行位置移动，摆放，配备专人时刻准备灭火救援。</w:t>
      </w:r>
    </w:p>
    <w:p w14:paraId="1B80C906">
      <w:pPr>
        <w:pStyle w:val="37"/>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firstLine="480" w:firstLineChars="200"/>
        <w:textAlignment w:val="auto"/>
        <w:rPr>
          <w:rFonts w:ascii="Times New Roman" w:cs="Times New Roman"/>
          <w:sz w:val="24"/>
          <w:szCs w:val="24"/>
        </w:rPr>
      </w:pPr>
      <w:r>
        <w:rPr>
          <w:rFonts w:hint="eastAsia" w:ascii="Times New Roman" w:cs="Times New Roman"/>
          <w:sz w:val="24"/>
          <w:szCs w:val="24"/>
        </w:rPr>
        <w:t>清理部件堆</w:t>
      </w:r>
      <w:r>
        <w:rPr>
          <w:rFonts w:hint="eastAsia" w:ascii="Times New Roman" w:cs="Times New Roman"/>
          <w:sz w:val="24"/>
          <w:szCs w:val="24"/>
          <w:lang w:val="en-US" w:eastAsia="zh-CN"/>
        </w:rPr>
        <w:t>放</w:t>
      </w:r>
      <w:r>
        <w:rPr>
          <w:rFonts w:hint="eastAsia" w:ascii="Times New Roman" w:cs="Times New Roman"/>
          <w:sz w:val="24"/>
          <w:szCs w:val="24"/>
        </w:rPr>
        <w:t>区域</w:t>
      </w:r>
      <w:r>
        <w:rPr>
          <w:rFonts w:hint="eastAsia" w:ascii="Times New Roman" w:cs="Times New Roman"/>
          <w:sz w:val="24"/>
          <w:szCs w:val="24"/>
          <w:lang w:eastAsia="zh-CN"/>
        </w:rPr>
        <w:t>。</w:t>
      </w:r>
    </w:p>
    <w:p w14:paraId="2FF590F9">
      <w:pPr>
        <w:pStyle w:val="5"/>
        <w:numPr>
          <w:ilvl w:val="0"/>
          <w:numId w:val="42"/>
        </w:numPr>
        <w:ind w:left="0" w:leftChars="0" w:firstLine="0" w:firstLineChars="0"/>
        <w:rPr>
          <w:rFonts w:hint="eastAsia" w:cs="Times New Roman"/>
        </w:rPr>
      </w:pPr>
      <w:bookmarkStart w:id="86" w:name="_Toc474409887"/>
      <w:bookmarkStart w:id="87" w:name="_Toc474686673"/>
      <w:bookmarkStart w:id="88" w:name="_Toc176686583"/>
      <w:bookmarkStart w:id="89" w:name="_Toc474228244"/>
      <w:bookmarkStart w:id="90" w:name="_Toc651"/>
      <w:r>
        <w:rPr>
          <w:rFonts w:hint="eastAsia" w:cs="Times New Roman"/>
        </w:rPr>
        <w:t>拆卸前进行塔机设备检查</w:t>
      </w:r>
      <w:bookmarkEnd w:id="86"/>
      <w:bookmarkEnd w:id="87"/>
      <w:bookmarkEnd w:id="88"/>
      <w:bookmarkEnd w:id="89"/>
      <w:bookmarkEnd w:id="90"/>
    </w:p>
    <w:p w14:paraId="57C2D14F">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塔机所有钢构件无变形、无裂纹；塔机所有电机机座是否固定牢靠，传动部位有无变形、裂纹；</w:t>
      </w:r>
    </w:p>
    <w:p w14:paraId="6EBEB7AA">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塔机所有滑轮部位有无防钢丝绳脱槽装置，滑轮轴有无磨损，滑轮座是否固定牢靠；塔机所有防护栏杆是否完好，焊接牢靠，无锈蚀；</w:t>
      </w:r>
    </w:p>
    <w:p w14:paraId="58DA05F6">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塔机所有柱销孔和销柱体符合要求，无晃动、无严重磨损；</w:t>
      </w:r>
    </w:p>
    <w:p w14:paraId="7A2214B5">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塔机所有柱销上的开口销或者防脱销是否配套；</w:t>
      </w:r>
    </w:p>
    <w:p w14:paraId="3AF8E89D">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检查钢丝绳磨损状况；检查顶升套架围栏支撑连接部位部件是否完好；</w:t>
      </w:r>
    </w:p>
    <w:p w14:paraId="1D8617DD">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检查顶升套架机构滑动部位及支撑的爪钩等处是否完好；</w:t>
      </w:r>
    </w:p>
    <w:p w14:paraId="7B3FCF3D">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 xml:space="preserve">检查顶升套架标准节推入机构是否完好，各部件无变形； </w:t>
      </w:r>
    </w:p>
    <w:p w14:paraId="61E4F0A1">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检查回转支撑机构是否润滑良好，螺栓是否紧固；</w:t>
      </w:r>
    </w:p>
    <w:p w14:paraId="5DBF1243">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检查电器是否完好无损，电缆线无老化、裸露，各电气绝缘保证良好；</w:t>
      </w:r>
    </w:p>
    <w:p w14:paraId="3E4B2651">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幅度、力矩、重量、回转、吊钩高度限位器和电铃等安全装置齐全，外观无损坏；检查吊钩保险、大钢丝绳卷筒保险、防小钢丝绳断绳装置等保险装置是否完好；检查司机室、闸箱等是否完好，固定牢靠；</w:t>
      </w:r>
    </w:p>
    <w:p w14:paraId="3D40550D">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检查拆塔区域无影响拆塔操作的障碍物；</w:t>
      </w:r>
    </w:p>
    <w:p w14:paraId="0EF98E3E">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拆塔周边设置好安全警戒区，由专职人员负责把守，非工作人员不得进行塔机的拆卸范围；</w:t>
      </w:r>
    </w:p>
    <w:p w14:paraId="07A89EC0">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检查使用工具有无破损有不合格者需要立即更换，以确保使用；</w:t>
      </w:r>
    </w:p>
    <w:p w14:paraId="76F61CE2">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检查液压系统的油液是否混浊变质；液位是否足够液压油缸走完完整行程。</w:t>
      </w:r>
    </w:p>
    <w:p w14:paraId="743F889F">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在降节以前应对油泵、油位、油缸、挂板、撑靴等装置提前进行检查和维护，确保液压系统设备完好稳定，并在正式降节前应试验油缸油压保压稳定性能。</w:t>
      </w:r>
    </w:p>
    <w:p w14:paraId="30FD05F5">
      <w:pPr>
        <w:pStyle w:val="37"/>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人员按施工总承包单位要求进行施工方案安全技术交底。</w:t>
      </w:r>
    </w:p>
    <w:p w14:paraId="5ED254AB">
      <w:pPr>
        <w:pStyle w:val="5"/>
        <w:numPr>
          <w:ilvl w:val="0"/>
          <w:numId w:val="42"/>
        </w:numPr>
        <w:ind w:left="0" w:leftChars="0" w:firstLine="0" w:firstLineChars="0"/>
        <w:rPr>
          <w:rFonts w:hint="eastAsia" w:cs="Times New Roman"/>
        </w:rPr>
      </w:pPr>
      <w:bookmarkStart w:id="91" w:name="_Toc20029"/>
      <w:r>
        <w:rPr>
          <w:rFonts w:hint="eastAsia" w:cs="Times New Roman"/>
          <w:lang w:val="en-US" w:eastAsia="zh-CN"/>
        </w:rPr>
        <w:t>拆塔工艺流程</w:t>
      </w:r>
      <w:bookmarkEnd w:id="91"/>
    </w:p>
    <w:p w14:paraId="7B8E8FDD">
      <w:pPr>
        <w:ind w:firstLine="0" w:firstLineChars="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drawing>
          <wp:inline distT="0" distB="0" distL="114300" distR="114300">
            <wp:extent cx="5272405" cy="2465705"/>
            <wp:effectExtent l="0" t="0" r="0" b="0"/>
            <wp:docPr id="160" name="ECB019B1-382A-4266-B25C-5B523AA43C14-1" descr="C:/Users/Administrator/AppData/Local/Temp/wps.pQPpI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ECB019B1-382A-4266-B25C-5B523AA43C14-1" descr="C:/Users/Administrator/AppData/Local/Temp/wps.pQPpIUwps"/>
                    <pic:cNvPicPr>
                      <a:picLocks noChangeAspect="1"/>
                    </pic:cNvPicPr>
                  </pic:nvPicPr>
                  <pic:blipFill>
                    <a:blip r:embed="rId80"/>
                    <a:stretch>
                      <a:fillRect/>
                    </a:stretch>
                  </pic:blipFill>
                  <pic:spPr>
                    <a:xfrm>
                      <a:off x="0" y="0"/>
                      <a:ext cx="5272405" cy="2465705"/>
                    </a:xfrm>
                    <a:prstGeom prst="rect">
                      <a:avLst/>
                    </a:prstGeom>
                  </pic:spPr>
                </pic:pic>
              </a:graphicData>
            </a:graphic>
          </wp:inline>
        </w:drawing>
      </w:r>
    </w:p>
    <w:p w14:paraId="21BBE320">
      <w:pPr>
        <w:ind w:firstLine="0" w:firstLineChars="0"/>
        <w:jc w:val="center"/>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图9.3-1</w:t>
      </w:r>
      <w:r>
        <w:rPr>
          <w:rFonts w:hint="eastAsia" w:ascii="宋体" w:hAnsi="宋体" w:cs="Times New Roman"/>
          <w:b/>
          <w:bCs/>
          <w:kern w:val="2"/>
          <w:sz w:val="24"/>
          <w:szCs w:val="24"/>
          <w:lang w:val="en-US" w:eastAsia="zh-CN" w:bidi="ar-SA"/>
        </w:rPr>
        <w:t>：</w:t>
      </w:r>
      <w:r>
        <w:rPr>
          <w:rFonts w:hint="eastAsia" w:ascii="宋体" w:hAnsi="宋体" w:eastAsia="宋体" w:cs="Times New Roman"/>
          <w:b/>
          <w:bCs/>
          <w:kern w:val="2"/>
          <w:sz w:val="24"/>
          <w:szCs w:val="24"/>
          <w:lang w:val="en-US" w:eastAsia="zh-CN" w:bidi="ar-SA"/>
        </w:rPr>
        <w:t xml:space="preserve"> 拆除工艺流程</w:t>
      </w:r>
    </w:p>
    <w:p w14:paraId="5EE7CF95">
      <w:pPr>
        <w:pStyle w:val="5"/>
        <w:numPr>
          <w:ilvl w:val="0"/>
          <w:numId w:val="42"/>
        </w:numPr>
        <w:ind w:left="0" w:leftChars="0" w:firstLine="0" w:firstLineChars="0"/>
        <w:rPr>
          <w:rFonts w:hint="eastAsia"/>
          <w:lang w:val="en-US" w:eastAsia="zh-CN"/>
        </w:rPr>
      </w:pPr>
      <w:bookmarkStart w:id="92" w:name="_Toc19601"/>
      <w:bookmarkStart w:id="93" w:name="_Toc29093"/>
      <w:bookmarkStart w:id="94" w:name="_Toc13390"/>
      <w:bookmarkStart w:id="95" w:name="_Toc8152"/>
      <w:r>
        <w:rPr>
          <w:rFonts w:hint="eastAsia"/>
          <w:lang w:val="en-US" w:eastAsia="zh-CN"/>
        </w:rPr>
        <w:t>降</w:t>
      </w:r>
      <w:r>
        <w:rPr>
          <w:rFonts w:hint="eastAsia" w:asciiTheme="minorHAnsi" w:hAnsiTheme="minorHAnsi" w:eastAsiaTheme="majorEastAsia" w:cstheme="majorBidi"/>
          <w:b/>
          <w:bCs/>
          <w:kern w:val="2"/>
          <w:sz w:val="28"/>
          <w:szCs w:val="32"/>
          <w:lang w:val="en-US" w:eastAsia="zh-CN" w:bidi="ar-SA"/>
        </w:rPr>
        <w:t>塔</w:t>
      </w:r>
      <w:bookmarkEnd w:id="92"/>
      <w:bookmarkEnd w:id="93"/>
      <w:bookmarkEnd w:id="94"/>
      <w:bookmarkEnd w:id="95"/>
    </w:p>
    <w:p w14:paraId="2E6FCBA4">
      <w:pPr>
        <w:numPr>
          <w:ilvl w:val="0"/>
          <w:numId w:val="45"/>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将起重臂回转到引进方向(爬升架中有开口的一侧)，使回转制动器处于制动状态，载重小车停在配平位置(与立塔顶升加节时载重小车的配平位置一致):</w:t>
      </w:r>
    </w:p>
    <w:p w14:paraId="451A79AF">
      <w:pPr>
        <w:numPr>
          <w:ilvl w:val="0"/>
          <w:numId w:val="45"/>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拆掉最上面塔身标准节与特殊节的连接销轴，伸长顶升油缸，将顶升横梁顶在从上往下数第三个踏步的圆弧槽内，插好防脱销，稍稍向上顶升，将引进轮按规定方向放至到标准节下方，并保证安全可靠；然后拆掉最上面的塔身标准节与下一节标准节的连接销轴</w:t>
      </w:r>
      <w:r>
        <w:rPr>
          <w:rFonts w:hint="eastAsia" w:ascii="宋体" w:hAnsi="宋体" w:cs="宋体"/>
          <w:lang w:val="en-US" w:eastAsia="zh-CN"/>
        </w:rPr>
        <w:t>；</w:t>
      </w:r>
    </w:p>
    <w:p w14:paraId="6FA15BF7">
      <w:pPr>
        <w:numPr>
          <w:ilvl w:val="0"/>
          <w:numId w:val="45"/>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继续顶升至最上面标准节与下方标准节离开，把标准节推出引进横梁并支稳(推出时且不可用力过猛，以免标准节冲出引进梁而倾翻，造成事故)；</w:t>
      </w:r>
    </w:p>
    <w:p w14:paraId="71EC9DF6">
      <w:pPr>
        <w:numPr>
          <w:ilvl w:val="0"/>
          <w:numId w:val="45"/>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扳开活动爬爪，回缩油缸，让活动爬爪躲过距它最近的一对踏步后，复位放平，继续下降至活动爬爪支承在下一对踏步上并支承住上部结构后，退出防脱销，再回缩油缸至顶升横梁从踏步上移开</w:t>
      </w:r>
      <w:r>
        <w:rPr>
          <w:rFonts w:hint="eastAsia" w:ascii="宋体" w:hAnsi="宋体" w:cs="宋体"/>
          <w:lang w:val="en-US" w:eastAsia="zh-CN"/>
        </w:rPr>
        <w:t>；</w:t>
      </w:r>
    </w:p>
    <w:p w14:paraId="25117603">
      <w:pPr>
        <w:numPr>
          <w:ilvl w:val="0"/>
          <w:numId w:val="45"/>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伸出油缸，将顶升横梁顶在下一对踏步上，插好防脱销，稍微顶升至爬爪翻转时能躲过原来支承的踏步后停止，拨开爬爪，回缩油缸，至下一标准节与特殊节相接触时为止，若连接鱼尾板销轴孔错位，可用随机爬升架调节工具调节到位(严禁用载重小车调位或打回转调整)</w:t>
      </w:r>
      <w:r>
        <w:rPr>
          <w:rFonts w:hint="eastAsia" w:ascii="宋体" w:hAnsi="宋体" w:cs="宋体"/>
          <w:lang w:val="en-US" w:eastAsia="zh-CN"/>
        </w:rPr>
        <w:t>；</w:t>
      </w:r>
    </w:p>
    <w:p w14:paraId="434624EB">
      <w:pPr>
        <w:numPr>
          <w:ilvl w:val="0"/>
          <w:numId w:val="45"/>
        </w:numPr>
        <w:ind w:left="0" w:leftChars="0" w:firstLine="400" w:firstLineChars="0"/>
        <w:rPr>
          <w:rFonts w:hint="eastAsia" w:ascii="宋体" w:hAnsi="宋体" w:eastAsia="宋体" w:cs="宋体"/>
          <w:lang w:val="en-US" w:eastAsia="zh-CN"/>
        </w:rPr>
      </w:pPr>
      <w:r>
        <w:rPr>
          <w:rFonts w:hint="eastAsia" w:ascii="宋体" w:hAnsi="宋体" w:eastAsia="宋体" w:cs="宋体"/>
          <w:lang w:val="en-US" w:eastAsia="zh-CN"/>
        </w:rPr>
        <w:t>将特殊节与塔身标准节之间用销轴紧固牢，用小车吊钩将标准节吊至地面；</w:t>
      </w:r>
    </w:p>
    <w:p w14:paraId="40C74756">
      <w:pPr>
        <w:numPr>
          <w:ilvl w:val="0"/>
          <w:numId w:val="45"/>
        </w:numPr>
        <w:ind w:left="0" w:leftChars="0" w:firstLine="400" w:firstLineChars="0"/>
        <w:rPr>
          <w:rFonts w:hint="eastAsia" w:asciiTheme="minorEastAsia" w:hAnsiTheme="minorEastAsia" w:cstheme="minorEastAsia"/>
          <w:szCs w:val="24"/>
        </w:rPr>
      </w:pPr>
      <w:r>
        <w:rPr>
          <w:rFonts w:hint="eastAsia" w:ascii="宋体" w:hAnsi="宋体" w:eastAsia="宋体" w:cs="宋体"/>
          <w:lang w:val="en-US" w:eastAsia="zh-CN"/>
        </w:rPr>
        <w:t>重复上述动作，将塔身降至</w:t>
      </w:r>
      <w:r>
        <w:rPr>
          <w:rFonts w:hint="eastAsia" w:asciiTheme="minorEastAsia" w:hAnsiTheme="minorEastAsia" w:cstheme="minorEastAsia"/>
          <w:szCs w:val="24"/>
          <w:lang w:val="en-US" w:eastAsia="zh-CN"/>
        </w:rPr>
        <w:t>高度15.2m（2节标准节、1节基础节）</w:t>
      </w:r>
      <w:r>
        <w:rPr>
          <w:rFonts w:hint="eastAsia" w:ascii="宋体" w:hAnsi="宋体" w:eastAsia="宋体" w:cs="宋体"/>
          <w:lang w:val="en-US" w:eastAsia="zh-CN"/>
        </w:rPr>
        <w:t>。</w:t>
      </w:r>
    </w:p>
    <w:p w14:paraId="3A2CA8BA">
      <w:pPr>
        <w:pStyle w:val="5"/>
        <w:numPr>
          <w:ilvl w:val="0"/>
          <w:numId w:val="42"/>
        </w:numPr>
        <w:ind w:left="0" w:leftChars="0" w:firstLine="0" w:firstLineChars="0"/>
        <w:rPr>
          <w:rFonts w:hint="eastAsia" w:ascii="Times New Roman" w:hAnsi="Times New Roman" w:eastAsiaTheme="majorEastAsia" w:cstheme="majorBidi"/>
          <w:b/>
          <w:bCs/>
          <w:kern w:val="2"/>
          <w:sz w:val="28"/>
          <w:szCs w:val="32"/>
          <w:lang w:val="en-US" w:eastAsia="zh-CN" w:bidi="ar-SA"/>
        </w:rPr>
      </w:pPr>
      <w:bookmarkStart w:id="96" w:name="_Toc17058"/>
      <w:r>
        <w:rPr>
          <w:rFonts w:hint="eastAsia" w:cstheme="majorBidi"/>
          <w:b/>
          <w:bCs/>
          <w:kern w:val="2"/>
          <w:sz w:val="28"/>
          <w:szCs w:val="32"/>
          <w:lang w:val="en-US" w:eastAsia="zh-CN" w:bidi="ar-SA"/>
        </w:rPr>
        <w:t>拆除电气系统</w:t>
      </w:r>
      <w:bookmarkEnd w:id="96"/>
    </w:p>
    <w:p w14:paraId="2AE7B816">
      <w:pPr>
        <w:spacing w:line="480" w:lineRule="exact"/>
        <w:ind w:firstLine="480" w:firstLineChars="200"/>
        <w:rPr>
          <w:rFonts w:hint="eastAsia" w:asciiTheme="minorEastAsia" w:hAnsiTheme="minorEastAsia" w:cstheme="minorEastAsia"/>
          <w:szCs w:val="24"/>
          <w:lang w:val="en-US" w:eastAsia="zh-CN"/>
        </w:rPr>
      </w:pPr>
      <w:r>
        <w:rPr>
          <w:rFonts w:hint="eastAsia" w:asciiTheme="minorEastAsia" w:hAnsiTheme="minorEastAsia" w:cstheme="minorEastAsia"/>
          <w:szCs w:val="24"/>
          <w:lang w:val="en-US" w:eastAsia="zh-CN"/>
        </w:rPr>
        <w:t>将影响塔机部件吊装的电控系统线路断开，并向一端缠绕收拢。</w:t>
      </w:r>
    </w:p>
    <w:p w14:paraId="4331F664">
      <w:pPr>
        <w:pStyle w:val="5"/>
        <w:numPr>
          <w:ilvl w:val="0"/>
          <w:numId w:val="42"/>
        </w:numPr>
        <w:ind w:left="0" w:leftChars="0" w:firstLine="0" w:firstLineChars="0"/>
        <w:rPr>
          <w:rFonts w:hint="eastAsia"/>
          <w:lang w:val="en-US" w:eastAsia="zh-CN"/>
        </w:rPr>
      </w:pPr>
      <w:bookmarkStart w:id="97" w:name="_Toc12898"/>
      <w:r>
        <w:rPr>
          <w:rFonts w:hint="eastAsia" w:cstheme="majorBidi"/>
          <w:b/>
          <w:bCs/>
          <w:kern w:val="2"/>
          <w:sz w:val="28"/>
          <w:szCs w:val="32"/>
          <w:lang w:val="en-US" w:eastAsia="zh-CN" w:bidi="ar-SA"/>
        </w:rPr>
        <w:t>拆除吊钩和钢丝绳</w:t>
      </w:r>
      <w:bookmarkEnd w:id="97"/>
    </w:p>
    <w:p w14:paraId="75B440CC">
      <w:pPr>
        <w:pStyle w:val="6"/>
        <w:rPr>
          <w:rFonts w:hint="eastAsia"/>
          <w:lang w:val="en-US" w:eastAsia="zh-CN"/>
        </w:rPr>
      </w:pPr>
      <w:r>
        <w:rPr>
          <w:rFonts w:hint="eastAsia"/>
          <w:lang w:val="en-US" w:eastAsia="zh-CN"/>
        </w:rPr>
        <w:t>9.6.1拆除吊钩和起升钢丝绳</w:t>
      </w:r>
    </w:p>
    <w:p w14:paraId="7B2A1297">
      <w:pPr>
        <w:numPr>
          <w:ilvl w:val="0"/>
          <w:numId w:val="46"/>
        </w:numPr>
        <w:ind w:firstLine="480"/>
      </w:pPr>
      <w:r>
        <w:rPr>
          <w:rFonts w:hint="eastAsia"/>
        </w:rPr>
        <w:t>起升钢丝绳的拆卸与穿绕步骤相反。</w:t>
      </w:r>
    </w:p>
    <w:p w14:paraId="19EC0A11">
      <w:pPr>
        <w:numPr>
          <w:ilvl w:val="0"/>
          <w:numId w:val="46"/>
        </w:numPr>
        <w:ind w:firstLine="480"/>
      </w:pPr>
      <w:r>
        <w:rPr>
          <w:rFonts w:hint="eastAsia"/>
        </w:rPr>
        <w:t>用变幅机构将载重小车开至起重臂臂尖并放下吊钩至地面准备好的临时支架上，使起升绳不受力。</w:t>
      </w:r>
    </w:p>
    <w:p w14:paraId="2B6502C5">
      <w:pPr>
        <w:numPr>
          <w:ilvl w:val="0"/>
          <w:numId w:val="46"/>
        </w:numPr>
        <w:ind w:firstLine="480"/>
      </w:pPr>
      <w:r>
        <w:rPr>
          <w:rFonts w:hint="eastAsia"/>
        </w:rPr>
        <w:t>用固定绳夹将起升绳固定在载重小车上，并从防扭装置上拆下防扭装置上的楔形接头。</w:t>
      </w:r>
    </w:p>
    <w:p w14:paraId="0079273F">
      <w:pPr>
        <w:numPr>
          <w:ilvl w:val="0"/>
          <w:numId w:val="46"/>
        </w:numPr>
        <w:ind w:firstLine="480"/>
      </w:pPr>
      <w:r>
        <w:rPr>
          <w:rFonts w:hint="eastAsia"/>
        </w:rPr>
        <w:t>缓慢开动起升机构提升吊钩离地面约1米处，检查起升绳是否固定牢固。</w:t>
      </w:r>
    </w:p>
    <w:p w14:paraId="06DF1E4F">
      <w:pPr>
        <w:numPr>
          <w:ilvl w:val="0"/>
          <w:numId w:val="46"/>
        </w:numPr>
        <w:ind w:firstLine="480"/>
      </w:pPr>
      <w:r>
        <w:rPr>
          <w:rFonts w:hint="eastAsia"/>
        </w:rPr>
        <w:t>用变幅机构将载重小车开至起重臂臂根，放下吊钩将其固定在临时支架上。</w:t>
      </w:r>
    </w:p>
    <w:p w14:paraId="39D3D716">
      <w:pPr>
        <w:numPr>
          <w:ilvl w:val="0"/>
          <w:numId w:val="46"/>
        </w:numPr>
        <w:ind w:firstLine="480"/>
      </w:pPr>
      <w:r>
        <w:rPr>
          <w:rFonts w:hint="eastAsia"/>
        </w:rPr>
        <w:t>拆除起升绳与楔形接头的连接，然后松开固定绳夹。</w:t>
      </w:r>
    </w:p>
    <w:p w14:paraId="2939EB75">
      <w:pPr>
        <w:numPr>
          <w:ilvl w:val="0"/>
          <w:numId w:val="46"/>
        </w:numPr>
        <w:ind w:firstLine="480"/>
        <w:rPr>
          <w:rFonts w:hint="default"/>
          <w:lang w:val="en-US" w:eastAsia="zh-CN"/>
        </w:rPr>
      </w:pPr>
      <w:r>
        <w:rPr>
          <w:rFonts w:hint="eastAsia"/>
        </w:rPr>
        <w:t>缓慢启动起升机构，依次从吊钩和载重小车的滑轮组及导向滑轮轮、起重量限制器滑、托辊拆除起升绳，最后将其收至起升机构。注意收绳时钢丝绳端用麻绳溜放，防止甩绳。</w:t>
      </w:r>
    </w:p>
    <w:p w14:paraId="6A830ADC">
      <w:pPr>
        <w:pStyle w:val="6"/>
        <w:rPr>
          <w:rFonts w:hint="eastAsia" w:cstheme="majorBidi"/>
          <w:b/>
          <w:bCs/>
          <w:kern w:val="2"/>
          <w:sz w:val="28"/>
          <w:szCs w:val="32"/>
          <w:lang w:val="en-US" w:eastAsia="zh-CN" w:bidi="ar-SA"/>
        </w:rPr>
      </w:pPr>
      <w:r>
        <w:rPr>
          <w:rFonts w:hint="eastAsia" w:cstheme="majorBidi"/>
          <w:b/>
          <w:bCs/>
          <w:kern w:val="2"/>
          <w:sz w:val="28"/>
          <w:szCs w:val="32"/>
          <w:lang w:val="en-US" w:eastAsia="zh-CN" w:bidi="ar-SA"/>
        </w:rPr>
        <w:t>9.6.2拆除变幅钢丝绳</w:t>
      </w:r>
    </w:p>
    <w:p w14:paraId="329E32C1">
      <w:pPr>
        <w:ind w:firstLine="480"/>
      </w:pPr>
      <w:r>
        <w:rPr>
          <w:rFonts w:hint="eastAsia"/>
        </w:rPr>
        <w:t>（1）</w:t>
      </w:r>
      <w:r>
        <w:t>作业人员通过塔身内爬梯上到</w:t>
      </w:r>
      <w:r>
        <w:rPr>
          <w:rFonts w:hint="eastAsia"/>
          <w:lang w:val="en-US" w:eastAsia="zh-CN"/>
        </w:rPr>
        <w:t>回转塔身</w:t>
      </w:r>
      <w:r>
        <w:t>平台，将安全带交替系挂在起重臂</w:t>
      </w:r>
      <w:r>
        <w:rPr>
          <w:rFonts w:hint="eastAsia"/>
        </w:rPr>
        <w:t>栏杆</w:t>
      </w:r>
      <w:r>
        <w:t>上，行走至载重小车处解除后变幅钢丝绳与载重小车的连接。</w:t>
      </w:r>
    </w:p>
    <w:p w14:paraId="0961422E">
      <w:pPr>
        <w:ind w:firstLine="480"/>
      </w:pPr>
      <w:r>
        <w:rPr>
          <w:rFonts w:hint="eastAsia"/>
        </w:rPr>
        <w:t>（2）</w:t>
      </w:r>
      <w:r>
        <w:t>启动变幅卷筒缓慢回收钢丝绳，回收时作业人员随钢丝绳同步行进，避免钢丝绳掉落，直到后起升钢丝绳全部收至变幅卷筒处。</w:t>
      </w:r>
    </w:p>
    <w:p w14:paraId="726A8A32">
      <w:pPr>
        <w:ind w:firstLine="480"/>
      </w:pPr>
      <w:r>
        <w:rPr>
          <w:rFonts w:hint="eastAsia"/>
        </w:rPr>
        <w:t>（3）</w:t>
      </w:r>
      <w:r>
        <w:t>作业人员将安全带交替系挂在起重臂</w:t>
      </w:r>
      <w:r>
        <w:rPr>
          <w:rFonts w:hint="eastAsia"/>
        </w:rPr>
        <w:t>栏杆</w:t>
      </w:r>
      <w:r>
        <w:t>上，行走至载重小车处解除前变幅钢丝绳与载重小车的连接。</w:t>
      </w:r>
    </w:p>
    <w:p w14:paraId="615C7678">
      <w:pPr>
        <w:ind w:firstLine="480"/>
        <w:rPr>
          <w:rFonts w:hint="default"/>
          <w:lang w:val="en-US" w:eastAsia="zh-CN"/>
        </w:rPr>
      </w:pPr>
      <w:r>
        <w:rPr>
          <w:rFonts w:hint="eastAsia"/>
        </w:rPr>
        <w:t>（4）</w:t>
      </w:r>
      <w:r>
        <w:t>启动变幅卷筒缓慢回收钢丝绳，回收时作业人员随钢丝绳同步行进，避免钢丝绳掉落，直到前起升钢丝绳全部收至变幅卷筒处。</w:t>
      </w:r>
    </w:p>
    <w:p w14:paraId="78A74141">
      <w:pPr>
        <w:pStyle w:val="5"/>
        <w:numPr>
          <w:ilvl w:val="0"/>
          <w:numId w:val="42"/>
        </w:numPr>
        <w:ind w:left="0" w:leftChars="0" w:firstLine="0" w:firstLineChars="0"/>
        <w:rPr>
          <w:rFonts w:hint="eastAsia"/>
          <w:lang w:val="en-US" w:eastAsia="zh-CN"/>
        </w:rPr>
      </w:pPr>
      <w:bookmarkStart w:id="98" w:name="_Toc15862"/>
      <w:r>
        <w:rPr>
          <w:rFonts w:hint="eastAsia"/>
          <w:lang w:val="en-US" w:eastAsia="zh-CN"/>
        </w:rPr>
        <w:t>拆除部分平衡重</w:t>
      </w:r>
      <w:bookmarkEnd w:id="98"/>
    </w:p>
    <w:p w14:paraId="7957DB3A">
      <w:pPr>
        <w:ind w:firstLine="480"/>
        <w:rPr>
          <w:rFonts w:hint="eastAsia" w:ascii="Times New Roman" w:hAnsi="Times New Roman"/>
          <w:lang w:val="en-US" w:eastAsia="zh-CN"/>
        </w:rPr>
      </w:pPr>
      <w:bookmarkStart w:id="99" w:name="_Toc24424"/>
      <w:r>
        <w:rPr>
          <w:rFonts w:hint="eastAsia" w:ascii="Times New Roman" w:hAnsi="Times New Roman"/>
          <w:lang w:val="en-US" w:eastAsia="zh-CN"/>
        </w:rPr>
        <w:t>65米臂长平衡重配置由3块3.2t平衡重、3块2.3t平衡重、1块1t平衡重组成。先拆除2块3.2t平衡重、3块2.3t平衡重、1块1t平衡重，其中最大起重量为3.2t平衡重。</w:t>
      </w:r>
    </w:p>
    <w:p w14:paraId="3EE3B423">
      <w:pPr>
        <w:ind w:firstLine="480"/>
        <w:rPr>
          <w:rFonts w:hint="eastAsia" w:ascii="Times New Roman" w:hAnsi="Times New Roman"/>
          <w:lang w:val="en-US" w:eastAsia="zh-CN"/>
        </w:rPr>
      </w:pPr>
      <w:r>
        <w:rPr>
          <w:rFonts w:hint="eastAsia" w:ascii="Times New Roman" w:hAnsi="Times New Roman"/>
          <w:lang w:val="en-US" w:eastAsia="zh-CN"/>
        </w:rPr>
        <w:t>35t汽车吊主臂长31.7m，吊装作业半径14m，额定起重量为9t&gt;3.2t，满足拆除吊装要求。</w:t>
      </w:r>
    </w:p>
    <w:p w14:paraId="618063FF">
      <w:pPr>
        <w:ind w:firstLine="480"/>
        <w:rPr>
          <w:rFonts w:hint="eastAsia" w:ascii="Times New Roman" w:hAnsi="Times New Roman"/>
          <w:lang w:val="en-US" w:eastAsia="zh-CN"/>
        </w:rPr>
      </w:pPr>
      <w:r>
        <w:rPr>
          <w:rFonts w:hint="eastAsia" w:ascii="Times New Roman" w:hAnsi="Times New Roman"/>
          <w:lang w:val="en-US" w:eastAsia="zh-CN"/>
        </w:rPr>
        <w:t>平衡重吊装采用两点吊，以平衡重顶部预埋的2个吊耳板作为吊装孔，采用2根16mm6×19+FC1870Mpa的钢丝绳配套GB/T 25854-6-DW5卸扣进行起吊。</w:t>
      </w:r>
    </w:p>
    <w:p w14:paraId="25CFAD54">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3859A990">
      <w:pPr>
        <w:ind w:firstLine="480"/>
        <w:rPr>
          <w:rFonts w:hint="eastAsia" w:ascii="Times New Roman" w:hAnsi="Times New Roman"/>
          <w:lang w:val="en-US" w:eastAsia="zh-CN"/>
        </w:rPr>
      </w:pPr>
      <w:r>
        <w:rPr>
          <w:rFonts w:hint="eastAsia" w:ascii="Times New Roman" w:hAnsi="Times New Roman"/>
          <w:lang w:val="en-US" w:eastAsia="zh-CN"/>
        </w:rPr>
        <w:t>按装配重的相反顺序，将各块配重依次卸下，仅留下3.2t*1配重块。</w:t>
      </w:r>
    </w:p>
    <w:p w14:paraId="536305F0">
      <w:pPr>
        <w:ind w:firstLine="480"/>
        <w:rPr>
          <w:rFonts w:hint="eastAsia" w:ascii="Times New Roman" w:hAnsi="Times New Roman"/>
          <w:lang w:val="en-US" w:eastAsia="zh-CN"/>
        </w:rPr>
      </w:pPr>
      <w:r>
        <w:rPr>
          <w:rFonts w:hint="eastAsia" w:ascii="Times New Roman" w:hAnsi="Times New Roman"/>
          <w:lang w:val="en-US" w:eastAsia="zh-CN"/>
        </w:rPr>
        <w:t>塔式起重机平衡重拆除时设置警戒区，起吊安排专人负责指挥，专人操作，严禁无关人员进入起重作业范围内。</w:t>
      </w:r>
      <w:bookmarkEnd w:id="99"/>
      <w:r>
        <w:rPr>
          <w:rFonts w:hint="eastAsia" w:ascii="Times New Roman" w:hAnsi="Times New Roman"/>
          <w:lang w:val="en-US" w:eastAsia="zh-CN"/>
        </w:rPr>
        <w:t xml:space="preserve"> </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32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C82429E">
            <w:pPr>
              <w:spacing w:line="360" w:lineRule="auto"/>
              <w:jc w:val="center"/>
            </w:pPr>
            <w:r>
              <w:drawing>
                <wp:inline distT="0" distB="0" distL="114300" distR="114300">
                  <wp:extent cx="5268595" cy="3215005"/>
                  <wp:effectExtent l="0" t="0" r="8255" b="4445"/>
                  <wp:docPr id="1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0"/>
                          <pic:cNvPicPr>
                            <a:picLocks noChangeAspect="1"/>
                          </pic:cNvPicPr>
                        </pic:nvPicPr>
                        <pic:blipFill>
                          <a:blip r:embed="rId81"/>
                          <a:stretch>
                            <a:fillRect/>
                          </a:stretch>
                        </pic:blipFill>
                        <pic:spPr>
                          <a:xfrm>
                            <a:off x="0" y="0"/>
                            <a:ext cx="5268595" cy="3215005"/>
                          </a:xfrm>
                          <a:prstGeom prst="rect">
                            <a:avLst/>
                          </a:prstGeom>
                          <a:noFill/>
                          <a:ln>
                            <a:noFill/>
                          </a:ln>
                        </pic:spPr>
                      </pic:pic>
                    </a:graphicData>
                  </a:graphic>
                </wp:inline>
              </w:drawing>
            </w:r>
          </w:p>
        </w:tc>
      </w:tr>
      <w:tr w14:paraId="7E9F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522" w:type="dxa"/>
          </w:tcPr>
          <w:p w14:paraId="13C545DD">
            <w:pPr>
              <w:spacing w:line="360" w:lineRule="auto"/>
              <w:ind w:firstLine="480"/>
              <w:jc w:val="center"/>
            </w:pPr>
            <w:r>
              <w:rPr>
                <w:rFonts w:hint="eastAsia" w:ascii="宋体" w:hAnsi="宋体" w:cs="宋体"/>
                <w:sz w:val="21"/>
                <w:szCs w:val="22"/>
                <w:lang w:val="en-US" w:eastAsia="zh-CN"/>
              </w:rPr>
              <w:t>拆卸平衡重</w:t>
            </w:r>
            <w:r>
              <w:rPr>
                <w:rFonts w:hint="eastAsia" w:ascii="宋体" w:hAnsi="宋体" w:cs="宋体"/>
                <w:sz w:val="21"/>
                <w:szCs w:val="22"/>
              </w:rPr>
              <w:t>平面示意图</w:t>
            </w:r>
          </w:p>
        </w:tc>
      </w:tr>
      <w:tr w14:paraId="262A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14D8026">
            <w:pPr>
              <w:spacing w:line="360" w:lineRule="auto"/>
              <w:jc w:val="center"/>
            </w:pPr>
            <w:r>
              <w:drawing>
                <wp:inline distT="0" distB="0" distL="114300" distR="114300">
                  <wp:extent cx="5274310" cy="2391410"/>
                  <wp:effectExtent l="0" t="0" r="2540"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2"/>
                          <a:stretch>
                            <a:fillRect/>
                          </a:stretch>
                        </pic:blipFill>
                        <pic:spPr>
                          <a:xfrm>
                            <a:off x="0" y="0"/>
                            <a:ext cx="5274310" cy="2391410"/>
                          </a:xfrm>
                          <a:prstGeom prst="rect">
                            <a:avLst/>
                          </a:prstGeom>
                          <a:noFill/>
                          <a:ln>
                            <a:noFill/>
                          </a:ln>
                        </pic:spPr>
                      </pic:pic>
                    </a:graphicData>
                  </a:graphic>
                </wp:inline>
              </w:drawing>
            </w:r>
          </w:p>
        </w:tc>
      </w:tr>
      <w:tr w14:paraId="74FE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E6B977B">
            <w:pPr>
              <w:spacing w:line="360" w:lineRule="auto"/>
              <w:ind w:firstLine="480"/>
              <w:jc w:val="center"/>
            </w:pPr>
            <w:r>
              <w:rPr>
                <w:rFonts w:hint="eastAsia" w:ascii="宋体" w:hAnsi="宋体" w:cs="宋体"/>
                <w:sz w:val="21"/>
                <w:szCs w:val="22"/>
                <w:lang w:val="en-US" w:eastAsia="zh-CN"/>
              </w:rPr>
              <w:t>拆卸平衡重立</w:t>
            </w:r>
            <w:r>
              <w:rPr>
                <w:rFonts w:hint="eastAsia" w:ascii="宋体" w:hAnsi="宋体" w:cs="宋体"/>
                <w:sz w:val="21"/>
                <w:szCs w:val="22"/>
              </w:rPr>
              <w:t>面示意图</w:t>
            </w:r>
          </w:p>
        </w:tc>
      </w:tr>
    </w:tbl>
    <w:p w14:paraId="6F508B37">
      <w:pPr>
        <w:spacing w:line="480" w:lineRule="exact"/>
        <w:rPr>
          <w:rFonts w:hint="eastAsia" w:ascii="宋体" w:hAnsi="宋体" w:eastAsia="宋体" w:cs="宋体"/>
          <w:b w:val="0"/>
          <w:bCs w:val="0"/>
          <w:color w:val="auto"/>
          <w:sz w:val="24"/>
          <w:szCs w:val="24"/>
        </w:rPr>
      </w:pPr>
    </w:p>
    <w:p w14:paraId="7E4AE7B1">
      <w:pPr>
        <w:pStyle w:val="5"/>
        <w:numPr>
          <w:ilvl w:val="0"/>
          <w:numId w:val="42"/>
        </w:numPr>
        <w:ind w:left="0" w:leftChars="0" w:firstLine="0" w:firstLineChars="0"/>
        <w:rPr>
          <w:rFonts w:hint="eastAsia"/>
          <w:lang w:val="en-US" w:eastAsia="zh-CN"/>
        </w:rPr>
      </w:pPr>
      <w:bookmarkStart w:id="100" w:name="_Toc8497"/>
      <w:r>
        <w:rPr>
          <w:rFonts w:hint="eastAsia"/>
          <w:lang w:val="en-US" w:eastAsia="zh-CN"/>
        </w:rPr>
        <w:t>拆除部分起重臂</w:t>
      </w:r>
      <w:bookmarkEnd w:id="100"/>
    </w:p>
    <w:p w14:paraId="2F8B0BF3">
      <w:pPr>
        <w:ind w:firstLine="480"/>
        <w:rPr>
          <w:rFonts w:hint="eastAsia" w:ascii="Times New Roman" w:hAnsi="Times New Roman"/>
          <w:lang w:val="en-US" w:eastAsia="zh-CN"/>
        </w:rPr>
      </w:pPr>
      <w:r>
        <w:rPr>
          <w:rFonts w:hint="eastAsia" w:ascii="Times New Roman" w:hAnsi="Times New Roman"/>
          <w:lang w:val="en-US" w:eastAsia="zh-CN"/>
        </w:rPr>
        <w:t>依次拆除臂节二</w:t>
      </w:r>
      <w:r>
        <w:rPr>
          <w:rFonts w:hint="default" w:ascii="Times New Roman" w:hAnsi="Times New Roman"/>
          <w:lang w:val="en-US" w:eastAsia="zh-CN"/>
        </w:rPr>
        <w:t>T</w:t>
      </w:r>
      <w:r>
        <w:rPr>
          <w:rFonts w:hint="eastAsia" w:ascii="Times New Roman" w:hAnsi="Times New Roman"/>
          <w:lang w:val="en-US" w:eastAsia="zh-CN"/>
        </w:rPr>
        <w:t>1212、臂节三</w:t>
      </w:r>
      <w:r>
        <w:rPr>
          <w:rFonts w:hint="default" w:ascii="Times New Roman" w:hAnsi="Times New Roman"/>
          <w:lang w:val="en-US" w:eastAsia="zh-CN"/>
        </w:rPr>
        <w:t>T</w:t>
      </w:r>
      <w:r>
        <w:rPr>
          <w:rFonts w:hint="eastAsia" w:ascii="Times New Roman" w:hAnsi="Times New Roman"/>
          <w:lang w:val="en-US" w:eastAsia="zh-CN"/>
        </w:rPr>
        <w:t>1203、臂节四</w:t>
      </w:r>
      <w:r>
        <w:rPr>
          <w:rFonts w:hint="default" w:ascii="Times New Roman" w:hAnsi="Times New Roman"/>
          <w:lang w:val="en-US" w:eastAsia="zh-CN"/>
        </w:rPr>
        <w:t>T</w:t>
      </w:r>
      <w:r>
        <w:rPr>
          <w:rFonts w:hint="eastAsia" w:ascii="Times New Roman" w:hAnsi="Times New Roman"/>
          <w:lang w:val="en-US" w:eastAsia="zh-CN"/>
        </w:rPr>
        <w:t>1214A、臂节五</w:t>
      </w:r>
      <w:r>
        <w:rPr>
          <w:rFonts w:hint="default" w:ascii="Times New Roman" w:hAnsi="Times New Roman"/>
          <w:lang w:val="en-US" w:eastAsia="zh-CN"/>
        </w:rPr>
        <w:t>T</w:t>
      </w:r>
      <w:r>
        <w:rPr>
          <w:rFonts w:hint="eastAsia" w:ascii="Times New Roman" w:hAnsi="Times New Roman"/>
          <w:lang w:val="en-US" w:eastAsia="zh-CN"/>
        </w:rPr>
        <w:t>1205、臂节六</w:t>
      </w:r>
      <w:r>
        <w:rPr>
          <w:rFonts w:hint="default" w:ascii="Times New Roman" w:hAnsi="Times New Roman"/>
          <w:lang w:val="en-US" w:eastAsia="zh-CN"/>
        </w:rPr>
        <w:t>T</w:t>
      </w:r>
      <w:r>
        <w:rPr>
          <w:rFonts w:hint="eastAsia" w:ascii="Times New Roman" w:hAnsi="Times New Roman"/>
          <w:lang w:val="en-US" w:eastAsia="zh-CN"/>
        </w:rPr>
        <w:t>1206、臂节七T1217、臂节八T1209、臂节九T1210及臂头</w:t>
      </w:r>
      <w:r>
        <w:rPr>
          <w:rFonts w:hint="default" w:ascii="Times New Roman" w:hAnsi="Times New Roman"/>
          <w:lang w:val="en-US" w:eastAsia="zh-CN"/>
        </w:rPr>
        <w:t>T1</w:t>
      </w:r>
      <w:r>
        <w:rPr>
          <w:rFonts w:hint="eastAsia" w:ascii="Times New Roman" w:hAnsi="Times New Roman"/>
          <w:lang w:val="en-US" w:eastAsia="zh-CN"/>
        </w:rPr>
        <w:t>2</w:t>
      </w:r>
      <w:r>
        <w:rPr>
          <w:rFonts w:hint="default" w:ascii="Times New Roman" w:hAnsi="Times New Roman"/>
          <w:lang w:val="en-US" w:eastAsia="zh-CN"/>
        </w:rPr>
        <w:t>T</w:t>
      </w:r>
      <w:r>
        <w:rPr>
          <w:rFonts w:hint="eastAsia" w:ascii="Times New Roman" w:hAnsi="Times New Roman"/>
          <w:lang w:val="en-US" w:eastAsia="zh-CN"/>
        </w:rPr>
        <w:t>1。</w:t>
      </w:r>
      <w:r>
        <w:rPr>
          <w:rFonts w:hint="eastAsia"/>
          <w:lang w:val="en-US" w:eastAsia="zh-CN"/>
        </w:rPr>
        <w:t>拆除</w:t>
      </w:r>
      <w:r>
        <w:rPr>
          <w:rFonts w:hint="eastAsia" w:ascii="Times New Roman" w:hAnsi="Times New Roman"/>
          <w:lang w:val="en-US" w:eastAsia="zh-CN"/>
        </w:rPr>
        <w:t>臂节三至臂头</w:t>
      </w:r>
      <w:r>
        <w:rPr>
          <w:rFonts w:hint="eastAsia"/>
          <w:lang w:val="en-US" w:eastAsia="zh-CN"/>
        </w:rPr>
        <w:t>，</w:t>
      </w:r>
      <w:r>
        <w:rPr>
          <w:rFonts w:hint="eastAsia" w:ascii="Times New Roman" w:hAnsi="Times New Roman"/>
          <w:lang w:val="en-US" w:eastAsia="zh-CN"/>
        </w:rPr>
        <w:t>汽车吊主臂长37.9m，吊装作业半径为28m，其中最重吊重为臂节三1.401t，额定起重量为2t&gt;1.401t</w:t>
      </w:r>
      <w:r>
        <w:rPr>
          <w:rFonts w:hint="eastAsia"/>
          <w:lang w:val="en-US" w:eastAsia="zh-CN"/>
        </w:rPr>
        <w:t>；拆除</w:t>
      </w:r>
      <w:r>
        <w:rPr>
          <w:rFonts w:hint="eastAsia" w:ascii="Times New Roman" w:hAnsi="Times New Roman"/>
          <w:lang w:val="en-US" w:eastAsia="zh-CN"/>
        </w:rPr>
        <w:t>臂节二</w:t>
      </w:r>
      <w:r>
        <w:rPr>
          <w:rFonts w:hint="eastAsia"/>
          <w:lang w:val="en-US" w:eastAsia="zh-CN"/>
        </w:rPr>
        <w:t>，</w:t>
      </w:r>
      <w:r>
        <w:rPr>
          <w:rFonts w:hint="eastAsia" w:ascii="Times New Roman" w:hAnsi="Times New Roman"/>
          <w:lang w:val="en-US" w:eastAsia="zh-CN"/>
        </w:rPr>
        <w:t>汽车吊主臂长31.7m，吊装作业半径为14m，臂节二吊重为1.029t，额定起重量为9t&gt;1.029t，满足拆除要求。</w:t>
      </w:r>
    </w:p>
    <w:p w14:paraId="7173A395">
      <w:pPr>
        <w:ind w:firstLine="480"/>
        <w:rPr>
          <w:rFonts w:hint="eastAsia" w:ascii="Times New Roman" w:hAnsi="Times New Roman"/>
          <w:lang w:val="en-US" w:eastAsia="zh-CN"/>
        </w:rPr>
      </w:pPr>
      <w:r>
        <w:rPr>
          <w:rFonts w:hint="eastAsia" w:ascii="Times New Roman" w:hAnsi="Times New Roman"/>
          <w:lang w:val="en-US" w:eastAsia="zh-CN"/>
        </w:rPr>
        <w:t>起重臂臂节吊装采用两点吊，以起重臂顶部2个吊耳板作为吊装孔，采用2根16mm6×19+FC1870Mpa的钢丝绳配套GB/T 25854-6-DW5卸扣进行起吊。</w:t>
      </w:r>
    </w:p>
    <w:p w14:paraId="6F7C4F86">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汽车吊吊钩上，启动汽车吊，将钢丝绳缓慢提升至起重臂上方时，作业人员通过爬梯爬至回转总成平台上，将安全带交替系挂在起重臂安全绳上，沿下弦杆走行至起重臂吊点位置处。汽车吊放松吊钩，将另一端钢丝绳与起重臂腹杆节点捆绑连接，采用卸扣固定，同时在起重臂腹杆上栓好2根溜绳。作业人员沿下弦杆走行至起重臂臂根节处，汽车吊轻轻将起重臂往上抬，拆除起重臂和起重臂臂根节的连接销轴，汽车吊起升吊钩，将起重臂竖直起吊一定安全高度后，再将起重臂下放至地面，稳固后汽车吊放松吊钩，作业人员在地面上解除钢丝绳与起重臂吊点的连接。</w:t>
      </w:r>
    </w:p>
    <w:p w14:paraId="6FD31B1A">
      <w:pPr>
        <w:ind w:firstLine="480"/>
        <w:rPr>
          <w:rFonts w:hint="eastAsia" w:ascii="Times New Roman" w:hAnsi="Times New Roman"/>
          <w:lang w:val="en-US" w:eastAsia="zh-CN"/>
        </w:rPr>
      </w:pPr>
      <w:r>
        <w:rPr>
          <w:rFonts w:hint="eastAsia" w:ascii="Times New Roman" w:hAnsi="Times New Roman"/>
          <w:lang w:val="en-US" w:eastAsia="zh-CN"/>
        </w:rPr>
        <w:t>剩余起重臂拆除步骤同起重臂臂节九及臂头拆除步骤。</w:t>
      </w:r>
    </w:p>
    <w:p w14:paraId="746C8773">
      <w:pPr>
        <w:ind w:firstLine="480"/>
        <w:rPr>
          <w:rFonts w:hint="eastAsia" w:ascii="Times New Roman" w:hAnsi="Times New Roman"/>
          <w:lang w:val="en-US" w:eastAsia="zh-CN"/>
        </w:rPr>
      </w:pPr>
      <w:r>
        <w:rPr>
          <w:rFonts w:hint="eastAsia" w:ascii="Times New Roman" w:hAnsi="Times New Roman"/>
          <w:lang w:val="en-US" w:eastAsia="zh-CN"/>
        </w:rPr>
        <w:t>塔式起重机起重臂拆除时设置警戒区，起吊安排专人负责指挥，专人操作，严禁无关人员进入起重作业范围内。</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2C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522" w:type="dxa"/>
          </w:tcPr>
          <w:p w14:paraId="356F5412">
            <w:pPr>
              <w:spacing w:line="360" w:lineRule="auto"/>
              <w:jc w:val="center"/>
            </w:pPr>
            <w:r>
              <w:drawing>
                <wp:inline distT="0" distB="0" distL="114300" distR="114300">
                  <wp:extent cx="3678555" cy="1929130"/>
                  <wp:effectExtent l="0" t="0" r="17145" b="13970"/>
                  <wp:docPr id="11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9"/>
                          <pic:cNvPicPr>
                            <a:picLocks noChangeAspect="1"/>
                          </pic:cNvPicPr>
                        </pic:nvPicPr>
                        <pic:blipFill>
                          <a:blip r:embed="rId83"/>
                          <a:stretch>
                            <a:fillRect/>
                          </a:stretch>
                        </pic:blipFill>
                        <pic:spPr>
                          <a:xfrm>
                            <a:off x="0" y="0"/>
                            <a:ext cx="3678555" cy="1929130"/>
                          </a:xfrm>
                          <a:prstGeom prst="rect">
                            <a:avLst/>
                          </a:prstGeom>
                          <a:noFill/>
                          <a:ln>
                            <a:noFill/>
                          </a:ln>
                        </pic:spPr>
                      </pic:pic>
                    </a:graphicData>
                  </a:graphic>
                </wp:inline>
              </w:drawing>
            </w:r>
          </w:p>
        </w:tc>
      </w:tr>
      <w:tr w14:paraId="75ED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4308E1C">
            <w:pPr>
              <w:spacing w:line="360" w:lineRule="auto"/>
              <w:ind w:firstLine="480"/>
              <w:jc w:val="center"/>
            </w:pPr>
            <w:r>
              <w:rPr>
                <w:rFonts w:hint="eastAsia" w:ascii="宋体" w:hAnsi="宋体" w:cs="宋体"/>
                <w:sz w:val="21"/>
                <w:szCs w:val="22"/>
                <w:lang w:val="en-US" w:eastAsia="zh-CN"/>
              </w:rPr>
              <w:t>拆卸起重臂臂节九及臂头、八、七、六、五、四、三</w:t>
            </w:r>
            <w:r>
              <w:rPr>
                <w:rFonts w:hint="eastAsia" w:ascii="宋体" w:hAnsi="宋体" w:cs="宋体"/>
                <w:sz w:val="21"/>
                <w:szCs w:val="22"/>
              </w:rPr>
              <w:t>平面示意图</w:t>
            </w:r>
          </w:p>
        </w:tc>
      </w:tr>
      <w:tr w14:paraId="6316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B847A21">
            <w:pPr>
              <w:spacing w:line="360" w:lineRule="auto"/>
              <w:jc w:val="center"/>
            </w:pPr>
            <w:r>
              <w:drawing>
                <wp:inline distT="0" distB="0" distL="114300" distR="114300">
                  <wp:extent cx="4496435" cy="2639060"/>
                  <wp:effectExtent l="0" t="0" r="18415"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4"/>
                          <a:stretch>
                            <a:fillRect/>
                          </a:stretch>
                        </pic:blipFill>
                        <pic:spPr>
                          <a:xfrm>
                            <a:off x="0" y="0"/>
                            <a:ext cx="4496435" cy="2639060"/>
                          </a:xfrm>
                          <a:prstGeom prst="rect">
                            <a:avLst/>
                          </a:prstGeom>
                          <a:noFill/>
                          <a:ln>
                            <a:noFill/>
                          </a:ln>
                        </pic:spPr>
                      </pic:pic>
                    </a:graphicData>
                  </a:graphic>
                </wp:inline>
              </w:drawing>
            </w:r>
            <w:r>
              <w:drawing>
                <wp:inline distT="0" distB="0" distL="114300" distR="114300">
                  <wp:extent cx="4800600" cy="3003550"/>
                  <wp:effectExtent l="0" t="0" r="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5"/>
                          <a:stretch>
                            <a:fillRect/>
                          </a:stretch>
                        </pic:blipFill>
                        <pic:spPr>
                          <a:xfrm>
                            <a:off x="0" y="0"/>
                            <a:ext cx="4800600" cy="3003550"/>
                          </a:xfrm>
                          <a:prstGeom prst="rect">
                            <a:avLst/>
                          </a:prstGeom>
                          <a:noFill/>
                          <a:ln>
                            <a:noFill/>
                          </a:ln>
                        </pic:spPr>
                      </pic:pic>
                    </a:graphicData>
                  </a:graphic>
                </wp:inline>
              </w:drawing>
            </w:r>
            <w:r>
              <w:drawing>
                <wp:inline distT="0" distB="0" distL="114300" distR="114300">
                  <wp:extent cx="4057650" cy="2701290"/>
                  <wp:effectExtent l="0" t="0" r="0"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86"/>
                          <a:stretch>
                            <a:fillRect/>
                          </a:stretch>
                        </pic:blipFill>
                        <pic:spPr>
                          <a:xfrm>
                            <a:off x="0" y="0"/>
                            <a:ext cx="4057650" cy="2701290"/>
                          </a:xfrm>
                          <a:prstGeom prst="rect">
                            <a:avLst/>
                          </a:prstGeom>
                          <a:noFill/>
                          <a:ln>
                            <a:noFill/>
                          </a:ln>
                        </pic:spPr>
                      </pic:pic>
                    </a:graphicData>
                  </a:graphic>
                </wp:inline>
              </w:drawing>
            </w:r>
            <w:r>
              <w:drawing>
                <wp:inline distT="0" distB="0" distL="114300" distR="114300">
                  <wp:extent cx="3587115" cy="2705735"/>
                  <wp:effectExtent l="0" t="0" r="13335" b="184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87"/>
                          <a:stretch>
                            <a:fillRect/>
                          </a:stretch>
                        </pic:blipFill>
                        <pic:spPr>
                          <a:xfrm>
                            <a:off x="0" y="0"/>
                            <a:ext cx="3587115" cy="2705735"/>
                          </a:xfrm>
                          <a:prstGeom prst="rect">
                            <a:avLst/>
                          </a:prstGeom>
                          <a:noFill/>
                          <a:ln>
                            <a:noFill/>
                          </a:ln>
                        </pic:spPr>
                      </pic:pic>
                    </a:graphicData>
                  </a:graphic>
                </wp:inline>
              </w:drawing>
            </w:r>
            <w:r>
              <w:drawing>
                <wp:inline distT="0" distB="0" distL="114300" distR="114300">
                  <wp:extent cx="3990975" cy="3065780"/>
                  <wp:effectExtent l="0" t="0" r="952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88"/>
                          <a:stretch>
                            <a:fillRect/>
                          </a:stretch>
                        </pic:blipFill>
                        <pic:spPr>
                          <a:xfrm>
                            <a:off x="0" y="0"/>
                            <a:ext cx="3990975" cy="3065780"/>
                          </a:xfrm>
                          <a:prstGeom prst="rect">
                            <a:avLst/>
                          </a:prstGeom>
                          <a:noFill/>
                          <a:ln>
                            <a:noFill/>
                          </a:ln>
                        </pic:spPr>
                      </pic:pic>
                    </a:graphicData>
                  </a:graphic>
                </wp:inline>
              </w:drawing>
            </w:r>
            <w:r>
              <w:drawing>
                <wp:inline distT="0" distB="0" distL="114300" distR="114300">
                  <wp:extent cx="3564890" cy="2484755"/>
                  <wp:effectExtent l="0" t="0" r="16510" b="1079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89"/>
                          <a:stretch>
                            <a:fillRect/>
                          </a:stretch>
                        </pic:blipFill>
                        <pic:spPr>
                          <a:xfrm>
                            <a:off x="0" y="0"/>
                            <a:ext cx="3564890" cy="2484755"/>
                          </a:xfrm>
                          <a:prstGeom prst="rect">
                            <a:avLst/>
                          </a:prstGeom>
                          <a:noFill/>
                          <a:ln>
                            <a:noFill/>
                          </a:ln>
                        </pic:spPr>
                      </pic:pic>
                    </a:graphicData>
                  </a:graphic>
                </wp:inline>
              </w:drawing>
            </w:r>
            <w:r>
              <w:drawing>
                <wp:inline distT="0" distB="0" distL="114300" distR="114300">
                  <wp:extent cx="3074035" cy="2988945"/>
                  <wp:effectExtent l="0" t="0" r="12065" b="19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90"/>
                          <a:stretch>
                            <a:fillRect/>
                          </a:stretch>
                        </pic:blipFill>
                        <pic:spPr>
                          <a:xfrm>
                            <a:off x="0" y="0"/>
                            <a:ext cx="3074035" cy="2988945"/>
                          </a:xfrm>
                          <a:prstGeom prst="rect">
                            <a:avLst/>
                          </a:prstGeom>
                          <a:noFill/>
                          <a:ln>
                            <a:noFill/>
                          </a:ln>
                        </pic:spPr>
                      </pic:pic>
                    </a:graphicData>
                  </a:graphic>
                </wp:inline>
              </w:drawing>
            </w:r>
          </w:p>
        </w:tc>
      </w:tr>
      <w:tr w14:paraId="0CF7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4FB1570">
            <w:pPr>
              <w:spacing w:line="360" w:lineRule="auto"/>
              <w:ind w:firstLine="480"/>
              <w:jc w:val="center"/>
            </w:pPr>
            <w:r>
              <w:rPr>
                <w:rFonts w:hint="eastAsia" w:ascii="宋体" w:hAnsi="宋体" w:cs="宋体"/>
                <w:sz w:val="21"/>
                <w:szCs w:val="22"/>
                <w:lang w:val="en-US" w:eastAsia="zh-CN"/>
              </w:rPr>
              <w:t>拆卸起重臂臂节九及臂头、八、七、六、五、四、三立</w:t>
            </w:r>
            <w:r>
              <w:rPr>
                <w:rFonts w:hint="eastAsia" w:ascii="宋体" w:hAnsi="宋体" w:cs="宋体"/>
                <w:sz w:val="21"/>
                <w:szCs w:val="22"/>
              </w:rPr>
              <w:t>面示意图</w:t>
            </w:r>
          </w:p>
        </w:tc>
      </w:tr>
      <w:tr w14:paraId="1CDC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2A1D0CE0">
            <w:pPr>
              <w:spacing w:line="360" w:lineRule="auto"/>
              <w:jc w:val="center"/>
            </w:pPr>
            <w:r>
              <w:drawing>
                <wp:inline distT="0" distB="0" distL="114300" distR="114300">
                  <wp:extent cx="3790315" cy="1971040"/>
                  <wp:effectExtent l="0" t="0" r="635" b="10160"/>
                  <wp:docPr id="13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8"/>
                          <pic:cNvPicPr>
                            <a:picLocks noChangeAspect="1"/>
                          </pic:cNvPicPr>
                        </pic:nvPicPr>
                        <pic:blipFill>
                          <a:blip r:embed="rId91"/>
                          <a:stretch>
                            <a:fillRect/>
                          </a:stretch>
                        </pic:blipFill>
                        <pic:spPr>
                          <a:xfrm>
                            <a:off x="0" y="0"/>
                            <a:ext cx="3790315" cy="1971040"/>
                          </a:xfrm>
                          <a:prstGeom prst="rect">
                            <a:avLst/>
                          </a:prstGeom>
                          <a:noFill/>
                          <a:ln>
                            <a:noFill/>
                          </a:ln>
                        </pic:spPr>
                      </pic:pic>
                    </a:graphicData>
                  </a:graphic>
                </wp:inline>
              </w:drawing>
            </w:r>
          </w:p>
        </w:tc>
      </w:tr>
      <w:tr w14:paraId="5A19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3BC6A718">
            <w:pPr>
              <w:spacing w:line="360" w:lineRule="auto"/>
              <w:ind w:firstLine="480"/>
              <w:jc w:val="center"/>
            </w:pPr>
            <w:r>
              <w:rPr>
                <w:rFonts w:hint="eastAsia" w:ascii="宋体" w:hAnsi="宋体" w:cs="宋体"/>
                <w:sz w:val="21"/>
                <w:szCs w:val="22"/>
                <w:lang w:val="en-US" w:eastAsia="zh-CN"/>
              </w:rPr>
              <w:t>拆卸起重臂臂节二平</w:t>
            </w:r>
            <w:r>
              <w:rPr>
                <w:rFonts w:hint="eastAsia" w:ascii="宋体" w:hAnsi="宋体" w:cs="宋体"/>
                <w:sz w:val="21"/>
                <w:szCs w:val="22"/>
              </w:rPr>
              <w:t>面示意图</w:t>
            </w:r>
          </w:p>
        </w:tc>
      </w:tr>
      <w:tr w14:paraId="3323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3E8DEA9">
            <w:pPr>
              <w:spacing w:line="360" w:lineRule="auto"/>
              <w:jc w:val="center"/>
            </w:pPr>
            <w:r>
              <w:drawing>
                <wp:inline distT="0" distB="0" distL="114300" distR="114300">
                  <wp:extent cx="2872740" cy="2694305"/>
                  <wp:effectExtent l="0" t="0" r="3810" b="1079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92"/>
                          <a:stretch>
                            <a:fillRect/>
                          </a:stretch>
                        </pic:blipFill>
                        <pic:spPr>
                          <a:xfrm>
                            <a:off x="0" y="0"/>
                            <a:ext cx="2872740" cy="2694305"/>
                          </a:xfrm>
                          <a:prstGeom prst="rect">
                            <a:avLst/>
                          </a:prstGeom>
                          <a:noFill/>
                          <a:ln>
                            <a:noFill/>
                          </a:ln>
                        </pic:spPr>
                      </pic:pic>
                    </a:graphicData>
                  </a:graphic>
                </wp:inline>
              </w:drawing>
            </w:r>
          </w:p>
        </w:tc>
      </w:tr>
      <w:tr w14:paraId="0491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522" w:type="dxa"/>
          </w:tcPr>
          <w:p w14:paraId="739935BB">
            <w:pPr>
              <w:spacing w:line="360" w:lineRule="auto"/>
              <w:ind w:firstLine="480"/>
              <w:jc w:val="center"/>
            </w:pPr>
            <w:r>
              <w:rPr>
                <w:rFonts w:hint="eastAsia" w:ascii="宋体" w:hAnsi="宋体" w:cs="宋体"/>
                <w:sz w:val="21"/>
                <w:szCs w:val="22"/>
                <w:lang w:val="en-US" w:eastAsia="zh-CN"/>
              </w:rPr>
              <w:t>拆卸起重臂臂节二立</w:t>
            </w:r>
            <w:r>
              <w:rPr>
                <w:rFonts w:hint="eastAsia" w:ascii="宋体" w:hAnsi="宋体" w:cs="宋体"/>
                <w:sz w:val="21"/>
                <w:szCs w:val="22"/>
              </w:rPr>
              <w:t>面示意图</w:t>
            </w:r>
          </w:p>
        </w:tc>
      </w:tr>
    </w:tbl>
    <w:p w14:paraId="15199055">
      <w:pPr>
        <w:spacing w:line="480" w:lineRule="exact"/>
        <w:ind w:firstLine="480" w:firstLineChars="200"/>
        <w:rPr>
          <w:rFonts w:hint="eastAsia" w:asciiTheme="minorEastAsia" w:hAnsiTheme="minorEastAsia" w:cstheme="minorEastAsia"/>
          <w:szCs w:val="24"/>
          <w:lang w:val="en-US" w:eastAsia="zh-CN"/>
        </w:rPr>
      </w:pPr>
    </w:p>
    <w:p w14:paraId="2BB13252">
      <w:pPr>
        <w:pStyle w:val="5"/>
        <w:numPr>
          <w:ilvl w:val="0"/>
          <w:numId w:val="42"/>
        </w:numPr>
        <w:ind w:left="0" w:leftChars="0" w:firstLine="0" w:firstLineChars="0"/>
        <w:rPr>
          <w:rFonts w:hint="eastAsia"/>
          <w:lang w:val="en-US" w:eastAsia="zh-CN"/>
        </w:rPr>
      </w:pPr>
      <w:bookmarkStart w:id="101" w:name="_Toc25163"/>
      <w:r>
        <w:rPr>
          <w:rFonts w:hint="eastAsia"/>
          <w:lang w:val="en-US" w:eastAsia="zh-CN"/>
        </w:rPr>
        <w:t>拆除剩余1块3.2t平衡重</w:t>
      </w:r>
      <w:bookmarkEnd w:id="101"/>
      <w:r>
        <w:rPr>
          <w:rFonts w:hint="eastAsia"/>
          <w:lang w:val="en-US" w:eastAsia="zh-CN"/>
        </w:rPr>
        <w:t xml:space="preserve"> </w:t>
      </w:r>
    </w:p>
    <w:p w14:paraId="26C194F4">
      <w:pPr>
        <w:ind w:firstLine="480"/>
        <w:rPr>
          <w:rFonts w:hint="eastAsia" w:ascii="Times New Roman" w:hAnsi="Times New Roman"/>
          <w:lang w:val="en-US" w:eastAsia="zh-CN"/>
        </w:rPr>
      </w:pPr>
      <w:r>
        <w:rPr>
          <w:rFonts w:hint="eastAsia" w:ascii="Times New Roman" w:hAnsi="Times New Roman"/>
          <w:lang w:val="en-US" w:eastAsia="zh-CN"/>
        </w:rPr>
        <w:t>平衡重吊重为3.2t，35t汽车吊主臂长31.7m，吊装作业半径14m，额定起重量为9t&gt;3.2t，满足拆除吊装要求。</w:t>
      </w:r>
    </w:p>
    <w:p w14:paraId="286B4799">
      <w:pPr>
        <w:ind w:firstLine="480"/>
        <w:rPr>
          <w:rFonts w:hint="eastAsia" w:ascii="Times New Roman" w:hAnsi="Times New Roman"/>
          <w:lang w:val="en-US" w:eastAsia="zh-CN"/>
        </w:rPr>
      </w:pPr>
      <w:r>
        <w:rPr>
          <w:rFonts w:hint="eastAsia" w:ascii="Times New Roman" w:hAnsi="Times New Roman"/>
          <w:lang w:val="en-US" w:eastAsia="zh-CN"/>
        </w:rPr>
        <w:t>平衡重吊装采用两点吊，以平衡重顶部预埋的2个吊耳板作为吊装孔，采用2根16mm6×19+FC1870Mpa的钢丝绳配套GB/T 25854-6-DW5卸扣进行起吊。</w:t>
      </w:r>
    </w:p>
    <w:p w14:paraId="5BA16AB9">
      <w:pPr>
        <w:ind w:firstLine="480"/>
        <w:rPr>
          <w:rFonts w:hint="eastAsia" w:ascii="Times New Roman" w:hAnsi="Times New Roman"/>
          <w:lang w:val="en-US" w:eastAsia="zh-CN"/>
        </w:rPr>
      </w:pPr>
      <w:r>
        <w:rPr>
          <w:rFonts w:hint="eastAsia" w:ascii="Times New Roman" w:hAnsi="Times New Roman"/>
          <w:lang w:val="en-US" w:eastAsia="zh-CN"/>
        </w:rP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19F1D20A">
      <w:pPr>
        <w:ind w:firstLine="480"/>
        <w:rPr>
          <w:rFonts w:hint="eastAsia" w:ascii="Times New Roman" w:hAnsi="Times New Roman"/>
          <w:lang w:val="en-US" w:eastAsia="zh-CN"/>
        </w:rPr>
      </w:pPr>
      <w:r>
        <w:rPr>
          <w:rFonts w:hint="eastAsia" w:ascii="Times New Roman" w:hAnsi="Times New Roman"/>
          <w:lang w:val="en-US" w:eastAsia="zh-CN"/>
        </w:rPr>
        <w:t>塔式起重机平衡重拆除时设置警戒区，起吊安排专人负责指挥，专人操作，严禁无关人员进入起重作业范围内。</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C7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522" w:type="dxa"/>
          </w:tcPr>
          <w:p w14:paraId="2D492AB7">
            <w:pPr>
              <w:spacing w:line="360" w:lineRule="auto"/>
              <w:jc w:val="center"/>
            </w:pPr>
            <w:r>
              <w:drawing>
                <wp:inline distT="0" distB="0" distL="114300" distR="114300">
                  <wp:extent cx="4789170" cy="2428240"/>
                  <wp:effectExtent l="0" t="0" r="11430" b="10160"/>
                  <wp:docPr id="12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7"/>
                          <pic:cNvPicPr>
                            <a:picLocks noChangeAspect="1"/>
                          </pic:cNvPicPr>
                        </pic:nvPicPr>
                        <pic:blipFill>
                          <a:blip r:embed="rId93"/>
                          <a:stretch>
                            <a:fillRect/>
                          </a:stretch>
                        </pic:blipFill>
                        <pic:spPr>
                          <a:xfrm>
                            <a:off x="0" y="0"/>
                            <a:ext cx="4789170" cy="2428240"/>
                          </a:xfrm>
                          <a:prstGeom prst="rect">
                            <a:avLst/>
                          </a:prstGeom>
                          <a:noFill/>
                          <a:ln>
                            <a:noFill/>
                          </a:ln>
                        </pic:spPr>
                      </pic:pic>
                    </a:graphicData>
                  </a:graphic>
                </wp:inline>
              </w:drawing>
            </w:r>
          </w:p>
        </w:tc>
      </w:tr>
      <w:tr w14:paraId="3F64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3ADF2103">
            <w:pPr>
              <w:spacing w:line="360" w:lineRule="auto"/>
              <w:ind w:firstLine="480"/>
              <w:jc w:val="center"/>
            </w:pPr>
            <w:r>
              <w:rPr>
                <w:rFonts w:hint="eastAsia" w:ascii="宋体" w:hAnsi="宋体" w:cs="宋体"/>
                <w:sz w:val="21"/>
                <w:szCs w:val="22"/>
                <w:lang w:val="en-US" w:eastAsia="zh-CN"/>
              </w:rPr>
              <w:t>拆卸剩余1块平衡重</w:t>
            </w:r>
            <w:r>
              <w:rPr>
                <w:rFonts w:hint="eastAsia" w:ascii="宋体" w:hAnsi="宋体" w:cs="宋体"/>
                <w:sz w:val="21"/>
                <w:szCs w:val="22"/>
              </w:rPr>
              <w:t>平面示意图</w:t>
            </w:r>
          </w:p>
        </w:tc>
      </w:tr>
      <w:tr w14:paraId="06C6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EC2C44D">
            <w:pPr>
              <w:spacing w:line="360" w:lineRule="auto"/>
              <w:jc w:val="center"/>
            </w:pPr>
            <w:r>
              <w:drawing>
                <wp:inline distT="0" distB="0" distL="114300" distR="114300">
                  <wp:extent cx="4255135" cy="3192780"/>
                  <wp:effectExtent l="0" t="0" r="12065" b="762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94"/>
                          <a:stretch>
                            <a:fillRect/>
                          </a:stretch>
                        </pic:blipFill>
                        <pic:spPr>
                          <a:xfrm>
                            <a:off x="0" y="0"/>
                            <a:ext cx="4255135" cy="3192780"/>
                          </a:xfrm>
                          <a:prstGeom prst="rect">
                            <a:avLst/>
                          </a:prstGeom>
                          <a:noFill/>
                          <a:ln>
                            <a:noFill/>
                          </a:ln>
                        </pic:spPr>
                      </pic:pic>
                    </a:graphicData>
                  </a:graphic>
                </wp:inline>
              </w:drawing>
            </w:r>
          </w:p>
        </w:tc>
      </w:tr>
      <w:tr w14:paraId="73D2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7989199">
            <w:pPr>
              <w:spacing w:line="360" w:lineRule="auto"/>
              <w:ind w:firstLine="480"/>
              <w:jc w:val="center"/>
            </w:pPr>
            <w:r>
              <w:rPr>
                <w:rFonts w:hint="eastAsia" w:ascii="宋体" w:hAnsi="宋体" w:cs="宋体"/>
                <w:sz w:val="21"/>
                <w:szCs w:val="22"/>
                <w:lang w:val="en-US" w:eastAsia="zh-CN"/>
              </w:rPr>
              <w:t>拆卸剩余1块平衡重立</w:t>
            </w:r>
            <w:r>
              <w:rPr>
                <w:rFonts w:hint="eastAsia" w:ascii="宋体" w:hAnsi="宋体" w:cs="宋体"/>
                <w:sz w:val="21"/>
                <w:szCs w:val="22"/>
              </w:rPr>
              <w:t>面示意图</w:t>
            </w:r>
          </w:p>
        </w:tc>
      </w:tr>
    </w:tbl>
    <w:p w14:paraId="5BBBB5EF">
      <w:pPr>
        <w:spacing w:line="480" w:lineRule="exact"/>
        <w:ind w:firstLine="480" w:firstLineChars="200"/>
        <w:rPr>
          <w:rFonts w:hint="eastAsia" w:asciiTheme="minorEastAsia" w:hAnsiTheme="minorEastAsia" w:cstheme="minorEastAsia"/>
          <w:szCs w:val="24"/>
          <w:lang w:val="en-US" w:eastAsia="zh-CN"/>
        </w:rPr>
      </w:pPr>
    </w:p>
    <w:p w14:paraId="5C3A4E7F">
      <w:pPr>
        <w:pStyle w:val="5"/>
        <w:numPr>
          <w:ilvl w:val="0"/>
          <w:numId w:val="42"/>
        </w:numPr>
        <w:ind w:left="0" w:leftChars="0" w:firstLine="0" w:firstLineChars="0"/>
        <w:rPr>
          <w:rFonts w:hint="eastAsia"/>
          <w:lang w:val="en-US" w:eastAsia="zh-CN"/>
        </w:rPr>
      </w:pPr>
      <w:bookmarkStart w:id="102" w:name="_Toc10382"/>
      <w:r>
        <w:rPr>
          <w:rFonts w:hint="eastAsia"/>
          <w:lang w:val="en-US" w:eastAsia="zh-CN"/>
        </w:rPr>
        <w:t>拆除平衡臂</w:t>
      </w:r>
      <w:bookmarkEnd w:id="102"/>
      <w:r>
        <w:rPr>
          <w:rFonts w:hint="eastAsia"/>
          <w:lang w:val="en-US" w:eastAsia="zh-CN"/>
        </w:rPr>
        <w:t xml:space="preserve"> </w:t>
      </w:r>
    </w:p>
    <w:p w14:paraId="14DDB07A">
      <w:pPr>
        <w:spacing w:line="480" w:lineRule="exact"/>
        <w:ind w:firstLine="480" w:firstLineChars="200"/>
        <w:rPr>
          <w:rFonts w:hint="eastAsia" w:ascii="Times New Roman" w:hAnsi="Times New Roman"/>
          <w:lang w:val="en-US" w:eastAsia="zh-CN"/>
        </w:rPr>
      </w:pPr>
      <w:bookmarkStart w:id="103" w:name="_Toc5511"/>
      <w:r>
        <w:rPr>
          <w:rFonts w:hint="eastAsia" w:ascii="Times New Roman" w:hAnsi="Times New Roman"/>
          <w:lang w:val="en-US" w:eastAsia="zh-CN"/>
        </w:rPr>
        <w:t>平衡臂吊重为5.2t，35t汽车吊主臂长31.7m，吊装作业半径14m，额定起重量为9t&gt;5.2t，满足拆除吊装要求。</w:t>
      </w:r>
    </w:p>
    <w:p w14:paraId="6664F25D">
      <w:pPr>
        <w:spacing w:line="480" w:lineRule="exact"/>
        <w:ind w:firstLine="480" w:firstLineChars="200"/>
        <w:rPr>
          <w:rFonts w:hint="default" w:ascii="Times New Roman" w:hAnsi="Times New Roman"/>
          <w:lang w:val="en-US" w:eastAsia="zh-CN"/>
        </w:rPr>
      </w:pPr>
      <w:r>
        <w:rPr>
          <w:rFonts w:hint="eastAsia" w:ascii="Times New Roman" w:hAnsi="Times New Roman"/>
          <w:lang w:val="en-US" w:eastAsia="zh-CN"/>
        </w:rPr>
        <w:t>平衡臂吊装采用四点吊，以平衡臂顶部4个吊耳板作为吊装孔，采用4根18mm6×19+FC1870Mpa的钢丝绳配套GB/T 25854-6-DW5卸扣进行起吊。</w:t>
      </w:r>
    </w:p>
    <w:p w14:paraId="257AD8D9">
      <w:pPr>
        <w:spacing w:line="480" w:lineRule="exact"/>
        <w:ind w:firstLine="480" w:firstLineChars="200"/>
        <w:rPr>
          <w:rFonts w:hint="default" w:ascii="Times New Roman" w:hAnsi="Times New Roman"/>
          <w:lang w:val="en-US" w:eastAsia="zh-CN"/>
        </w:rPr>
      </w:pPr>
      <w:r>
        <w:rPr>
          <w:rFonts w:hint="default" w:ascii="Times New Roman" w:hAnsi="Times New Roman"/>
          <w:lang w:val="en-US" w:eastAsia="zh-CN"/>
        </w:rPr>
        <w:t>作业人员在地面上先将钢丝绳一端挂在</w:t>
      </w:r>
      <w:r>
        <w:rPr>
          <w:rFonts w:hint="eastAsia" w:ascii="Times New Roman" w:hAnsi="Times New Roman"/>
          <w:lang w:val="en-US" w:eastAsia="zh-CN"/>
        </w:rPr>
        <w:t>汽车吊</w:t>
      </w:r>
      <w:r>
        <w:rPr>
          <w:rFonts w:hint="default" w:ascii="Times New Roman" w:hAnsi="Times New Roman"/>
          <w:lang w:val="en-US" w:eastAsia="zh-CN"/>
        </w:rPr>
        <w:t>吊钩上，另一端与卸扣连接，启动</w:t>
      </w:r>
      <w:r>
        <w:rPr>
          <w:rFonts w:hint="eastAsia" w:ascii="Times New Roman" w:hAnsi="Times New Roman"/>
          <w:lang w:val="en-US" w:eastAsia="zh-CN"/>
        </w:rPr>
        <w:t>汽车吊</w:t>
      </w:r>
      <w:r>
        <w:rPr>
          <w:rFonts w:hint="default" w:ascii="Times New Roman" w:hAnsi="Times New Roman"/>
          <w:lang w:val="en-US" w:eastAsia="zh-CN"/>
        </w:rPr>
        <w:t>，将卸扣缓慢提升至平衡臂上方，作业人员将安全带系挂在平衡臂横杆上，通过平衡臂走道走行至平衡臂吊耳位置，</w:t>
      </w:r>
      <w:r>
        <w:rPr>
          <w:rFonts w:hint="eastAsia" w:ascii="Times New Roman" w:hAnsi="Times New Roman"/>
          <w:lang w:val="en-US" w:eastAsia="zh-CN"/>
        </w:rPr>
        <w:t>汽车吊</w:t>
      </w:r>
      <w:r>
        <w:rPr>
          <w:rFonts w:hint="default" w:ascii="Times New Roman" w:hAnsi="Times New Roman"/>
          <w:lang w:val="en-US" w:eastAsia="zh-CN"/>
        </w:rPr>
        <w:t>放松吊钩，作业人员将卸扣与平衡臂吊耳通过销轴连接，同时在平衡臂杆件上栓好2根溜绳。作业人员通过平衡臂走道走行至起重臂臂根节处，将安全带系挂在起重臂臂根节的横杆上，</w:t>
      </w:r>
      <w:r>
        <w:rPr>
          <w:rFonts w:hint="eastAsia" w:ascii="Times New Roman" w:hAnsi="Times New Roman"/>
          <w:lang w:val="en-US" w:eastAsia="zh-CN"/>
        </w:rPr>
        <w:t>汽车吊</w:t>
      </w:r>
      <w:r>
        <w:rPr>
          <w:rFonts w:hint="default" w:ascii="Times New Roman" w:hAnsi="Times New Roman"/>
          <w:lang w:val="en-US" w:eastAsia="zh-CN"/>
        </w:rPr>
        <w:t>稍微提起平衡臂，使吊装钢丝绳和平衡臂处于紧绷状态，拆除拉杆和起重臂臂根节的连接销轴，采用</w:t>
      </w:r>
      <w:r>
        <w:rPr>
          <w:rFonts w:hint="eastAsia" w:ascii="Times New Roman" w:hAnsi="Times New Roman"/>
          <w:lang w:val="en-US" w:eastAsia="zh-CN"/>
        </w:rPr>
        <w:t>汽车吊</w:t>
      </w:r>
      <w:r>
        <w:rPr>
          <w:rFonts w:hint="default" w:ascii="Times New Roman" w:hAnsi="Times New Roman"/>
          <w:lang w:val="en-US" w:eastAsia="zh-CN"/>
        </w:rPr>
        <w:t>提升平衡臂，使平衡臂与起重臂臂根节倾斜至一定角度，拆除平衡臂和起重臂臂根节连接销轴。</w:t>
      </w:r>
      <w:r>
        <w:rPr>
          <w:rFonts w:hint="eastAsia" w:ascii="Times New Roman" w:hAnsi="Times New Roman"/>
          <w:lang w:val="en-US" w:eastAsia="zh-CN"/>
        </w:rPr>
        <w:t>汽车吊</w:t>
      </w:r>
      <w:r>
        <w:rPr>
          <w:rFonts w:hint="default" w:ascii="Times New Roman" w:hAnsi="Times New Roman"/>
          <w:lang w:val="en-US" w:eastAsia="zh-CN"/>
        </w:rPr>
        <w:t>起升吊钩，将平衡臂提升至一定安全高度后，再将平衡臂下放至地面，作业人员在地面上解除卸扣与平衡臂吊耳的连接。</w:t>
      </w:r>
    </w:p>
    <w:p w14:paraId="23BEE5EC">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塔式起重机平衡臂拆除时设置警戒区，起吊安排专人负责指挥，专人操作，严禁无关人员进入起重作业范围内。</w:t>
      </w:r>
      <w:bookmarkEnd w:id="103"/>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D4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3A054D9">
            <w:pPr>
              <w:spacing w:line="360" w:lineRule="auto"/>
              <w:jc w:val="center"/>
            </w:pPr>
            <w:r>
              <w:drawing>
                <wp:inline distT="0" distB="0" distL="114300" distR="114300">
                  <wp:extent cx="5264785" cy="2669540"/>
                  <wp:effectExtent l="0" t="0" r="12065" b="16510"/>
                  <wp:docPr id="12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6"/>
                          <pic:cNvPicPr>
                            <a:picLocks noChangeAspect="1"/>
                          </pic:cNvPicPr>
                        </pic:nvPicPr>
                        <pic:blipFill>
                          <a:blip r:embed="rId93"/>
                          <a:stretch>
                            <a:fillRect/>
                          </a:stretch>
                        </pic:blipFill>
                        <pic:spPr>
                          <a:xfrm>
                            <a:off x="0" y="0"/>
                            <a:ext cx="5264785" cy="2669540"/>
                          </a:xfrm>
                          <a:prstGeom prst="rect">
                            <a:avLst/>
                          </a:prstGeom>
                          <a:noFill/>
                          <a:ln>
                            <a:noFill/>
                          </a:ln>
                        </pic:spPr>
                      </pic:pic>
                    </a:graphicData>
                  </a:graphic>
                </wp:inline>
              </w:drawing>
            </w:r>
          </w:p>
        </w:tc>
      </w:tr>
      <w:tr w14:paraId="1D2D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ED94DA9">
            <w:pPr>
              <w:spacing w:line="360" w:lineRule="auto"/>
              <w:ind w:firstLine="480"/>
              <w:jc w:val="center"/>
            </w:pPr>
            <w:r>
              <w:rPr>
                <w:rFonts w:hint="eastAsia" w:ascii="宋体" w:hAnsi="宋体" w:cs="宋体"/>
                <w:sz w:val="21"/>
                <w:szCs w:val="22"/>
                <w:lang w:val="en-US" w:eastAsia="zh-CN"/>
              </w:rPr>
              <w:t>拆卸平衡臂</w:t>
            </w:r>
            <w:r>
              <w:rPr>
                <w:rFonts w:hint="eastAsia" w:ascii="宋体" w:hAnsi="宋体" w:cs="宋体"/>
                <w:sz w:val="21"/>
                <w:szCs w:val="22"/>
              </w:rPr>
              <w:t>平面示意图</w:t>
            </w:r>
          </w:p>
        </w:tc>
      </w:tr>
      <w:tr w14:paraId="0EEF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3650A2D3">
            <w:pPr>
              <w:spacing w:line="360" w:lineRule="auto"/>
              <w:jc w:val="center"/>
            </w:pPr>
            <w:r>
              <w:drawing>
                <wp:inline distT="0" distB="0" distL="114300" distR="114300">
                  <wp:extent cx="5271770" cy="3758565"/>
                  <wp:effectExtent l="0" t="0" r="5080" b="1333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95"/>
                          <a:stretch>
                            <a:fillRect/>
                          </a:stretch>
                        </pic:blipFill>
                        <pic:spPr>
                          <a:xfrm>
                            <a:off x="0" y="0"/>
                            <a:ext cx="5271770" cy="3758565"/>
                          </a:xfrm>
                          <a:prstGeom prst="rect">
                            <a:avLst/>
                          </a:prstGeom>
                          <a:noFill/>
                          <a:ln>
                            <a:noFill/>
                          </a:ln>
                        </pic:spPr>
                      </pic:pic>
                    </a:graphicData>
                  </a:graphic>
                </wp:inline>
              </w:drawing>
            </w:r>
          </w:p>
        </w:tc>
      </w:tr>
      <w:tr w14:paraId="514C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30A6BAAF">
            <w:pPr>
              <w:spacing w:line="360" w:lineRule="auto"/>
              <w:ind w:firstLine="480"/>
              <w:jc w:val="center"/>
            </w:pPr>
            <w:r>
              <w:rPr>
                <w:rFonts w:hint="eastAsia" w:ascii="宋体" w:hAnsi="宋体" w:cs="宋体"/>
                <w:sz w:val="21"/>
                <w:szCs w:val="22"/>
                <w:lang w:val="en-US" w:eastAsia="zh-CN"/>
              </w:rPr>
              <w:t>拆卸平衡臂立</w:t>
            </w:r>
            <w:r>
              <w:rPr>
                <w:rFonts w:hint="eastAsia" w:ascii="宋体" w:hAnsi="宋体" w:cs="宋体"/>
                <w:sz w:val="21"/>
                <w:szCs w:val="22"/>
              </w:rPr>
              <w:t>面示意图</w:t>
            </w:r>
          </w:p>
        </w:tc>
      </w:tr>
    </w:tbl>
    <w:p w14:paraId="63AAEBED">
      <w:pPr>
        <w:keepNext w:val="0"/>
        <w:keepLines w:val="0"/>
        <w:widowControl/>
        <w:suppressLineNumbers w:val="0"/>
        <w:spacing w:line="240" w:lineRule="auto"/>
        <w:jc w:val="left"/>
        <w:rPr>
          <w:rFonts w:hint="eastAsia" w:ascii="宋体" w:hAnsi="宋体" w:eastAsia="宋体" w:cs="宋体"/>
          <w:color w:val="000000"/>
          <w:kern w:val="0"/>
          <w:sz w:val="24"/>
          <w:szCs w:val="24"/>
          <w:lang w:val="en-US" w:eastAsia="zh-CN" w:bidi="ar"/>
        </w:rPr>
      </w:pPr>
    </w:p>
    <w:p w14:paraId="2B93F5D6">
      <w:pPr>
        <w:pStyle w:val="5"/>
        <w:numPr>
          <w:ilvl w:val="0"/>
          <w:numId w:val="42"/>
        </w:numPr>
        <w:ind w:left="0" w:leftChars="0" w:firstLine="0" w:firstLineChars="0"/>
        <w:rPr>
          <w:rFonts w:hint="eastAsia"/>
        </w:rPr>
      </w:pPr>
      <w:bookmarkStart w:id="104" w:name="_Toc6974"/>
      <w:r>
        <w:rPr>
          <w:rFonts w:hint="eastAsia"/>
          <w:lang w:val="en-US" w:eastAsia="zh-CN"/>
        </w:rPr>
        <w:t>拆除起重臂臂根节</w:t>
      </w:r>
      <w:bookmarkEnd w:id="104"/>
    </w:p>
    <w:p w14:paraId="7EB5978D">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臂根节吊重为3.8t，35t汽车吊主臂长31.7m，吊装作业半径14m，额定起重量为9t&gt;3.8t，满足拆除吊装要求。</w:t>
      </w:r>
    </w:p>
    <w:p w14:paraId="3DF57252">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臂根节吊装采用四点吊，以臂根节顶部4个吊耳板作为吊装孔，采用4根18mm6×19+FC1870Mpa的钢丝绳配套GB/T 25854-6-DW5卸扣进行起吊。</w:t>
      </w:r>
    </w:p>
    <w:p w14:paraId="17865F92">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作业人员在地面上先将钢丝绳一端挂在汽车吊吊钩上，启动汽车吊，将钢丝绳缓慢提升至臂根节上方时，作业人员通过爬梯爬至回转总成平台上，将安全带交替系挂在臂根节安全绳上，沿下弦杆走行至臂根节吊点位置处。汽车吊放松吊钩，将另一端钢丝绳与臂根节腹杆节点捆绑连接，采用卸扣固定，同时在臂根节腹杆上栓好2根溜绳。作业人员沿下弦杆走行至回转总成平台上，汽车吊轻轻将臂根节往上抬，拆除臂根节和回转上支座的连接销轴，汽车吊起升吊钩，将起重臂竖直起吊一定安全高度后，再将臂根节下放至地面，稳固后汽车吊放松吊钩，作业人员在地面上解除钢丝绳与臂根节吊点的连接。</w:t>
      </w:r>
    </w:p>
    <w:p w14:paraId="69FAD232">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塔式起重机臂根节拆除时设置警戒区，起吊安排专人负责指挥，专人操作，严禁无关人员进入起重作业范围内。</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37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168281E">
            <w:pPr>
              <w:spacing w:line="360" w:lineRule="auto"/>
              <w:jc w:val="center"/>
            </w:pPr>
            <w:r>
              <w:drawing>
                <wp:inline distT="0" distB="0" distL="114300" distR="114300">
                  <wp:extent cx="5271135" cy="2736850"/>
                  <wp:effectExtent l="0" t="0" r="5715" b="6350"/>
                  <wp:docPr id="12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5"/>
                          <pic:cNvPicPr>
                            <a:picLocks noChangeAspect="1"/>
                          </pic:cNvPicPr>
                        </pic:nvPicPr>
                        <pic:blipFill>
                          <a:blip r:embed="rId96"/>
                          <a:stretch>
                            <a:fillRect/>
                          </a:stretch>
                        </pic:blipFill>
                        <pic:spPr>
                          <a:xfrm>
                            <a:off x="0" y="0"/>
                            <a:ext cx="5271135" cy="2736850"/>
                          </a:xfrm>
                          <a:prstGeom prst="rect">
                            <a:avLst/>
                          </a:prstGeom>
                          <a:noFill/>
                          <a:ln>
                            <a:noFill/>
                          </a:ln>
                        </pic:spPr>
                      </pic:pic>
                    </a:graphicData>
                  </a:graphic>
                </wp:inline>
              </w:drawing>
            </w:r>
          </w:p>
        </w:tc>
      </w:tr>
      <w:tr w14:paraId="49D6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76DD8612">
            <w:pPr>
              <w:spacing w:line="360" w:lineRule="auto"/>
              <w:ind w:firstLine="480"/>
              <w:jc w:val="center"/>
            </w:pPr>
            <w:r>
              <w:rPr>
                <w:rFonts w:hint="eastAsia" w:ascii="宋体" w:hAnsi="宋体" w:cs="宋体"/>
                <w:sz w:val="21"/>
                <w:szCs w:val="22"/>
                <w:lang w:val="en-US" w:eastAsia="zh-CN"/>
              </w:rPr>
              <w:t>拆卸起重臂臂根节</w:t>
            </w:r>
            <w:r>
              <w:rPr>
                <w:rFonts w:hint="eastAsia" w:ascii="宋体" w:hAnsi="宋体" w:cs="宋体"/>
                <w:sz w:val="21"/>
                <w:szCs w:val="22"/>
              </w:rPr>
              <w:t>平面示意图</w:t>
            </w:r>
          </w:p>
        </w:tc>
      </w:tr>
      <w:tr w14:paraId="0CD4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155D6AFA">
            <w:pPr>
              <w:spacing w:line="360" w:lineRule="auto"/>
              <w:jc w:val="center"/>
            </w:pPr>
            <w:r>
              <w:drawing>
                <wp:inline distT="0" distB="0" distL="114300" distR="114300">
                  <wp:extent cx="3928110" cy="3564890"/>
                  <wp:effectExtent l="0" t="0" r="15240" b="1651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97"/>
                          <a:stretch>
                            <a:fillRect/>
                          </a:stretch>
                        </pic:blipFill>
                        <pic:spPr>
                          <a:xfrm>
                            <a:off x="0" y="0"/>
                            <a:ext cx="3928110" cy="3564890"/>
                          </a:xfrm>
                          <a:prstGeom prst="rect">
                            <a:avLst/>
                          </a:prstGeom>
                          <a:noFill/>
                          <a:ln>
                            <a:noFill/>
                          </a:ln>
                        </pic:spPr>
                      </pic:pic>
                    </a:graphicData>
                  </a:graphic>
                </wp:inline>
              </w:drawing>
            </w:r>
          </w:p>
        </w:tc>
      </w:tr>
      <w:tr w14:paraId="3184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11E31E8B">
            <w:pPr>
              <w:spacing w:line="360" w:lineRule="auto"/>
              <w:ind w:firstLine="480"/>
              <w:jc w:val="center"/>
            </w:pPr>
            <w:r>
              <w:rPr>
                <w:rFonts w:hint="eastAsia" w:ascii="宋体" w:hAnsi="宋体" w:cs="宋体"/>
                <w:sz w:val="21"/>
                <w:szCs w:val="22"/>
                <w:lang w:val="en-US" w:eastAsia="zh-CN"/>
              </w:rPr>
              <w:t>拆卸起重臂臂根节立</w:t>
            </w:r>
            <w:r>
              <w:rPr>
                <w:rFonts w:hint="eastAsia" w:ascii="宋体" w:hAnsi="宋体" w:cs="宋体"/>
                <w:sz w:val="21"/>
                <w:szCs w:val="22"/>
              </w:rPr>
              <w:t>面示意图</w:t>
            </w:r>
          </w:p>
        </w:tc>
      </w:tr>
    </w:tbl>
    <w:p w14:paraId="300594B4">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8B741D6">
      <w:pPr>
        <w:pStyle w:val="5"/>
        <w:numPr>
          <w:ilvl w:val="0"/>
          <w:numId w:val="42"/>
        </w:numPr>
        <w:ind w:left="0" w:leftChars="0" w:firstLine="0" w:firstLineChars="0"/>
        <w:rPr>
          <w:rFonts w:hint="default"/>
          <w:lang w:val="en-US" w:eastAsia="zh-CN"/>
        </w:rPr>
      </w:pPr>
      <w:bookmarkStart w:id="105" w:name="_Toc3126"/>
      <w:r>
        <w:rPr>
          <w:rFonts w:hint="eastAsia"/>
          <w:lang w:val="en-US" w:eastAsia="zh-CN"/>
        </w:rPr>
        <w:t>拆卸回转总成</w:t>
      </w:r>
      <w:bookmarkEnd w:id="105"/>
    </w:p>
    <w:p w14:paraId="5507DBA7">
      <w:pPr>
        <w:spacing w:line="480" w:lineRule="exact"/>
        <w:ind w:firstLine="480" w:firstLineChars="200"/>
        <w:rPr>
          <w:rFonts w:hint="eastAsia" w:asciiTheme="minorEastAsia" w:hAnsiTheme="minorEastAsia" w:cstheme="minorEastAsia"/>
          <w:szCs w:val="24"/>
          <w:lang w:val="en-US" w:eastAsia="zh-CN"/>
        </w:rPr>
      </w:pPr>
      <w:r>
        <w:rPr>
          <w:rFonts w:hint="eastAsia" w:ascii="Times New Roman" w:hAnsi="Times New Roman"/>
          <w:lang w:val="en-US" w:eastAsia="zh-CN"/>
        </w:rPr>
        <w:t>回转总成吊重为4.758t，35t汽车吊主臂长31.7m，吊装作业半径14m，额定起重量为9t&gt;4.758t，满足拆除吊装要求。</w:t>
      </w:r>
    </w:p>
    <w:p w14:paraId="1D8B7DFE">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回转总成吊装采用四点吊，以回转总成顶部4个吊耳板作为吊装孔，采用4根18mm6×19+FC1870Mpa的钢丝绳配套GB/T 25854-6-DW5卸扣进行起吊。</w:t>
      </w:r>
    </w:p>
    <w:p w14:paraId="62BE3D9A">
      <w:pPr>
        <w:spacing w:line="480" w:lineRule="exact"/>
        <w:ind w:firstLine="480" w:firstLineChars="200"/>
        <w:rPr>
          <w:rFonts w:hint="default" w:ascii="Times New Roman" w:hAnsi="Times New Roman"/>
          <w:lang w:val="en-US" w:eastAsia="zh-CN"/>
        </w:rPr>
      </w:pPr>
      <w:r>
        <w:rPr>
          <w:rFonts w:hint="default" w:ascii="Times New Roman" w:hAnsi="Times New Roman"/>
          <w:lang w:val="en-US" w:eastAsia="zh-CN"/>
        </w:rPr>
        <w:t>作业人员在地面上先将钢丝绳一端挂在</w:t>
      </w:r>
      <w:r>
        <w:rPr>
          <w:rFonts w:hint="eastAsia" w:ascii="Times New Roman" w:hAnsi="Times New Roman"/>
          <w:lang w:val="en-US" w:eastAsia="zh-CN"/>
        </w:rPr>
        <w:t>汽车吊</w:t>
      </w:r>
      <w:r>
        <w:rPr>
          <w:rFonts w:hint="default" w:ascii="Times New Roman" w:hAnsi="Times New Roman"/>
          <w:lang w:val="en-US" w:eastAsia="zh-CN"/>
        </w:rPr>
        <w:t>吊钩上，另一端与卸扣连接，启动</w:t>
      </w:r>
      <w:r>
        <w:rPr>
          <w:rFonts w:hint="eastAsia" w:ascii="Times New Roman" w:hAnsi="Times New Roman"/>
          <w:lang w:val="en-US" w:eastAsia="zh-CN"/>
        </w:rPr>
        <w:t>汽车吊</w:t>
      </w:r>
      <w:r>
        <w:rPr>
          <w:rFonts w:hint="default" w:ascii="Times New Roman" w:hAnsi="Times New Roman"/>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lang w:val="en-US" w:eastAsia="zh-CN"/>
        </w:rPr>
        <w:t>汽车吊</w:t>
      </w:r>
      <w:r>
        <w:rPr>
          <w:rFonts w:hint="default" w:ascii="Times New Roman" w:hAnsi="Times New Roman"/>
          <w:lang w:val="en-US" w:eastAsia="zh-CN"/>
        </w:rPr>
        <w:t>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w:t>
      </w:r>
      <w:r>
        <w:rPr>
          <w:rFonts w:hint="eastAsia" w:ascii="Times New Roman" w:hAnsi="Times New Roman"/>
          <w:lang w:val="en-US" w:eastAsia="zh-CN"/>
        </w:rPr>
        <w:t>汽车吊</w:t>
      </w:r>
      <w:r>
        <w:rPr>
          <w:rFonts w:hint="default" w:ascii="Times New Roman" w:hAnsi="Times New Roman"/>
          <w:lang w:val="en-US" w:eastAsia="zh-CN"/>
        </w:rPr>
        <w:t>起升吊钩，将回转总成提升一定安全高度后，再将回转总成下放至地面，作业人员在地面上解除卸扣与回转总成的连接。</w:t>
      </w:r>
    </w:p>
    <w:p w14:paraId="1B708388">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塔式起重机回转总成拆除时设置警戒区，起吊安排专人负责指挥，专人操作，严禁无关人员进入起重作业范围内。</w:t>
      </w:r>
    </w:p>
    <w:tbl>
      <w:tblPr>
        <w:tblStyle w:val="30"/>
        <w:tblpPr w:leftFromText="180" w:rightFromText="180" w:vertAnchor="text" w:horzAnchor="page" w:tblpXSpec="center" w:tblpY="8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5A0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4EFE9157">
            <w:pPr>
              <w:spacing w:line="360" w:lineRule="auto"/>
              <w:jc w:val="center"/>
            </w:pPr>
            <w:r>
              <w:drawing>
                <wp:inline distT="0" distB="0" distL="114300" distR="114300">
                  <wp:extent cx="4721225" cy="2273300"/>
                  <wp:effectExtent l="0" t="0" r="3175" b="12700"/>
                  <wp:docPr id="13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9"/>
                          <pic:cNvPicPr>
                            <a:picLocks noChangeAspect="1"/>
                          </pic:cNvPicPr>
                        </pic:nvPicPr>
                        <pic:blipFill>
                          <a:blip r:embed="rId98"/>
                          <a:stretch>
                            <a:fillRect/>
                          </a:stretch>
                        </pic:blipFill>
                        <pic:spPr>
                          <a:xfrm>
                            <a:off x="0" y="0"/>
                            <a:ext cx="4721225" cy="2273300"/>
                          </a:xfrm>
                          <a:prstGeom prst="rect">
                            <a:avLst/>
                          </a:prstGeom>
                          <a:noFill/>
                          <a:ln>
                            <a:noFill/>
                          </a:ln>
                        </pic:spPr>
                      </pic:pic>
                    </a:graphicData>
                  </a:graphic>
                </wp:inline>
              </w:drawing>
            </w:r>
          </w:p>
        </w:tc>
      </w:tr>
      <w:tr w14:paraId="729F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0EFB82B7">
            <w:pPr>
              <w:spacing w:line="360" w:lineRule="auto"/>
              <w:ind w:firstLine="480"/>
              <w:jc w:val="center"/>
            </w:pPr>
            <w:r>
              <w:rPr>
                <w:rFonts w:hint="eastAsia" w:ascii="宋体" w:hAnsi="宋体" w:cs="宋体"/>
                <w:sz w:val="21"/>
                <w:szCs w:val="22"/>
                <w:lang w:val="en-US" w:eastAsia="zh-CN"/>
              </w:rPr>
              <w:t>拆卸回转总成</w:t>
            </w:r>
            <w:r>
              <w:rPr>
                <w:rFonts w:hint="eastAsia" w:ascii="宋体" w:hAnsi="宋体" w:cs="宋体"/>
                <w:sz w:val="21"/>
                <w:szCs w:val="22"/>
              </w:rPr>
              <w:t>平面示意图</w:t>
            </w:r>
          </w:p>
        </w:tc>
      </w:tr>
      <w:tr w14:paraId="1861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6280C094">
            <w:pPr>
              <w:spacing w:line="360" w:lineRule="auto"/>
              <w:jc w:val="center"/>
            </w:pPr>
            <w:r>
              <w:drawing>
                <wp:inline distT="0" distB="0" distL="114300" distR="114300">
                  <wp:extent cx="4648835" cy="4274820"/>
                  <wp:effectExtent l="0" t="0" r="18415" b="1143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99"/>
                          <a:stretch>
                            <a:fillRect/>
                          </a:stretch>
                        </pic:blipFill>
                        <pic:spPr>
                          <a:xfrm>
                            <a:off x="0" y="0"/>
                            <a:ext cx="4648835" cy="4274820"/>
                          </a:xfrm>
                          <a:prstGeom prst="rect">
                            <a:avLst/>
                          </a:prstGeom>
                          <a:noFill/>
                          <a:ln>
                            <a:noFill/>
                          </a:ln>
                        </pic:spPr>
                      </pic:pic>
                    </a:graphicData>
                  </a:graphic>
                </wp:inline>
              </w:drawing>
            </w:r>
          </w:p>
        </w:tc>
      </w:tr>
      <w:tr w14:paraId="34DC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522" w:type="dxa"/>
          </w:tcPr>
          <w:p w14:paraId="55D953AB">
            <w:pPr>
              <w:spacing w:line="360" w:lineRule="auto"/>
              <w:ind w:firstLine="480"/>
              <w:jc w:val="center"/>
            </w:pPr>
            <w:r>
              <w:rPr>
                <w:rFonts w:hint="eastAsia" w:ascii="宋体" w:hAnsi="宋体" w:cs="宋体"/>
                <w:sz w:val="21"/>
                <w:szCs w:val="22"/>
                <w:lang w:val="en-US" w:eastAsia="zh-CN"/>
              </w:rPr>
              <w:t>拆卸回转总成立</w:t>
            </w:r>
            <w:r>
              <w:rPr>
                <w:rFonts w:hint="eastAsia" w:ascii="宋体" w:hAnsi="宋体" w:cs="宋体"/>
                <w:sz w:val="21"/>
                <w:szCs w:val="22"/>
              </w:rPr>
              <w:t>面示意图</w:t>
            </w:r>
          </w:p>
        </w:tc>
      </w:tr>
    </w:tbl>
    <w:p w14:paraId="300C0644">
      <w:pPr>
        <w:spacing w:line="480" w:lineRule="exact"/>
        <w:ind w:firstLine="480" w:firstLineChars="200"/>
        <w:rPr>
          <w:rFonts w:hint="eastAsia" w:asciiTheme="minorEastAsia" w:hAnsiTheme="minorEastAsia" w:cstheme="minorEastAsia"/>
          <w:szCs w:val="24"/>
          <w:lang w:val="en-US" w:eastAsia="zh-CN"/>
        </w:rPr>
      </w:pPr>
    </w:p>
    <w:p w14:paraId="6468830A">
      <w:pPr>
        <w:pStyle w:val="5"/>
        <w:numPr>
          <w:ilvl w:val="0"/>
          <w:numId w:val="42"/>
        </w:numPr>
        <w:ind w:left="0" w:leftChars="0" w:firstLine="0" w:firstLineChars="0"/>
        <w:rPr>
          <w:rFonts w:hint="eastAsia"/>
          <w:lang w:val="en-US" w:eastAsia="zh-CN"/>
        </w:rPr>
      </w:pPr>
      <w:bookmarkStart w:id="106" w:name="_Toc20963"/>
      <w:r>
        <w:rPr>
          <w:rFonts w:hint="eastAsia"/>
          <w:lang w:val="en-US" w:eastAsia="zh-CN"/>
        </w:rPr>
        <w:t>拆除特殊节</w:t>
      </w:r>
      <w:bookmarkEnd w:id="106"/>
      <w:r>
        <w:rPr>
          <w:rFonts w:hint="eastAsia"/>
          <w:lang w:val="en-US" w:eastAsia="zh-CN"/>
        </w:rPr>
        <w:t xml:space="preserve"> </w:t>
      </w:r>
    </w:p>
    <w:p w14:paraId="76EDE63F">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特殊节吊重为3t，35t汽车吊主臂长31.7m，吊装作业半径14m，额定起重量为9t&gt;3t，满足拆除吊装要求。</w:t>
      </w:r>
    </w:p>
    <w:p w14:paraId="4C5B6A81">
      <w:pPr>
        <w:spacing w:line="480" w:lineRule="exact"/>
        <w:ind w:firstLine="480" w:firstLineChars="200"/>
        <w:rPr>
          <w:rFonts w:hint="default" w:ascii="Times New Roman" w:hAnsi="Times New Roman"/>
          <w:lang w:val="en-US" w:eastAsia="zh-CN"/>
        </w:rPr>
      </w:pPr>
      <w:r>
        <w:rPr>
          <w:rFonts w:hint="eastAsia" w:ascii="Times New Roman" w:hAnsi="Times New Roman"/>
          <w:lang w:val="en-US" w:eastAsia="zh-CN"/>
        </w:rPr>
        <w:t>特殊节吊装采用四点吊，以特殊节顶部4个吊耳板作为吊装孔，采用4根18mm6×19+FC1870Mpa的钢丝绳配套GB/T 25854-6-DW5卸扣进行起吊。</w:t>
      </w:r>
    </w:p>
    <w:p w14:paraId="16B17AAA">
      <w:pPr>
        <w:spacing w:line="480" w:lineRule="exact"/>
        <w:ind w:firstLine="480" w:firstLineChars="200"/>
        <w:rPr>
          <w:rFonts w:hint="default" w:ascii="Times New Roman" w:hAnsi="Times New Roman"/>
          <w:lang w:val="en-US" w:eastAsia="zh-CN"/>
        </w:rPr>
      </w:pPr>
      <w:r>
        <w:rPr>
          <w:rFonts w:hint="default" w:ascii="Times New Roman" w:hAnsi="Times New Roman"/>
          <w:lang w:val="en-US" w:eastAsia="zh-CN"/>
        </w:rPr>
        <w:t>作业人员在地面上先将钢丝绳一端挂在</w:t>
      </w:r>
      <w:r>
        <w:rPr>
          <w:rFonts w:hint="eastAsia" w:ascii="Times New Roman" w:hAnsi="Times New Roman"/>
          <w:lang w:val="en-US" w:eastAsia="zh-CN"/>
        </w:rPr>
        <w:t>汽车吊</w:t>
      </w:r>
      <w:r>
        <w:rPr>
          <w:rFonts w:hint="default" w:ascii="Times New Roman" w:hAnsi="Times New Roman"/>
          <w:lang w:val="en-US" w:eastAsia="zh-CN"/>
        </w:rPr>
        <w:t>吊钩上，另一端与卸扣连接，启动</w:t>
      </w:r>
      <w:r>
        <w:rPr>
          <w:rFonts w:hint="eastAsia" w:ascii="Times New Roman" w:hAnsi="Times New Roman"/>
          <w:lang w:val="en-US" w:eastAsia="zh-CN"/>
        </w:rPr>
        <w:t>汽车吊</w:t>
      </w:r>
      <w:r>
        <w:rPr>
          <w:rFonts w:hint="default" w:ascii="Times New Roman" w:hAnsi="Times New Roman"/>
          <w:lang w:val="en-US" w:eastAsia="zh-CN"/>
        </w:rPr>
        <w:t>，将卸扣缓慢提升至</w:t>
      </w:r>
      <w:r>
        <w:rPr>
          <w:rFonts w:hint="eastAsia" w:ascii="Times New Roman" w:hAnsi="Times New Roman"/>
          <w:lang w:val="en-US" w:eastAsia="zh-CN"/>
        </w:rPr>
        <w:t>特殊节</w:t>
      </w:r>
      <w:r>
        <w:rPr>
          <w:rFonts w:hint="default" w:ascii="Times New Roman" w:hAnsi="Times New Roman"/>
          <w:lang w:val="en-US" w:eastAsia="zh-CN"/>
        </w:rPr>
        <w:t>上方，作业人员通过爬梯爬至</w:t>
      </w:r>
      <w:r>
        <w:rPr>
          <w:rFonts w:hint="eastAsia" w:ascii="Times New Roman" w:hAnsi="Times New Roman"/>
          <w:lang w:val="en-US" w:eastAsia="zh-CN"/>
        </w:rPr>
        <w:t>特殊节顶部</w:t>
      </w:r>
      <w:r>
        <w:rPr>
          <w:rFonts w:hint="default" w:ascii="Times New Roman" w:hAnsi="Times New Roman"/>
          <w:lang w:val="en-US" w:eastAsia="zh-CN"/>
        </w:rPr>
        <w:t>，将安全带系挂在</w:t>
      </w:r>
      <w:r>
        <w:rPr>
          <w:rFonts w:hint="eastAsia" w:ascii="Times New Roman" w:hAnsi="Times New Roman"/>
          <w:lang w:val="en-US" w:eastAsia="zh-CN"/>
        </w:rPr>
        <w:t>特殊节顶部横</w:t>
      </w:r>
      <w:r>
        <w:rPr>
          <w:rFonts w:hint="default" w:ascii="Times New Roman" w:hAnsi="Times New Roman"/>
          <w:lang w:val="en-US" w:eastAsia="zh-CN"/>
        </w:rPr>
        <w:t>杆上，位于</w:t>
      </w:r>
      <w:r>
        <w:rPr>
          <w:rFonts w:hint="eastAsia" w:ascii="Times New Roman" w:hAnsi="Times New Roman"/>
          <w:lang w:val="en-US" w:eastAsia="zh-CN"/>
        </w:rPr>
        <w:t>特殊节顶部</w:t>
      </w:r>
      <w:r>
        <w:rPr>
          <w:rFonts w:hint="default" w:ascii="Times New Roman" w:hAnsi="Times New Roman"/>
          <w:lang w:val="en-US" w:eastAsia="zh-CN"/>
        </w:rPr>
        <w:t>平台上。</w:t>
      </w:r>
      <w:r>
        <w:rPr>
          <w:rFonts w:hint="eastAsia" w:ascii="Times New Roman" w:hAnsi="Times New Roman"/>
          <w:lang w:val="en-US" w:eastAsia="zh-CN"/>
        </w:rPr>
        <w:t>汽车吊</w:t>
      </w:r>
      <w:r>
        <w:rPr>
          <w:rFonts w:hint="default" w:ascii="Times New Roman" w:hAnsi="Times New Roman"/>
          <w:lang w:val="en-US" w:eastAsia="zh-CN"/>
        </w:rPr>
        <w:t>放松吊钩，作业人员将卸扣与</w:t>
      </w:r>
      <w:r>
        <w:rPr>
          <w:rFonts w:hint="eastAsia" w:ascii="Times New Roman" w:hAnsi="Times New Roman"/>
          <w:lang w:val="en-US" w:eastAsia="zh-CN"/>
        </w:rPr>
        <w:t>特殊节</w:t>
      </w:r>
      <w:r>
        <w:rPr>
          <w:rFonts w:hint="default" w:ascii="Times New Roman" w:hAnsi="Times New Roman"/>
          <w:lang w:val="en-US" w:eastAsia="zh-CN"/>
        </w:rPr>
        <w:t>顶部的4个销轴孔用销轴连接，同时在</w:t>
      </w:r>
      <w:r>
        <w:rPr>
          <w:rFonts w:hint="eastAsia" w:ascii="Times New Roman" w:hAnsi="Times New Roman"/>
          <w:lang w:val="en-US" w:eastAsia="zh-CN"/>
        </w:rPr>
        <w:t>特殊节杆件</w:t>
      </w:r>
      <w:r>
        <w:rPr>
          <w:rFonts w:hint="default" w:ascii="Times New Roman" w:hAnsi="Times New Roman"/>
          <w:lang w:val="en-US" w:eastAsia="zh-CN"/>
        </w:rPr>
        <w:t>上栓好2根溜绳，作业人员解除安全带，通过爬梯爬至</w:t>
      </w:r>
      <w:r>
        <w:rPr>
          <w:rFonts w:hint="eastAsia" w:ascii="Times New Roman" w:hAnsi="Times New Roman"/>
          <w:lang w:val="en-US" w:eastAsia="zh-CN"/>
        </w:rPr>
        <w:t>爬升架</w:t>
      </w:r>
      <w:r>
        <w:rPr>
          <w:rFonts w:hint="default" w:ascii="Times New Roman" w:hAnsi="Times New Roman"/>
          <w:lang w:val="en-US" w:eastAsia="zh-CN"/>
        </w:rPr>
        <w:t>顶部，将安全带系挂在</w:t>
      </w:r>
      <w:r>
        <w:rPr>
          <w:rFonts w:hint="eastAsia" w:ascii="Times New Roman" w:hAnsi="Times New Roman"/>
          <w:lang w:val="en-US" w:eastAsia="zh-CN"/>
        </w:rPr>
        <w:t>爬升架</w:t>
      </w:r>
      <w:r>
        <w:rPr>
          <w:rFonts w:hint="default" w:ascii="Times New Roman" w:hAnsi="Times New Roman"/>
          <w:lang w:val="en-US" w:eastAsia="zh-CN"/>
        </w:rPr>
        <w:t>顶部横杆上，站立在</w:t>
      </w:r>
      <w:r>
        <w:rPr>
          <w:rFonts w:hint="eastAsia" w:ascii="Times New Roman" w:hAnsi="Times New Roman"/>
          <w:lang w:val="en-US" w:eastAsia="zh-CN"/>
        </w:rPr>
        <w:t>爬升架</w:t>
      </w:r>
      <w:r>
        <w:rPr>
          <w:rFonts w:hint="default" w:ascii="Times New Roman" w:hAnsi="Times New Roman"/>
          <w:lang w:val="en-US" w:eastAsia="zh-CN"/>
        </w:rPr>
        <w:t>顶部的平台上，解除</w:t>
      </w:r>
      <w:r>
        <w:rPr>
          <w:rFonts w:hint="eastAsia" w:ascii="Times New Roman" w:hAnsi="Times New Roman"/>
          <w:lang w:val="en-US" w:eastAsia="zh-CN"/>
        </w:rPr>
        <w:t>特殊节</w:t>
      </w:r>
      <w:r>
        <w:rPr>
          <w:rFonts w:hint="default" w:ascii="Times New Roman" w:hAnsi="Times New Roman"/>
          <w:lang w:val="en-US" w:eastAsia="zh-CN"/>
        </w:rPr>
        <w:t>与</w:t>
      </w:r>
      <w:r>
        <w:rPr>
          <w:rFonts w:hint="eastAsia" w:ascii="Times New Roman" w:hAnsi="Times New Roman"/>
          <w:lang w:val="en-US" w:eastAsia="zh-CN"/>
        </w:rPr>
        <w:t>爬升架、特殊节与标准节</w:t>
      </w:r>
      <w:r>
        <w:rPr>
          <w:rFonts w:hint="default" w:ascii="Times New Roman" w:hAnsi="Times New Roman"/>
          <w:lang w:val="en-US" w:eastAsia="zh-CN"/>
        </w:rPr>
        <w:t>之间的销轴连接，使</w:t>
      </w:r>
      <w:r>
        <w:rPr>
          <w:rFonts w:hint="eastAsia" w:ascii="Times New Roman" w:hAnsi="Times New Roman"/>
          <w:lang w:val="en-US" w:eastAsia="zh-CN"/>
        </w:rPr>
        <w:t>特殊节</w:t>
      </w:r>
      <w:r>
        <w:rPr>
          <w:rFonts w:hint="default" w:ascii="Times New Roman" w:hAnsi="Times New Roman"/>
          <w:lang w:val="en-US" w:eastAsia="zh-CN"/>
        </w:rPr>
        <w:t>与</w:t>
      </w:r>
      <w:r>
        <w:rPr>
          <w:rFonts w:hint="eastAsia" w:ascii="Times New Roman" w:hAnsi="Times New Roman"/>
          <w:lang w:val="en-US" w:eastAsia="zh-CN"/>
        </w:rPr>
        <w:t>爬升架、特殊节与标准节</w:t>
      </w:r>
      <w:r>
        <w:rPr>
          <w:rFonts w:hint="default" w:ascii="Times New Roman" w:hAnsi="Times New Roman"/>
          <w:lang w:val="en-US" w:eastAsia="zh-CN"/>
        </w:rPr>
        <w:t>断开。</w:t>
      </w:r>
      <w:r>
        <w:rPr>
          <w:rFonts w:hint="eastAsia" w:ascii="Times New Roman" w:hAnsi="Times New Roman"/>
          <w:lang w:val="en-US" w:eastAsia="zh-CN"/>
        </w:rPr>
        <w:t>汽车吊</w:t>
      </w:r>
      <w:r>
        <w:rPr>
          <w:rFonts w:hint="default" w:ascii="Times New Roman" w:hAnsi="Times New Roman"/>
          <w:lang w:val="en-US" w:eastAsia="zh-CN"/>
        </w:rPr>
        <w:t>起升吊钩，将</w:t>
      </w:r>
      <w:r>
        <w:rPr>
          <w:rFonts w:hint="eastAsia" w:ascii="Times New Roman" w:hAnsi="Times New Roman"/>
          <w:lang w:val="en-US" w:eastAsia="zh-CN"/>
        </w:rPr>
        <w:t>特殊节</w:t>
      </w:r>
      <w:r>
        <w:rPr>
          <w:rFonts w:hint="default" w:ascii="Times New Roman" w:hAnsi="Times New Roman"/>
          <w:lang w:val="en-US" w:eastAsia="zh-CN"/>
        </w:rPr>
        <w:t>提升一定安全高度后，再将</w:t>
      </w:r>
      <w:r>
        <w:rPr>
          <w:rFonts w:hint="eastAsia" w:ascii="Times New Roman" w:hAnsi="Times New Roman"/>
          <w:lang w:val="en-US" w:eastAsia="zh-CN"/>
        </w:rPr>
        <w:t>特殊节</w:t>
      </w:r>
      <w:r>
        <w:rPr>
          <w:rFonts w:hint="default" w:ascii="Times New Roman" w:hAnsi="Times New Roman"/>
          <w:lang w:val="en-US" w:eastAsia="zh-CN"/>
        </w:rPr>
        <w:t>下放至地面，作业人员在地面上解除卸扣与</w:t>
      </w:r>
      <w:r>
        <w:rPr>
          <w:rFonts w:hint="eastAsia" w:ascii="Times New Roman" w:hAnsi="Times New Roman"/>
          <w:lang w:val="en-US" w:eastAsia="zh-CN"/>
        </w:rPr>
        <w:t>特殊节</w:t>
      </w:r>
      <w:r>
        <w:rPr>
          <w:rFonts w:hint="default" w:ascii="Times New Roman" w:hAnsi="Times New Roman"/>
          <w:lang w:val="en-US" w:eastAsia="zh-CN"/>
        </w:rPr>
        <w:t>的连接。</w:t>
      </w:r>
    </w:p>
    <w:p w14:paraId="742ED46C">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塔式起重机特殊节拆除时设置警戒区，起吊安排专人负责指挥，专人操作，严禁无关人员进入起重作业范围内。</w:t>
      </w:r>
    </w:p>
    <w:tbl>
      <w:tblPr>
        <w:tblStyle w:val="30"/>
        <w:tblpPr w:leftFromText="180" w:rightFromText="180" w:vertAnchor="text" w:horzAnchor="page" w:tblpXSpec="center" w:tblpY="5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3313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432CBFE0">
            <w:pPr>
              <w:spacing w:line="360" w:lineRule="auto"/>
              <w:jc w:val="center"/>
            </w:pPr>
            <w:r>
              <w:drawing>
                <wp:inline distT="0" distB="0" distL="114300" distR="114300">
                  <wp:extent cx="3959225" cy="1905635"/>
                  <wp:effectExtent l="0" t="0" r="3175" b="18415"/>
                  <wp:docPr id="13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0"/>
                          <pic:cNvPicPr>
                            <a:picLocks noChangeAspect="1"/>
                          </pic:cNvPicPr>
                        </pic:nvPicPr>
                        <pic:blipFill>
                          <a:blip r:embed="rId98"/>
                          <a:stretch>
                            <a:fillRect/>
                          </a:stretch>
                        </pic:blipFill>
                        <pic:spPr>
                          <a:xfrm>
                            <a:off x="0" y="0"/>
                            <a:ext cx="3959225" cy="1905635"/>
                          </a:xfrm>
                          <a:prstGeom prst="rect">
                            <a:avLst/>
                          </a:prstGeom>
                          <a:noFill/>
                          <a:ln>
                            <a:noFill/>
                          </a:ln>
                        </pic:spPr>
                      </pic:pic>
                    </a:graphicData>
                  </a:graphic>
                </wp:inline>
              </w:drawing>
            </w:r>
          </w:p>
        </w:tc>
      </w:tr>
      <w:tr w14:paraId="7D5E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1FF459A9">
            <w:pPr>
              <w:spacing w:line="360" w:lineRule="auto"/>
              <w:ind w:firstLine="480"/>
              <w:jc w:val="center"/>
            </w:pPr>
            <w:r>
              <w:rPr>
                <w:rFonts w:hint="eastAsia" w:ascii="宋体" w:hAnsi="宋体" w:cs="宋体"/>
                <w:sz w:val="21"/>
                <w:szCs w:val="22"/>
                <w:lang w:val="en-US" w:eastAsia="zh-CN"/>
              </w:rPr>
              <w:t>拆卸特殊节</w:t>
            </w:r>
            <w:r>
              <w:rPr>
                <w:rFonts w:hint="eastAsia" w:ascii="宋体" w:hAnsi="宋体" w:cs="宋体"/>
                <w:sz w:val="21"/>
                <w:szCs w:val="22"/>
              </w:rPr>
              <w:t>平面示意图</w:t>
            </w:r>
          </w:p>
        </w:tc>
      </w:tr>
      <w:tr w14:paraId="4579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4C99208F">
            <w:pPr>
              <w:spacing w:line="360" w:lineRule="auto"/>
              <w:jc w:val="center"/>
            </w:pPr>
            <w:r>
              <w:drawing>
                <wp:inline distT="0" distB="0" distL="114300" distR="114300">
                  <wp:extent cx="4124325" cy="4027170"/>
                  <wp:effectExtent l="0" t="0" r="9525" b="1143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100"/>
                          <a:stretch>
                            <a:fillRect/>
                          </a:stretch>
                        </pic:blipFill>
                        <pic:spPr>
                          <a:xfrm>
                            <a:off x="0" y="0"/>
                            <a:ext cx="4124325" cy="4027170"/>
                          </a:xfrm>
                          <a:prstGeom prst="rect">
                            <a:avLst/>
                          </a:prstGeom>
                          <a:noFill/>
                          <a:ln>
                            <a:noFill/>
                          </a:ln>
                        </pic:spPr>
                      </pic:pic>
                    </a:graphicData>
                  </a:graphic>
                </wp:inline>
              </w:drawing>
            </w:r>
          </w:p>
        </w:tc>
      </w:tr>
      <w:tr w14:paraId="1C88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342E9DCB">
            <w:pPr>
              <w:spacing w:line="360" w:lineRule="auto"/>
              <w:ind w:firstLine="480"/>
              <w:jc w:val="center"/>
            </w:pPr>
            <w:r>
              <w:rPr>
                <w:rFonts w:hint="eastAsia" w:ascii="宋体" w:hAnsi="宋体" w:cs="宋体"/>
                <w:sz w:val="21"/>
                <w:szCs w:val="22"/>
                <w:lang w:val="en-US" w:eastAsia="zh-CN"/>
              </w:rPr>
              <w:t>拆卸特殊节立</w:t>
            </w:r>
            <w:r>
              <w:rPr>
                <w:rFonts w:hint="eastAsia" w:ascii="宋体" w:hAnsi="宋体" w:cs="宋体"/>
                <w:sz w:val="21"/>
                <w:szCs w:val="22"/>
              </w:rPr>
              <w:t>面示意图</w:t>
            </w:r>
          </w:p>
        </w:tc>
      </w:tr>
    </w:tbl>
    <w:p w14:paraId="4896F889">
      <w:pPr>
        <w:keepNext w:val="0"/>
        <w:keepLines w:val="0"/>
        <w:widowControl/>
        <w:numPr>
          <w:ilvl w:val="0"/>
          <w:numId w:val="0"/>
        </w:numPr>
        <w:suppressLineNumbers w:val="0"/>
        <w:ind w:leftChars="0"/>
        <w:jc w:val="left"/>
        <w:rPr>
          <w:rFonts w:hint="eastAsia" w:ascii="宋体" w:hAnsi="宋体" w:eastAsia="宋体" w:cs="宋体"/>
          <w:color w:val="000000"/>
          <w:kern w:val="0"/>
          <w:sz w:val="24"/>
          <w:szCs w:val="24"/>
          <w:lang w:val="en-US" w:eastAsia="zh-CN" w:bidi="ar"/>
        </w:rPr>
      </w:pPr>
    </w:p>
    <w:p w14:paraId="45889E06">
      <w:pPr>
        <w:pStyle w:val="5"/>
        <w:numPr>
          <w:ilvl w:val="0"/>
          <w:numId w:val="42"/>
        </w:numPr>
        <w:ind w:left="0" w:leftChars="0" w:firstLine="0" w:firstLineChars="0"/>
        <w:rPr>
          <w:rFonts w:hint="eastAsia"/>
          <w:lang w:val="en-US" w:eastAsia="zh-CN"/>
        </w:rPr>
      </w:pPr>
      <w:bookmarkStart w:id="107" w:name="_Toc7182"/>
      <w:r>
        <w:rPr>
          <w:rFonts w:hint="eastAsia"/>
          <w:lang w:val="en-US" w:eastAsia="zh-CN"/>
        </w:rPr>
        <w:t>拆除爬升架</w:t>
      </w:r>
      <w:bookmarkEnd w:id="107"/>
      <w:r>
        <w:rPr>
          <w:rFonts w:hint="eastAsia"/>
          <w:lang w:val="en-US" w:eastAsia="zh-CN"/>
        </w:rPr>
        <w:t xml:space="preserve"> </w:t>
      </w:r>
    </w:p>
    <w:p w14:paraId="5C3DBF26">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爬升架吊重为5.35t，35t汽车吊主臂长31.7m，吊装作业半径14m，额定起重量为9t&gt;5.35t，满足拆除吊装要求。</w:t>
      </w:r>
    </w:p>
    <w:p w14:paraId="719C7F72">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爬升架吊装采用四点吊，以爬升架顶部4个吊耳板作为吊装孔，采用4根18mm6×19+FC1870Mpa的钢丝绳配套GB/T 25854-6-DW5卸扣进行起吊。</w:t>
      </w:r>
    </w:p>
    <w:p w14:paraId="32824F75">
      <w:pPr>
        <w:spacing w:line="480" w:lineRule="exact"/>
        <w:ind w:firstLine="480" w:firstLineChars="200"/>
        <w:rPr>
          <w:rFonts w:hint="default" w:ascii="Times New Roman" w:hAnsi="Times New Roman"/>
          <w:lang w:val="en-US" w:eastAsia="zh-CN"/>
        </w:rPr>
      </w:pPr>
      <w:r>
        <w:rPr>
          <w:rFonts w:hint="default" w:ascii="Times New Roman" w:hAnsi="Times New Roman"/>
          <w:lang w:val="en-US" w:eastAsia="zh-CN"/>
        </w:rPr>
        <w:t>作业人员在地面上先将钢丝绳一端挂在</w:t>
      </w:r>
      <w:r>
        <w:rPr>
          <w:rFonts w:hint="eastAsia" w:ascii="Times New Roman" w:hAnsi="Times New Roman"/>
          <w:lang w:val="en-US" w:eastAsia="zh-CN"/>
        </w:rPr>
        <w:t>汽车吊</w:t>
      </w:r>
      <w:r>
        <w:rPr>
          <w:rFonts w:hint="default" w:ascii="Times New Roman" w:hAnsi="Times New Roman"/>
          <w:lang w:val="en-US" w:eastAsia="zh-CN"/>
        </w:rPr>
        <w:t>吊钩上，另一端与卸扣连接，启动</w:t>
      </w:r>
      <w:r>
        <w:rPr>
          <w:rFonts w:hint="eastAsia" w:ascii="Times New Roman" w:hAnsi="Times New Roman"/>
          <w:lang w:val="en-US" w:eastAsia="zh-CN"/>
        </w:rPr>
        <w:t>汽车吊</w:t>
      </w:r>
      <w:r>
        <w:rPr>
          <w:rFonts w:hint="default" w:ascii="Times New Roman" w:hAnsi="Times New Roman"/>
          <w:lang w:val="en-US" w:eastAsia="zh-CN"/>
        </w:rPr>
        <w:t>，将卸扣缓慢提升至爬升架上方，作业人员通过爬梯爬至爬升架顶部，将安全带系挂在爬升架顶部平台的栏杆上，位于爬升架顶部的平台上。</w:t>
      </w:r>
      <w:r>
        <w:rPr>
          <w:rFonts w:hint="eastAsia" w:ascii="Times New Roman" w:hAnsi="Times New Roman"/>
          <w:lang w:val="en-US" w:eastAsia="zh-CN"/>
        </w:rPr>
        <w:t>汽车吊</w:t>
      </w:r>
      <w:r>
        <w:rPr>
          <w:rFonts w:hint="default" w:ascii="Times New Roman" w:hAnsi="Times New Roman"/>
          <w:lang w:val="en-US" w:eastAsia="zh-CN"/>
        </w:rPr>
        <w:t>放松吊钩，作业人员将卸扣与爬升架连接，同时在爬升架杆件上栓好2根溜绳，作业人员解除安全带，作业人员通过爬梯爬至</w:t>
      </w:r>
      <w:r>
        <w:rPr>
          <w:rFonts w:hint="eastAsia" w:ascii="Times New Roman" w:hAnsi="Times New Roman"/>
          <w:lang w:val="en-US" w:eastAsia="zh-CN"/>
        </w:rPr>
        <w:t>标准节</w:t>
      </w:r>
      <w:r>
        <w:rPr>
          <w:rFonts w:hint="default" w:ascii="Times New Roman" w:hAnsi="Times New Roman"/>
          <w:lang w:val="en-US" w:eastAsia="zh-CN"/>
        </w:rPr>
        <w:t>对应的爬升架爬爪处，将安全带系挂在</w:t>
      </w:r>
      <w:r>
        <w:rPr>
          <w:rFonts w:hint="eastAsia" w:ascii="Times New Roman" w:hAnsi="Times New Roman"/>
          <w:lang w:val="en-US" w:eastAsia="zh-CN"/>
        </w:rPr>
        <w:t>标准节</w:t>
      </w:r>
      <w:r>
        <w:rPr>
          <w:rFonts w:hint="default" w:ascii="Times New Roman" w:hAnsi="Times New Roman"/>
          <w:lang w:val="en-US" w:eastAsia="zh-CN"/>
        </w:rPr>
        <w:t>横杆上，解除爬升架与</w:t>
      </w:r>
      <w:r>
        <w:rPr>
          <w:rFonts w:hint="eastAsia" w:ascii="Times New Roman" w:hAnsi="Times New Roman"/>
          <w:lang w:val="en-US" w:eastAsia="zh-CN"/>
        </w:rPr>
        <w:t>标准节</w:t>
      </w:r>
      <w:r>
        <w:rPr>
          <w:rFonts w:hint="default" w:ascii="Times New Roman" w:hAnsi="Times New Roman"/>
          <w:lang w:val="en-US" w:eastAsia="zh-CN"/>
        </w:rPr>
        <w:t>之间的约束。</w:t>
      </w:r>
      <w:r>
        <w:rPr>
          <w:rFonts w:hint="eastAsia" w:ascii="Times New Roman" w:hAnsi="Times New Roman"/>
          <w:lang w:val="en-US" w:eastAsia="zh-CN"/>
        </w:rPr>
        <w:t>汽车吊</w:t>
      </w:r>
      <w:r>
        <w:rPr>
          <w:rFonts w:hint="default" w:ascii="Times New Roman" w:hAnsi="Times New Roman"/>
          <w:lang w:val="en-US" w:eastAsia="zh-CN"/>
        </w:rPr>
        <w:t>起升吊钩，将爬升架提升一定安全高度后，再将爬升架下放至地面，作业人员在地面上解除卸扣与爬升架的连接。</w:t>
      </w:r>
    </w:p>
    <w:p w14:paraId="40CAFBEA">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塔式起重机爬升架拆除时设置警戒区，起吊安排专人负责指挥，专人操作，严禁无关人员进入起重作业范围内。</w:t>
      </w:r>
    </w:p>
    <w:tbl>
      <w:tblPr>
        <w:tblStyle w:val="30"/>
        <w:tblpPr w:leftFromText="180" w:rightFromText="180" w:vertAnchor="text" w:horzAnchor="page" w:tblpXSpec="center" w:tblpY="5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B2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2113DDBC">
            <w:pPr>
              <w:spacing w:line="360" w:lineRule="auto"/>
              <w:jc w:val="center"/>
            </w:pPr>
            <w:r>
              <w:drawing>
                <wp:inline distT="0" distB="0" distL="114300" distR="114300">
                  <wp:extent cx="5273040" cy="2538730"/>
                  <wp:effectExtent l="0" t="0" r="3810" b="13970"/>
                  <wp:docPr id="13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1"/>
                          <pic:cNvPicPr>
                            <a:picLocks noChangeAspect="1"/>
                          </pic:cNvPicPr>
                        </pic:nvPicPr>
                        <pic:blipFill>
                          <a:blip r:embed="rId98"/>
                          <a:stretch>
                            <a:fillRect/>
                          </a:stretch>
                        </pic:blipFill>
                        <pic:spPr>
                          <a:xfrm>
                            <a:off x="0" y="0"/>
                            <a:ext cx="5273040" cy="2538730"/>
                          </a:xfrm>
                          <a:prstGeom prst="rect">
                            <a:avLst/>
                          </a:prstGeom>
                          <a:noFill/>
                          <a:ln>
                            <a:noFill/>
                          </a:ln>
                        </pic:spPr>
                      </pic:pic>
                    </a:graphicData>
                  </a:graphic>
                </wp:inline>
              </w:drawing>
            </w:r>
          </w:p>
        </w:tc>
      </w:tr>
      <w:tr w14:paraId="051E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352" w:type="dxa"/>
          </w:tcPr>
          <w:p w14:paraId="7DD6CF08">
            <w:pPr>
              <w:spacing w:line="360" w:lineRule="auto"/>
              <w:ind w:firstLine="480"/>
              <w:jc w:val="center"/>
            </w:pPr>
            <w:r>
              <w:rPr>
                <w:rFonts w:hint="eastAsia" w:ascii="宋体" w:hAnsi="宋体" w:cs="宋体"/>
                <w:sz w:val="21"/>
                <w:szCs w:val="22"/>
                <w:lang w:val="en-US" w:eastAsia="zh-CN"/>
              </w:rPr>
              <w:t>拆卸</w:t>
            </w:r>
            <w:r>
              <w:rPr>
                <w:rFonts w:hint="eastAsia" w:ascii="宋体" w:hAnsi="宋体" w:cs="宋体"/>
                <w:sz w:val="21"/>
                <w:szCs w:val="22"/>
              </w:rPr>
              <w:t>爬升架平面示意图</w:t>
            </w:r>
          </w:p>
        </w:tc>
      </w:tr>
      <w:tr w14:paraId="38B5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3DAAF468">
            <w:pPr>
              <w:spacing w:line="360" w:lineRule="auto"/>
              <w:jc w:val="center"/>
            </w:pPr>
            <w:r>
              <w:drawing>
                <wp:inline distT="0" distB="0" distL="114300" distR="114300">
                  <wp:extent cx="4457700" cy="4079240"/>
                  <wp:effectExtent l="0" t="0" r="0" b="1651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101"/>
                          <a:stretch>
                            <a:fillRect/>
                          </a:stretch>
                        </pic:blipFill>
                        <pic:spPr>
                          <a:xfrm>
                            <a:off x="0" y="0"/>
                            <a:ext cx="4457700" cy="4079240"/>
                          </a:xfrm>
                          <a:prstGeom prst="rect">
                            <a:avLst/>
                          </a:prstGeom>
                          <a:noFill/>
                          <a:ln>
                            <a:noFill/>
                          </a:ln>
                        </pic:spPr>
                      </pic:pic>
                    </a:graphicData>
                  </a:graphic>
                </wp:inline>
              </w:drawing>
            </w:r>
          </w:p>
        </w:tc>
      </w:tr>
      <w:tr w14:paraId="7E0D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7A9B1880">
            <w:pPr>
              <w:spacing w:line="360" w:lineRule="auto"/>
              <w:ind w:firstLine="480"/>
              <w:jc w:val="center"/>
            </w:pPr>
            <w:r>
              <w:rPr>
                <w:rFonts w:hint="eastAsia" w:ascii="宋体" w:hAnsi="宋体" w:cs="宋体"/>
                <w:sz w:val="21"/>
                <w:szCs w:val="22"/>
                <w:lang w:val="en-US" w:eastAsia="zh-CN"/>
              </w:rPr>
              <w:t>拆卸</w:t>
            </w:r>
            <w:r>
              <w:rPr>
                <w:rFonts w:hint="eastAsia" w:ascii="宋体" w:hAnsi="宋体" w:cs="宋体"/>
                <w:sz w:val="21"/>
                <w:szCs w:val="22"/>
              </w:rPr>
              <w:t>爬升架</w:t>
            </w:r>
            <w:r>
              <w:rPr>
                <w:rFonts w:hint="eastAsia" w:ascii="宋体" w:hAnsi="宋体" w:cs="宋体"/>
                <w:sz w:val="21"/>
                <w:szCs w:val="22"/>
                <w:lang w:val="en-US" w:eastAsia="zh-CN"/>
              </w:rPr>
              <w:t>立</w:t>
            </w:r>
            <w:r>
              <w:rPr>
                <w:rFonts w:hint="eastAsia" w:ascii="宋体" w:hAnsi="宋体" w:cs="宋体"/>
                <w:sz w:val="21"/>
                <w:szCs w:val="22"/>
              </w:rPr>
              <w:t>面示意图</w:t>
            </w:r>
          </w:p>
        </w:tc>
      </w:tr>
    </w:tbl>
    <w:p w14:paraId="183AE0FE">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8AE0EF5">
      <w:pPr>
        <w:pStyle w:val="5"/>
        <w:numPr>
          <w:ilvl w:val="0"/>
          <w:numId w:val="42"/>
        </w:numPr>
        <w:ind w:left="0" w:leftChars="0" w:firstLine="0" w:firstLineChars="0"/>
        <w:rPr>
          <w:rFonts w:hint="eastAsia"/>
          <w:lang w:val="en-US" w:eastAsia="zh-CN"/>
        </w:rPr>
      </w:pPr>
      <w:bookmarkStart w:id="108" w:name="_Toc32038"/>
      <w:r>
        <w:rPr>
          <w:rFonts w:hint="eastAsia"/>
          <w:lang w:val="en-US" w:eastAsia="zh-CN"/>
        </w:rPr>
        <w:t>拆除标准节及基础节</w:t>
      </w:r>
      <w:bookmarkEnd w:id="108"/>
      <w:r>
        <w:rPr>
          <w:rFonts w:hint="eastAsia"/>
          <w:lang w:val="en-US" w:eastAsia="zh-CN"/>
        </w:rPr>
        <w:t xml:space="preserve"> </w:t>
      </w:r>
    </w:p>
    <w:p w14:paraId="1D891502">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标准节吊重为1.8t，基础节吊重为4.085t，其中最大起重量为基础节4.085t，35t汽车吊主臂长31.7m，吊装作业半径14m，额定起重量为9t&gt;4.085t，满足拆除吊装要求。</w:t>
      </w:r>
    </w:p>
    <w:p w14:paraId="5DC08C35">
      <w:pPr>
        <w:spacing w:line="480" w:lineRule="exact"/>
        <w:ind w:firstLine="480" w:firstLineChars="200"/>
        <w:rPr>
          <w:rFonts w:hint="default" w:ascii="Times New Roman" w:hAnsi="Times New Roman"/>
          <w:lang w:val="en-US" w:eastAsia="zh-CN"/>
        </w:rPr>
      </w:pPr>
      <w:r>
        <w:rPr>
          <w:rFonts w:hint="eastAsia" w:ascii="Times New Roman" w:hAnsi="Times New Roman"/>
          <w:lang w:val="en-US" w:eastAsia="zh-CN"/>
        </w:rPr>
        <w:t>标准节吊装采用四点吊，以标准节顶部4个吊耳板作为吊装孔，采用4根18mm6×19+FC1870Mpa的钢丝绳配套GB/T 25854-6-DW5卸扣进行起吊。</w:t>
      </w:r>
    </w:p>
    <w:p w14:paraId="2128E80E">
      <w:pPr>
        <w:spacing w:line="480" w:lineRule="exact"/>
        <w:ind w:firstLine="480" w:firstLineChars="200"/>
        <w:rPr>
          <w:rFonts w:hint="default" w:ascii="Times New Roman" w:hAnsi="Times New Roman"/>
          <w:lang w:val="en-US" w:eastAsia="zh-CN"/>
        </w:rPr>
      </w:pPr>
      <w:r>
        <w:rPr>
          <w:rFonts w:hint="default" w:ascii="Times New Roman" w:hAnsi="Times New Roman"/>
          <w:lang w:val="en-US" w:eastAsia="zh-CN"/>
        </w:rPr>
        <w:t>作业人员在地面上先将钢丝绳一端挂在</w:t>
      </w:r>
      <w:r>
        <w:rPr>
          <w:rFonts w:hint="eastAsia" w:ascii="Times New Roman" w:hAnsi="Times New Roman"/>
          <w:lang w:val="en-US" w:eastAsia="zh-CN"/>
        </w:rPr>
        <w:t>汽车吊</w:t>
      </w:r>
      <w:r>
        <w:rPr>
          <w:rFonts w:hint="default" w:ascii="Times New Roman" w:hAnsi="Times New Roman"/>
          <w:lang w:val="en-US" w:eastAsia="zh-CN"/>
        </w:rPr>
        <w:t>吊钩上，另一端与卸扣连接，启动</w:t>
      </w:r>
      <w:r>
        <w:rPr>
          <w:rFonts w:hint="eastAsia" w:ascii="Times New Roman" w:hAnsi="Times New Roman"/>
          <w:lang w:val="en-US" w:eastAsia="zh-CN"/>
        </w:rPr>
        <w:t>汽车吊</w:t>
      </w:r>
      <w:r>
        <w:rPr>
          <w:rFonts w:hint="default" w:ascii="Times New Roman" w:hAnsi="Times New Roman"/>
          <w:lang w:val="en-US" w:eastAsia="zh-CN"/>
        </w:rPr>
        <w:t>，将卸扣缓慢提升至</w:t>
      </w:r>
      <w:r>
        <w:rPr>
          <w:rFonts w:hint="eastAsia" w:ascii="Times New Roman" w:hAnsi="Times New Roman"/>
          <w:lang w:val="en-US" w:eastAsia="zh-CN"/>
        </w:rPr>
        <w:t>标准节</w:t>
      </w:r>
      <w:r>
        <w:rPr>
          <w:rFonts w:hint="default" w:ascii="Times New Roman" w:hAnsi="Times New Roman"/>
          <w:lang w:val="en-US" w:eastAsia="zh-CN"/>
        </w:rPr>
        <w:t>上方，作业人员通过爬梯爬至</w:t>
      </w:r>
      <w:r>
        <w:rPr>
          <w:rFonts w:hint="eastAsia" w:ascii="Times New Roman" w:hAnsi="Times New Roman"/>
          <w:lang w:val="en-US" w:eastAsia="zh-CN"/>
        </w:rPr>
        <w:t>标准节</w:t>
      </w:r>
      <w:r>
        <w:rPr>
          <w:rFonts w:hint="default" w:ascii="Times New Roman" w:hAnsi="Times New Roman"/>
          <w:lang w:val="en-US" w:eastAsia="zh-CN"/>
        </w:rPr>
        <w:t>顶部，将安全带系挂在</w:t>
      </w:r>
      <w:r>
        <w:rPr>
          <w:rFonts w:hint="eastAsia" w:ascii="Times New Roman" w:hAnsi="Times New Roman"/>
          <w:lang w:val="en-US" w:eastAsia="zh-CN"/>
        </w:rPr>
        <w:t>标准节</w:t>
      </w:r>
      <w:r>
        <w:rPr>
          <w:rFonts w:hint="default" w:ascii="Times New Roman" w:hAnsi="Times New Roman"/>
          <w:lang w:val="en-US" w:eastAsia="zh-CN"/>
        </w:rPr>
        <w:t>顶部。</w:t>
      </w:r>
      <w:r>
        <w:rPr>
          <w:rFonts w:hint="eastAsia" w:ascii="Times New Roman" w:hAnsi="Times New Roman"/>
          <w:lang w:val="en-US" w:eastAsia="zh-CN"/>
        </w:rPr>
        <w:t>汽车吊</w:t>
      </w:r>
      <w:r>
        <w:rPr>
          <w:rFonts w:hint="default" w:ascii="Times New Roman" w:hAnsi="Times New Roman"/>
          <w:lang w:val="en-US" w:eastAsia="zh-CN"/>
        </w:rPr>
        <w:t>放松吊钩，作业人员将卸扣与</w:t>
      </w:r>
      <w:r>
        <w:rPr>
          <w:rFonts w:hint="eastAsia" w:ascii="Times New Roman" w:hAnsi="Times New Roman"/>
          <w:lang w:val="en-US" w:eastAsia="zh-CN"/>
        </w:rPr>
        <w:t>标准节</w:t>
      </w:r>
      <w:r>
        <w:rPr>
          <w:rFonts w:hint="default" w:ascii="Times New Roman" w:hAnsi="Times New Roman"/>
          <w:lang w:val="en-US" w:eastAsia="zh-CN"/>
        </w:rPr>
        <w:t>连接，同时在</w:t>
      </w:r>
      <w:r>
        <w:rPr>
          <w:rFonts w:hint="eastAsia" w:ascii="Times New Roman" w:hAnsi="Times New Roman"/>
          <w:lang w:val="en-US" w:eastAsia="zh-CN"/>
        </w:rPr>
        <w:t>标准节</w:t>
      </w:r>
      <w:r>
        <w:rPr>
          <w:rFonts w:hint="default" w:ascii="Times New Roman" w:hAnsi="Times New Roman"/>
          <w:lang w:val="en-US" w:eastAsia="zh-CN"/>
        </w:rPr>
        <w:t>杆件上栓好2根溜绳，作业人员解除安全带，作业人员通过爬梯爬至</w:t>
      </w:r>
      <w:r>
        <w:rPr>
          <w:rFonts w:hint="eastAsia" w:ascii="Times New Roman" w:hAnsi="Times New Roman"/>
          <w:lang w:val="en-US" w:eastAsia="zh-CN"/>
        </w:rPr>
        <w:t>基础节</w:t>
      </w:r>
      <w:r>
        <w:rPr>
          <w:rFonts w:hint="default" w:ascii="Times New Roman" w:hAnsi="Times New Roman"/>
          <w:lang w:val="en-US" w:eastAsia="zh-CN"/>
        </w:rPr>
        <w:t>对应的爬升架爬爪处，将安全带系挂在基础节横杆上，解除</w:t>
      </w:r>
      <w:r>
        <w:rPr>
          <w:rFonts w:hint="eastAsia" w:ascii="Times New Roman" w:hAnsi="Times New Roman"/>
          <w:lang w:val="en-US" w:eastAsia="zh-CN"/>
        </w:rPr>
        <w:t>标准节</w:t>
      </w:r>
      <w:r>
        <w:rPr>
          <w:rFonts w:hint="default" w:ascii="Times New Roman" w:hAnsi="Times New Roman"/>
          <w:lang w:val="en-US" w:eastAsia="zh-CN"/>
        </w:rPr>
        <w:t>与基础节之间的约束。</w:t>
      </w:r>
      <w:r>
        <w:rPr>
          <w:rFonts w:hint="eastAsia" w:ascii="Times New Roman" w:hAnsi="Times New Roman"/>
          <w:lang w:val="en-US" w:eastAsia="zh-CN"/>
        </w:rPr>
        <w:t>汽车吊</w:t>
      </w:r>
      <w:r>
        <w:rPr>
          <w:rFonts w:hint="default" w:ascii="Times New Roman" w:hAnsi="Times New Roman"/>
          <w:lang w:val="en-US" w:eastAsia="zh-CN"/>
        </w:rPr>
        <w:t>起升吊钩，将</w:t>
      </w:r>
      <w:r>
        <w:rPr>
          <w:rFonts w:hint="eastAsia" w:ascii="Times New Roman" w:hAnsi="Times New Roman"/>
          <w:lang w:val="en-US" w:eastAsia="zh-CN"/>
        </w:rPr>
        <w:t>标准节</w:t>
      </w:r>
      <w:r>
        <w:rPr>
          <w:rFonts w:hint="default" w:ascii="Times New Roman" w:hAnsi="Times New Roman"/>
          <w:lang w:val="en-US" w:eastAsia="zh-CN"/>
        </w:rPr>
        <w:t>提升一定安全高度后，再将</w:t>
      </w:r>
      <w:r>
        <w:rPr>
          <w:rFonts w:hint="eastAsia" w:ascii="Times New Roman" w:hAnsi="Times New Roman"/>
          <w:lang w:val="en-US" w:eastAsia="zh-CN"/>
        </w:rPr>
        <w:t>标准节</w:t>
      </w:r>
      <w:r>
        <w:rPr>
          <w:rFonts w:hint="default" w:ascii="Times New Roman" w:hAnsi="Times New Roman"/>
          <w:lang w:val="en-US" w:eastAsia="zh-CN"/>
        </w:rPr>
        <w:t>下放至地面，作业人员在地面上解除卸扣与</w:t>
      </w:r>
      <w:r>
        <w:rPr>
          <w:rFonts w:hint="eastAsia" w:ascii="Times New Roman" w:hAnsi="Times New Roman"/>
          <w:lang w:val="en-US" w:eastAsia="zh-CN"/>
        </w:rPr>
        <w:t>标准节</w:t>
      </w:r>
      <w:r>
        <w:rPr>
          <w:rFonts w:hint="default" w:ascii="Times New Roman" w:hAnsi="Times New Roman"/>
          <w:lang w:val="en-US" w:eastAsia="zh-CN"/>
        </w:rPr>
        <w:t>的连接。</w:t>
      </w:r>
    </w:p>
    <w:p w14:paraId="176D7DF7">
      <w:pPr>
        <w:spacing w:line="480" w:lineRule="exact"/>
        <w:ind w:firstLine="480" w:firstLineChars="200"/>
        <w:rPr>
          <w:rFonts w:hint="default" w:ascii="Times New Roman" w:hAnsi="Times New Roman"/>
          <w:lang w:val="en-US" w:eastAsia="zh-CN"/>
        </w:rPr>
      </w:pPr>
      <w:r>
        <w:rPr>
          <w:rFonts w:hint="eastAsia" w:ascii="Times New Roman" w:hAnsi="Times New Roman"/>
          <w:lang w:val="en-US" w:eastAsia="zh-CN"/>
        </w:rPr>
        <w:t>采用同样步骤完成</w:t>
      </w:r>
      <w:r>
        <w:rPr>
          <w:rFonts w:hint="eastAsia"/>
          <w:lang w:val="en-US" w:eastAsia="zh-CN"/>
        </w:rPr>
        <w:t>剩余1节标准节、1</w:t>
      </w:r>
      <w:r>
        <w:rPr>
          <w:rFonts w:hint="eastAsia" w:ascii="Times New Roman" w:hAnsi="Times New Roman"/>
          <w:lang w:val="en-US" w:eastAsia="zh-CN"/>
        </w:rPr>
        <w:t>节基础节拆除。</w:t>
      </w:r>
    </w:p>
    <w:p w14:paraId="370C511D">
      <w:pPr>
        <w:spacing w:line="480" w:lineRule="exact"/>
        <w:ind w:firstLine="480" w:firstLineChars="200"/>
        <w:rPr>
          <w:rFonts w:hint="eastAsia" w:ascii="Times New Roman" w:hAnsi="Times New Roman"/>
          <w:lang w:val="en-US" w:eastAsia="zh-CN"/>
        </w:rPr>
      </w:pPr>
      <w:r>
        <w:rPr>
          <w:rFonts w:hint="eastAsia" w:ascii="Times New Roman" w:hAnsi="Times New Roman"/>
          <w:lang w:val="en-US" w:eastAsia="zh-CN"/>
        </w:rPr>
        <w:t>塔式起重机标准节、基础节拆除时设置警戒区，起吊安排专人负责指挥，专人操作，严禁无关人员进入起重作业范围内。</w:t>
      </w:r>
    </w:p>
    <w:tbl>
      <w:tblPr>
        <w:tblStyle w:val="30"/>
        <w:tblpPr w:leftFromText="180" w:rightFromText="180" w:vertAnchor="text" w:horzAnchor="page" w:tblpXSpec="center" w:tblpY="5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2"/>
      </w:tblGrid>
      <w:tr w14:paraId="07FF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352" w:type="dxa"/>
          </w:tcPr>
          <w:p w14:paraId="26F89CF2">
            <w:pPr>
              <w:spacing w:line="360" w:lineRule="auto"/>
              <w:jc w:val="center"/>
              <w:rPr>
                <w:rFonts w:hint="default" w:ascii="Times New Roman" w:hAnsi="Times New Roman" w:eastAsiaTheme="majorEastAsia" w:cstheme="majorBidi"/>
                <w:b/>
                <w:bCs/>
                <w:kern w:val="2"/>
                <w:sz w:val="28"/>
                <w:szCs w:val="32"/>
                <w:lang w:val="en-US" w:eastAsia="zh-CN" w:bidi="ar-SA"/>
              </w:rPr>
            </w:pPr>
            <w:r>
              <w:drawing>
                <wp:inline distT="0" distB="0" distL="114300" distR="114300">
                  <wp:extent cx="4730750" cy="2277745"/>
                  <wp:effectExtent l="0" t="0" r="12700" b="8255"/>
                  <wp:docPr id="13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2"/>
                          <pic:cNvPicPr>
                            <a:picLocks noChangeAspect="1"/>
                          </pic:cNvPicPr>
                        </pic:nvPicPr>
                        <pic:blipFill>
                          <a:blip r:embed="rId98"/>
                          <a:stretch>
                            <a:fillRect/>
                          </a:stretch>
                        </pic:blipFill>
                        <pic:spPr>
                          <a:xfrm>
                            <a:off x="0" y="0"/>
                            <a:ext cx="4730750" cy="2277745"/>
                          </a:xfrm>
                          <a:prstGeom prst="rect">
                            <a:avLst/>
                          </a:prstGeom>
                          <a:noFill/>
                          <a:ln>
                            <a:noFill/>
                          </a:ln>
                        </pic:spPr>
                      </pic:pic>
                    </a:graphicData>
                  </a:graphic>
                </wp:inline>
              </w:drawing>
            </w:r>
          </w:p>
        </w:tc>
      </w:tr>
      <w:tr w14:paraId="308F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8352" w:type="dxa"/>
          </w:tcPr>
          <w:p w14:paraId="54BC47E2">
            <w:pPr>
              <w:spacing w:line="360" w:lineRule="auto"/>
              <w:ind w:firstLine="480"/>
              <w:jc w:val="center"/>
              <w:rPr>
                <w:rFonts w:hint="default" w:ascii="Times New Roman" w:hAnsi="Times New Roman" w:eastAsiaTheme="majorEastAsia" w:cstheme="majorBidi"/>
                <w:b/>
                <w:bCs/>
                <w:kern w:val="2"/>
                <w:sz w:val="28"/>
                <w:szCs w:val="32"/>
                <w:lang w:val="en-US" w:eastAsia="zh-CN" w:bidi="ar-SA"/>
              </w:rPr>
            </w:pPr>
            <w:r>
              <w:rPr>
                <w:rFonts w:hint="eastAsia" w:ascii="宋体" w:hAnsi="宋体" w:cs="宋体"/>
                <w:sz w:val="21"/>
                <w:szCs w:val="22"/>
                <w:lang w:val="en-US" w:eastAsia="zh-CN"/>
              </w:rPr>
              <w:t>拆卸两节标准节、一节基础节平面示意图</w:t>
            </w:r>
          </w:p>
        </w:tc>
      </w:tr>
      <w:tr w14:paraId="6F3A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24DEC270">
            <w:pPr>
              <w:spacing w:line="360" w:lineRule="auto"/>
              <w:jc w:val="center"/>
              <w:rPr>
                <w:rFonts w:hint="default" w:ascii="Times New Roman" w:hAnsi="Times New Roman" w:eastAsiaTheme="majorEastAsia" w:cstheme="majorBidi"/>
                <w:b/>
                <w:bCs/>
                <w:kern w:val="2"/>
                <w:sz w:val="28"/>
                <w:szCs w:val="32"/>
                <w:lang w:val="en-US" w:eastAsia="zh-CN" w:bidi="ar-SA"/>
              </w:rPr>
            </w:pPr>
            <w:r>
              <w:drawing>
                <wp:inline distT="0" distB="0" distL="114300" distR="114300">
                  <wp:extent cx="2923540" cy="2736850"/>
                  <wp:effectExtent l="0" t="0" r="10160" b="635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102"/>
                          <a:stretch>
                            <a:fillRect/>
                          </a:stretch>
                        </pic:blipFill>
                        <pic:spPr>
                          <a:xfrm>
                            <a:off x="0" y="0"/>
                            <a:ext cx="2923540" cy="2736850"/>
                          </a:xfrm>
                          <a:prstGeom prst="rect">
                            <a:avLst/>
                          </a:prstGeom>
                          <a:noFill/>
                          <a:ln>
                            <a:noFill/>
                          </a:ln>
                        </pic:spPr>
                      </pic:pic>
                    </a:graphicData>
                  </a:graphic>
                </wp:inline>
              </w:drawing>
            </w:r>
            <w:r>
              <w:drawing>
                <wp:inline distT="0" distB="0" distL="114300" distR="114300">
                  <wp:extent cx="2739390" cy="2411095"/>
                  <wp:effectExtent l="0" t="0" r="3810" b="8255"/>
                  <wp:docPr id="13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6"/>
                          <pic:cNvPicPr>
                            <a:picLocks noChangeAspect="1"/>
                          </pic:cNvPicPr>
                        </pic:nvPicPr>
                        <pic:blipFill>
                          <a:blip r:embed="rId103"/>
                          <a:stretch>
                            <a:fillRect/>
                          </a:stretch>
                        </pic:blipFill>
                        <pic:spPr>
                          <a:xfrm>
                            <a:off x="0" y="0"/>
                            <a:ext cx="2739390" cy="2411095"/>
                          </a:xfrm>
                          <a:prstGeom prst="rect">
                            <a:avLst/>
                          </a:prstGeom>
                          <a:noFill/>
                          <a:ln>
                            <a:noFill/>
                          </a:ln>
                        </pic:spPr>
                      </pic:pic>
                    </a:graphicData>
                  </a:graphic>
                </wp:inline>
              </w:drawing>
            </w:r>
            <w:r>
              <w:drawing>
                <wp:inline distT="0" distB="0" distL="114300" distR="114300">
                  <wp:extent cx="2410460" cy="2431415"/>
                  <wp:effectExtent l="0" t="0" r="8890" b="6985"/>
                  <wp:docPr id="13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7"/>
                          <pic:cNvPicPr>
                            <a:picLocks noChangeAspect="1"/>
                          </pic:cNvPicPr>
                        </pic:nvPicPr>
                        <pic:blipFill>
                          <a:blip r:embed="rId104"/>
                          <a:stretch>
                            <a:fillRect/>
                          </a:stretch>
                        </pic:blipFill>
                        <pic:spPr>
                          <a:xfrm>
                            <a:off x="0" y="0"/>
                            <a:ext cx="2410460" cy="2431415"/>
                          </a:xfrm>
                          <a:prstGeom prst="rect">
                            <a:avLst/>
                          </a:prstGeom>
                          <a:noFill/>
                          <a:ln>
                            <a:noFill/>
                          </a:ln>
                        </pic:spPr>
                      </pic:pic>
                    </a:graphicData>
                  </a:graphic>
                </wp:inline>
              </w:drawing>
            </w:r>
          </w:p>
        </w:tc>
      </w:tr>
      <w:tr w14:paraId="4F01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352" w:type="dxa"/>
          </w:tcPr>
          <w:p w14:paraId="14DB6B3B">
            <w:pPr>
              <w:spacing w:line="360" w:lineRule="auto"/>
              <w:ind w:firstLine="480"/>
              <w:jc w:val="center"/>
              <w:rPr>
                <w:rFonts w:hint="default" w:ascii="Times New Roman" w:hAnsi="Times New Roman" w:eastAsiaTheme="majorEastAsia" w:cstheme="majorBidi"/>
                <w:b/>
                <w:bCs/>
                <w:kern w:val="2"/>
                <w:sz w:val="28"/>
                <w:szCs w:val="32"/>
                <w:lang w:val="en-US" w:eastAsia="zh-CN" w:bidi="ar-SA"/>
              </w:rPr>
            </w:pPr>
            <w:r>
              <w:rPr>
                <w:rFonts w:hint="eastAsia" w:ascii="宋体" w:hAnsi="宋体" w:cs="宋体"/>
                <w:sz w:val="21"/>
                <w:szCs w:val="22"/>
                <w:lang w:val="en-US" w:eastAsia="zh-CN"/>
              </w:rPr>
              <w:t>拆卸两节标准节、一节基础节立面示意图</w:t>
            </w:r>
          </w:p>
        </w:tc>
      </w:tr>
    </w:tbl>
    <w:p w14:paraId="021DD712">
      <w:pPr>
        <w:keepNext w:val="0"/>
        <w:keepLines w:val="0"/>
        <w:widowControl/>
        <w:suppressLineNumbers w:val="0"/>
        <w:jc w:val="left"/>
        <w:rPr>
          <w:rFonts w:hint="default" w:ascii="Times New Roman" w:hAnsi="Times New Roman" w:eastAsiaTheme="majorEastAsia" w:cstheme="majorBidi"/>
          <w:b/>
          <w:bCs/>
          <w:kern w:val="2"/>
          <w:sz w:val="28"/>
          <w:szCs w:val="32"/>
          <w:lang w:val="en-US" w:eastAsia="zh-CN" w:bidi="ar-SA"/>
        </w:rPr>
      </w:pPr>
    </w:p>
    <w:p w14:paraId="40B7ABCD">
      <w:pPr>
        <w:pStyle w:val="5"/>
        <w:numPr>
          <w:ilvl w:val="0"/>
          <w:numId w:val="42"/>
        </w:numPr>
        <w:ind w:left="0" w:leftChars="0" w:firstLine="0" w:firstLineChars="0"/>
        <w:rPr>
          <w:rFonts w:hint="eastAsia"/>
          <w:lang w:val="en-US" w:eastAsia="zh-CN"/>
        </w:rPr>
      </w:pPr>
      <w:bookmarkStart w:id="109" w:name="_Toc10118"/>
      <w:r>
        <w:rPr>
          <w:rFonts w:hint="eastAsia"/>
          <w:lang w:val="en-US" w:eastAsia="zh-CN"/>
        </w:rPr>
        <w:t>塔机拆散后的注意事项</w:t>
      </w:r>
      <w:bookmarkEnd w:id="109"/>
      <w:r>
        <w:rPr>
          <w:rFonts w:hint="eastAsia"/>
          <w:lang w:val="en-US" w:eastAsia="zh-CN"/>
        </w:rPr>
        <w:t xml:space="preserve"> </w:t>
      </w:r>
    </w:p>
    <w:p w14:paraId="19E1214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塔机拆散后，由技术人员和专业维修人员进行检查、维修保养。 </w:t>
      </w:r>
    </w:p>
    <w:p w14:paraId="35C8B1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 xml:space="preserve">对主要受力的结构件应检查金属疲劳，焊缝裂纹，结构变形等情况，检查塔机各零部件是否有损坏或碰伤等。 </w:t>
      </w:r>
    </w:p>
    <w:p w14:paraId="40F4CDAB">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1"/>
          <w:szCs w:val="21"/>
          <w:lang w:val="en-US" w:eastAsia="zh-CN" w:bidi="ar"/>
        </w:rPr>
        <w:t xml:space="preserve">(3) </w:t>
      </w:r>
      <w:r>
        <w:rPr>
          <w:rFonts w:hint="eastAsia" w:ascii="宋体" w:hAnsi="宋体" w:eastAsia="宋体" w:cs="宋体"/>
          <w:color w:val="000000"/>
          <w:kern w:val="0"/>
          <w:sz w:val="24"/>
          <w:szCs w:val="24"/>
          <w:lang w:val="en-US" w:eastAsia="zh-CN" w:bidi="ar"/>
        </w:rPr>
        <w:t>检查完毕后，对缺陷、隐患进行修复后，再进行除锈、刷漆处。</w:t>
      </w:r>
    </w:p>
    <w:p w14:paraId="02CC26F1">
      <w:pPr>
        <w:pStyle w:val="3"/>
        <w:ind w:left="562" w:hanging="562"/>
        <w:rPr>
          <w:rFonts w:cs="Times New Roman"/>
        </w:rPr>
      </w:pPr>
      <w:bookmarkStart w:id="110" w:name="_Toc23072"/>
      <w:r>
        <w:rPr>
          <w:rFonts w:cs="Times New Roman"/>
        </w:rPr>
        <w:t>重大危险源和安全技术措施</w:t>
      </w:r>
      <w:bookmarkEnd w:id="110"/>
    </w:p>
    <w:p w14:paraId="0F4E5C0A">
      <w:pPr>
        <w:pStyle w:val="5"/>
        <w:numPr>
          <w:ilvl w:val="0"/>
          <w:numId w:val="47"/>
        </w:numPr>
        <w:ind w:left="425" w:leftChars="0" w:hanging="425" w:firstLineChars="0"/>
        <w:rPr>
          <w:rFonts w:cs="Times New Roman"/>
          <w:highlight w:val="none"/>
        </w:rPr>
      </w:pPr>
      <w:bookmarkStart w:id="111" w:name="_Toc7440"/>
      <w:r>
        <w:rPr>
          <w:rFonts w:hint="eastAsia" w:cs="Times New Roman"/>
          <w:highlight w:val="none"/>
          <w:lang w:val="en-US" w:eastAsia="zh-CN"/>
        </w:rPr>
        <w:t>风险源辨识及分析</w:t>
      </w:r>
      <w:bookmarkEnd w:id="111"/>
    </w:p>
    <w:p w14:paraId="128A3BE6">
      <w:pPr>
        <w:pStyle w:val="6"/>
        <w:numPr>
          <w:ilvl w:val="0"/>
          <w:numId w:val="48"/>
        </w:numPr>
        <w:tabs>
          <w:tab w:val="left" w:pos="0"/>
        </w:tabs>
        <w:ind w:left="425" w:leftChars="0" w:hanging="425" w:firstLineChars="0"/>
        <w:rPr>
          <w:highlight w:val="none"/>
        </w:rPr>
      </w:pPr>
      <w:bookmarkStart w:id="112" w:name="_Toc29268"/>
      <w:r>
        <w:rPr>
          <w:highlight w:val="none"/>
        </w:rPr>
        <w:t>LEC辨识方法简介</w:t>
      </w:r>
    </w:p>
    <w:p w14:paraId="24AD789C">
      <w:pPr>
        <w:ind w:firstLine="480"/>
        <w:rPr>
          <w:highlight w:val="none"/>
        </w:rPr>
      </w:pPr>
      <w:r>
        <w:rPr>
          <w:rFonts w:hint="eastAsia"/>
          <w:highlight w:val="none"/>
        </w:rPr>
        <w:t>本项目施工风险评估采用“作业条件危险性评价法（LEC）”，其考虑的风险因素有三个：发生事故或危险事件的可能性，危险作业出现频率和事故的后果。主要是评估人员根据实际经验，对评估对象的现状情况进行分析，然后根据公式计算其风险分数值，再按经验将风险分数值划分风险程度等级表。</w:t>
      </w:r>
    </w:p>
    <w:p w14:paraId="30F5363D">
      <w:pPr>
        <w:ind w:firstLine="480"/>
        <w:rPr>
          <w:highlight w:val="none"/>
        </w:rPr>
      </w:pPr>
      <w:r>
        <w:rPr>
          <w:rFonts w:hint="eastAsia"/>
          <w:highlight w:val="none"/>
        </w:rPr>
        <w:t>“作业条件危险性评价法（LEC）”事故风险大小计算公式为：D=L×E×C</w:t>
      </w:r>
    </w:p>
    <w:p w14:paraId="0AE0C86C">
      <w:pPr>
        <w:ind w:firstLine="480"/>
        <w:rPr>
          <w:highlight w:val="none"/>
        </w:rPr>
      </w:pPr>
      <w:r>
        <w:rPr>
          <w:rFonts w:hint="eastAsia"/>
          <w:highlight w:val="none"/>
        </w:rPr>
        <w:t>式中：D——事故风险大小</w:t>
      </w:r>
    </w:p>
    <w:p w14:paraId="5E5EFA5B">
      <w:pPr>
        <w:ind w:firstLine="1200" w:firstLineChars="500"/>
        <w:rPr>
          <w:highlight w:val="none"/>
        </w:rPr>
      </w:pPr>
      <w:r>
        <w:rPr>
          <w:rFonts w:hint="eastAsia"/>
          <w:highlight w:val="none"/>
        </w:rPr>
        <w:t>L——事故发生的可能性</w:t>
      </w:r>
    </w:p>
    <w:p w14:paraId="5FC541C5">
      <w:pPr>
        <w:ind w:firstLine="1200" w:firstLineChars="500"/>
        <w:rPr>
          <w:highlight w:val="none"/>
        </w:rPr>
      </w:pPr>
      <w:r>
        <w:rPr>
          <w:rFonts w:hint="eastAsia"/>
          <w:highlight w:val="none"/>
        </w:rPr>
        <w:t>E——暴露于风险环境的频率</w:t>
      </w:r>
    </w:p>
    <w:p w14:paraId="71EF8D7C">
      <w:pPr>
        <w:ind w:firstLine="1200" w:firstLineChars="500"/>
        <w:rPr>
          <w:highlight w:val="none"/>
        </w:rPr>
      </w:pPr>
      <w:r>
        <w:rPr>
          <w:rFonts w:hint="eastAsia"/>
          <w:highlight w:val="none"/>
        </w:rPr>
        <w:t>C——发生事故的可能后果</w:t>
      </w:r>
    </w:p>
    <w:p w14:paraId="7B9675D3">
      <w:pPr>
        <w:ind w:firstLine="480"/>
        <w:rPr>
          <w:highlight w:val="none"/>
        </w:rPr>
      </w:pPr>
      <w:r>
        <w:rPr>
          <w:highlight w:val="none"/>
        </w:rPr>
        <w:t>根据公式</w:t>
      </w:r>
      <w:r>
        <w:rPr>
          <w:rFonts w:hint="eastAsia"/>
          <w:highlight w:val="none"/>
        </w:rPr>
        <w:t>D=L×E×C</w:t>
      </w:r>
      <w:r>
        <w:rPr>
          <w:highlight w:val="none"/>
        </w:rPr>
        <w:t>，求出风险值D。</w:t>
      </w:r>
      <w:r>
        <w:rPr>
          <w:rFonts w:hint="eastAsia"/>
          <w:highlight w:val="none"/>
        </w:rPr>
        <w:t>按照该方法风险等级划分原则，</w:t>
      </w:r>
      <w:r>
        <w:rPr>
          <w:highlight w:val="none"/>
        </w:rPr>
        <w:t>规定D值在</w:t>
      </w:r>
      <w:r>
        <w:rPr>
          <w:rFonts w:hint="eastAsia"/>
          <w:highlight w:val="none"/>
        </w:rPr>
        <w:t>70</w:t>
      </w:r>
      <w:r>
        <w:rPr>
          <w:highlight w:val="none"/>
        </w:rPr>
        <w:t>以下时为</w:t>
      </w:r>
      <w:r>
        <w:rPr>
          <w:rFonts w:hint="eastAsia"/>
          <w:highlight w:val="none"/>
        </w:rPr>
        <w:t>Ⅰ</w:t>
      </w:r>
      <w:r>
        <w:rPr>
          <w:highlight w:val="none"/>
        </w:rPr>
        <w:t>级风险；在70~160之间为</w:t>
      </w:r>
      <w:r>
        <w:rPr>
          <w:rFonts w:hint="eastAsia"/>
          <w:highlight w:val="none"/>
        </w:rPr>
        <w:t>Ⅱ</w:t>
      </w:r>
      <w:r>
        <w:rPr>
          <w:highlight w:val="none"/>
        </w:rPr>
        <w:t>级风险；在160~320之间为</w:t>
      </w:r>
      <w:r>
        <w:rPr>
          <w:rFonts w:hint="eastAsia"/>
          <w:highlight w:val="none"/>
        </w:rPr>
        <w:t>Ⅲ</w:t>
      </w:r>
      <w:r>
        <w:rPr>
          <w:highlight w:val="none"/>
        </w:rPr>
        <w:t>级风险；D值大于320时为</w:t>
      </w:r>
      <w:r>
        <w:rPr>
          <w:rFonts w:hint="eastAsia"/>
          <w:highlight w:val="none"/>
        </w:rPr>
        <w:t>Ⅳ</w:t>
      </w:r>
      <w:r>
        <w:rPr>
          <w:highlight w:val="none"/>
        </w:rPr>
        <w:t>级风险。风险等级划分见</w:t>
      </w:r>
      <w:r>
        <w:rPr>
          <w:rFonts w:hint="eastAsia"/>
          <w:highlight w:val="none"/>
        </w:rPr>
        <w:t>下表</w:t>
      </w:r>
      <w:r>
        <w:rPr>
          <w:highlight w:val="none"/>
        </w:rPr>
        <w:t>。</w:t>
      </w:r>
    </w:p>
    <w:p w14:paraId="10C44365">
      <w:pPr>
        <w:ind w:firstLine="480" w:firstLineChars="0"/>
        <w:jc w:val="center"/>
        <w:rPr>
          <w:rFonts w:cstheme="majorBidi"/>
          <w:b/>
          <w:sz w:val="21"/>
          <w:szCs w:val="20"/>
          <w:highlight w:val="none"/>
        </w:rPr>
      </w:pPr>
      <w:bookmarkStart w:id="113" w:name="_Ref59526525"/>
      <w:r>
        <w:rPr>
          <w:rFonts w:hint="eastAsia" w:cstheme="majorBidi"/>
          <w:b/>
          <w:sz w:val="21"/>
          <w:szCs w:val="20"/>
          <w:highlight w:val="none"/>
        </w:rPr>
        <w:t>表</w:t>
      </w:r>
      <w:r>
        <w:rPr>
          <w:rFonts w:cstheme="majorBidi"/>
          <w:b/>
          <w:sz w:val="21"/>
          <w:szCs w:val="20"/>
          <w:highlight w:val="none"/>
        </w:rPr>
        <w:fldChar w:fldCharType="begin"/>
      </w:r>
      <w:r>
        <w:rPr>
          <w:rFonts w:cstheme="majorBidi"/>
          <w:b/>
          <w:sz w:val="21"/>
          <w:szCs w:val="20"/>
          <w:highlight w:val="none"/>
        </w:rPr>
        <w:instrText xml:space="preserve"> </w:instrText>
      </w:r>
      <w:r>
        <w:rPr>
          <w:rFonts w:hint="eastAsia" w:cstheme="majorBidi"/>
          <w:b/>
          <w:sz w:val="21"/>
          <w:szCs w:val="20"/>
          <w:highlight w:val="none"/>
        </w:rPr>
        <w:instrText xml:space="preserve">STYLEREF 2 \s</w:instrText>
      </w:r>
      <w:r>
        <w:rPr>
          <w:rFonts w:cstheme="majorBidi"/>
          <w:b/>
          <w:sz w:val="21"/>
          <w:szCs w:val="20"/>
          <w:highlight w:val="none"/>
        </w:rPr>
        <w:instrText xml:space="preserve"> </w:instrText>
      </w:r>
      <w:r>
        <w:rPr>
          <w:rFonts w:cstheme="majorBidi"/>
          <w:b/>
          <w:sz w:val="21"/>
          <w:szCs w:val="20"/>
          <w:highlight w:val="none"/>
        </w:rPr>
        <w:fldChar w:fldCharType="separate"/>
      </w:r>
      <w:r>
        <w:rPr>
          <w:rFonts w:hint="eastAsia" w:cstheme="majorBidi"/>
          <w:b/>
          <w:sz w:val="21"/>
          <w:szCs w:val="20"/>
          <w:highlight w:val="none"/>
          <w:lang w:val="en-US" w:eastAsia="zh-CN"/>
        </w:rPr>
        <w:t>10</w:t>
      </w:r>
      <w:r>
        <w:rPr>
          <w:rFonts w:hint="eastAsia" w:cstheme="majorBidi"/>
          <w:b/>
          <w:sz w:val="21"/>
          <w:szCs w:val="20"/>
          <w:highlight w:val="none"/>
        </w:rPr>
        <w:t>.1</w:t>
      </w:r>
      <w:r>
        <w:rPr>
          <w:rFonts w:cstheme="majorBidi"/>
          <w:b/>
          <w:sz w:val="21"/>
          <w:szCs w:val="20"/>
          <w:highlight w:val="none"/>
        </w:rPr>
        <w:fldChar w:fldCharType="end"/>
      </w:r>
      <w:r>
        <w:rPr>
          <w:rFonts w:cstheme="majorBidi"/>
          <w:b/>
          <w:sz w:val="21"/>
          <w:szCs w:val="20"/>
          <w:highlight w:val="none"/>
        </w:rPr>
        <w:t>.1</w:t>
      </w:r>
      <w:r>
        <w:rPr>
          <w:rFonts w:cstheme="majorBidi"/>
          <w:b/>
          <w:sz w:val="21"/>
          <w:szCs w:val="20"/>
          <w:highlight w:val="none"/>
        </w:rPr>
        <w:noBreakHyphen/>
      </w:r>
      <w:bookmarkEnd w:id="113"/>
      <w:r>
        <w:rPr>
          <w:rFonts w:hint="eastAsia" w:cstheme="majorBidi"/>
          <w:b/>
          <w:sz w:val="21"/>
          <w:szCs w:val="20"/>
          <w:highlight w:val="none"/>
        </w:rPr>
        <w:t>1</w:t>
      </w:r>
      <w:r>
        <w:rPr>
          <w:rFonts w:cstheme="majorBidi"/>
          <w:b/>
          <w:sz w:val="21"/>
          <w:szCs w:val="20"/>
          <w:highlight w:val="none"/>
        </w:rPr>
        <w:t xml:space="preserve"> </w:t>
      </w:r>
      <w:r>
        <w:rPr>
          <w:rFonts w:hint="eastAsia" w:cstheme="majorBidi"/>
          <w:b/>
          <w:sz w:val="21"/>
          <w:szCs w:val="20"/>
          <w:highlight w:val="none"/>
        </w:rPr>
        <w:t>LEC法评估结果分级</w:t>
      </w:r>
    </w:p>
    <w:tbl>
      <w:tblPr>
        <w:tblStyle w:val="7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14:paraId="7B3C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14:paraId="70B2A77F">
            <w:pPr>
              <w:spacing w:line="240" w:lineRule="auto"/>
              <w:ind w:firstLine="0" w:firstLineChars="0"/>
              <w:jc w:val="center"/>
              <w:rPr>
                <w:rFonts w:cs="宋体"/>
                <w:b/>
                <w:bCs/>
                <w:kern w:val="0"/>
                <w:sz w:val="21"/>
                <w:highlight w:val="none"/>
              </w:rPr>
            </w:pPr>
            <w:r>
              <w:rPr>
                <w:rFonts w:cs="宋体"/>
                <w:b/>
                <w:bCs/>
                <w:kern w:val="0"/>
                <w:sz w:val="21"/>
                <w:highlight w:val="none"/>
              </w:rPr>
              <w:t>风险等级</w:t>
            </w:r>
          </w:p>
        </w:tc>
        <w:tc>
          <w:tcPr>
            <w:tcW w:w="2268" w:type="dxa"/>
            <w:vAlign w:val="center"/>
          </w:tcPr>
          <w:p w14:paraId="68634BBB">
            <w:pPr>
              <w:spacing w:line="240" w:lineRule="auto"/>
              <w:ind w:firstLine="0" w:firstLineChars="0"/>
              <w:jc w:val="center"/>
              <w:rPr>
                <w:rFonts w:cs="宋体"/>
                <w:b/>
                <w:bCs/>
                <w:kern w:val="0"/>
                <w:sz w:val="21"/>
                <w:highlight w:val="none"/>
              </w:rPr>
            </w:pPr>
            <w:r>
              <w:rPr>
                <w:rFonts w:cs="宋体"/>
                <w:b/>
                <w:bCs/>
                <w:kern w:val="0"/>
                <w:sz w:val="21"/>
                <w:highlight w:val="none"/>
              </w:rPr>
              <w:t>D值</w:t>
            </w:r>
          </w:p>
        </w:tc>
        <w:tc>
          <w:tcPr>
            <w:tcW w:w="4535" w:type="dxa"/>
            <w:vAlign w:val="center"/>
          </w:tcPr>
          <w:p w14:paraId="02E2FA70">
            <w:pPr>
              <w:spacing w:line="240" w:lineRule="auto"/>
              <w:ind w:firstLine="0" w:firstLineChars="0"/>
              <w:jc w:val="center"/>
              <w:rPr>
                <w:rFonts w:cs="宋体"/>
                <w:b/>
                <w:bCs/>
                <w:kern w:val="0"/>
                <w:sz w:val="21"/>
                <w:highlight w:val="none"/>
              </w:rPr>
            </w:pPr>
            <w:r>
              <w:rPr>
                <w:rFonts w:hint="eastAsia" w:cs="宋体"/>
                <w:b/>
                <w:bCs/>
                <w:kern w:val="0"/>
                <w:sz w:val="21"/>
                <w:highlight w:val="none"/>
              </w:rPr>
              <w:t>风险</w:t>
            </w:r>
            <w:r>
              <w:rPr>
                <w:rFonts w:cs="宋体"/>
                <w:b/>
                <w:bCs/>
                <w:kern w:val="0"/>
                <w:sz w:val="21"/>
                <w:highlight w:val="none"/>
              </w:rPr>
              <w:t>程度</w:t>
            </w:r>
          </w:p>
        </w:tc>
      </w:tr>
      <w:tr w14:paraId="23C93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2D124C2C">
            <w:pPr>
              <w:spacing w:line="240" w:lineRule="auto"/>
              <w:ind w:firstLine="0" w:firstLineChars="0"/>
              <w:jc w:val="center"/>
              <w:rPr>
                <w:highlight w:val="none"/>
              </w:rPr>
            </w:pPr>
            <w:r>
              <w:rPr>
                <w:rFonts w:hint="eastAsia"/>
                <w:highlight w:val="none"/>
              </w:rPr>
              <w:t>Ⅳ</w:t>
            </w:r>
          </w:p>
        </w:tc>
        <w:tc>
          <w:tcPr>
            <w:tcW w:w="2268" w:type="dxa"/>
            <w:vAlign w:val="center"/>
          </w:tcPr>
          <w:p w14:paraId="25668751">
            <w:pPr>
              <w:spacing w:line="240" w:lineRule="auto"/>
              <w:ind w:firstLine="0" w:firstLineChars="0"/>
              <w:jc w:val="center"/>
              <w:rPr>
                <w:rFonts w:cs="宋体"/>
                <w:kern w:val="0"/>
                <w:sz w:val="21"/>
                <w:highlight w:val="none"/>
              </w:rPr>
            </w:pPr>
            <w:r>
              <w:rPr>
                <w:rFonts w:hint="eastAsia" w:cs="宋体"/>
                <w:kern w:val="0"/>
                <w:sz w:val="21"/>
                <w:highlight w:val="none"/>
              </w:rPr>
              <w:t>D</w:t>
            </w:r>
            <w:r>
              <w:rPr>
                <w:rFonts w:cs="宋体"/>
                <w:kern w:val="0"/>
                <w:sz w:val="21"/>
                <w:highlight w:val="none"/>
              </w:rPr>
              <w:t>＞320</w:t>
            </w:r>
          </w:p>
        </w:tc>
        <w:tc>
          <w:tcPr>
            <w:tcW w:w="4535" w:type="dxa"/>
            <w:vAlign w:val="center"/>
          </w:tcPr>
          <w:p w14:paraId="680E5139">
            <w:pPr>
              <w:spacing w:line="240" w:lineRule="auto"/>
              <w:ind w:firstLine="0" w:firstLineChars="0"/>
              <w:jc w:val="center"/>
              <w:rPr>
                <w:rFonts w:cs="宋体"/>
                <w:kern w:val="0"/>
                <w:sz w:val="21"/>
                <w:highlight w:val="none"/>
              </w:rPr>
            </w:pPr>
            <w:r>
              <w:rPr>
                <w:rFonts w:hint="eastAsia" w:cs="宋体"/>
                <w:kern w:val="0"/>
                <w:sz w:val="21"/>
                <w:highlight w:val="none"/>
              </w:rPr>
              <w:t>重大风险</w:t>
            </w:r>
          </w:p>
        </w:tc>
      </w:tr>
      <w:tr w14:paraId="0CFDA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0366E710">
            <w:pPr>
              <w:spacing w:line="240" w:lineRule="auto"/>
              <w:ind w:firstLine="0" w:firstLineChars="0"/>
              <w:jc w:val="center"/>
              <w:rPr>
                <w:highlight w:val="none"/>
              </w:rPr>
            </w:pPr>
            <w:r>
              <w:rPr>
                <w:rFonts w:hint="eastAsia"/>
                <w:highlight w:val="none"/>
              </w:rPr>
              <w:t>Ⅲ</w:t>
            </w:r>
          </w:p>
        </w:tc>
        <w:tc>
          <w:tcPr>
            <w:tcW w:w="2268" w:type="dxa"/>
            <w:vAlign w:val="center"/>
          </w:tcPr>
          <w:p w14:paraId="1DD13A78">
            <w:pPr>
              <w:spacing w:line="240" w:lineRule="auto"/>
              <w:ind w:firstLine="0" w:firstLineChars="0"/>
              <w:jc w:val="center"/>
              <w:rPr>
                <w:rFonts w:cs="宋体"/>
                <w:kern w:val="0"/>
                <w:sz w:val="21"/>
                <w:highlight w:val="none"/>
              </w:rPr>
            </w:pPr>
            <w:r>
              <w:rPr>
                <w:rFonts w:hint="eastAsia" w:cs="宋体"/>
                <w:kern w:val="0"/>
                <w:sz w:val="21"/>
                <w:highlight w:val="none"/>
              </w:rPr>
              <w:t>160&lt;D≤320</w:t>
            </w:r>
          </w:p>
        </w:tc>
        <w:tc>
          <w:tcPr>
            <w:tcW w:w="4535" w:type="dxa"/>
            <w:vAlign w:val="center"/>
          </w:tcPr>
          <w:p w14:paraId="0B63EA7C">
            <w:pPr>
              <w:spacing w:line="240" w:lineRule="auto"/>
              <w:ind w:firstLine="0" w:firstLineChars="0"/>
              <w:jc w:val="center"/>
              <w:rPr>
                <w:rFonts w:cs="宋体"/>
                <w:kern w:val="0"/>
                <w:sz w:val="21"/>
                <w:highlight w:val="none"/>
              </w:rPr>
            </w:pPr>
            <w:r>
              <w:rPr>
                <w:rFonts w:hint="eastAsia" w:cs="宋体"/>
                <w:kern w:val="0"/>
                <w:sz w:val="21"/>
                <w:highlight w:val="none"/>
              </w:rPr>
              <w:t>较大风险</w:t>
            </w:r>
          </w:p>
        </w:tc>
      </w:tr>
      <w:tr w14:paraId="6D91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7264CC8D">
            <w:pPr>
              <w:spacing w:line="240" w:lineRule="auto"/>
              <w:ind w:firstLine="0" w:firstLineChars="0"/>
              <w:jc w:val="center"/>
              <w:rPr>
                <w:highlight w:val="none"/>
              </w:rPr>
            </w:pPr>
            <w:r>
              <w:rPr>
                <w:rFonts w:hint="eastAsia"/>
                <w:highlight w:val="none"/>
              </w:rPr>
              <w:t>Ⅱ</w:t>
            </w:r>
          </w:p>
        </w:tc>
        <w:tc>
          <w:tcPr>
            <w:tcW w:w="2268" w:type="dxa"/>
            <w:vAlign w:val="center"/>
          </w:tcPr>
          <w:p w14:paraId="050F96B3">
            <w:pPr>
              <w:spacing w:line="240" w:lineRule="auto"/>
              <w:ind w:firstLine="0" w:firstLineChars="0"/>
              <w:jc w:val="center"/>
              <w:rPr>
                <w:rFonts w:cs="宋体"/>
                <w:kern w:val="0"/>
                <w:sz w:val="21"/>
                <w:highlight w:val="none"/>
              </w:rPr>
            </w:pPr>
            <w:r>
              <w:rPr>
                <w:rFonts w:hint="eastAsia" w:cs="宋体"/>
                <w:kern w:val="0"/>
                <w:sz w:val="21"/>
                <w:highlight w:val="none"/>
              </w:rPr>
              <w:t>70&lt;D≤160</w:t>
            </w:r>
          </w:p>
        </w:tc>
        <w:tc>
          <w:tcPr>
            <w:tcW w:w="4535" w:type="dxa"/>
            <w:vAlign w:val="center"/>
          </w:tcPr>
          <w:p w14:paraId="22A5EF08">
            <w:pPr>
              <w:spacing w:line="240" w:lineRule="auto"/>
              <w:ind w:firstLine="0" w:firstLineChars="0"/>
              <w:jc w:val="center"/>
              <w:rPr>
                <w:rFonts w:cs="宋体"/>
                <w:kern w:val="0"/>
                <w:sz w:val="21"/>
                <w:highlight w:val="none"/>
              </w:rPr>
            </w:pPr>
            <w:r>
              <w:rPr>
                <w:rFonts w:hint="eastAsia" w:cs="宋体"/>
                <w:kern w:val="0"/>
                <w:sz w:val="21"/>
                <w:highlight w:val="none"/>
              </w:rPr>
              <w:t>一般风险</w:t>
            </w:r>
          </w:p>
        </w:tc>
      </w:tr>
      <w:tr w14:paraId="501C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62E91159">
            <w:pPr>
              <w:spacing w:line="240" w:lineRule="auto"/>
              <w:ind w:firstLine="0" w:firstLineChars="0"/>
              <w:jc w:val="center"/>
              <w:rPr>
                <w:highlight w:val="none"/>
              </w:rPr>
            </w:pPr>
            <w:r>
              <w:rPr>
                <w:rFonts w:hint="eastAsia"/>
                <w:highlight w:val="none"/>
              </w:rPr>
              <w:t>Ⅰ</w:t>
            </w:r>
          </w:p>
        </w:tc>
        <w:tc>
          <w:tcPr>
            <w:tcW w:w="2268" w:type="dxa"/>
            <w:vAlign w:val="center"/>
          </w:tcPr>
          <w:p w14:paraId="4F9F3C53">
            <w:pPr>
              <w:spacing w:line="240" w:lineRule="auto"/>
              <w:ind w:firstLine="0" w:firstLineChars="0"/>
              <w:jc w:val="center"/>
              <w:rPr>
                <w:rFonts w:cs="宋体"/>
                <w:kern w:val="0"/>
                <w:sz w:val="21"/>
                <w:highlight w:val="none"/>
              </w:rPr>
            </w:pPr>
            <w:r>
              <w:rPr>
                <w:rFonts w:hint="eastAsia" w:cs="宋体"/>
                <w:kern w:val="0"/>
                <w:sz w:val="21"/>
                <w:highlight w:val="none"/>
              </w:rPr>
              <w:t>D≤</w:t>
            </w:r>
            <w:r>
              <w:rPr>
                <w:rFonts w:cs="宋体"/>
                <w:kern w:val="0"/>
                <w:sz w:val="21"/>
                <w:highlight w:val="none"/>
              </w:rPr>
              <w:t>70</w:t>
            </w:r>
          </w:p>
        </w:tc>
        <w:tc>
          <w:tcPr>
            <w:tcW w:w="4535" w:type="dxa"/>
            <w:vAlign w:val="center"/>
          </w:tcPr>
          <w:p w14:paraId="7D448390">
            <w:pPr>
              <w:spacing w:line="240" w:lineRule="auto"/>
              <w:ind w:firstLine="0" w:firstLineChars="0"/>
              <w:jc w:val="center"/>
              <w:rPr>
                <w:rFonts w:cs="宋体"/>
                <w:kern w:val="0"/>
                <w:sz w:val="21"/>
                <w:highlight w:val="none"/>
              </w:rPr>
            </w:pPr>
            <w:r>
              <w:rPr>
                <w:rFonts w:hint="eastAsia" w:cs="宋体"/>
                <w:kern w:val="0"/>
                <w:sz w:val="21"/>
                <w:highlight w:val="none"/>
              </w:rPr>
              <w:t>较小风险</w:t>
            </w:r>
          </w:p>
        </w:tc>
      </w:tr>
    </w:tbl>
    <w:p w14:paraId="316A45AF">
      <w:pPr>
        <w:ind w:firstLine="480"/>
        <w:rPr>
          <w:highlight w:val="none"/>
        </w:rPr>
      </w:pPr>
      <w:r>
        <w:rPr>
          <w:rFonts w:hint="eastAsia"/>
          <w:highlight w:val="none"/>
        </w:rPr>
        <w:t>风险程度说明和分级管控要求：</w:t>
      </w:r>
    </w:p>
    <w:p w14:paraId="57071000">
      <w:pPr>
        <w:ind w:firstLine="480"/>
        <w:rPr>
          <w:highlight w:val="none"/>
        </w:rPr>
      </w:pPr>
      <w:r>
        <w:rPr>
          <w:rFonts w:hint="eastAsia"/>
          <w:highlight w:val="none"/>
        </w:rPr>
        <w:t>Ⅰ级：较小风险，发生风险事件概率、危害程度均为小，或者风险事件概率为中、危害程度为小，或者风险事件概率为小、危害程度为中；由班组管控；</w:t>
      </w:r>
    </w:p>
    <w:p w14:paraId="75482066">
      <w:pPr>
        <w:ind w:firstLine="480"/>
        <w:rPr>
          <w:highlight w:val="none"/>
        </w:rPr>
      </w:pPr>
      <w:r>
        <w:rPr>
          <w:rFonts w:hint="eastAsia"/>
          <w:highlight w:val="none"/>
        </w:rPr>
        <w:t>Ⅱ级：一般</w:t>
      </w:r>
      <w:r>
        <w:rPr>
          <w:rFonts w:hint="eastAsia" w:asciiTheme="minorHAnsi" w:eastAsiaTheme="minorEastAsia"/>
          <w:highlight w:val="none"/>
        </w:rPr>
        <w:t>风险</w:t>
      </w:r>
      <w:r>
        <w:rPr>
          <w:rFonts w:hint="eastAsia"/>
          <w:highlight w:val="none"/>
        </w:rPr>
        <w:t>，发生风险事件概率、危害程度均为中，或者风险事件概率为大、危害程度为小，或者风险事件概率为小、危害程度为大；由项目部管控；</w:t>
      </w:r>
    </w:p>
    <w:p w14:paraId="3D3460E1">
      <w:pPr>
        <w:ind w:firstLine="480"/>
        <w:rPr>
          <w:highlight w:val="none"/>
        </w:rPr>
      </w:pPr>
      <w:r>
        <w:rPr>
          <w:rFonts w:hint="eastAsia"/>
          <w:highlight w:val="none"/>
        </w:rPr>
        <w:t>Ⅲ级：较大风险，发生风险事件概率为大、危害程度为中，或危害程度为大、发生风险事件概率为中；由分子公司组织项目部共同管控，分子公司重点监督检查；</w:t>
      </w:r>
    </w:p>
    <w:p w14:paraId="203A718C">
      <w:pPr>
        <w:ind w:firstLine="480"/>
        <w:rPr>
          <w:highlight w:val="none"/>
        </w:rPr>
      </w:pPr>
      <w:r>
        <w:rPr>
          <w:rFonts w:hint="eastAsia"/>
          <w:highlight w:val="none"/>
        </w:rPr>
        <w:t>Ⅳ级：重大风险，发生风险事件概率、危害程度均为大；由公司组织分子公司、项目部共同管控，公司重点监督检查。</w:t>
      </w:r>
    </w:p>
    <w:p w14:paraId="17058C8E">
      <w:pPr>
        <w:pStyle w:val="6"/>
        <w:numPr>
          <w:ilvl w:val="0"/>
          <w:numId w:val="48"/>
        </w:numPr>
        <w:tabs>
          <w:tab w:val="left" w:pos="0"/>
        </w:tabs>
        <w:ind w:left="425" w:leftChars="0" w:hanging="425" w:firstLineChars="0"/>
        <w:rPr>
          <w:highlight w:val="none"/>
        </w:rPr>
      </w:pPr>
      <w:r>
        <w:rPr>
          <w:rFonts w:hint="eastAsia"/>
          <w:highlight w:val="none"/>
        </w:rPr>
        <w:t>风险源</w:t>
      </w:r>
      <w:r>
        <w:rPr>
          <w:highlight w:val="none"/>
        </w:rPr>
        <w:t>辨识与评价</w:t>
      </w:r>
    </w:p>
    <w:p w14:paraId="629CF3A4">
      <w:pPr>
        <w:ind w:firstLine="480"/>
        <w:rPr>
          <w:highlight w:val="none"/>
        </w:rPr>
      </w:pPr>
      <w:r>
        <w:rPr>
          <w:rFonts w:hint="eastAsia"/>
          <w:highlight w:val="none"/>
        </w:rPr>
        <w:t>危险有害因素辨识及评价一览表</w:t>
      </w:r>
      <w:r>
        <w:rPr>
          <w:highlight w:val="none"/>
        </w:rPr>
        <w:t>见表</w:t>
      </w:r>
      <w:r>
        <w:rPr>
          <w:rFonts w:hint="eastAsia"/>
          <w:highlight w:val="none"/>
          <w:lang w:val="en-US" w:eastAsia="zh-CN"/>
        </w:rPr>
        <w:t>10</w:t>
      </w:r>
      <w:r>
        <w:rPr>
          <w:highlight w:val="none"/>
        </w:rPr>
        <w:t>.1.2-1所示。</w:t>
      </w:r>
    </w:p>
    <w:p w14:paraId="5D72CCDE">
      <w:pPr>
        <w:spacing w:line="240" w:lineRule="auto"/>
        <w:ind w:firstLine="482" w:firstLineChars="0"/>
        <w:jc w:val="center"/>
        <w:rPr>
          <w:b/>
          <w:bCs/>
          <w:sz w:val="21"/>
          <w:highlight w:val="none"/>
        </w:rPr>
      </w:pPr>
      <w:r>
        <w:rPr>
          <w:b/>
          <w:bCs/>
          <w:sz w:val="21"/>
          <w:highlight w:val="none"/>
        </w:rPr>
        <w:t>表</w:t>
      </w:r>
      <w:r>
        <w:rPr>
          <w:rFonts w:hint="eastAsia"/>
          <w:b/>
          <w:bCs/>
          <w:sz w:val="21"/>
          <w:highlight w:val="none"/>
          <w:lang w:val="en-US" w:eastAsia="zh-CN"/>
        </w:rPr>
        <w:t>10</w:t>
      </w:r>
      <w:r>
        <w:rPr>
          <w:b/>
          <w:bCs/>
          <w:sz w:val="21"/>
          <w:highlight w:val="none"/>
        </w:rPr>
        <w:t>.1.2-1</w:t>
      </w:r>
      <w:r>
        <w:rPr>
          <w:rFonts w:hint="eastAsia"/>
          <w:b/>
          <w:bCs/>
          <w:sz w:val="21"/>
          <w:highlight w:val="none"/>
        </w:rPr>
        <w:t>危险有害因素辨识及评价一览表</w:t>
      </w:r>
    </w:p>
    <w:tbl>
      <w:tblPr>
        <w:tblStyle w:val="30"/>
        <w:tblW w:w="89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995"/>
        <w:gridCol w:w="3604"/>
        <w:gridCol w:w="1149"/>
        <w:gridCol w:w="550"/>
        <w:gridCol w:w="540"/>
        <w:gridCol w:w="540"/>
        <w:gridCol w:w="590"/>
        <w:gridCol w:w="560"/>
      </w:tblGrid>
      <w:tr w14:paraId="5F9A1ABC">
        <w:tblPrEx>
          <w:tblCellMar>
            <w:top w:w="0" w:type="dxa"/>
            <w:left w:w="108" w:type="dxa"/>
            <w:bottom w:w="0" w:type="dxa"/>
            <w:right w:w="108" w:type="dxa"/>
          </w:tblCellMar>
        </w:tblPrEx>
        <w:trPr>
          <w:trHeight w:val="397" w:hRule="atLeast"/>
          <w:tblHeader/>
          <w:jc w:val="center"/>
        </w:trPr>
        <w:tc>
          <w:tcPr>
            <w:tcW w:w="375" w:type="dxa"/>
            <w:vMerge w:val="restart"/>
            <w:tcBorders>
              <w:tl2br w:val="nil"/>
              <w:tr2bl w:val="nil"/>
            </w:tcBorders>
            <w:vAlign w:val="center"/>
          </w:tcPr>
          <w:p w14:paraId="61AFDAA7">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bookmarkStart w:id="114" w:name="_Hlk114688103"/>
            <w:r>
              <w:rPr>
                <w:rFonts w:hint="eastAsia" w:ascii="宋体" w:hAnsi="宋体" w:cs="宋体"/>
                <w:b/>
                <w:bCs/>
                <w:color w:val="000000" w:themeColor="text1"/>
                <w:sz w:val="21"/>
                <w:highlight w:val="none"/>
                <w14:textFill>
                  <w14:solidFill>
                    <w14:schemeClr w14:val="tx1"/>
                  </w14:solidFill>
                </w14:textFill>
              </w:rPr>
              <w:t>序号</w:t>
            </w:r>
          </w:p>
        </w:tc>
        <w:tc>
          <w:tcPr>
            <w:tcW w:w="995" w:type="dxa"/>
            <w:vMerge w:val="restart"/>
            <w:tcBorders>
              <w:tl2br w:val="nil"/>
              <w:tr2bl w:val="nil"/>
            </w:tcBorders>
            <w:vAlign w:val="center"/>
          </w:tcPr>
          <w:p w14:paraId="0095DE14">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活动</w:t>
            </w:r>
          </w:p>
          <w:p w14:paraId="72ED7714">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内容</w:t>
            </w:r>
          </w:p>
        </w:tc>
        <w:tc>
          <w:tcPr>
            <w:tcW w:w="3604" w:type="dxa"/>
            <w:vMerge w:val="restart"/>
            <w:tcBorders>
              <w:tl2br w:val="nil"/>
              <w:tr2bl w:val="nil"/>
            </w:tcBorders>
            <w:vAlign w:val="center"/>
          </w:tcPr>
          <w:p w14:paraId="2955DF73">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危害因素</w:t>
            </w:r>
          </w:p>
        </w:tc>
        <w:tc>
          <w:tcPr>
            <w:tcW w:w="1149" w:type="dxa"/>
            <w:vMerge w:val="restart"/>
            <w:tcBorders>
              <w:tl2br w:val="nil"/>
              <w:tr2bl w:val="nil"/>
            </w:tcBorders>
            <w:vAlign w:val="center"/>
          </w:tcPr>
          <w:p w14:paraId="7E01EFB2">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潜在事故</w:t>
            </w:r>
          </w:p>
          <w:p w14:paraId="2F7C2286">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类型</w:t>
            </w:r>
          </w:p>
        </w:tc>
        <w:tc>
          <w:tcPr>
            <w:tcW w:w="2220" w:type="dxa"/>
            <w:gridSpan w:val="4"/>
            <w:tcBorders>
              <w:tl2br w:val="nil"/>
              <w:tr2bl w:val="nil"/>
            </w:tcBorders>
            <w:vAlign w:val="center"/>
          </w:tcPr>
          <w:p w14:paraId="27E3E22A">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kern w:val="0"/>
                <w:sz w:val="21"/>
                <w:highlight w:val="none"/>
              </w:rPr>
              <w:t>危险有害因素评价</w:t>
            </w:r>
          </w:p>
        </w:tc>
        <w:tc>
          <w:tcPr>
            <w:tcW w:w="560" w:type="dxa"/>
            <w:vMerge w:val="restart"/>
            <w:tcBorders>
              <w:tl2br w:val="nil"/>
              <w:tr2bl w:val="nil"/>
            </w:tcBorders>
            <w:vAlign w:val="center"/>
          </w:tcPr>
          <w:p w14:paraId="04A6B42A">
            <w:pPr>
              <w:widowControl/>
              <w:spacing w:line="240" w:lineRule="auto"/>
              <w:ind w:firstLine="0" w:firstLineChars="0"/>
              <w:jc w:val="center"/>
              <w:textAlignment w:val="center"/>
              <w:rPr>
                <w:rFonts w:ascii="宋体" w:hAnsi="宋体" w:cs="宋体"/>
                <w:b/>
                <w:kern w:val="0"/>
                <w:sz w:val="21"/>
                <w:highlight w:val="none"/>
                <w:lang w:bidi="ar"/>
              </w:rPr>
            </w:pPr>
            <w:r>
              <w:rPr>
                <w:rFonts w:hint="eastAsia" w:ascii="宋体" w:hAnsi="宋体" w:cs="宋体"/>
                <w:b/>
                <w:kern w:val="0"/>
                <w:sz w:val="21"/>
                <w:highlight w:val="none"/>
                <w:lang w:bidi="ar"/>
              </w:rPr>
              <w:t>风险</w:t>
            </w:r>
          </w:p>
          <w:p w14:paraId="3083F9FD">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级别</w:t>
            </w:r>
          </w:p>
        </w:tc>
      </w:tr>
      <w:tr w14:paraId="30B02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334D42C8">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3B8BEF0C">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3604" w:type="dxa"/>
            <w:vMerge w:val="continue"/>
            <w:tcBorders>
              <w:tl2br w:val="nil"/>
              <w:tr2bl w:val="nil"/>
            </w:tcBorders>
            <w:vAlign w:val="center"/>
          </w:tcPr>
          <w:p w14:paraId="6E979CAE">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1149" w:type="dxa"/>
            <w:vMerge w:val="continue"/>
            <w:tcBorders>
              <w:tl2br w:val="nil"/>
              <w:tr2bl w:val="nil"/>
            </w:tcBorders>
            <w:vAlign w:val="center"/>
          </w:tcPr>
          <w:p w14:paraId="7C1940C1">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2220" w:type="dxa"/>
            <w:gridSpan w:val="4"/>
            <w:tcBorders>
              <w:tl2br w:val="nil"/>
              <w:tr2bl w:val="nil"/>
            </w:tcBorders>
            <w:vAlign w:val="center"/>
          </w:tcPr>
          <w:p w14:paraId="57DE1BBF">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D＝LEC</w:t>
            </w:r>
          </w:p>
        </w:tc>
        <w:tc>
          <w:tcPr>
            <w:tcW w:w="560" w:type="dxa"/>
            <w:vMerge w:val="continue"/>
            <w:tcBorders>
              <w:tl2br w:val="nil"/>
              <w:tr2bl w:val="nil"/>
            </w:tcBorders>
            <w:vAlign w:val="center"/>
          </w:tcPr>
          <w:p w14:paraId="0B556052">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r>
      <w:tr w14:paraId="78AEC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7358D079">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89D2342">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3604" w:type="dxa"/>
            <w:vMerge w:val="continue"/>
            <w:tcBorders>
              <w:tl2br w:val="nil"/>
              <w:tr2bl w:val="nil"/>
            </w:tcBorders>
            <w:vAlign w:val="center"/>
          </w:tcPr>
          <w:p w14:paraId="48429221">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1149" w:type="dxa"/>
            <w:vMerge w:val="continue"/>
            <w:tcBorders>
              <w:tl2br w:val="nil"/>
              <w:tr2bl w:val="nil"/>
            </w:tcBorders>
            <w:vAlign w:val="center"/>
          </w:tcPr>
          <w:p w14:paraId="23B5262A">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c>
          <w:tcPr>
            <w:tcW w:w="550" w:type="dxa"/>
            <w:tcBorders>
              <w:tl2br w:val="nil"/>
              <w:tr2bl w:val="nil"/>
            </w:tcBorders>
            <w:vAlign w:val="center"/>
          </w:tcPr>
          <w:p w14:paraId="1FDBBDA7">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L</w:t>
            </w:r>
          </w:p>
        </w:tc>
        <w:tc>
          <w:tcPr>
            <w:tcW w:w="540" w:type="dxa"/>
            <w:tcBorders>
              <w:tl2br w:val="nil"/>
              <w:tr2bl w:val="nil"/>
            </w:tcBorders>
            <w:vAlign w:val="center"/>
          </w:tcPr>
          <w:p w14:paraId="4DEA7CE7">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E</w:t>
            </w:r>
          </w:p>
        </w:tc>
        <w:tc>
          <w:tcPr>
            <w:tcW w:w="540" w:type="dxa"/>
            <w:tcBorders>
              <w:tl2br w:val="nil"/>
              <w:tr2bl w:val="nil"/>
            </w:tcBorders>
            <w:vAlign w:val="center"/>
          </w:tcPr>
          <w:p w14:paraId="7D315DA6">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C</w:t>
            </w:r>
          </w:p>
        </w:tc>
        <w:tc>
          <w:tcPr>
            <w:tcW w:w="590" w:type="dxa"/>
            <w:tcBorders>
              <w:tl2br w:val="nil"/>
              <w:tr2bl w:val="nil"/>
            </w:tcBorders>
            <w:vAlign w:val="center"/>
          </w:tcPr>
          <w:p w14:paraId="59E88667">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r>
              <w:rPr>
                <w:rFonts w:hint="eastAsia" w:ascii="宋体" w:hAnsi="宋体" w:cs="宋体"/>
                <w:b/>
                <w:bCs/>
                <w:color w:val="000000" w:themeColor="text1"/>
                <w:sz w:val="21"/>
                <w:highlight w:val="none"/>
                <w14:textFill>
                  <w14:solidFill>
                    <w14:schemeClr w14:val="tx1"/>
                  </w14:solidFill>
                </w14:textFill>
              </w:rPr>
              <w:t>D</w:t>
            </w:r>
          </w:p>
        </w:tc>
        <w:tc>
          <w:tcPr>
            <w:tcW w:w="560" w:type="dxa"/>
            <w:vMerge w:val="continue"/>
            <w:tcBorders>
              <w:tl2br w:val="nil"/>
              <w:tr2bl w:val="nil"/>
            </w:tcBorders>
            <w:vAlign w:val="center"/>
          </w:tcPr>
          <w:p w14:paraId="33516537">
            <w:pPr>
              <w:spacing w:line="280" w:lineRule="exact"/>
              <w:ind w:firstLine="0" w:firstLineChars="0"/>
              <w:jc w:val="center"/>
              <w:rPr>
                <w:rFonts w:ascii="宋体" w:hAnsi="宋体" w:cs="宋体"/>
                <w:b/>
                <w:bCs/>
                <w:color w:val="000000" w:themeColor="text1"/>
                <w:sz w:val="21"/>
                <w:highlight w:val="none"/>
                <w14:textFill>
                  <w14:solidFill>
                    <w14:schemeClr w14:val="tx1"/>
                  </w14:solidFill>
                </w14:textFill>
              </w:rPr>
            </w:pPr>
          </w:p>
        </w:tc>
      </w:tr>
      <w:tr w14:paraId="41D93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028C89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4477E6D9">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安装前准备</w:t>
            </w:r>
          </w:p>
        </w:tc>
        <w:tc>
          <w:tcPr>
            <w:tcW w:w="3604" w:type="dxa"/>
            <w:tcBorders>
              <w:tl2br w:val="nil"/>
              <w:tr2bl w:val="nil"/>
            </w:tcBorders>
            <w:vAlign w:val="center"/>
          </w:tcPr>
          <w:p w14:paraId="63F2C95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设备安装前没有进行全面的检查，并确认合格。</w:t>
            </w:r>
          </w:p>
        </w:tc>
        <w:tc>
          <w:tcPr>
            <w:tcW w:w="1149" w:type="dxa"/>
            <w:tcBorders>
              <w:tl2br w:val="nil"/>
              <w:tr2bl w:val="nil"/>
            </w:tcBorders>
            <w:vAlign w:val="center"/>
          </w:tcPr>
          <w:p w14:paraId="6DD6E0FB">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35F712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0.5</w:t>
            </w:r>
          </w:p>
        </w:tc>
        <w:tc>
          <w:tcPr>
            <w:tcW w:w="540" w:type="dxa"/>
            <w:tcBorders>
              <w:tl2br w:val="nil"/>
              <w:tr2bl w:val="nil"/>
            </w:tcBorders>
            <w:vAlign w:val="center"/>
          </w:tcPr>
          <w:p w14:paraId="66EC28E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50C003B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2CAF72E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20</w:t>
            </w:r>
          </w:p>
        </w:tc>
        <w:tc>
          <w:tcPr>
            <w:tcW w:w="560" w:type="dxa"/>
            <w:tcBorders>
              <w:tl2br w:val="nil"/>
              <w:tr2bl w:val="nil"/>
            </w:tcBorders>
            <w:vAlign w:val="center"/>
          </w:tcPr>
          <w:p w14:paraId="43E545A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7DA92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D096DF0">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8D3C5CC">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4C9C37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安装前没有对基础进行验收。基础周围没有排水设施、积水未及时清理。影响施工的地下地面管线未改迁。</w:t>
            </w:r>
          </w:p>
        </w:tc>
        <w:tc>
          <w:tcPr>
            <w:tcW w:w="1149" w:type="dxa"/>
            <w:tcBorders>
              <w:tl2br w:val="nil"/>
              <w:tr2bl w:val="nil"/>
            </w:tcBorders>
            <w:vAlign w:val="center"/>
          </w:tcPr>
          <w:p w14:paraId="2BF37577">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坍塌</w:t>
            </w:r>
          </w:p>
        </w:tc>
        <w:tc>
          <w:tcPr>
            <w:tcW w:w="550" w:type="dxa"/>
            <w:tcBorders>
              <w:tl2br w:val="nil"/>
              <w:tr2bl w:val="nil"/>
            </w:tcBorders>
            <w:vAlign w:val="center"/>
          </w:tcPr>
          <w:p w14:paraId="6115259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02ED90B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7D7F5A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1E62AE0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120</w:t>
            </w:r>
          </w:p>
        </w:tc>
        <w:tc>
          <w:tcPr>
            <w:tcW w:w="560" w:type="dxa"/>
            <w:tcBorders>
              <w:tl2br w:val="nil"/>
              <w:tr2bl w:val="nil"/>
            </w:tcBorders>
            <w:vAlign w:val="center"/>
          </w:tcPr>
          <w:p w14:paraId="5DB5C8F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44345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2A9125A">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0F19D56">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EE48CB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没有对建筑承载结构进行验算。</w:t>
            </w:r>
          </w:p>
        </w:tc>
        <w:tc>
          <w:tcPr>
            <w:tcW w:w="1149" w:type="dxa"/>
            <w:tcBorders>
              <w:tl2br w:val="nil"/>
              <w:tr2bl w:val="nil"/>
            </w:tcBorders>
            <w:vAlign w:val="center"/>
          </w:tcPr>
          <w:p w14:paraId="2EDB3720">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1909014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0.5</w:t>
            </w:r>
          </w:p>
        </w:tc>
        <w:tc>
          <w:tcPr>
            <w:tcW w:w="540" w:type="dxa"/>
            <w:tcBorders>
              <w:tl2br w:val="nil"/>
              <w:tr2bl w:val="nil"/>
            </w:tcBorders>
            <w:vAlign w:val="center"/>
          </w:tcPr>
          <w:p w14:paraId="4BD9738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388BE1C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4141D27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35</w:t>
            </w:r>
          </w:p>
        </w:tc>
        <w:tc>
          <w:tcPr>
            <w:tcW w:w="560" w:type="dxa"/>
            <w:tcBorders>
              <w:tl2br w:val="nil"/>
              <w:tr2bl w:val="nil"/>
            </w:tcBorders>
            <w:vAlign w:val="center"/>
          </w:tcPr>
          <w:p w14:paraId="47690A4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4EFB6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8A96C51">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662625BA">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324684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安装作业未按照专项方案要求实施。安装前未对安装作业人员进行安全技术交底。</w:t>
            </w:r>
          </w:p>
        </w:tc>
        <w:tc>
          <w:tcPr>
            <w:tcW w:w="1149" w:type="dxa"/>
            <w:tcBorders>
              <w:tl2br w:val="nil"/>
              <w:tr2bl w:val="nil"/>
            </w:tcBorders>
            <w:vAlign w:val="center"/>
          </w:tcPr>
          <w:p w14:paraId="67EA5757">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8E8ED8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F68174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75272DF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4518D7C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120</w:t>
            </w:r>
          </w:p>
        </w:tc>
        <w:tc>
          <w:tcPr>
            <w:tcW w:w="560" w:type="dxa"/>
            <w:tcBorders>
              <w:tl2br w:val="nil"/>
              <w:tr2bl w:val="nil"/>
            </w:tcBorders>
            <w:vAlign w:val="center"/>
          </w:tcPr>
          <w:p w14:paraId="524BEAD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6191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1150F9A">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30A0BA94">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77A504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雨雪、浓雾天气没有停止安装作业。</w:t>
            </w:r>
          </w:p>
        </w:tc>
        <w:tc>
          <w:tcPr>
            <w:tcW w:w="1149" w:type="dxa"/>
            <w:tcBorders>
              <w:tl2br w:val="nil"/>
              <w:tr2bl w:val="nil"/>
            </w:tcBorders>
            <w:vAlign w:val="center"/>
          </w:tcPr>
          <w:p w14:paraId="42BA9FA4">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659711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F21A28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3199EDC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4B3E0C0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120</w:t>
            </w:r>
          </w:p>
        </w:tc>
        <w:tc>
          <w:tcPr>
            <w:tcW w:w="560" w:type="dxa"/>
            <w:tcBorders>
              <w:tl2br w:val="nil"/>
              <w:tr2bl w:val="nil"/>
            </w:tcBorders>
            <w:vAlign w:val="center"/>
          </w:tcPr>
          <w:p w14:paraId="5CB36F0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535AA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981F1FD">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2E4C340">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3C6759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当需要在夜间进行</w:t>
            </w:r>
            <w:r>
              <w:rPr>
                <w:rFonts w:hint="eastAsia" w:ascii="宋体" w:hAnsi="宋体" w:eastAsia="宋体" w:cs="宋体"/>
                <w:color w:val="000000" w:themeColor="text1"/>
                <w:sz w:val="21"/>
                <w:highlight w:val="none"/>
                <w:lang w:eastAsia="zh-CN"/>
                <w14:textFill>
                  <w14:solidFill>
                    <w14:schemeClr w14:val="tx1"/>
                  </w14:solidFill>
                </w14:textFill>
              </w:rPr>
              <w:t>安装</w:t>
            </w:r>
            <w:r>
              <w:rPr>
                <w:rFonts w:hint="eastAsia" w:ascii="宋体" w:hAnsi="宋体" w:eastAsia="宋体" w:cs="宋体"/>
                <w:color w:val="000000" w:themeColor="text1"/>
                <w:sz w:val="21"/>
                <w:highlight w:val="none"/>
                <w14:textFill>
                  <w14:solidFill>
                    <w14:schemeClr w14:val="tx1"/>
                  </w14:solidFill>
                </w14:textFill>
              </w:rPr>
              <w:t>作业时，没有保证提供足够的照明。</w:t>
            </w:r>
          </w:p>
        </w:tc>
        <w:tc>
          <w:tcPr>
            <w:tcW w:w="1149" w:type="dxa"/>
            <w:tcBorders>
              <w:tl2br w:val="nil"/>
              <w:tr2bl w:val="nil"/>
            </w:tcBorders>
            <w:vAlign w:val="center"/>
          </w:tcPr>
          <w:p w14:paraId="76AD25F0">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13353D7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7A1F583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26F78F1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0B8A223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60" w:type="dxa"/>
            <w:tcBorders>
              <w:tl2br w:val="nil"/>
              <w:tr2bl w:val="nil"/>
            </w:tcBorders>
            <w:vAlign w:val="center"/>
          </w:tcPr>
          <w:p w14:paraId="212CDA5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1F1F5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15C9EEB">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FBB2DA6">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778C90C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起重吊装设备的进场验收</w:t>
            </w:r>
          </w:p>
        </w:tc>
        <w:tc>
          <w:tcPr>
            <w:tcW w:w="1149" w:type="dxa"/>
            <w:tcBorders>
              <w:tl2br w:val="nil"/>
              <w:tr2bl w:val="nil"/>
            </w:tcBorders>
            <w:vAlign w:val="center"/>
          </w:tcPr>
          <w:p w14:paraId="3A8F4F1F">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99EA1F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5D5A11A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FBFB17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0CB239E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21</w:t>
            </w:r>
          </w:p>
        </w:tc>
        <w:tc>
          <w:tcPr>
            <w:tcW w:w="560" w:type="dxa"/>
            <w:tcBorders>
              <w:tl2br w:val="nil"/>
              <w:tr2bl w:val="nil"/>
            </w:tcBorders>
            <w:vAlign w:val="center"/>
          </w:tcPr>
          <w:p w14:paraId="7E99206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2B3C1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3A656D8">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6C399B8">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FBD2DF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与建筑物、高压线安全距离不足。</w:t>
            </w:r>
          </w:p>
        </w:tc>
        <w:tc>
          <w:tcPr>
            <w:tcW w:w="1149" w:type="dxa"/>
            <w:tcBorders>
              <w:tl2br w:val="nil"/>
              <w:tr2bl w:val="nil"/>
            </w:tcBorders>
            <w:vAlign w:val="center"/>
          </w:tcPr>
          <w:p w14:paraId="5211EB9E">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触电、起重伤害</w:t>
            </w:r>
          </w:p>
        </w:tc>
        <w:tc>
          <w:tcPr>
            <w:tcW w:w="550" w:type="dxa"/>
            <w:tcBorders>
              <w:tl2br w:val="nil"/>
              <w:tr2bl w:val="nil"/>
            </w:tcBorders>
            <w:vAlign w:val="center"/>
          </w:tcPr>
          <w:p w14:paraId="00ABDB6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F9CD8E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A801F7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6D88B7C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0D5A115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6875D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99FB08">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40AA1F2">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39B7FA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作业场地未封闭、警戒区域未设置。</w:t>
            </w:r>
          </w:p>
        </w:tc>
        <w:tc>
          <w:tcPr>
            <w:tcW w:w="1149" w:type="dxa"/>
            <w:tcBorders>
              <w:tl2br w:val="nil"/>
              <w:tr2bl w:val="nil"/>
            </w:tcBorders>
            <w:vAlign w:val="center"/>
          </w:tcPr>
          <w:p w14:paraId="55FCF6A0">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50B8BF8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FD6166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C6ACC1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5150D2D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63</w:t>
            </w:r>
          </w:p>
        </w:tc>
        <w:tc>
          <w:tcPr>
            <w:tcW w:w="560" w:type="dxa"/>
            <w:tcBorders>
              <w:tl2br w:val="nil"/>
              <w:tr2bl w:val="nil"/>
            </w:tcBorders>
            <w:vAlign w:val="center"/>
          </w:tcPr>
          <w:p w14:paraId="53DEA15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60272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B01B878">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A310F37">
            <w:pPr>
              <w:spacing w:line="27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617160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当遇特殊情况安装作业不能连续进行时，没有将已安装的部位固定牢靠并达到安全状态。</w:t>
            </w:r>
          </w:p>
        </w:tc>
        <w:tc>
          <w:tcPr>
            <w:tcW w:w="1149" w:type="dxa"/>
            <w:tcBorders>
              <w:tl2br w:val="nil"/>
              <w:tr2bl w:val="nil"/>
            </w:tcBorders>
            <w:vAlign w:val="center"/>
          </w:tcPr>
          <w:p w14:paraId="43B168A2">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物体打击</w:t>
            </w:r>
          </w:p>
        </w:tc>
        <w:tc>
          <w:tcPr>
            <w:tcW w:w="550" w:type="dxa"/>
            <w:tcBorders>
              <w:tl2br w:val="nil"/>
              <w:tr2bl w:val="nil"/>
            </w:tcBorders>
            <w:vAlign w:val="center"/>
          </w:tcPr>
          <w:p w14:paraId="618469E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26CA0D4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5EB2A62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658C2D1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60" w:type="dxa"/>
            <w:tcBorders>
              <w:tl2br w:val="nil"/>
              <w:tr2bl w:val="nil"/>
            </w:tcBorders>
            <w:vAlign w:val="center"/>
          </w:tcPr>
          <w:p w14:paraId="58F0972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179C4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BCA62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5462A417">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644AB7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安全装置不齐全，未进行防雷接地没有按程序进行调试合格。</w:t>
            </w:r>
          </w:p>
        </w:tc>
        <w:tc>
          <w:tcPr>
            <w:tcW w:w="1149" w:type="dxa"/>
            <w:tcBorders>
              <w:tl2br w:val="nil"/>
              <w:tr2bl w:val="nil"/>
            </w:tcBorders>
            <w:vAlign w:val="center"/>
          </w:tcPr>
          <w:p w14:paraId="20C1B1F5">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865BEA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7BB1816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5B4764E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1D7E3FE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150</w:t>
            </w:r>
          </w:p>
        </w:tc>
        <w:tc>
          <w:tcPr>
            <w:tcW w:w="560" w:type="dxa"/>
            <w:tcBorders>
              <w:tl2br w:val="nil"/>
              <w:tr2bl w:val="nil"/>
            </w:tcBorders>
            <w:vAlign w:val="center"/>
          </w:tcPr>
          <w:p w14:paraId="342106A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15036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35913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7F480614">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风速要求</w:t>
            </w:r>
          </w:p>
        </w:tc>
        <w:tc>
          <w:tcPr>
            <w:tcW w:w="3604" w:type="dxa"/>
            <w:tcBorders>
              <w:tl2br w:val="nil"/>
              <w:tr2bl w:val="nil"/>
            </w:tcBorders>
            <w:vAlign w:val="center"/>
          </w:tcPr>
          <w:p w14:paraId="53036B7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安装时塔机最高处的风速不符合使用说明书的要求，或者大于12m/s。顶升作业时风速超过四级风。</w:t>
            </w:r>
          </w:p>
        </w:tc>
        <w:tc>
          <w:tcPr>
            <w:tcW w:w="1149" w:type="dxa"/>
            <w:tcBorders>
              <w:tl2br w:val="nil"/>
              <w:tr2bl w:val="nil"/>
            </w:tcBorders>
            <w:vAlign w:val="center"/>
          </w:tcPr>
          <w:p w14:paraId="7FC09BC2">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8082C9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4647FB0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69CBB11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6A49E11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60" w:type="dxa"/>
            <w:tcBorders>
              <w:tl2br w:val="nil"/>
              <w:tr2bl w:val="nil"/>
            </w:tcBorders>
            <w:vAlign w:val="center"/>
          </w:tcPr>
          <w:p w14:paraId="635846F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6B04A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F838A5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73C56D3E">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连接要求</w:t>
            </w:r>
          </w:p>
        </w:tc>
        <w:tc>
          <w:tcPr>
            <w:tcW w:w="3604" w:type="dxa"/>
            <w:tcBorders>
              <w:tl2br w:val="nil"/>
              <w:tr2bl w:val="nil"/>
            </w:tcBorders>
            <w:vAlign w:val="center"/>
          </w:tcPr>
          <w:p w14:paraId="115DB79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开口销未两边张开，夹角未达到90°以上，螺栓与螺母未连接牢固</w:t>
            </w:r>
          </w:p>
        </w:tc>
        <w:tc>
          <w:tcPr>
            <w:tcW w:w="1149" w:type="dxa"/>
            <w:tcBorders>
              <w:tl2br w:val="nil"/>
              <w:tr2bl w:val="nil"/>
            </w:tcBorders>
            <w:vAlign w:val="center"/>
          </w:tcPr>
          <w:p w14:paraId="451D7E1E">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22BA522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17B22C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27E7102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546556D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4623B52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4CA8C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9C20AC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707E4DD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安装塔身基础节</w:t>
            </w:r>
          </w:p>
        </w:tc>
        <w:tc>
          <w:tcPr>
            <w:tcW w:w="3604" w:type="dxa"/>
            <w:tcBorders>
              <w:tl2br w:val="nil"/>
              <w:tr2bl w:val="nil"/>
            </w:tcBorders>
            <w:vAlign w:val="center"/>
          </w:tcPr>
          <w:p w14:paraId="38C416F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塔身基础节吊至预埋塔架上方，未对好方向。塔身基础节连接底板与地脚螺栓未正确就位</w:t>
            </w:r>
          </w:p>
        </w:tc>
        <w:tc>
          <w:tcPr>
            <w:tcW w:w="1149" w:type="dxa"/>
            <w:tcBorders>
              <w:tl2br w:val="nil"/>
              <w:tr2bl w:val="nil"/>
            </w:tcBorders>
            <w:vAlign w:val="center"/>
          </w:tcPr>
          <w:p w14:paraId="5C61F36E">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3D64B73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484E06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AFEB4A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74B0D30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3A8AA7F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78C74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DB0327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17E0DC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CE4A84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基础节四块连接底板未在同一水平面上，误差大于1/1000</w:t>
            </w:r>
          </w:p>
        </w:tc>
        <w:tc>
          <w:tcPr>
            <w:tcW w:w="1149" w:type="dxa"/>
            <w:tcBorders>
              <w:tl2br w:val="nil"/>
              <w:tr2bl w:val="nil"/>
            </w:tcBorders>
            <w:vAlign w:val="center"/>
          </w:tcPr>
          <w:p w14:paraId="7F54D2F0">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0E08C2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698444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6130B2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560D448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4C13089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12118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05F2A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988D4A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F41A99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塔身基础节未使用双螺母与地脚螺栓相连</w:t>
            </w:r>
          </w:p>
        </w:tc>
        <w:tc>
          <w:tcPr>
            <w:tcW w:w="1149" w:type="dxa"/>
            <w:tcBorders>
              <w:tl2br w:val="nil"/>
              <w:tr2bl w:val="nil"/>
            </w:tcBorders>
            <w:vAlign w:val="center"/>
          </w:tcPr>
          <w:p w14:paraId="09515046">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A21E84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56A511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CC1EC5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62AA339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7236089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5F195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9C3B8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2EC7925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安装塔身</w:t>
            </w:r>
          </w:p>
        </w:tc>
        <w:tc>
          <w:tcPr>
            <w:tcW w:w="3604" w:type="dxa"/>
            <w:tcBorders>
              <w:tl2br w:val="nil"/>
              <w:tr2bl w:val="nil"/>
            </w:tcBorders>
            <w:vAlign w:val="center"/>
          </w:tcPr>
          <w:p w14:paraId="786ABB8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安装下塔身加强节未使用特制的高强度螺栓、未拧紧双螺母</w:t>
            </w:r>
          </w:p>
        </w:tc>
        <w:tc>
          <w:tcPr>
            <w:tcW w:w="1149" w:type="dxa"/>
            <w:tcBorders>
              <w:tl2br w:val="nil"/>
              <w:tr2bl w:val="nil"/>
            </w:tcBorders>
            <w:vAlign w:val="center"/>
          </w:tcPr>
          <w:p w14:paraId="1863B435">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C72B05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3BD7BC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36E3ED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5848E0E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1FA1AB8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6CBCE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8BC7490">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69383F6">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6ED917F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套架上未安装操作平台</w:t>
            </w:r>
          </w:p>
        </w:tc>
        <w:tc>
          <w:tcPr>
            <w:tcW w:w="1149" w:type="dxa"/>
            <w:tcBorders>
              <w:tl2br w:val="nil"/>
              <w:tr2bl w:val="nil"/>
            </w:tcBorders>
            <w:vAlign w:val="center"/>
          </w:tcPr>
          <w:p w14:paraId="4E95D5FB">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7CBCD5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20119A0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8B47A5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5C2B5E6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45</w:t>
            </w:r>
          </w:p>
        </w:tc>
        <w:tc>
          <w:tcPr>
            <w:tcW w:w="560" w:type="dxa"/>
            <w:tcBorders>
              <w:tl2br w:val="nil"/>
              <w:tr2bl w:val="nil"/>
            </w:tcBorders>
            <w:vAlign w:val="center"/>
          </w:tcPr>
          <w:p w14:paraId="0660DAE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7A80B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2BEB91D">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6ADBC10">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D2A5AC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下支座下端主弦杆与标准节主弦杆未使用高强度螺栓将其相连，未紧固好双螺母</w:t>
            </w:r>
          </w:p>
        </w:tc>
        <w:tc>
          <w:tcPr>
            <w:tcW w:w="1149" w:type="dxa"/>
            <w:tcBorders>
              <w:tl2br w:val="nil"/>
              <w:tr2bl w:val="nil"/>
            </w:tcBorders>
            <w:vAlign w:val="center"/>
          </w:tcPr>
          <w:p w14:paraId="4E48367A">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76202C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B1FA44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77ED58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4FB219F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1352B7D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9076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55E990">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3405DDA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54341D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标准节的爬梯、背圈、爬梯平台未同步安装</w:t>
            </w:r>
          </w:p>
        </w:tc>
        <w:tc>
          <w:tcPr>
            <w:tcW w:w="1149" w:type="dxa"/>
            <w:tcBorders>
              <w:tl2br w:val="nil"/>
              <w:tr2bl w:val="nil"/>
            </w:tcBorders>
            <w:vAlign w:val="center"/>
          </w:tcPr>
          <w:p w14:paraId="0B69BE42">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6153D7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1F4CEF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BC1FB4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375B4E0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21F0261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D2D7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9379670">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79229CD">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65F5E0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未安装塔顶平台、栏杆、滑轮、过度拉板</w:t>
            </w:r>
          </w:p>
        </w:tc>
        <w:tc>
          <w:tcPr>
            <w:tcW w:w="1149" w:type="dxa"/>
            <w:tcBorders>
              <w:tl2br w:val="nil"/>
              <w:tr2bl w:val="nil"/>
            </w:tcBorders>
            <w:vAlign w:val="center"/>
          </w:tcPr>
          <w:p w14:paraId="0911BA64">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2E66482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5DB992C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8A659F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54B062C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5AA1B79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44D90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7DEA71A">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60D7DA21">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安装起重臂、平衡臂</w:t>
            </w:r>
          </w:p>
        </w:tc>
        <w:tc>
          <w:tcPr>
            <w:tcW w:w="3604" w:type="dxa"/>
            <w:tcBorders>
              <w:tl2br w:val="nil"/>
              <w:tr2bl w:val="nil"/>
            </w:tcBorders>
            <w:vAlign w:val="center"/>
          </w:tcPr>
          <w:p w14:paraId="3B7AA04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平衡臂未安装平台、栏杆</w:t>
            </w:r>
          </w:p>
        </w:tc>
        <w:tc>
          <w:tcPr>
            <w:tcW w:w="1149" w:type="dxa"/>
            <w:tcBorders>
              <w:tl2br w:val="nil"/>
              <w:tr2bl w:val="nil"/>
            </w:tcBorders>
            <w:vAlign w:val="center"/>
          </w:tcPr>
          <w:p w14:paraId="2002828A">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6469ED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F3D951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7A6528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18BC286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7A93F91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18C3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9B2041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733BE7F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659301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平衡重未安装在后部规定位置，未使用专用钢销将平衡重支持在平衡臂上</w:t>
            </w:r>
          </w:p>
        </w:tc>
        <w:tc>
          <w:tcPr>
            <w:tcW w:w="1149" w:type="dxa"/>
            <w:tcBorders>
              <w:tl2br w:val="nil"/>
              <w:tr2bl w:val="nil"/>
            </w:tcBorders>
            <w:vAlign w:val="center"/>
          </w:tcPr>
          <w:p w14:paraId="1350C421">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7833B5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BFE18E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7AB039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6CA9F0C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0CB13E9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F134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2ED77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3F57BE3C">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6F8B635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未在变幅小车上安装检修平台</w:t>
            </w:r>
          </w:p>
        </w:tc>
        <w:tc>
          <w:tcPr>
            <w:tcW w:w="1149" w:type="dxa"/>
            <w:tcBorders>
              <w:tl2br w:val="nil"/>
              <w:tr2bl w:val="nil"/>
            </w:tcBorders>
            <w:vAlign w:val="center"/>
          </w:tcPr>
          <w:p w14:paraId="6A22AD9D">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363D550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718813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30C3AE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08F9AE5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7909369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1472B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D7A37F8">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CE5E6A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6FB4EA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未用特制销轴将起重臂与回转塔身耳板铰接好、并未穿好开口销</w:t>
            </w:r>
          </w:p>
        </w:tc>
        <w:tc>
          <w:tcPr>
            <w:tcW w:w="1149" w:type="dxa"/>
            <w:tcBorders>
              <w:tl2br w:val="nil"/>
              <w:tr2bl w:val="nil"/>
            </w:tcBorders>
            <w:vAlign w:val="center"/>
          </w:tcPr>
          <w:p w14:paraId="21D1D4ED">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513229C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33E446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CF93E4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70AFBA5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50EAC70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79C7F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AFC71F6">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53BDEB1B">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96C588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配重重量与大臂长度不匹配</w:t>
            </w:r>
          </w:p>
        </w:tc>
        <w:tc>
          <w:tcPr>
            <w:tcW w:w="1149" w:type="dxa"/>
            <w:tcBorders>
              <w:tl2br w:val="nil"/>
              <w:tr2bl w:val="nil"/>
            </w:tcBorders>
            <w:vAlign w:val="center"/>
          </w:tcPr>
          <w:p w14:paraId="35ACA484">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8945F6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161602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ED2400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72CDCA4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4F131D9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514E6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65353EA">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50A45CA9">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63BB4FA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未使用链条葫芦或未利用起升钢丝绳提升起重臂拉杆</w:t>
            </w:r>
          </w:p>
        </w:tc>
        <w:tc>
          <w:tcPr>
            <w:tcW w:w="1149" w:type="dxa"/>
            <w:tcBorders>
              <w:tl2br w:val="nil"/>
              <w:tr2bl w:val="nil"/>
            </w:tcBorders>
            <w:vAlign w:val="center"/>
          </w:tcPr>
          <w:p w14:paraId="4DA6370B">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151ED6A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592BBB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D4071C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0D148A7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2832542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258BE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10F52E">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58D723FD">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顶升加节</w:t>
            </w:r>
          </w:p>
        </w:tc>
        <w:tc>
          <w:tcPr>
            <w:tcW w:w="3604" w:type="dxa"/>
            <w:tcBorders>
              <w:tl2br w:val="nil"/>
              <w:tr2bl w:val="nil"/>
            </w:tcBorders>
            <w:vAlign w:val="center"/>
          </w:tcPr>
          <w:p w14:paraId="69DC5E0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顶升加节前未检查顶升系统、结构部件是否完好</w:t>
            </w:r>
          </w:p>
        </w:tc>
        <w:tc>
          <w:tcPr>
            <w:tcW w:w="1149" w:type="dxa"/>
            <w:tcBorders>
              <w:tl2br w:val="nil"/>
              <w:tr2bl w:val="nil"/>
            </w:tcBorders>
            <w:vAlign w:val="center"/>
          </w:tcPr>
          <w:p w14:paraId="096D4BAA">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3CCD3EB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64FA23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14B24D2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3760860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5480F89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4CB2D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A692893">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2316DA8">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970611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顶升前，塔机下支座与顶升套架未可靠连接</w:t>
            </w:r>
          </w:p>
        </w:tc>
        <w:tc>
          <w:tcPr>
            <w:tcW w:w="1149" w:type="dxa"/>
            <w:tcBorders>
              <w:tl2br w:val="nil"/>
              <w:tr2bl w:val="nil"/>
            </w:tcBorders>
            <w:vAlign w:val="center"/>
          </w:tcPr>
          <w:p w14:paraId="4B66E6FE">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5D2C25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458427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02D80CA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6708792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5E3C589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1E870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19D6F98">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33036C1">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100D13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顶升前，未保持顶升横梁搁置正确</w:t>
            </w:r>
          </w:p>
        </w:tc>
        <w:tc>
          <w:tcPr>
            <w:tcW w:w="1149" w:type="dxa"/>
            <w:tcBorders>
              <w:tl2br w:val="nil"/>
              <w:tr2bl w:val="nil"/>
            </w:tcBorders>
            <w:vAlign w:val="center"/>
          </w:tcPr>
          <w:p w14:paraId="71764C41">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1CA954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6714C6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14B6731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2A5ED92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530D8E1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0F852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CFE7DE">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7B69E2A4">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18F535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顶升前，未将塔机配平。顶升过程中未确保塔机的平衡</w:t>
            </w:r>
          </w:p>
        </w:tc>
        <w:tc>
          <w:tcPr>
            <w:tcW w:w="1149" w:type="dxa"/>
            <w:tcBorders>
              <w:tl2br w:val="nil"/>
              <w:tr2bl w:val="nil"/>
            </w:tcBorders>
            <w:vAlign w:val="center"/>
          </w:tcPr>
          <w:p w14:paraId="0B9CDAE4">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20DDCF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15318B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1F68F68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597CC0C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1D05FA7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2FD55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EB658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50B4C4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36EA56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顶升加节的顺序，未符合使用说明书的规定</w:t>
            </w:r>
          </w:p>
        </w:tc>
        <w:tc>
          <w:tcPr>
            <w:tcW w:w="1149" w:type="dxa"/>
            <w:tcBorders>
              <w:tl2br w:val="nil"/>
              <w:tr2bl w:val="nil"/>
            </w:tcBorders>
            <w:vAlign w:val="center"/>
          </w:tcPr>
          <w:p w14:paraId="535AE908">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1400C96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8E383D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2272A36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1C56D45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7A35ABA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4639B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B64381A">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F319A24">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90EACB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顶升过程中，进行起升、回转、变幅等动作</w:t>
            </w:r>
          </w:p>
        </w:tc>
        <w:tc>
          <w:tcPr>
            <w:tcW w:w="1149" w:type="dxa"/>
            <w:tcBorders>
              <w:tl2br w:val="nil"/>
              <w:tr2bl w:val="nil"/>
            </w:tcBorders>
            <w:vAlign w:val="center"/>
          </w:tcPr>
          <w:p w14:paraId="0FC5A863">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2F7F812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839D24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7731A3F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44DAB59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54867C4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5A6D1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A2CE63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4556A1F">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E42606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顶升结束后，未将标准节与回转下支座可靠连接</w:t>
            </w:r>
          </w:p>
        </w:tc>
        <w:tc>
          <w:tcPr>
            <w:tcW w:w="1149" w:type="dxa"/>
            <w:tcBorders>
              <w:tl2br w:val="nil"/>
              <w:tr2bl w:val="nil"/>
            </w:tcBorders>
            <w:vAlign w:val="center"/>
          </w:tcPr>
          <w:p w14:paraId="4647329E">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035492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CC3EC3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2796873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7429598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764C593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7D621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24E7419">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C60F030">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9071C3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塔机加节后需附着的，未按照先安装附着装置、后顶升加节的顺序进行，附着装置的位置和支撑点的强度未符合要求。</w:t>
            </w:r>
          </w:p>
        </w:tc>
        <w:tc>
          <w:tcPr>
            <w:tcW w:w="1149" w:type="dxa"/>
            <w:tcBorders>
              <w:tl2br w:val="nil"/>
              <w:tr2bl w:val="nil"/>
            </w:tcBorders>
            <w:vAlign w:val="center"/>
          </w:tcPr>
          <w:p w14:paraId="5FD1089F">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A4F5F5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87AB85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w:t>
            </w:r>
          </w:p>
        </w:tc>
        <w:tc>
          <w:tcPr>
            <w:tcW w:w="540" w:type="dxa"/>
            <w:tcBorders>
              <w:tl2br w:val="nil"/>
              <w:tr2bl w:val="nil"/>
            </w:tcBorders>
            <w:vAlign w:val="center"/>
          </w:tcPr>
          <w:p w14:paraId="6666C20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67B49CF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240</w:t>
            </w:r>
          </w:p>
        </w:tc>
        <w:tc>
          <w:tcPr>
            <w:tcW w:w="560" w:type="dxa"/>
            <w:tcBorders>
              <w:tl2br w:val="nil"/>
              <w:tr2bl w:val="nil"/>
            </w:tcBorders>
            <w:vAlign w:val="center"/>
          </w:tcPr>
          <w:p w14:paraId="47BEBE9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5DBE5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9A5C5E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3330EC89">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安装后检验</w:t>
            </w:r>
          </w:p>
        </w:tc>
        <w:tc>
          <w:tcPr>
            <w:tcW w:w="3604" w:type="dxa"/>
            <w:tcBorders>
              <w:tl2br w:val="nil"/>
              <w:tr2bl w:val="nil"/>
            </w:tcBorders>
            <w:vAlign w:val="center"/>
          </w:tcPr>
          <w:p w14:paraId="001D540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安装完成未组织人员验收与试吊</w:t>
            </w:r>
          </w:p>
        </w:tc>
        <w:tc>
          <w:tcPr>
            <w:tcW w:w="1149" w:type="dxa"/>
            <w:tcBorders>
              <w:tl2br w:val="nil"/>
              <w:tr2bl w:val="nil"/>
            </w:tcBorders>
            <w:vAlign w:val="center"/>
          </w:tcPr>
          <w:p w14:paraId="4FB919D7">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17D4B9F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1D548E1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6077535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2EFA0F9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60" w:type="dxa"/>
            <w:tcBorders>
              <w:tl2br w:val="nil"/>
              <w:tr2bl w:val="nil"/>
            </w:tcBorders>
            <w:vAlign w:val="center"/>
          </w:tcPr>
          <w:p w14:paraId="0E02F24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0FE2B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2C3AADB">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378AF28C">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63A6E4F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安装单位自检合格后，没有上报有关部门检测合格。</w:t>
            </w:r>
          </w:p>
        </w:tc>
        <w:tc>
          <w:tcPr>
            <w:tcW w:w="1149" w:type="dxa"/>
            <w:tcBorders>
              <w:tl2br w:val="nil"/>
              <w:tr2bl w:val="nil"/>
            </w:tcBorders>
            <w:vAlign w:val="center"/>
          </w:tcPr>
          <w:p w14:paraId="61217E10">
            <w:pPr>
              <w:spacing w:line="280" w:lineRule="exact"/>
              <w:ind w:firstLine="0" w:firstLineChars="0"/>
              <w:jc w:val="center"/>
              <w:rPr>
                <w:rFonts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C0F654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6277705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43DA287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265E43C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60" w:type="dxa"/>
            <w:tcBorders>
              <w:tl2br w:val="nil"/>
              <w:tr2bl w:val="nil"/>
            </w:tcBorders>
            <w:vAlign w:val="center"/>
          </w:tcPr>
          <w:p w14:paraId="2CCF568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4A487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95F7CE3">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75F4CBBB">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设备部件及构配件</w:t>
            </w:r>
          </w:p>
        </w:tc>
        <w:tc>
          <w:tcPr>
            <w:tcW w:w="3604" w:type="dxa"/>
            <w:tcBorders>
              <w:tl2br w:val="nil"/>
              <w:tr2bl w:val="nil"/>
            </w:tcBorders>
            <w:vAlign w:val="center"/>
          </w:tcPr>
          <w:p w14:paraId="1B18C98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施工所用设备部件及构配件使用前，未进行质量检查验收及安全评估，材料混用</w:t>
            </w:r>
          </w:p>
        </w:tc>
        <w:tc>
          <w:tcPr>
            <w:tcW w:w="1149" w:type="dxa"/>
            <w:tcBorders>
              <w:tl2br w:val="nil"/>
              <w:tr2bl w:val="nil"/>
            </w:tcBorders>
            <w:vAlign w:val="center"/>
          </w:tcPr>
          <w:p w14:paraId="3096B52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坍塌</w:t>
            </w:r>
          </w:p>
        </w:tc>
        <w:tc>
          <w:tcPr>
            <w:tcW w:w="550" w:type="dxa"/>
            <w:tcBorders>
              <w:tl2br w:val="nil"/>
              <w:tr2bl w:val="nil"/>
            </w:tcBorders>
            <w:vAlign w:val="center"/>
          </w:tcPr>
          <w:p w14:paraId="712F68D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71AAC4C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2BA766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40</w:t>
            </w:r>
          </w:p>
        </w:tc>
        <w:tc>
          <w:tcPr>
            <w:tcW w:w="590" w:type="dxa"/>
            <w:tcBorders>
              <w:tl2br w:val="nil"/>
              <w:tr2bl w:val="nil"/>
            </w:tcBorders>
            <w:vAlign w:val="center"/>
          </w:tcPr>
          <w:p w14:paraId="6A895DE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120</w:t>
            </w:r>
          </w:p>
        </w:tc>
        <w:tc>
          <w:tcPr>
            <w:tcW w:w="560" w:type="dxa"/>
            <w:tcBorders>
              <w:tl2br w:val="nil"/>
              <w:tr2bl w:val="nil"/>
            </w:tcBorders>
            <w:vAlign w:val="center"/>
          </w:tcPr>
          <w:p w14:paraId="292F7A2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8A79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9408EED">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34C8C0D5">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吊索具</w:t>
            </w:r>
          </w:p>
        </w:tc>
        <w:tc>
          <w:tcPr>
            <w:tcW w:w="3604" w:type="dxa"/>
            <w:tcBorders>
              <w:tl2br w:val="nil"/>
              <w:tr2bl w:val="nil"/>
            </w:tcBorders>
            <w:vAlign w:val="center"/>
          </w:tcPr>
          <w:p w14:paraId="0280832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吊具与索具系结物品，及其连接在起重机械上的方法不可靠</w:t>
            </w:r>
          </w:p>
        </w:tc>
        <w:tc>
          <w:tcPr>
            <w:tcW w:w="1149" w:type="dxa"/>
            <w:tcBorders>
              <w:tl2br w:val="nil"/>
              <w:tr2bl w:val="nil"/>
            </w:tcBorders>
            <w:vAlign w:val="center"/>
          </w:tcPr>
          <w:p w14:paraId="22A82AB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5275CD3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8F8E4B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1D7A9BA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1DE2C95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63</w:t>
            </w:r>
          </w:p>
        </w:tc>
        <w:tc>
          <w:tcPr>
            <w:tcW w:w="560" w:type="dxa"/>
            <w:tcBorders>
              <w:tl2br w:val="nil"/>
              <w:tr2bl w:val="nil"/>
            </w:tcBorders>
            <w:vAlign w:val="center"/>
          </w:tcPr>
          <w:p w14:paraId="42E9DDB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550AC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324C6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76F74E97">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61BE039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未按照规定设置防脱钩装置，或者防脱钩装置失效。</w:t>
            </w:r>
          </w:p>
        </w:tc>
        <w:tc>
          <w:tcPr>
            <w:tcW w:w="1149" w:type="dxa"/>
            <w:tcBorders>
              <w:tl2br w:val="nil"/>
              <w:tr2bl w:val="nil"/>
            </w:tcBorders>
            <w:vAlign w:val="center"/>
          </w:tcPr>
          <w:p w14:paraId="2695BCE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64FDEE2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226A71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0AB4591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40DBDE0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5D7BAFD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10EFE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6BF142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A9D58D5">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992814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吊具悬挂不牢固可靠。</w:t>
            </w:r>
          </w:p>
        </w:tc>
        <w:tc>
          <w:tcPr>
            <w:tcW w:w="1149" w:type="dxa"/>
            <w:tcBorders>
              <w:tl2br w:val="nil"/>
              <w:tr2bl w:val="nil"/>
            </w:tcBorders>
            <w:vAlign w:val="center"/>
          </w:tcPr>
          <w:p w14:paraId="5131A60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596CD0F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1B5F474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0687A3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0B0BB42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48A1893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3C7A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D4E60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427F3DE">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4E5DA8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吊耳、耳轴或耳轴套，磨损减少原尺寸5％。</w:t>
            </w:r>
          </w:p>
        </w:tc>
        <w:tc>
          <w:tcPr>
            <w:tcW w:w="1149" w:type="dxa"/>
            <w:tcBorders>
              <w:tl2br w:val="nil"/>
              <w:tr2bl w:val="nil"/>
            </w:tcBorders>
            <w:vAlign w:val="center"/>
          </w:tcPr>
          <w:p w14:paraId="6E6F26B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27FE04C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B762A6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4D46AD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2118037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63</w:t>
            </w:r>
          </w:p>
        </w:tc>
        <w:tc>
          <w:tcPr>
            <w:tcW w:w="560" w:type="dxa"/>
            <w:tcBorders>
              <w:tl2br w:val="nil"/>
              <w:tr2bl w:val="nil"/>
            </w:tcBorders>
            <w:vAlign w:val="center"/>
          </w:tcPr>
          <w:p w14:paraId="0F1084E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17546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6CC2AED">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7E72EE25">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操作错误，忽视安全，忽视警告</w:t>
            </w:r>
          </w:p>
        </w:tc>
        <w:tc>
          <w:tcPr>
            <w:tcW w:w="3604" w:type="dxa"/>
            <w:tcBorders>
              <w:tl2br w:val="nil"/>
              <w:tr2bl w:val="nil"/>
            </w:tcBorders>
            <w:vAlign w:val="center"/>
          </w:tcPr>
          <w:p w14:paraId="5C19872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未经许可开动、关停、移动机器</w:t>
            </w:r>
          </w:p>
        </w:tc>
        <w:tc>
          <w:tcPr>
            <w:tcW w:w="1149" w:type="dxa"/>
            <w:tcBorders>
              <w:tl2br w:val="nil"/>
              <w:tr2bl w:val="nil"/>
            </w:tcBorders>
            <w:vAlign w:val="center"/>
          </w:tcPr>
          <w:p w14:paraId="573453E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机械伤害</w:t>
            </w:r>
          </w:p>
        </w:tc>
        <w:tc>
          <w:tcPr>
            <w:tcW w:w="550" w:type="dxa"/>
            <w:tcBorders>
              <w:tl2br w:val="nil"/>
              <w:tr2bl w:val="nil"/>
            </w:tcBorders>
            <w:vAlign w:val="center"/>
          </w:tcPr>
          <w:p w14:paraId="628EF82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067CA2A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0F433DF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5454800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014628E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5D710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214448E">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786D5CE">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B34B46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开动、关停机器时未给信号</w:t>
            </w:r>
          </w:p>
        </w:tc>
        <w:tc>
          <w:tcPr>
            <w:tcW w:w="1149" w:type="dxa"/>
            <w:tcBorders>
              <w:tl2br w:val="nil"/>
              <w:tr2bl w:val="nil"/>
            </w:tcBorders>
            <w:vAlign w:val="center"/>
          </w:tcPr>
          <w:p w14:paraId="3EC992F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机械伤害</w:t>
            </w:r>
          </w:p>
        </w:tc>
        <w:tc>
          <w:tcPr>
            <w:tcW w:w="550" w:type="dxa"/>
            <w:tcBorders>
              <w:tl2br w:val="nil"/>
              <w:tr2bl w:val="nil"/>
            </w:tcBorders>
            <w:vAlign w:val="center"/>
          </w:tcPr>
          <w:p w14:paraId="3252030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7A0E1F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1D264CA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5EF8FDF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6DAB226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68250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F89211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CA1779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72799E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操作错误（指按钮、阀门、搬手、把柄等的操作）</w:t>
            </w:r>
          </w:p>
        </w:tc>
        <w:tc>
          <w:tcPr>
            <w:tcW w:w="1149" w:type="dxa"/>
            <w:tcBorders>
              <w:tl2br w:val="nil"/>
              <w:tr2bl w:val="nil"/>
            </w:tcBorders>
            <w:vAlign w:val="center"/>
          </w:tcPr>
          <w:p w14:paraId="1F83FA1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机械伤害</w:t>
            </w:r>
          </w:p>
        </w:tc>
        <w:tc>
          <w:tcPr>
            <w:tcW w:w="550" w:type="dxa"/>
            <w:tcBorders>
              <w:tl2br w:val="nil"/>
              <w:tr2bl w:val="nil"/>
            </w:tcBorders>
            <w:vAlign w:val="center"/>
          </w:tcPr>
          <w:p w14:paraId="4F6D820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6F77EC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E765C3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4262060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5252837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350D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9EE4013">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63C989C2">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作业现场环境</w:t>
            </w:r>
          </w:p>
        </w:tc>
        <w:tc>
          <w:tcPr>
            <w:tcW w:w="3604" w:type="dxa"/>
            <w:tcBorders>
              <w:tl2br w:val="nil"/>
              <w:tr2bl w:val="nil"/>
            </w:tcBorders>
            <w:vAlign w:val="center"/>
          </w:tcPr>
          <w:p w14:paraId="45769D3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起重机械运动部分与建筑物、设施、输电线的安全距离不够。</w:t>
            </w:r>
          </w:p>
        </w:tc>
        <w:tc>
          <w:tcPr>
            <w:tcW w:w="1149" w:type="dxa"/>
            <w:tcBorders>
              <w:tl2br w:val="nil"/>
              <w:tr2bl w:val="nil"/>
            </w:tcBorders>
            <w:vAlign w:val="center"/>
          </w:tcPr>
          <w:p w14:paraId="110BF87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24EB515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3E6F8BD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4BF5A0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02B17DA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0EA7B56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9E97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0AE0B8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3DC460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32E8B6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作业前，未检查起重吊装所使用的起重机滑轮、吊索、卡环和地锚等。</w:t>
            </w:r>
          </w:p>
        </w:tc>
        <w:tc>
          <w:tcPr>
            <w:tcW w:w="1149" w:type="dxa"/>
            <w:tcBorders>
              <w:tl2br w:val="nil"/>
              <w:tr2bl w:val="nil"/>
            </w:tcBorders>
            <w:vAlign w:val="center"/>
          </w:tcPr>
          <w:p w14:paraId="2370ABA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DD0A4F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43C429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64123E2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02BAC96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57FC571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43BF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890431">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31411137">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ED602A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吊装业作区四周未设置明显标志或警戒区；夜间施工没有足够的照明。</w:t>
            </w:r>
          </w:p>
        </w:tc>
        <w:tc>
          <w:tcPr>
            <w:tcW w:w="1149" w:type="dxa"/>
            <w:tcBorders>
              <w:tl2br w:val="nil"/>
              <w:tr2bl w:val="nil"/>
            </w:tcBorders>
            <w:vAlign w:val="center"/>
          </w:tcPr>
          <w:p w14:paraId="48C101D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542F16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2C1B45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1C5EE1C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5871260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34FD6A7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D9AB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EDD2F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E81F621">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772A75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起重设备通行道路不平整、坚实</w:t>
            </w:r>
          </w:p>
        </w:tc>
        <w:tc>
          <w:tcPr>
            <w:tcW w:w="1149" w:type="dxa"/>
            <w:tcBorders>
              <w:tl2br w:val="nil"/>
              <w:tr2bl w:val="nil"/>
            </w:tcBorders>
            <w:vAlign w:val="center"/>
          </w:tcPr>
          <w:p w14:paraId="33485C1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机械伤害</w:t>
            </w:r>
          </w:p>
        </w:tc>
        <w:tc>
          <w:tcPr>
            <w:tcW w:w="550" w:type="dxa"/>
            <w:tcBorders>
              <w:tl2br w:val="nil"/>
              <w:tr2bl w:val="nil"/>
            </w:tcBorders>
            <w:vAlign w:val="center"/>
          </w:tcPr>
          <w:p w14:paraId="395F800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1520BD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2FE3FF4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90" w:type="dxa"/>
            <w:tcBorders>
              <w:tl2br w:val="nil"/>
              <w:tr2bl w:val="nil"/>
            </w:tcBorders>
            <w:vAlign w:val="center"/>
          </w:tcPr>
          <w:p w14:paraId="7CD7840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36</w:t>
            </w:r>
          </w:p>
        </w:tc>
        <w:tc>
          <w:tcPr>
            <w:tcW w:w="560" w:type="dxa"/>
            <w:tcBorders>
              <w:tl2br w:val="nil"/>
              <w:tr2bl w:val="nil"/>
            </w:tcBorders>
            <w:vAlign w:val="center"/>
          </w:tcPr>
          <w:p w14:paraId="59B1E6B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254CB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6E0E9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393281A6">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起重作业</w:t>
            </w:r>
          </w:p>
        </w:tc>
        <w:tc>
          <w:tcPr>
            <w:tcW w:w="3604" w:type="dxa"/>
            <w:tcBorders>
              <w:tl2br w:val="nil"/>
              <w:tr2bl w:val="nil"/>
            </w:tcBorders>
            <w:vAlign w:val="center"/>
          </w:tcPr>
          <w:p w14:paraId="1932998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吊装长大物件时，没有于物件两端绑扎溜绳，并且由操作人员控制物件的平衡和稳定</w:t>
            </w:r>
          </w:p>
        </w:tc>
        <w:tc>
          <w:tcPr>
            <w:tcW w:w="1149" w:type="dxa"/>
            <w:tcBorders>
              <w:tl2br w:val="nil"/>
              <w:tr2bl w:val="nil"/>
            </w:tcBorders>
            <w:vAlign w:val="center"/>
          </w:tcPr>
          <w:p w14:paraId="2EEC195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4938438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6115464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649D65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90" w:type="dxa"/>
            <w:tcBorders>
              <w:tl2br w:val="nil"/>
              <w:tr2bl w:val="nil"/>
            </w:tcBorders>
            <w:vAlign w:val="center"/>
          </w:tcPr>
          <w:p w14:paraId="5C0ABF6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36</w:t>
            </w:r>
          </w:p>
        </w:tc>
        <w:tc>
          <w:tcPr>
            <w:tcW w:w="560" w:type="dxa"/>
            <w:tcBorders>
              <w:tl2br w:val="nil"/>
              <w:tr2bl w:val="nil"/>
            </w:tcBorders>
            <w:vAlign w:val="center"/>
          </w:tcPr>
          <w:p w14:paraId="7940C88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6B14A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CEE9DC">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7B7E78A7">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FF485C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构件吊装和翻身扶直时的吊点不符合设计规定，构件起吊不平稳。</w:t>
            </w:r>
          </w:p>
        </w:tc>
        <w:tc>
          <w:tcPr>
            <w:tcW w:w="1149" w:type="dxa"/>
            <w:tcBorders>
              <w:tl2br w:val="nil"/>
              <w:tr2bl w:val="nil"/>
            </w:tcBorders>
            <w:vAlign w:val="center"/>
          </w:tcPr>
          <w:p w14:paraId="15057FB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DC5DD7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12F3498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779583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5BD1296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69E3DC3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6D45B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A6F9320">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6F4D4794">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645015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吊装大、重构件和采用新的吊装工艺时，未进行试吊。</w:t>
            </w:r>
          </w:p>
        </w:tc>
        <w:tc>
          <w:tcPr>
            <w:tcW w:w="1149" w:type="dxa"/>
            <w:tcBorders>
              <w:tl2br w:val="nil"/>
              <w:tr2bl w:val="nil"/>
            </w:tcBorders>
            <w:vAlign w:val="center"/>
          </w:tcPr>
          <w:p w14:paraId="148CA92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0B9D6E3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62A0BAA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531AD5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1219D2C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495073E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F2F7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454586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6D7AEE91">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72F55F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大雨、雾、大雪及六级以上大风等恶劣天气进行吊装作业。</w:t>
            </w:r>
          </w:p>
        </w:tc>
        <w:tc>
          <w:tcPr>
            <w:tcW w:w="1149" w:type="dxa"/>
            <w:tcBorders>
              <w:tl2br w:val="nil"/>
              <w:tr2bl w:val="nil"/>
            </w:tcBorders>
            <w:vAlign w:val="center"/>
          </w:tcPr>
          <w:p w14:paraId="49FFDC7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70AEDA1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B326FC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3E2A801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4FC1B46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45</w:t>
            </w:r>
          </w:p>
        </w:tc>
        <w:tc>
          <w:tcPr>
            <w:tcW w:w="560" w:type="dxa"/>
            <w:tcBorders>
              <w:tl2br w:val="nil"/>
              <w:tr2bl w:val="nil"/>
            </w:tcBorders>
            <w:vAlign w:val="center"/>
          </w:tcPr>
          <w:p w14:paraId="7D17726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1C233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510F3BD">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C24F3E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2B19FA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采用了斜拉、斜吊，或者起吊埋于地下或粘结在地面上的构件。</w:t>
            </w:r>
          </w:p>
        </w:tc>
        <w:tc>
          <w:tcPr>
            <w:tcW w:w="1149" w:type="dxa"/>
            <w:tcBorders>
              <w:tl2br w:val="nil"/>
              <w:tr2bl w:val="nil"/>
            </w:tcBorders>
            <w:vAlign w:val="center"/>
          </w:tcPr>
          <w:p w14:paraId="66726A3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32876E9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04147B3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FFB0CD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2DDE900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55B2843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1F2F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649DCE">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57B02E2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9C088B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超载吊装和起吊重量不明的重大构件和设备</w:t>
            </w:r>
          </w:p>
        </w:tc>
        <w:tc>
          <w:tcPr>
            <w:tcW w:w="1149" w:type="dxa"/>
            <w:tcBorders>
              <w:tl2br w:val="nil"/>
              <w:tr2bl w:val="nil"/>
            </w:tcBorders>
            <w:vAlign w:val="center"/>
          </w:tcPr>
          <w:p w14:paraId="2B5BA7A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169B1E9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5E4361B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050363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1CDF568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270</w:t>
            </w:r>
          </w:p>
        </w:tc>
        <w:tc>
          <w:tcPr>
            <w:tcW w:w="560" w:type="dxa"/>
            <w:tcBorders>
              <w:tl2br w:val="nil"/>
              <w:tr2bl w:val="nil"/>
            </w:tcBorders>
            <w:vAlign w:val="center"/>
          </w:tcPr>
          <w:p w14:paraId="1E90A69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7B239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65D059">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7222FC9C">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5CC80E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在吊起的构件上行走或站立，或者用起重机载运人员、在构件上堆放或悬挂零星物件。</w:t>
            </w:r>
          </w:p>
        </w:tc>
        <w:tc>
          <w:tcPr>
            <w:tcW w:w="1149" w:type="dxa"/>
            <w:tcBorders>
              <w:tl2br w:val="nil"/>
              <w:tr2bl w:val="nil"/>
            </w:tcBorders>
            <w:vAlign w:val="center"/>
          </w:tcPr>
          <w:p w14:paraId="0C3CD00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起重伤害</w:t>
            </w:r>
          </w:p>
        </w:tc>
        <w:tc>
          <w:tcPr>
            <w:tcW w:w="550" w:type="dxa"/>
            <w:tcBorders>
              <w:tl2br w:val="nil"/>
              <w:tr2bl w:val="nil"/>
            </w:tcBorders>
            <w:vAlign w:val="center"/>
          </w:tcPr>
          <w:p w14:paraId="2F6D76F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389F51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082DA4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2B379F9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135</w:t>
            </w:r>
          </w:p>
        </w:tc>
        <w:tc>
          <w:tcPr>
            <w:tcW w:w="560" w:type="dxa"/>
            <w:tcBorders>
              <w:tl2br w:val="nil"/>
              <w:tr2bl w:val="nil"/>
            </w:tcBorders>
            <w:vAlign w:val="center"/>
          </w:tcPr>
          <w:p w14:paraId="7DD6773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FB22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75" w:type="dxa"/>
            <w:tcBorders>
              <w:tl2br w:val="nil"/>
              <w:tr2bl w:val="nil"/>
            </w:tcBorders>
            <w:vAlign w:val="center"/>
          </w:tcPr>
          <w:p w14:paraId="757B4FC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1FF04394">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作业前安全条件确认</w:t>
            </w:r>
          </w:p>
        </w:tc>
        <w:tc>
          <w:tcPr>
            <w:tcW w:w="3604" w:type="dxa"/>
            <w:tcBorders>
              <w:tl2br w:val="nil"/>
              <w:tr2bl w:val="nil"/>
            </w:tcBorders>
            <w:vAlign w:val="center"/>
          </w:tcPr>
          <w:p w14:paraId="39FA86D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高处作业前，没有对安全防护设施进行检查、验收</w:t>
            </w:r>
          </w:p>
        </w:tc>
        <w:tc>
          <w:tcPr>
            <w:tcW w:w="1149" w:type="dxa"/>
            <w:tcBorders>
              <w:tl2br w:val="nil"/>
              <w:tr2bl w:val="nil"/>
            </w:tcBorders>
            <w:vAlign w:val="center"/>
          </w:tcPr>
          <w:p w14:paraId="4B56A7A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高处坠落</w:t>
            </w:r>
          </w:p>
        </w:tc>
        <w:tc>
          <w:tcPr>
            <w:tcW w:w="550" w:type="dxa"/>
            <w:tcBorders>
              <w:tl2br w:val="nil"/>
              <w:tr2bl w:val="nil"/>
            </w:tcBorders>
            <w:vAlign w:val="center"/>
          </w:tcPr>
          <w:p w14:paraId="614CB7D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3583339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6D39BC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15</w:t>
            </w:r>
          </w:p>
        </w:tc>
        <w:tc>
          <w:tcPr>
            <w:tcW w:w="590" w:type="dxa"/>
            <w:tcBorders>
              <w:tl2br w:val="nil"/>
              <w:tr2bl w:val="nil"/>
            </w:tcBorders>
            <w:vAlign w:val="center"/>
          </w:tcPr>
          <w:p w14:paraId="1487DE2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90</w:t>
            </w:r>
          </w:p>
        </w:tc>
        <w:tc>
          <w:tcPr>
            <w:tcW w:w="560" w:type="dxa"/>
            <w:tcBorders>
              <w:tl2br w:val="nil"/>
              <w:tr2bl w:val="nil"/>
            </w:tcBorders>
            <w:vAlign w:val="center"/>
          </w:tcPr>
          <w:p w14:paraId="06C3E85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40396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98DC29">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51A5F89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017D8D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高处作业施工没有对作业人员进行安全教育和交底</w:t>
            </w:r>
          </w:p>
        </w:tc>
        <w:tc>
          <w:tcPr>
            <w:tcW w:w="1149" w:type="dxa"/>
            <w:tcBorders>
              <w:tl2br w:val="nil"/>
              <w:tr2bl w:val="nil"/>
            </w:tcBorders>
            <w:vAlign w:val="center"/>
          </w:tcPr>
          <w:p w14:paraId="32BAD84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高处坠落</w:t>
            </w:r>
          </w:p>
        </w:tc>
        <w:tc>
          <w:tcPr>
            <w:tcW w:w="550" w:type="dxa"/>
            <w:tcBorders>
              <w:tl2br w:val="nil"/>
              <w:tr2bl w:val="nil"/>
            </w:tcBorders>
            <w:vAlign w:val="center"/>
          </w:tcPr>
          <w:p w14:paraId="67F2D6F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381B5BD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329E88B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5EC848C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70</w:t>
            </w:r>
          </w:p>
        </w:tc>
        <w:tc>
          <w:tcPr>
            <w:tcW w:w="560" w:type="dxa"/>
            <w:tcBorders>
              <w:tl2br w:val="nil"/>
              <w:tr2bl w:val="nil"/>
            </w:tcBorders>
            <w:vAlign w:val="center"/>
          </w:tcPr>
          <w:p w14:paraId="4E5C424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46580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ED651E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2B86277D">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攀登作业</w:t>
            </w:r>
          </w:p>
        </w:tc>
        <w:tc>
          <w:tcPr>
            <w:tcW w:w="3604" w:type="dxa"/>
            <w:tcBorders>
              <w:tl2br w:val="nil"/>
              <w:tr2bl w:val="nil"/>
            </w:tcBorders>
            <w:vAlign w:val="center"/>
          </w:tcPr>
          <w:p w14:paraId="0D202B8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人员登高无施工通道、梯子及其它攀登设施和用具</w:t>
            </w:r>
          </w:p>
        </w:tc>
        <w:tc>
          <w:tcPr>
            <w:tcW w:w="1149" w:type="dxa"/>
            <w:tcBorders>
              <w:tl2br w:val="nil"/>
              <w:tr2bl w:val="nil"/>
            </w:tcBorders>
            <w:vAlign w:val="center"/>
          </w:tcPr>
          <w:p w14:paraId="306A317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高处坠落</w:t>
            </w:r>
          </w:p>
        </w:tc>
        <w:tc>
          <w:tcPr>
            <w:tcW w:w="550" w:type="dxa"/>
            <w:tcBorders>
              <w:tl2br w:val="nil"/>
              <w:tr2bl w:val="nil"/>
            </w:tcBorders>
            <w:vAlign w:val="center"/>
          </w:tcPr>
          <w:p w14:paraId="3F2AA70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2FA74DD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37CC5C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3638B02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54E8A6C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6E97F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80DC9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621410E1">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C2E0E9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高处作业人员正确佩戴安全带，未高挂低用</w:t>
            </w:r>
          </w:p>
        </w:tc>
        <w:tc>
          <w:tcPr>
            <w:tcW w:w="1149" w:type="dxa"/>
            <w:tcBorders>
              <w:tl2br w:val="nil"/>
              <w:tr2bl w:val="nil"/>
            </w:tcBorders>
            <w:vAlign w:val="center"/>
          </w:tcPr>
          <w:p w14:paraId="2EB6AD8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高处坠落</w:t>
            </w:r>
          </w:p>
        </w:tc>
        <w:tc>
          <w:tcPr>
            <w:tcW w:w="550" w:type="dxa"/>
            <w:tcBorders>
              <w:tl2br w:val="nil"/>
              <w:tr2bl w:val="nil"/>
            </w:tcBorders>
            <w:vAlign w:val="center"/>
          </w:tcPr>
          <w:p w14:paraId="2FAA2B1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493C2B6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2E0EF6D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3A81767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1F6E419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C182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7BB137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9D0526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32DFBE4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工具（扳手、手锤等）未系安全绳或未放专用工具背包</w:t>
            </w:r>
          </w:p>
        </w:tc>
        <w:tc>
          <w:tcPr>
            <w:tcW w:w="1149" w:type="dxa"/>
            <w:tcBorders>
              <w:tl2br w:val="nil"/>
              <w:tr2bl w:val="nil"/>
            </w:tcBorders>
            <w:vAlign w:val="center"/>
          </w:tcPr>
          <w:p w14:paraId="048ECC6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物体打击</w:t>
            </w:r>
          </w:p>
        </w:tc>
        <w:tc>
          <w:tcPr>
            <w:tcW w:w="550" w:type="dxa"/>
            <w:tcBorders>
              <w:tl2br w:val="nil"/>
              <w:tr2bl w:val="nil"/>
            </w:tcBorders>
            <w:vAlign w:val="center"/>
          </w:tcPr>
          <w:p w14:paraId="020D051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3827610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3550F86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2E26F88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7038AAA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42690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15AFBC7">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2058E90D">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1CAE022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攀登作业所用设施和用具的结构构造不牢固可靠</w:t>
            </w:r>
          </w:p>
        </w:tc>
        <w:tc>
          <w:tcPr>
            <w:tcW w:w="1149" w:type="dxa"/>
            <w:tcBorders>
              <w:tl2br w:val="nil"/>
              <w:tr2bl w:val="nil"/>
            </w:tcBorders>
            <w:vAlign w:val="center"/>
          </w:tcPr>
          <w:p w14:paraId="37B51E9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高处坠落</w:t>
            </w:r>
          </w:p>
        </w:tc>
        <w:tc>
          <w:tcPr>
            <w:tcW w:w="550" w:type="dxa"/>
            <w:tcBorders>
              <w:tl2br w:val="nil"/>
              <w:tr2bl w:val="nil"/>
            </w:tcBorders>
            <w:vAlign w:val="center"/>
          </w:tcPr>
          <w:p w14:paraId="1FBF604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440158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316FCE2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2F0F63A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126</w:t>
            </w:r>
          </w:p>
        </w:tc>
        <w:tc>
          <w:tcPr>
            <w:tcW w:w="560" w:type="dxa"/>
            <w:tcBorders>
              <w:tl2br w:val="nil"/>
              <w:tr2bl w:val="nil"/>
            </w:tcBorders>
            <w:vAlign w:val="center"/>
          </w:tcPr>
          <w:p w14:paraId="57C63AF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70D5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F99FA83">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7500412A">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保护接零</w:t>
            </w:r>
          </w:p>
        </w:tc>
        <w:tc>
          <w:tcPr>
            <w:tcW w:w="3604" w:type="dxa"/>
            <w:tcBorders>
              <w:tl2br w:val="nil"/>
              <w:tr2bl w:val="nil"/>
            </w:tcBorders>
            <w:vAlign w:val="center"/>
          </w:tcPr>
          <w:p w14:paraId="4831BAA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防雷接地装置损坏或不合规，或者未进行接地电阻值的检测</w:t>
            </w:r>
          </w:p>
        </w:tc>
        <w:tc>
          <w:tcPr>
            <w:tcW w:w="1149" w:type="dxa"/>
            <w:tcBorders>
              <w:tl2br w:val="nil"/>
              <w:tr2bl w:val="nil"/>
            </w:tcBorders>
            <w:vAlign w:val="center"/>
          </w:tcPr>
          <w:p w14:paraId="63473F6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触电</w:t>
            </w:r>
          </w:p>
        </w:tc>
        <w:tc>
          <w:tcPr>
            <w:tcW w:w="550" w:type="dxa"/>
            <w:tcBorders>
              <w:tl2br w:val="nil"/>
              <w:tr2bl w:val="nil"/>
            </w:tcBorders>
            <w:vAlign w:val="center"/>
          </w:tcPr>
          <w:p w14:paraId="2A637B4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3E18DC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7C95899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5149105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758E844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4F91B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83C74D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77B44006">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其他</w:t>
            </w:r>
          </w:p>
        </w:tc>
        <w:tc>
          <w:tcPr>
            <w:tcW w:w="3604" w:type="dxa"/>
            <w:tcBorders>
              <w:tl2br w:val="nil"/>
              <w:tr2bl w:val="nil"/>
            </w:tcBorders>
            <w:vAlign w:val="center"/>
          </w:tcPr>
          <w:p w14:paraId="4A2F80E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塔身的电缆线未固定牢固，塔式起重机开关箱未单独设置或离塔身大于3米</w:t>
            </w:r>
          </w:p>
        </w:tc>
        <w:tc>
          <w:tcPr>
            <w:tcW w:w="1149" w:type="dxa"/>
            <w:tcBorders>
              <w:tl2br w:val="nil"/>
              <w:tr2bl w:val="nil"/>
            </w:tcBorders>
            <w:vAlign w:val="center"/>
          </w:tcPr>
          <w:p w14:paraId="68FD4E8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触电</w:t>
            </w:r>
          </w:p>
        </w:tc>
        <w:tc>
          <w:tcPr>
            <w:tcW w:w="550" w:type="dxa"/>
            <w:tcBorders>
              <w:tl2br w:val="nil"/>
              <w:tr2bl w:val="nil"/>
            </w:tcBorders>
            <w:vAlign w:val="center"/>
          </w:tcPr>
          <w:p w14:paraId="26B5BB5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E10E17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4481413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3019E60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39F14FA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02D0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5359828">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74606C1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绝缘保护</w:t>
            </w:r>
          </w:p>
        </w:tc>
        <w:tc>
          <w:tcPr>
            <w:tcW w:w="3604" w:type="dxa"/>
            <w:tcBorders>
              <w:tl2br w:val="nil"/>
              <w:tr2bl w:val="nil"/>
            </w:tcBorders>
            <w:vAlign w:val="center"/>
          </w:tcPr>
          <w:p w14:paraId="3829E81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外露线路未进行绝缘保护</w:t>
            </w:r>
          </w:p>
        </w:tc>
        <w:tc>
          <w:tcPr>
            <w:tcW w:w="1149" w:type="dxa"/>
            <w:tcBorders>
              <w:tl2br w:val="nil"/>
              <w:tr2bl w:val="nil"/>
            </w:tcBorders>
            <w:vAlign w:val="center"/>
          </w:tcPr>
          <w:p w14:paraId="3B8CD41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触电</w:t>
            </w:r>
          </w:p>
        </w:tc>
        <w:tc>
          <w:tcPr>
            <w:tcW w:w="550" w:type="dxa"/>
            <w:tcBorders>
              <w:tl2br w:val="nil"/>
              <w:tr2bl w:val="nil"/>
            </w:tcBorders>
            <w:vAlign w:val="center"/>
          </w:tcPr>
          <w:p w14:paraId="38338AB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7291DF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53591D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25AEED5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108</w:t>
            </w:r>
          </w:p>
        </w:tc>
        <w:tc>
          <w:tcPr>
            <w:tcW w:w="560" w:type="dxa"/>
            <w:tcBorders>
              <w:tl2br w:val="nil"/>
              <w:tr2bl w:val="nil"/>
            </w:tcBorders>
            <w:vAlign w:val="center"/>
          </w:tcPr>
          <w:p w14:paraId="286326F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390FD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7992E0">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restart"/>
            <w:tcBorders>
              <w:tl2br w:val="nil"/>
              <w:tr2bl w:val="nil"/>
            </w:tcBorders>
            <w:vAlign w:val="center"/>
          </w:tcPr>
          <w:p w14:paraId="45EE0127">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焊接切割</w:t>
            </w:r>
          </w:p>
        </w:tc>
        <w:tc>
          <w:tcPr>
            <w:tcW w:w="3604" w:type="dxa"/>
            <w:tcBorders>
              <w:tl2br w:val="nil"/>
              <w:tr2bl w:val="nil"/>
            </w:tcBorders>
            <w:vAlign w:val="center"/>
          </w:tcPr>
          <w:p w14:paraId="42EDB55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焊接和切割未采用不可燃或耐火屏板(或屏罩)加以隔离保护</w:t>
            </w:r>
          </w:p>
        </w:tc>
        <w:tc>
          <w:tcPr>
            <w:tcW w:w="1149" w:type="dxa"/>
            <w:tcBorders>
              <w:tl2br w:val="nil"/>
              <w:tr2bl w:val="nil"/>
            </w:tcBorders>
            <w:vAlign w:val="center"/>
          </w:tcPr>
          <w:p w14:paraId="0FE5982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火灾</w:t>
            </w:r>
          </w:p>
        </w:tc>
        <w:tc>
          <w:tcPr>
            <w:tcW w:w="550" w:type="dxa"/>
            <w:tcBorders>
              <w:tl2br w:val="nil"/>
              <w:tr2bl w:val="nil"/>
            </w:tcBorders>
            <w:vAlign w:val="center"/>
          </w:tcPr>
          <w:p w14:paraId="030D2EC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56A82E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14C57FB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90" w:type="dxa"/>
            <w:tcBorders>
              <w:tl2br w:val="nil"/>
              <w:tr2bl w:val="nil"/>
            </w:tcBorders>
            <w:vAlign w:val="center"/>
          </w:tcPr>
          <w:p w14:paraId="351A1E6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36</w:t>
            </w:r>
          </w:p>
        </w:tc>
        <w:tc>
          <w:tcPr>
            <w:tcW w:w="560" w:type="dxa"/>
            <w:tcBorders>
              <w:tl2br w:val="nil"/>
              <w:tr2bl w:val="nil"/>
            </w:tcBorders>
            <w:vAlign w:val="center"/>
          </w:tcPr>
          <w:p w14:paraId="55C3D36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55B58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E8448E5">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F26B196">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6F81386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电焊机未配置防触电保护器，外壳未接零或接地保护</w:t>
            </w:r>
          </w:p>
        </w:tc>
        <w:tc>
          <w:tcPr>
            <w:tcW w:w="1149" w:type="dxa"/>
            <w:tcBorders>
              <w:tl2br w:val="nil"/>
              <w:tr2bl w:val="nil"/>
            </w:tcBorders>
            <w:vAlign w:val="center"/>
          </w:tcPr>
          <w:p w14:paraId="066866B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触电</w:t>
            </w:r>
          </w:p>
        </w:tc>
        <w:tc>
          <w:tcPr>
            <w:tcW w:w="550" w:type="dxa"/>
            <w:tcBorders>
              <w:tl2br w:val="nil"/>
              <w:tr2bl w:val="nil"/>
            </w:tcBorders>
            <w:vAlign w:val="center"/>
          </w:tcPr>
          <w:p w14:paraId="3F16CC7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0CE1E7E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7B05AA3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4F2B2C9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42</w:t>
            </w:r>
          </w:p>
        </w:tc>
        <w:tc>
          <w:tcPr>
            <w:tcW w:w="560" w:type="dxa"/>
            <w:tcBorders>
              <w:tl2br w:val="nil"/>
              <w:tr2bl w:val="nil"/>
            </w:tcBorders>
            <w:vAlign w:val="center"/>
          </w:tcPr>
          <w:p w14:paraId="63E47A6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5C9A4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82F633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65548E5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00D1E1C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焊接作业场地周围未清除易燃易爆物品或未进行覆盖、隔离</w:t>
            </w:r>
          </w:p>
        </w:tc>
        <w:tc>
          <w:tcPr>
            <w:tcW w:w="1149" w:type="dxa"/>
            <w:tcBorders>
              <w:tl2br w:val="nil"/>
              <w:tr2bl w:val="nil"/>
            </w:tcBorders>
            <w:vAlign w:val="center"/>
          </w:tcPr>
          <w:p w14:paraId="12AF04A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触电</w:t>
            </w:r>
          </w:p>
        </w:tc>
        <w:tc>
          <w:tcPr>
            <w:tcW w:w="550" w:type="dxa"/>
            <w:tcBorders>
              <w:tl2br w:val="nil"/>
              <w:tr2bl w:val="nil"/>
            </w:tcBorders>
            <w:vAlign w:val="center"/>
          </w:tcPr>
          <w:p w14:paraId="6D74909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1C1FF0C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51FA35C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1EBE2A6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42</w:t>
            </w:r>
          </w:p>
        </w:tc>
        <w:tc>
          <w:tcPr>
            <w:tcW w:w="560" w:type="dxa"/>
            <w:tcBorders>
              <w:tl2br w:val="nil"/>
              <w:tr2bl w:val="nil"/>
            </w:tcBorders>
            <w:vAlign w:val="center"/>
          </w:tcPr>
          <w:p w14:paraId="7986137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7A791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7DCBA75">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17992C15">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2BEC891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电焊机未按照“一机一闸”的原则设置开关箱</w:t>
            </w:r>
          </w:p>
        </w:tc>
        <w:tc>
          <w:tcPr>
            <w:tcW w:w="1149" w:type="dxa"/>
            <w:tcBorders>
              <w:tl2br w:val="nil"/>
              <w:tr2bl w:val="nil"/>
            </w:tcBorders>
            <w:vAlign w:val="center"/>
          </w:tcPr>
          <w:p w14:paraId="4B0DD35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触电</w:t>
            </w:r>
          </w:p>
        </w:tc>
        <w:tc>
          <w:tcPr>
            <w:tcW w:w="550" w:type="dxa"/>
            <w:tcBorders>
              <w:tl2br w:val="nil"/>
              <w:tr2bl w:val="nil"/>
            </w:tcBorders>
            <w:vAlign w:val="center"/>
          </w:tcPr>
          <w:p w14:paraId="4F64304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500452F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3F3F673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782048B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42</w:t>
            </w:r>
          </w:p>
        </w:tc>
        <w:tc>
          <w:tcPr>
            <w:tcW w:w="560" w:type="dxa"/>
            <w:tcBorders>
              <w:tl2br w:val="nil"/>
              <w:tr2bl w:val="nil"/>
            </w:tcBorders>
            <w:vAlign w:val="center"/>
          </w:tcPr>
          <w:p w14:paraId="04928F5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26565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16F494">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9BCC536">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53395484">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氧气瓶、气瓶阀、接头、减压阀、软管及设备没有与油、脂及其它可燃物或爆炸物相隔离</w:t>
            </w:r>
          </w:p>
        </w:tc>
        <w:tc>
          <w:tcPr>
            <w:tcW w:w="1149" w:type="dxa"/>
            <w:tcBorders>
              <w:tl2br w:val="nil"/>
              <w:tr2bl w:val="nil"/>
            </w:tcBorders>
            <w:vAlign w:val="center"/>
          </w:tcPr>
          <w:p w14:paraId="5B22EC9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火灾等</w:t>
            </w:r>
          </w:p>
        </w:tc>
        <w:tc>
          <w:tcPr>
            <w:tcW w:w="550" w:type="dxa"/>
            <w:tcBorders>
              <w:tl2br w:val="nil"/>
              <w:tr2bl w:val="nil"/>
            </w:tcBorders>
            <w:vAlign w:val="center"/>
          </w:tcPr>
          <w:p w14:paraId="62D7AFF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w:t>
            </w:r>
          </w:p>
        </w:tc>
        <w:tc>
          <w:tcPr>
            <w:tcW w:w="540" w:type="dxa"/>
            <w:tcBorders>
              <w:tl2br w:val="nil"/>
              <w:tr2bl w:val="nil"/>
            </w:tcBorders>
            <w:vAlign w:val="center"/>
          </w:tcPr>
          <w:p w14:paraId="7F63BD1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5346F46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w:t>
            </w:r>
          </w:p>
        </w:tc>
        <w:tc>
          <w:tcPr>
            <w:tcW w:w="590" w:type="dxa"/>
            <w:tcBorders>
              <w:tl2br w:val="nil"/>
              <w:tr2bl w:val="nil"/>
            </w:tcBorders>
            <w:vAlign w:val="center"/>
          </w:tcPr>
          <w:p w14:paraId="4D8ACE5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70</w:t>
            </w:r>
          </w:p>
        </w:tc>
        <w:tc>
          <w:tcPr>
            <w:tcW w:w="560" w:type="dxa"/>
            <w:tcBorders>
              <w:tl2br w:val="nil"/>
              <w:tr2bl w:val="nil"/>
            </w:tcBorders>
            <w:vAlign w:val="center"/>
          </w:tcPr>
          <w:p w14:paraId="44AF066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Ⅱ</w:t>
            </w:r>
          </w:p>
        </w:tc>
      </w:tr>
      <w:tr w14:paraId="0FC9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6C21B2">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498A7B79">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751BA9C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气瓶未直立安放牢固（乙炔瓶禁止卧放或倾倒）。</w:t>
            </w:r>
          </w:p>
        </w:tc>
        <w:tc>
          <w:tcPr>
            <w:tcW w:w="1149" w:type="dxa"/>
            <w:tcBorders>
              <w:tl2br w:val="nil"/>
              <w:tr2bl w:val="nil"/>
            </w:tcBorders>
            <w:vAlign w:val="center"/>
          </w:tcPr>
          <w:p w14:paraId="346CEBB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容器爆炸</w:t>
            </w:r>
          </w:p>
        </w:tc>
        <w:tc>
          <w:tcPr>
            <w:tcW w:w="550" w:type="dxa"/>
            <w:tcBorders>
              <w:tl2br w:val="nil"/>
              <w:tr2bl w:val="nil"/>
            </w:tcBorders>
            <w:vAlign w:val="center"/>
          </w:tcPr>
          <w:p w14:paraId="2A70477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37865D1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36E6E0A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1842E92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180</w:t>
            </w:r>
          </w:p>
        </w:tc>
        <w:tc>
          <w:tcPr>
            <w:tcW w:w="560" w:type="dxa"/>
            <w:tcBorders>
              <w:tl2br w:val="nil"/>
              <w:tr2bl w:val="nil"/>
            </w:tcBorders>
            <w:vAlign w:val="center"/>
          </w:tcPr>
          <w:p w14:paraId="12BE327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63647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0CBA629">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5C7001C">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D951D0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氧气瓶、乙炔瓶未分开存放</w:t>
            </w:r>
          </w:p>
        </w:tc>
        <w:tc>
          <w:tcPr>
            <w:tcW w:w="1149" w:type="dxa"/>
            <w:tcBorders>
              <w:tl2br w:val="nil"/>
              <w:tr2bl w:val="nil"/>
            </w:tcBorders>
            <w:vAlign w:val="center"/>
          </w:tcPr>
          <w:p w14:paraId="452A443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火灾</w:t>
            </w:r>
          </w:p>
        </w:tc>
        <w:tc>
          <w:tcPr>
            <w:tcW w:w="550" w:type="dxa"/>
            <w:tcBorders>
              <w:tl2br w:val="nil"/>
              <w:tr2bl w:val="nil"/>
            </w:tcBorders>
            <w:vAlign w:val="center"/>
          </w:tcPr>
          <w:p w14:paraId="719041B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27C370F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622A5EB0">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2AC90C1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180</w:t>
            </w:r>
          </w:p>
        </w:tc>
        <w:tc>
          <w:tcPr>
            <w:tcW w:w="560" w:type="dxa"/>
            <w:tcBorders>
              <w:tl2br w:val="nil"/>
              <w:tr2bl w:val="nil"/>
            </w:tcBorders>
            <w:vAlign w:val="center"/>
          </w:tcPr>
          <w:p w14:paraId="05A9A50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2E058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54117C6">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vMerge w:val="continue"/>
            <w:tcBorders>
              <w:tl2br w:val="nil"/>
              <w:tr2bl w:val="nil"/>
            </w:tcBorders>
            <w:vAlign w:val="center"/>
          </w:tcPr>
          <w:p w14:paraId="0C84C535">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p>
        </w:tc>
        <w:tc>
          <w:tcPr>
            <w:tcW w:w="3604" w:type="dxa"/>
            <w:tcBorders>
              <w:tl2br w:val="nil"/>
              <w:tr2bl w:val="nil"/>
            </w:tcBorders>
            <w:vAlign w:val="center"/>
          </w:tcPr>
          <w:p w14:paraId="43BB90A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氧气瓶、乙炔瓶存放处无禁火标志，未配备消防器材。</w:t>
            </w:r>
          </w:p>
        </w:tc>
        <w:tc>
          <w:tcPr>
            <w:tcW w:w="1149" w:type="dxa"/>
            <w:tcBorders>
              <w:tl2br w:val="nil"/>
              <w:tr2bl w:val="nil"/>
            </w:tcBorders>
            <w:vAlign w:val="center"/>
          </w:tcPr>
          <w:p w14:paraId="06C9E15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火灾</w:t>
            </w:r>
          </w:p>
        </w:tc>
        <w:tc>
          <w:tcPr>
            <w:tcW w:w="550" w:type="dxa"/>
            <w:tcBorders>
              <w:tl2br w:val="nil"/>
              <w:tr2bl w:val="nil"/>
            </w:tcBorders>
            <w:vAlign w:val="center"/>
          </w:tcPr>
          <w:p w14:paraId="3738878C">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288BCB8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10</w:t>
            </w:r>
          </w:p>
        </w:tc>
        <w:tc>
          <w:tcPr>
            <w:tcW w:w="540" w:type="dxa"/>
            <w:tcBorders>
              <w:tl2br w:val="nil"/>
              <w:tr2bl w:val="nil"/>
            </w:tcBorders>
            <w:vAlign w:val="center"/>
          </w:tcPr>
          <w:p w14:paraId="6176DEB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1F82C36D">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180</w:t>
            </w:r>
          </w:p>
        </w:tc>
        <w:tc>
          <w:tcPr>
            <w:tcW w:w="560" w:type="dxa"/>
            <w:tcBorders>
              <w:tl2br w:val="nil"/>
              <w:tr2bl w:val="nil"/>
            </w:tcBorders>
            <w:vAlign w:val="center"/>
          </w:tcPr>
          <w:p w14:paraId="2986DDB1">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Ⅲ</w:t>
            </w:r>
          </w:p>
        </w:tc>
      </w:tr>
      <w:tr w14:paraId="35855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0F63779">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34CCCBA3">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电焊</w:t>
            </w:r>
          </w:p>
        </w:tc>
        <w:tc>
          <w:tcPr>
            <w:tcW w:w="3604" w:type="dxa"/>
            <w:tcBorders>
              <w:tl2br w:val="nil"/>
              <w:tr2bl w:val="nil"/>
            </w:tcBorders>
            <w:vAlign w:val="center"/>
          </w:tcPr>
          <w:p w14:paraId="0AA800F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未佩戴面罩或护目镜</w:t>
            </w:r>
          </w:p>
        </w:tc>
        <w:tc>
          <w:tcPr>
            <w:tcW w:w="1149" w:type="dxa"/>
            <w:tcBorders>
              <w:tl2br w:val="nil"/>
              <w:tr2bl w:val="nil"/>
            </w:tcBorders>
            <w:vAlign w:val="center"/>
          </w:tcPr>
          <w:p w14:paraId="4C38D23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其他</w:t>
            </w:r>
          </w:p>
        </w:tc>
        <w:tc>
          <w:tcPr>
            <w:tcW w:w="550" w:type="dxa"/>
            <w:tcBorders>
              <w:tl2br w:val="nil"/>
              <w:tr2bl w:val="nil"/>
            </w:tcBorders>
            <w:vAlign w:val="center"/>
          </w:tcPr>
          <w:p w14:paraId="121A770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74026A69">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75DCEDD3">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1524A8BE">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54</w:t>
            </w:r>
          </w:p>
        </w:tc>
        <w:tc>
          <w:tcPr>
            <w:tcW w:w="560" w:type="dxa"/>
            <w:tcBorders>
              <w:tl2br w:val="nil"/>
              <w:tr2bl w:val="nil"/>
            </w:tcBorders>
            <w:vAlign w:val="center"/>
          </w:tcPr>
          <w:p w14:paraId="0FA748B8">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tr w14:paraId="68D99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8003B23">
            <w:pPr>
              <w:numPr>
                <w:ilvl w:val="0"/>
                <w:numId w:val="49"/>
              </w:numPr>
              <w:spacing w:line="0" w:lineRule="atLeast"/>
              <w:ind w:firstLineChars="0"/>
              <w:jc w:val="center"/>
              <w:rPr>
                <w:rFonts w:ascii="宋体" w:hAnsi="宋体" w:cs="宋体"/>
                <w:color w:val="000000" w:themeColor="text1"/>
                <w:sz w:val="21"/>
                <w:highlight w:val="none"/>
                <w14:textFill>
                  <w14:solidFill>
                    <w14:schemeClr w14:val="tx1"/>
                  </w14:solidFill>
                </w14:textFill>
              </w:rPr>
            </w:pPr>
          </w:p>
        </w:tc>
        <w:tc>
          <w:tcPr>
            <w:tcW w:w="995" w:type="dxa"/>
            <w:tcBorders>
              <w:tl2br w:val="nil"/>
              <w:tr2bl w:val="nil"/>
            </w:tcBorders>
            <w:vAlign w:val="center"/>
          </w:tcPr>
          <w:p w14:paraId="67DFF837">
            <w:pPr>
              <w:spacing w:line="27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劳保</w:t>
            </w:r>
          </w:p>
        </w:tc>
        <w:tc>
          <w:tcPr>
            <w:tcW w:w="3604" w:type="dxa"/>
            <w:tcBorders>
              <w:tl2br w:val="nil"/>
              <w:tr2bl w:val="nil"/>
            </w:tcBorders>
            <w:vAlign w:val="center"/>
          </w:tcPr>
          <w:p w14:paraId="5B33945B">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攀登作业未穿防滑鞋</w:t>
            </w:r>
          </w:p>
        </w:tc>
        <w:tc>
          <w:tcPr>
            <w:tcW w:w="1149" w:type="dxa"/>
            <w:tcBorders>
              <w:tl2br w:val="nil"/>
              <w:tr2bl w:val="nil"/>
            </w:tcBorders>
            <w:vAlign w:val="center"/>
          </w:tcPr>
          <w:p w14:paraId="35040DC7">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其他</w:t>
            </w:r>
          </w:p>
        </w:tc>
        <w:tc>
          <w:tcPr>
            <w:tcW w:w="550" w:type="dxa"/>
            <w:tcBorders>
              <w:tl2br w:val="nil"/>
              <w:tr2bl w:val="nil"/>
            </w:tcBorders>
            <w:vAlign w:val="center"/>
          </w:tcPr>
          <w:p w14:paraId="79E8A2E5">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6</w:t>
            </w:r>
          </w:p>
        </w:tc>
        <w:tc>
          <w:tcPr>
            <w:tcW w:w="540" w:type="dxa"/>
            <w:tcBorders>
              <w:tl2br w:val="nil"/>
              <w:tr2bl w:val="nil"/>
            </w:tcBorders>
            <w:vAlign w:val="center"/>
          </w:tcPr>
          <w:p w14:paraId="648B196F">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40" w:type="dxa"/>
            <w:tcBorders>
              <w:tl2br w:val="nil"/>
              <w:tr2bl w:val="nil"/>
            </w:tcBorders>
            <w:vAlign w:val="center"/>
          </w:tcPr>
          <w:p w14:paraId="61C55886">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p>
        </w:tc>
        <w:tc>
          <w:tcPr>
            <w:tcW w:w="590" w:type="dxa"/>
            <w:tcBorders>
              <w:tl2br w:val="nil"/>
              <w:tr2bl w:val="nil"/>
            </w:tcBorders>
            <w:vAlign w:val="center"/>
          </w:tcPr>
          <w:p w14:paraId="25A9DF7A">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54</w:t>
            </w:r>
          </w:p>
        </w:tc>
        <w:tc>
          <w:tcPr>
            <w:tcW w:w="560" w:type="dxa"/>
            <w:tcBorders>
              <w:tl2br w:val="nil"/>
              <w:tr2bl w:val="nil"/>
            </w:tcBorders>
            <w:vAlign w:val="center"/>
          </w:tcPr>
          <w:p w14:paraId="341A80D2">
            <w:pPr>
              <w:spacing w:line="280" w:lineRule="exact"/>
              <w:ind w:firstLine="0" w:firstLineChars="0"/>
              <w:jc w:val="center"/>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Ⅰ</w:t>
            </w:r>
          </w:p>
        </w:tc>
      </w:tr>
      <w:bookmarkEnd w:id="114"/>
    </w:tbl>
    <w:p w14:paraId="03D89E34">
      <w:pPr>
        <w:pStyle w:val="6"/>
        <w:numPr>
          <w:ilvl w:val="0"/>
          <w:numId w:val="48"/>
        </w:numPr>
        <w:tabs>
          <w:tab w:val="left" w:pos="0"/>
        </w:tabs>
        <w:ind w:left="425" w:leftChars="0" w:hanging="425" w:firstLineChars="0"/>
        <w:rPr>
          <w:highlight w:val="none"/>
        </w:rPr>
      </w:pPr>
      <w:r>
        <w:rPr>
          <w:highlight w:val="none"/>
        </w:rPr>
        <w:t>风险分析结论</w:t>
      </w:r>
    </w:p>
    <w:p w14:paraId="2A58B77E">
      <w:pPr>
        <w:ind w:firstLine="480"/>
        <w:rPr>
          <w:highlight w:val="none"/>
        </w:rPr>
      </w:pPr>
      <w:r>
        <w:rPr>
          <w:highlight w:val="none"/>
        </w:rPr>
        <w:t>根据施工作业风险LEC法评估结果表，</w:t>
      </w:r>
      <w:bookmarkStart w:id="115" w:name="_Hlk114688223"/>
      <w:r>
        <w:rPr>
          <w:highlight w:val="none"/>
        </w:rPr>
        <w:t>显著危险的有</w:t>
      </w:r>
      <w:r>
        <w:rPr>
          <w:rFonts w:hint="eastAsia"/>
          <w:highlight w:val="none"/>
          <w:lang w:val="en-US" w:eastAsia="zh-CN"/>
        </w:rPr>
        <w:t>75</w:t>
      </w:r>
      <w:r>
        <w:rPr>
          <w:highlight w:val="none"/>
        </w:rPr>
        <w:t>项：包括高处坠落、起重伤害、物体打击、触电、机械伤害、火灾、坍塌，需要制定针对性安全措施，具体措施详见</w:t>
      </w:r>
      <w:r>
        <w:rPr>
          <w:rFonts w:hint="eastAsia"/>
          <w:highlight w:val="none"/>
          <w:lang w:val="en-US" w:eastAsia="zh-CN"/>
        </w:rPr>
        <w:t>7章</w:t>
      </w:r>
      <w:r>
        <w:rPr>
          <w:highlight w:val="none"/>
        </w:rPr>
        <w:t>节</w:t>
      </w:r>
      <w:bookmarkEnd w:id="115"/>
      <w:r>
        <w:rPr>
          <w:highlight w:val="none"/>
        </w:rPr>
        <w:t>。</w:t>
      </w:r>
      <w:bookmarkEnd w:id="112"/>
    </w:p>
    <w:p w14:paraId="2E180B0E">
      <w:pPr>
        <w:pStyle w:val="5"/>
        <w:numPr>
          <w:ilvl w:val="0"/>
          <w:numId w:val="47"/>
        </w:numPr>
        <w:ind w:left="425" w:leftChars="0" w:hanging="425" w:firstLineChars="0"/>
        <w:rPr>
          <w:rFonts w:cs="Times New Roman"/>
        </w:rPr>
      </w:pPr>
      <w:bookmarkStart w:id="116" w:name="_Toc13366"/>
      <w:r>
        <w:rPr>
          <w:rFonts w:cs="Times New Roman"/>
        </w:rPr>
        <w:t>质量、环保、安全管理措施</w:t>
      </w:r>
      <w:bookmarkEnd w:id="116"/>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033"/>
        <w:gridCol w:w="4017"/>
        <w:gridCol w:w="1169"/>
        <w:gridCol w:w="1141"/>
      </w:tblGrid>
      <w:tr w14:paraId="71DD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Align w:val="center"/>
          </w:tcPr>
          <w:p w14:paraId="7F3163CF">
            <w:pPr>
              <w:tabs>
                <w:tab w:val="left" w:pos="8100"/>
              </w:tabs>
              <w:spacing w:line="240" w:lineRule="auto"/>
              <w:rPr>
                <w:rFonts w:cs="Times New Roman"/>
                <w:szCs w:val="24"/>
              </w:rPr>
            </w:pPr>
            <w:r>
              <w:rPr>
                <w:rFonts w:cs="Times New Roman"/>
                <w:szCs w:val="24"/>
              </w:rPr>
              <w:t>管理内容</w:t>
            </w:r>
          </w:p>
        </w:tc>
        <w:tc>
          <w:tcPr>
            <w:tcW w:w="2963" w:type="pct"/>
            <w:gridSpan w:val="2"/>
            <w:vAlign w:val="center"/>
          </w:tcPr>
          <w:p w14:paraId="09FB3724">
            <w:pPr>
              <w:tabs>
                <w:tab w:val="left" w:pos="8100"/>
              </w:tabs>
              <w:spacing w:line="240" w:lineRule="auto"/>
              <w:rPr>
                <w:rFonts w:cs="Times New Roman"/>
                <w:szCs w:val="24"/>
              </w:rPr>
            </w:pPr>
            <w:r>
              <w:rPr>
                <w:rFonts w:cs="Times New Roman"/>
                <w:szCs w:val="24"/>
              </w:rPr>
              <w:t>控制措施</w:t>
            </w:r>
          </w:p>
        </w:tc>
        <w:tc>
          <w:tcPr>
            <w:tcW w:w="686" w:type="pct"/>
            <w:vAlign w:val="center"/>
          </w:tcPr>
          <w:p w14:paraId="7DF2FA71">
            <w:pPr>
              <w:tabs>
                <w:tab w:val="left" w:pos="8100"/>
              </w:tabs>
              <w:spacing w:line="240" w:lineRule="auto"/>
              <w:rPr>
                <w:rFonts w:cs="Times New Roman"/>
                <w:szCs w:val="24"/>
              </w:rPr>
            </w:pPr>
            <w:r>
              <w:rPr>
                <w:rFonts w:cs="Times New Roman"/>
                <w:szCs w:val="24"/>
              </w:rPr>
              <w:t>责任人</w:t>
            </w:r>
          </w:p>
        </w:tc>
        <w:tc>
          <w:tcPr>
            <w:tcW w:w="669" w:type="pct"/>
            <w:vAlign w:val="center"/>
          </w:tcPr>
          <w:p w14:paraId="27D6F686">
            <w:pPr>
              <w:tabs>
                <w:tab w:val="left" w:pos="8100"/>
              </w:tabs>
              <w:spacing w:line="240" w:lineRule="auto"/>
              <w:rPr>
                <w:rFonts w:cs="Times New Roman"/>
                <w:szCs w:val="24"/>
              </w:rPr>
            </w:pPr>
            <w:r>
              <w:rPr>
                <w:rFonts w:cs="Times New Roman"/>
                <w:szCs w:val="24"/>
              </w:rPr>
              <w:t>时间要求</w:t>
            </w:r>
          </w:p>
        </w:tc>
      </w:tr>
      <w:tr w14:paraId="643D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14:paraId="5EC6EF04">
            <w:pPr>
              <w:tabs>
                <w:tab w:val="left" w:pos="8100"/>
              </w:tabs>
              <w:spacing w:line="240" w:lineRule="auto"/>
              <w:rPr>
                <w:rFonts w:cs="Times New Roman"/>
                <w:szCs w:val="24"/>
              </w:rPr>
            </w:pPr>
            <w:r>
              <w:rPr>
                <w:rFonts w:cs="Times New Roman"/>
                <w:szCs w:val="24"/>
              </w:rPr>
              <w:t>质量控制</w:t>
            </w:r>
          </w:p>
        </w:tc>
        <w:tc>
          <w:tcPr>
            <w:tcW w:w="2963" w:type="pct"/>
            <w:gridSpan w:val="2"/>
            <w:vAlign w:val="center"/>
          </w:tcPr>
          <w:p w14:paraId="0A40BA1A">
            <w:pPr>
              <w:tabs>
                <w:tab w:val="left" w:pos="8100"/>
              </w:tabs>
              <w:spacing w:line="240" w:lineRule="auto"/>
              <w:rPr>
                <w:rFonts w:cs="Times New Roman"/>
                <w:szCs w:val="24"/>
              </w:rPr>
            </w:pPr>
            <w:r>
              <w:rPr>
                <w:rFonts w:cs="Times New Roman"/>
                <w:szCs w:val="24"/>
              </w:rPr>
              <w:t>技术人员编制出的</w:t>
            </w:r>
            <w:r>
              <w:rPr>
                <w:rFonts w:hint="eastAsia" w:cs="Times New Roman"/>
                <w:szCs w:val="24"/>
                <w:lang w:val="en-US" w:eastAsia="zh-CN"/>
              </w:rPr>
              <w:t>安拆</w:t>
            </w:r>
            <w:r>
              <w:rPr>
                <w:rFonts w:cs="Times New Roman"/>
                <w:szCs w:val="24"/>
              </w:rPr>
              <w:t>施工方案，必须履行审批手续，经主管工程师审核、总工程师批准后实施。</w:t>
            </w:r>
          </w:p>
        </w:tc>
        <w:tc>
          <w:tcPr>
            <w:tcW w:w="686" w:type="pct"/>
            <w:vAlign w:val="center"/>
          </w:tcPr>
          <w:p w14:paraId="29DD8107">
            <w:pPr>
              <w:tabs>
                <w:tab w:val="left" w:pos="8100"/>
              </w:tabs>
              <w:spacing w:line="240" w:lineRule="auto"/>
              <w:rPr>
                <w:rFonts w:cs="Times New Roman"/>
                <w:szCs w:val="24"/>
              </w:rPr>
            </w:pPr>
            <w:r>
              <w:rPr>
                <w:rFonts w:cs="Times New Roman"/>
                <w:szCs w:val="24"/>
              </w:rPr>
              <w:t>技术人员</w:t>
            </w:r>
          </w:p>
        </w:tc>
        <w:tc>
          <w:tcPr>
            <w:tcW w:w="669" w:type="pct"/>
            <w:vAlign w:val="center"/>
          </w:tcPr>
          <w:p w14:paraId="79DF704C">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前</w:t>
            </w:r>
          </w:p>
        </w:tc>
      </w:tr>
      <w:tr w14:paraId="024E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6F839C4">
            <w:pPr>
              <w:tabs>
                <w:tab w:val="left" w:pos="8100"/>
              </w:tabs>
              <w:spacing w:line="240" w:lineRule="auto"/>
              <w:rPr>
                <w:rFonts w:cs="Times New Roman"/>
                <w:szCs w:val="24"/>
              </w:rPr>
            </w:pPr>
          </w:p>
        </w:tc>
        <w:tc>
          <w:tcPr>
            <w:tcW w:w="2963" w:type="pct"/>
            <w:gridSpan w:val="2"/>
            <w:vAlign w:val="center"/>
          </w:tcPr>
          <w:p w14:paraId="722A45D9">
            <w:pPr>
              <w:tabs>
                <w:tab w:val="left" w:pos="8100"/>
              </w:tabs>
              <w:spacing w:line="240" w:lineRule="auto"/>
              <w:rPr>
                <w:rFonts w:cs="Times New Roman"/>
                <w:szCs w:val="24"/>
              </w:rPr>
            </w:pPr>
            <w:r>
              <w:rPr>
                <w:rFonts w:cs="Times New Roman"/>
                <w:szCs w:val="24"/>
              </w:rPr>
              <w:t>安拆工长负责执行每道作业程序，确保施工工艺执行率100%；</w:t>
            </w:r>
          </w:p>
        </w:tc>
        <w:tc>
          <w:tcPr>
            <w:tcW w:w="686" w:type="pct"/>
            <w:vAlign w:val="center"/>
          </w:tcPr>
          <w:p w14:paraId="5C4DD0DF">
            <w:pPr>
              <w:tabs>
                <w:tab w:val="left" w:pos="8100"/>
              </w:tabs>
              <w:spacing w:line="240" w:lineRule="auto"/>
              <w:rPr>
                <w:rFonts w:cs="Times New Roman"/>
                <w:szCs w:val="24"/>
              </w:rPr>
            </w:pPr>
            <w:r>
              <w:rPr>
                <w:rFonts w:cs="Times New Roman"/>
                <w:szCs w:val="24"/>
              </w:rPr>
              <w:t>施工工长</w:t>
            </w:r>
          </w:p>
        </w:tc>
        <w:tc>
          <w:tcPr>
            <w:tcW w:w="669" w:type="pct"/>
            <w:vAlign w:val="center"/>
          </w:tcPr>
          <w:p w14:paraId="17CA8815">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05C1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74D31448">
            <w:pPr>
              <w:tabs>
                <w:tab w:val="left" w:pos="8100"/>
              </w:tabs>
              <w:spacing w:line="240" w:lineRule="auto"/>
              <w:rPr>
                <w:rFonts w:cs="Times New Roman"/>
                <w:szCs w:val="24"/>
              </w:rPr>
            </w:pPr>
          </w:p>
        </w:tc>
        <w:tc>
          <w:tcPr>
            <w:tcW w:w="2963" w:type="pct"/>
            <w:gridSpan w:val="2"/>
            <w:vAlign w:val="center"/>
          </w:tcPr>
          <w:p w14:paraId="6CDB7D4C">
            <w:pPr>
              <w:tabs>
                <w:tab w:val="left" w:pos="8100"/>
              </w:tabs>
              <w:spacing w:line="240" w:lineRule="auto"/>
              <w:rPr>
                <w:rFonts w:cs="Times New Roman"/>
                <w:szCs w:val="24"/>
              </w:rPr>
            </w:pPr>
            <w:r>
              <w:rPr>
                <w:rFonts w:cs="Times New Roman"/>
                <w:szCs w:val="24"/>
              </w:rPr>
              <w:t>实施对施工设备、工具、索具每日安全检查、维护保养，确保设备安全无故障运行；</w:t>
            </w:r>
          </w:p>
        </w:tc>
        <w:tc>
          <w:tcPr>
            <w:tcW w:w="686" w:type="pct"/>
            <w:vAlign w:val="center"/>
          </w:tcPr>
          <w:p w14:paraId="040EBA52">
            <w:pPr>
              <w:tabs>
                <w:tab w:val="left" w:pos="8100"/>
              </w:tabs>
              <w:spacing w:line="240" w:lineRule="auto"/>
              <w:rPr>
                <w:rFonts w:cs="Times New Roman"/>
                <w:szCs w:val="24"/>
              </w:rPr>
            </w:pPr>
            <w:r>
              <w:rPr>
                <w:rFonts w:hint="eastAsia" w:cs="Times New Roman"/>
                <w:szCs w:val="24"/>
                <w:lang w:eastAsia="zh-CN"/>
              </w:rPr>
              <w:t>塔机</w:t>
            </w:r>
            <w:r>
              <w:rPr>
                <w:rFonts w:cs="Times New Roman"/>
                <w:szCs w:val="24"/>
              </w:rPr>
              <w:t>司机</w:t>
            </w:r>
          </w:p>
        </w:tc>
        <w:tc>
          <w:tcPr>
            <w:tcW w:w="669" w:type="pct"/>
            <w:vAlign w:val="center"/>
          </w:tcPr>
          <w:p w14:paraId="43E2BEC1">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前</w:t>
            </w:r>
          </w:p>
        </w:tc>
      </w:tr>
      <w:tr w14:paraId="22C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FD0AC00">
            <w:pPr>
              <w:tabs>
                <w:tab w:val="left" w:pos="8100"/>
              </w:tabs>
              <w:spacing w:line="240" w:lineRule="auto"/>
              <w:rPr>
                <w:rFonts w:cs="Times New Roman"/>
                <w:szCs w:val="24"/>
              </w:rPr>
            </w:pPr>
          </w:p>
        </w:tc>
        <w:tc>
          <w:tcPr>
            <w:tcW w:w="2963" w:type="pct"/>
            <w:gridSpan w:val="2"/>
            <w:vAlign w:val="center"/>
          </w:tcPr>
          <w:p w14:paraId="0E1556D5">
            <w:pPr>
              <w:tabs>
                <w:tab w:val="left" w:pos="8100"/>
              </w:tabs>
              <w:spacing w:line="240" w:lineRule="auto"/>
              <w:rPr>
                <w:rFonts w:cs="Times New Roman"/>
                <w:szCs w:val="24"/>
              </w:rPr>
            </w:pPr>
            <w:r>
              <w:rPr>
                <w:rFonts w:cs="Times New Roman"/>
                <w:szCs w:val="24"/>
              </w:rPr>
              <w:t>施工服务及维修人员严格执行劳动纪律，保持良好的服务态度，虚心听取建设单位意见，确保服务质量满足客户要求。</w:t>
            </w:r>
          </w:p>
        </w:tc>
        <w:tc>
          <w:tcPr>
            <w:tcW w:w="686" w:type="pct"/>
            <w:vAlign w:val="center"/>
          </w:tcPr>
          <w:p w14:paraId="2EDF2AAE">
            <w:pPr>
              <w:tabs>
                <w:tab w:val="left" w:pos="8100"/>
              </w:tabs>
              <w:spacing w:line="240" w:lineRule="auto"/>
              <w:rPr>
                <w:rFonts w:cs="Times New Roman"/>
                <w:szCs w:val="24"/>
              </w:rPr>
            </w:pPr>
            <w:r>
              <w:rPr>
                <w:rFonts w:cs="Times New Roman"/>
                <w:szCs w:val="24"/>
              </w:rPr>
              <w:t>安装班组</w:t>
            </w:r>
          </w:p>
        </w:tc>
        <w:tc>
          <w:tcPr>
            <w:tcW w:w="669" w:type="pct"/>
            <w:vAlign w:val="center"/>
          </w:tcPr>
          <w:p w14:paraId="59D1DA33">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1D7E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14:paraId="29E4766A">
            <w:pPr>
              <w:tabs>
                <w:tab w:val="left" w:pos="8100"/>
              </w:tabs>
              <w:spacing w:line="240" w:lineRule="auto"/>
              <w:rPr>
                <w:rFonts w:cs="Times New Roman"/>
                <w:szCs w:val="24"/>
              </w:rPr>
            </w:pPr>
            <w:r>
              <w:rPr>
                <w:rFonts w:cs="Times New Roman"/>
                <w:szCs w:val="24"/>
              </w:rPr>
              <w:t>重要环境因素控制</w:t>
            </w:r>
          </w:p>
        </w:tc>
        <w:tc>
          <w:tcPr>
            <w:tcW w:w="606" w:type="pct"/>
            <w:vAlign w:val="center"/>
          </w:tcPr>
          <w:p w14:paraId="21D9E773">
            <w:pPr>
              <w:tabs>
                <w:tab w:val="left" w:pos="8100"/>
              </w:tabs>
              <w:spacing w:line="240" w:lineRule="auto"/>
              <w:rPr>
                <w:rFonts w:cs="Times New Roman"/>
                <w:szCs w:val="24"/>
              </w:rPr>
            </w:pPr>
            <w:r>
              <w:rPr>
                <w:rFonts w:cs="Times New Roman"/>
                <w:szCs w:val="24"/>
              </w:rPr>
              <w:t>危险废弃物</w:t>
            </w:r>
          </w:p>
        </w:tc>
        <w:tc>
          <w:tcPr>
            <w:tcW w:w="2357" w:type="pct"/>
            <w:vAlign w:val="center"/>
          </w:tcPr>
          <w:p w14:paraId="118CEDA9">
            <w:pPr>
              <w:tabs>
                <w:tab w:val="left" w:pos="8100"/>
              </w:tabs>
              <w:spacing w:line="240" w:lineRule="auto"/>
              <w:rPr>
                <w:rFonts w:cs="Times New Roman"/>
                <w:szCs w:val="24"/>
              </w:rPr>
            </w:pPr>
            <w:r>
              <w:rPr>
                <w:rFonts w:cs="Times New Roman"/>
                <w:szCs w:val="24"/>
              </w:rPr>
              <w:t>含油棉纱、手套、废机油应集中收集，按规定统一处置；严格控制设备漏油，防止污染。</w:t>
            </w:r>
          </w:p>
        </w:tc>
        <w:tc>
          <w:tcPr>
            <w:tcW w:w="686" w:type="pct"/>
            <w:vAlign w:val="center"/>
          </w:tcPr>
          <w:p w14:paraId="733106C5">
            <w:pPr>
              <w:tabs>
                <w:tab w:val="left" w:pos="8100"/>
              </w:tabs>
              <w:spacing w:line="240" w:lineRule="auto"/>
              <w:rPr>
                <w:rFonts w:cs="Times New Roman"/>
                <w:szCs w:val="24"/>
              </w:rPr>
            </w:pPr>
            <w:r>
              <w:rPr>
                <w:rFonts w:cs="Times New Roman"/>
                <w:szCs w:val="24"/>
              </w:rPr>
              <w:t>施工工长</w:t>
            </w:r>
          </w:p>
        </w:tc>
        <w:tc>
          <w:tcPr>
            <w:tcW w:w="669" w:type="pct"/>
            <w:vAlign w:val="center"/>
          </w:tcPr>
          <w:p w14:paraId="567C4D3D">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65D0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2A7CDF7B">
            <w:pPr>
              <w:tabs>
                <w:tab w:val="left" w:pos="8100"/>
              </w:tabs>
              <w:spacing w:line="240" w:lineRule="auto"/>
              <w:rPr>
                <w:rFonts w:cs="Times New Roman"/>
                <w:szCs w:val="24"/>
              </w:rPr>
            </w:pPr>
          </w:p>
        </w:tc>
        <w:tc>
          <w:tcPr>
            <w:tcW w:w="606" w:type="pct"/>
            <w:vAlign w:val="center"/>
          </w:tcPr>
          <w:p w14:paraId="0146AD38">
            <w:pPr>
              <w:tabs>
                <w:tab w:val="left" w:pos="8100"/>
              </w:tabs>
              <w:spacing w:line="240" w:lineRule="auto"/>
              <w:rPr>
                <w:rFonts w:cs="Times New Roman"/>
                <w:szCs w:val="24"/>
              </w:rPr>
            </w:pPr>
            <w:r>
              <w:rPr>
                <w:rFonts w:cs="Times New Roman"/>
                <w:szCs w:val="24"/>
              </w:rPr>
              <w:t>火灾</w:t>
            </w:r>
          </w:p>
        </w:tc>
        <w:tc>
          <w:tcPr>
            <w:tcW w:w="2357" w:type="pct"/>
            <w:vAlign w:val="center"/>
          </w:tcPr>
          <w:p w14:paraId="22543F9C">
            <w:pPr>
              <w:tabs>
                <w:tab w:val="left" w:pos="8100"/>
              </w:tabs>
              <w:spacing w:line="240" w:lineRule="auto"/>
              <w:rPr>
                <w:rFonts w:cs="Times New Roman"/>
                <w:szCs w:val="24"/>
              </w:rPr>
            </w:pPr>
            <w:r>
              <w:rPr>
                <w:rFonts w:cs="Times New Roman"/>
                <w:szCs w:val="24"/>
              </w:rPr>
              <w:t>对氧气和乙炔气体的使用，应确保安全可靠，符合安全间距，按安全规程操作，配备消防器材；</w:t>
            </w:r>
          </w:p>
        </w:tc>
        <w:tc>
          <w:tcPr>
            <w:tcW w:w="686" w:type="pct"/>
            <w:vAlign w:val="center"/>
          </w:tcPr>
          <w:p w14:paraId="033ECD40">
            <w:pPr>
              <w:tabs>
                <w:tab w:val="left" w:pos="8100"/>
              </w:tabs>
              <w:spacing w:line="240" w:lineRule="auto"/>
              <w:rPr>
                <w:rFonts w:cs="Times New Roman"/>
                <w:szCs w:val="24"/>
              </w:rPr>
            </w:pPr>
            <w:r>
              <w:rPr>
                <w:rFonts w:cs="Times New Roman"/>
                <w:szCs w:val="24"/>
              </w:rPr>
              <w:t>安全员</w:t>
            </w:r>
          </w:p>
          <w:p w14:paraId="062B4904">
            <w:pPr>
              <w:tabs>
                <w:tab w:val="left" w:pos="8100"/>
              </w:tabs>
              <w:spacing w:line="240" w:lineRule="auto"/>
              <w:rPr>
                <w:rFonts w:cs="Times New Roman"/>
                <w:szCs w:val="24"/>
              </w:rPr>
            </w:pPr>
            <w:r>
              <w:rPr>
                <w:rFonts w:cs="Times New Roman"/>
                <w:szCs w:val="24"/>
              </w:rPr>
              <w:t>施工单位</w:t>
            </w:r>
          </w:p>
        </w:tc>
        <w:tc>
          <w:tcPr>
            <w:tcW w:w="669" w:type="pct"/>
            <w:vAlign w:val="center"/>
          </w:tcPr>
          <w:p w14:paraId="0422516C">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78FF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77FA9241">
            <w:pPr>
              <w:tabs>
                <w:tab w:val="left" w:pos="8100"/>
              </w:tabs>
              <w:spacing w:line="240" w:lineRule="auto"/>
              <w:rPr>
                <w:rFonts w:cs="Times New Roman"/>
                <w:szCs w:val="24"/>
              </w:rPr>
            </w:pPr>
          </w:p>
        </w:tc>
        <w:tc>
          <w:tcPr>
            <w:tcW w:w="606" w:type="pct"/>
            <w:vAlign w:val="center"/>
          </w:tcPr>
          <w:p w14:paraId="3A0109F2">
            <w:pPr>
              <w:tabs>
                <w:tab w:val="left" w:pos="8100"/>
              </w:tabs>
              <w:spacing w:line="240" w:lineRule="auto"/>
              <w:rPr>
                <w:rFonts w:cs="Times New Roman"/>
                <w:szCs w:val="24"/>
              </w:rPr>
            </w:pPr>
            <w:r>
              <w:rPr>
                <w:rFonts w:cs="Times New Roman"/>
                <w:szCs w:val="24"/>
              </w:rPr>
              <w:t>施工噪声</w:t>
            </w:r>
          </w:p>
        </w:tc>
        <w:tc>
          <w:tcPr>
            <w:tcW w:w="2357" w:type="pct"/>
            <w:vAlign w:val="center"/>
          </w:tcPr>
          <w:p w14:paraId="73C2840D">
            <w:pPr>
              <w:tabs>
                <w:tab w:val="left" w:pos="8100"/>
              </w:tabs>
              <w:spacing w:line="240" w:lineRule="auto"/>
              <w:rPr>
                <w:rFonts w:cs="Times New Roman"/>
                <w:szCs w:val="24"/>
              </w:rPr>
            </w:pPr>
            <w:r>
              <w:rPr>
                <w:rFonts w:cs="Times New Roman"/>
                <w:szCs w:val="24"/>
              </w:rPr>
              <w:t>严格按施工作息时间要求施工，防止噪声扰民；</w:t>
            </w:r>
          </w:p>
        </w:tc>
        <w:tc>
          <w:tcPr>
            <w:tcW w:w="686" w:type="pct"/>
            <w:vAlign w:val="center"/>
          </w:tcPr>
          <w:p w14:paraId="1650F92F">
            <w:pPr>
              <w:tabs>
                <w:tab w:val="left" w:pos="8100"/>
              </w:tabs>
              <w:spacing w:line="240" w:lineRule="auto"/>
              <w:rPr>
                <w:rFonts w:cs="Times New Roman"/>
                <w:szCs w:val="24"/>
              </w:rPr>
            </w:pPr>
            <w:r>
              <w:rPr>
                <w:rFonts w:cs="Times New Roman"/>
                <w:szCs w:val="24"/>
              </w:rPr>
              <w:t>施工工长</w:t>
            </w:r>
          </w:p>
        </w:tc>
        <w:tc>
          <w:tcPr>
            <w:tcW w:w="669" w:type="pct"/>
            <w:vAlign w:val="center"/>
          </w:tcPr>
          <w:p w14:paraId="08EB7099">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3BA5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restart"/>
            <w:vAlign w:val="center"/>
          </w:tcPr>
          <w:p w14:paraId="6206EFC9">
            <w:pPr>
              <w:tabs>
                <w:tab w:val="left" w:pos="8100"/>
              </w:tabs>
              <w:spacing w:line="240" w:lineRule="auto"/>
              <w:rPr>
                <w:rFonts w:cs="Times New Roman"/>
                <w:szCs w:val="24"/>
              </w:rPr>
            </w:pPr>
            <w:r>
              <w:rPr>
                <w:rFonts w:cs="Times New Roman"/>
                <w:szCs w:val="24"/>
              </w:rPr>
              <w:t>重要危险源的控制</w:t>
            </w:r>
          </w:p>
        </w:tc>
        <w:tc>
          <w:tcPr>
            <w:tcW w:w="606" w:type="pct"/>
            <w:vMerge w:val="restart"/>
            <w:vAlign w:val="center"/>
          </w:tcPr>
          <w:p w14:paraId="22DEF6CD">
            <w:pPr>
              <w:tabs>
                <w:tab w:val="left" w:pos="8100"/>
              </w:tabs>
              <w:spacing w:line="240" w:lineRule="auto"/>
              <w:rPr>
                <w:rFonts w:cs="Times New Roman"/>
                <w:szCs w:val="24"/>
              </w:rPr>
            </w:pPr>
          </w:p>
          <w:p w14:paraId="016A656B">
            <w:pPr>
              <w:tabs>
                <w:tab w:val="left" w:pos="8100"/>
              </w:tabs>
              <w:spacing w:line="240" w:lineRule="auto"/>
              <w:rPr>
                <w:rFonts w:cs="Times New Roman"/>
                <w:szCs w:val="24"/>
              </w:rPr>
            </w:pPr>
          </w:p>
          <w:p w14:paraId="61A1A5C7">
            <w:pPr>
              <w:tabs>
                <w:tab w:val="left" w:pos="8100"/>
              </w:tabs>
              <w:spacing w:line="240" w:lineRule="auto"/>
              <w:rPr>
                <w:rFonts w:cs="Times New Roman"/>
                <w:szCs w:val="24"/>
              </w:rPr>
            </w:pPr>
          </w:p>
          <w:p w14:paraId="4564F819">
            <w:pPr>
              <w:tabs>
                <w:tab w:val="left" w:pos="8100"/>
              </w:tabs>
              <w:spacing w:line="240" w:lineRule="auto"/>
              <w:rPr>
                <w:rFonts w:cs="Times New Roman"/>
                <w:szCs w:val="24"/>
              </w:rPr>
            </w:pPr>
          </w:p>
          <w:p w14:paraId="55B9CAFF">
            <w:pPr>
              <w:tabs>
                <w:tab w:val="left" w:pos="8100"/>
              </w:tabs>
              <w:spacing w:line="240" w:lineRule="auto"/>
              <w:rPr>
                <w:rFonts w:cs="Times New Roman"/>
                <w:szCs w:val="24"/>
              </w:rPr>
            </w:pPr>
          </w:p>
          <w:p w14:paraId="748CB10B">
            <w:pPr>
              <w:tabs>
                <w:tab w:val="left" w:pos="8100"/>
              </w:tabs>
              <w:spacing w:line="240" w:lineRule="auto"/>
              <w:rPr>
                <w:rFonts w:cs="Times New Roman"/>
                <w:szCs w:val="24"/>
              </w:rPr>
            </w:pPr>
            <w:r>
              <w:rPr>
                <w:rFonts w:cs="Times New Roman"/>
                <w:szCs w:val="24"/>
              </w:rPr>
              <w:t>违章作业</w:t>
            </w:r>
          </w:p>
          <w:p w14:paraId="5129258E">
            <w:pPr>
              <w:tabs>
                <w:tab w:val="left" w:pos="8100"/>
              </w:tabs>
              <w:spacing w:line="240" w:lineRule="auto"/>
              <w:rPr>
                <w:rFonts w:cs="Times New Roman"/>
                <w:szCs w:val="24"/>
              </w:rPr>
            </w:pPr>
            <w:r>
              <w:rPr>
                <w:rFonts w:cs="Times New Roman"/>
                <w:szCs w:val="24"/>
              </w:rPr>
              <w:t>违章指挥</w:t>
            </w:r>
          </w:p>
          <w:p w14:paraId="1872F0C8">
            <w:pPr>
              <w:tabs>
                <w:tab w:val="left" w:pos="8100"/>
              </w:tabs>
              <w:spacing w:line="240" w:lineRule="auto"/>
              <w:rPr>
                <w:rFonts w:cs="Times New Roman"/>
                <w:szCs w:val="24"/>
              </w:rPr>
            </w:pPr>
          </w:p>
          <w:p w14:paraId="55527261">
            <w:pPr>
              <w:tabs>
                <w:tab w:val="left" w:pos="8100"/>
              </w:tabs>
              <w:spacing w:line="240" w:lineRule="auto"/>
              <w:rPr>
                <w:rFonts w:cs="Times New Roman"/>
                <w:szCs w:val="24"/>
              </w:rPr>
            </w:pPr>
          </w:p>
          <w:p w14:paraId="5C4B9AF2">
            <w:pPr>
              <w:tabs>
                <w:tab w:val="left" w:pos="8100"/>
              </w:tabs>
              <w:spacing w:line="240" w:lineRule="auto"/>
              <w:rPr>
                <w:rFonts w:cs="Times New Roman"/>
                <w:szCs w:val="24"/>
              </w:rPr>
            </w:pPr>
          </w:p>
          <w:p w14:paraId="74047340">
            <w:pPr>
              <w:tabs>
                <w:tab w:val="left" w:pos="8100"/>
              </w:tabs>
              <w:spacing w:line="240" w:lineRule="auto"/>
              <w:rPr>
                <w:rFonts w:cs="Times New Roman"/>
                <w:szCs w:val="24"/>
              </w:rPr>
            </w:pPr>
          </w:p>
          <w:p w14:paraId="229A2FFA">
            <w:pPr>
              <w:tabs>
                <w:tab w:val="left" w:pos="8100"/>
              </w:tabs>
              <w:spacing w:line="240" w:lineRule="auto"/>
              <w:rPr>
                <w:rFonts w:cs="Times New Roman"/>
                <w:szCs w:val="24"/>
              </w:rPr>
            </w:pPr>
          </w:p>
        </w:tc>
        <w:tc>
          <w:tcPr>
            <w:tcW w:w="2357" w:type="pct"/>
            <w:vAlign w:val="center"/>
          </w:tcPr>
          <w:p w14:paraId="5FDBB6A8">
            <w:pPr>
              <w:tabs>
                <w:tab w:val="left" w:pos="8100"/>
              </w:tabs>
              <w:spacing w:line="240" w:lineRule="auto"/>
              <w:rPr>
                <w:rFonts w:cs="Times New Roman"/>
                <w:szCs w:val="24"/>
              </w:rPr>
            </w:pPr>
            <w:r>
              <w:rPr>
                <w:rFonts w:hint="eastAsia" w:cs="Times New Roman"/>
                <w:szCs w:val="24"/>
                <w:lang w:eastAsia="zh-CN"/>
              </w:rPr>
              <w:t>塔机</w:t>
            </w:r>
            <w:r>
              <w:rPr>
                <w:rFonts w:cs="Times New Roman"/>
                <w:szCs w:val="24"/>
              </w:rPr>
              <w:t>拆除操作和指挥人员必须经过技术和安全培训，每一个作业人员必须熟悉说明书，熟知施工程序和塔机基本性能。</w:t>
            </w:r>
          </w:p>
        </w:tc>
        <w:tc>
          <w:tcPr>
            <w:tcW w:w="686" w:type="pct"/>
            <w:vAlign w:val="center"/>
          </w:tcPr>
          <w:p w14:paraId="433491F0">
            <w:pPr>
              <w:tabs>
                <w:tab w:val="left" w:pos="8100"/>
              </w:tabs>
              <w:spacing w:line="240" w:lineRule="auto"/>
              <w:rPr>
                <w:rFonts w:cs="Times New Roman"/>
                <w:szCs w:val="24"/>
              </w:rPr>
            </w:pPr>
            <w:r>
              <w:rPr>
                <w:rFonts w:cs="Times New Roman"/>
                <w:szCs w:val="24"/>
              </w:rPr>
              <w:t>安全员</w:t>
            </w:r>
          </w:p>
          <w:p w14:paraId="6F149277">
            <w:pPr>
              <w:tabs>
                <w:tab w:val="left" w:pos="8100"/>
              </w:tabs>
              <w:spacing w:line="240" w:lineRule="auto"/>
              <w:rPr>
                <w:rFonts w:cs="Times New Roman"/>
                <w:szCs w:val="24"/>
              </w:rPr>
            </w:pPr>
            <w:r>
              <w:rPr>
                <w:rFonts w:cs="Times New Roman"/>
                <w:szCs w:val="24"/>
              </w:rPr>
              <w:t>技术员</w:t>
            </w:r>
          </w:p>
        </w:tc>
        <w:tc>
          <w:tcPr>
            <w:tcW w:w="669" w:type="pct"/>
            <w:vAlign w:val="center"/>
          </w:tcPr>
          <w:p w14:paraId="27489160">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4227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2AC1D5F6">
            <w:pPr>
              <w:tabs>
                <w:tab w:val="left" w:pos="8100"/>
              </w:tabs>
              <w:spacing w:line="240" w:lineRule="auto"/>
              <w:rPr>
                <w:rFonts w:cs="Times New Roman"/>
                <w:szCs w:val="24"/>
              </w:rPr>
            </w:pPr>
          </w:p>
        </w:tc>
        <w:tc>
          <w:tcPr>
            <w:tcW w:w="606" w:type="pct"/>
            <w:vMerge w:val="continue"/>
            <w:vAlign w:val="center"/>
          </w:tcPr>
          <w:p w14:paraId="74176BDE">
            <w:pPr>
              <w:tabs>
                <w:tab w:val="left" w:pos="8100"/>
              </w:tabs>
              <w:spacing w:line="240" w:lineRule="auto"/>
              <w:rPr>
                <w:rFonts w:cs="Times New Roman"/>
                <w:szCs w:val="24"/>
              </w:rPr>
            </w:pPr>
          </w:p>
        </w:tc>
        <w:tc>
          <w:tcPr>
            <w:tcW w:w="2357" w:type="pct"/>
            <w:vAlign w:val="center"/>
          </w:tcPr>
          <w:p w14:paraId="408546A1">
            <w:pPr>
              <w:tabs>
                <w:tab w:val="left" w:pos="8100"/>
              </w:tabs>
              <w:spacing w:line="240" w:lineRule="auto"/>
              <w:rPr>
                <w:rFonts w:cs="Times New Roman"/>
                <w:szCs w:val="24"/>
              </w:rPr>
            </w:pPr>
            <w:r>
              <w:rPr>
                <w:rFonts w:cs="Times New Roman"/>
                <w:szCs w:val="24"/>
              </w:rPr>
              <w:t>所有参加作业人员（包括汽车吊司机、指挥人员）必须遵守各项安全规定和本工种安全操作规程。</w:t>
            </w:r>
          </w:p>
        </w:tc>
        <w:tc>
          <w:tcPr>
            <w:tcW w:w="686" w:type="pct"/>
            <w:vAlign w:val="center"/>
          </w:tcPr>
          <w:p w14:paraId="1052897A">
            <w:pPr>
              <w:tabs>
                <w:tab w:val="left" w:pos="8100"/>
              </w:tabs>
              <w:spacing w:line="240" w:lineRule="auto"/>
              <w:rPr>
                <w:rFonts w:cs="Times New Roman"/>
                <w:szCs w:val="24"/>
              </w:rPr>
            </w:pPr>
            <w:r>
              <w:rPr>
                <w:rFonts w:cs="Times New Roman"/>
                <w:szCs w:val="24"/>
              </w:rPr>
              <w:t>安全员</w:t>
            </w:r>
          </w:p>
          <w:p w14:paraId="757A0A8B">
            <w:pPr>
              <w:tabs>
                <w:tab w:val="left" w:pos="8100"/>
              </w:tabs>
              <w:spacing w:line="240" w:lineRule="auto"/>
              <w:rPr>
                <w:rFonts w:cs="Times New Roman"/>
                <w:szCs w:val="24"/>
              </w:rPr>
            </w:pPr>
            <w:r>
              <w:rPr>
                <w:rFonts w:cs="Times New Roman"/>
                <w:szCs w:val="24"/>
              </w:rPr>
              <w:t>施工单位</w:t>
            </w:r>
          </w:p>
        </w:tc>
        <w:tc>
          <w:tcPr>
            <w:tcW w:w="669" w:type="pct"/>
            <w:vAlign w:val="center"/>
          </w:tcPr>
          <w:p w14:paraId="6973BAA4">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0C04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E3A5C13">
            <w:pPr>
              <w:tabs>
                <w:tab w:val="left" w:pos="8100"/>
              </w:tabs>
              <w:spacing w:line="240" w:lineRule="auto"/>
              <w:rPr>
                <w:rFonts w:cs="Times New Roman"/>
                <w:szCs w:val="24"/>
              </w:rPr>
            </w:pPr>
          </w:p>
        </w:tc>
        <w:tc>
          <w:tcPr>
            <w:tcW w:w="606" w:type="pct"/>
            <w:vMerge w:val="continue"/>
            <w:vAlign w:val="center"/>
          </w:tcPr>
          <w:p w14:paraId="19647991">
            <w:pPr>
              <w:tabs>
                <w:tab w:val="left" w:pos="8100"/>
              </w:tabs>
              <w:spacing w:line="240" w:lineRule="auto"/>
              <w:rPr>
                <w:rFonts w:cs="Times New Roman"/>
                <w:szCs w:val="24"/>
              </w:rPr>
            </w:pPr>
          </w:p>
        </w:tc>
        <w:tc>
          <w:tcPr>
            <w:tcW w:w="2357" w:type="pct"/>
            <w:vAlign w:val="center"/>
          </w:tcPr>
          <w:p w14:paraId="20908167">
            <w:pPr>
              <w:tabs>
                <w:tab w:val="left" w:pos="8100"/>
              </w:tabs>
              <w:spacing w:line="240" w:lineRule="auto"/>
              <w:rPr>
                <w:rFonts w:cs="Times New Roman"/>
                <w:szCs w:val="24"/>
              </w:rPr>
            </w:pPr>
            <w:r>
              <w:rPr>
                <w:rFonts w:cs="Times New Roman"/>
                <w:szCs w:val="24"/>
              </w:rPr>
              <w:t>现场作业人员必须持省市劳动部门颁发的有效特殊工种上岗操作证，确保100%持证上岗。</w:t>
            </w:r>
          </w:p>
        </w:tc>
        <w:tc>
          <w:tcPr>
            <w:tcW w:w="686" w:type="pct"/>
            <w:vAlign w:val="center"/>
          </w:tcPr>
          <w:p w14:paraId="0012300C">
            <w:pPr>
              <w:tabs>
                <w:tab w:val="left" w:pos="8100"/>
              </w:tabs>
              <w:spacing w:line="240" w:lineRule="auto"/>
              <w:rPr>
                <w:rFonts w:cs="Times New Roman"/>
                <w:szCs w:val="24"/>
              </w:rPr>
            </w:pPr>
            <w:r>
              <w:rPr>
                <w:rFonts w:cs="Times New Roman"/>
                <w:szCs w:val="24"/>
              </w:rPr>
              <w:t>项目经理</w:t>
            </w:r>
          </w:p>
        </w:tc>
        <w:tc>
          <w:tcPr>
            <w:tcW w:w="669" w:type="pct"/>
            <w:vAlign w:val="center"/>
          </w:tcPr>
          <w:p w14:paraId="53C54FB6">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前</w:t>
            </w:r>
          </w:p>
        </w:tc>
      </w:tr>
      <w:tr w14:paraId="108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5BEA171E">
            <w:pPr>
              <w:tabs>
                <w:tab w:val="left" w:pos="8100"/>
              </w:tabs>
              <w:spacing w:line="240" w:lineRule="auto"/>
              <w:rPr>
                <w:rFonts w:cs="Times New Roman"/>
                <w:szCs w:val="24"/>
              </w:rPr>
            </w:pPr>
          </w:p>
        </w:tc>
        <w:tc>
          <w:tcPr>
            <w:tcW w:w="606" w:type="pct"/>
            <w:vMerge w:val="continue"/>
            <w:vAlign w:val="center"/>
          </w:tcPr>
          <w:p w14:paraId="37A92CD0">
            <w:pPr>
              <w:tabs>
                <w:tab w:val="left" w:pos="8100"/>
              </w:tabs>
              <w:spacing w:line="240" w:lineRule="auto"/>
              <w:rPr>
                <w:rFonts w:cs="Times New Roman"/>
                <w:szCs w:val="24"/>
              </w:rPr>
            </w:pPr>
          </w:p>
        </w:tc>
        <w:tc>
          <w:tcPr>
            <w:tcW w:w="2357" w:type="pct"/>
            <w:vAlign w:val="center"/>
          </w:tcPr>
          <w:p w14:paraId="27F58E8C">
            <w:pPr>
              <w:tabs>
                <w:tab w:val="left" w:pos="8100"/>
              </w:tabs>
              <w:spacing w:line="240" w:lineRule="auto"/>
              <w:rPr>
                <w:rFonts w:cs="Times New Roman"/>
                <w:szCs w:val="24"/>
              </w:rPr>
            </w:pPr>
            <w:r>
              <w:rPr>
                <w:rFonts w:cs="Times New Roman"/>
                <w:szCs w:val="24"/>
              </w:rPr>
              <w:t>所有作业人员在作业前，必须接受安全技术交底工作，明确分工，确定指挥信号及统一口令。</w:t>
            </w:r>
          </w:p>
        </w:tc>
        <w:tc>
          <w:tcPr>
            <w:tcW w:w="686" w:type="pct"/>
            <w:vAlign w:val="center"/>
          </w:tcPr>
          <w:p w14:paraId="10015EA8">
            <w:pPr>
              <w:tabs>
                <w:tab w:val="left" w:pos="8100"/>
              </w:tabs>
              <w:spacing w:line="240" w:lineRule="auto"/>
              <w:rPr>
                <w:rFonts w:cs="Times New Roman"/>
                <w:szCs w:val="24"/>
              </w:rPr>
            </w:pPr>
            <w:r>
              <w:rPr>
                <w:rFonts w:cs="Times New Roman"/>
                <w:szCs w:val="24"/>
              </w:rPr>
              <w:t>施工工长</w:t>
            </w:r>
          </w:p>
          <w:p w14:paraId="63E6127E">
            <w:pPr>
              <w:tabs>
                <w:tab w:val="left" w:pos="8100"/>
              </w:tabs>
              <w:spacing w:line="240" w:lineRule="auto"/>
              <w:rPr>
                <w:rFonts w:cs="Times New Roman"/>
                <w:szCs w:val="24"/>
              </w:rPr>
            </w:pPr>
            <w:r>
              <w:rPr>
                <w:rFonts w:cs="Times New Roman"/>
                <w:szCs w:val="24"/>
              </w:rPr>
              <w:t>安全员</w:t>
            </w:r>
          </w:p>
        </w:tc>
        <w:tc>
          <w:tcPr>
            <w:tcW w:w="669" w:type="pct"/>
            <w:vAlign w:val="center"/>
          </w:tcPr>
          <w:p w14:paraId="3AF955CC">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50AF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A2C4455">
            <w:pPr>
              <w:tabs>
                <w:tab w:val="left" w:pos="8100"/>
              </w:tabs>
              <w:spacing w:line="240" w:lineRule="auto"/>
              <w:rPr>
                <w:rFonts w:cs="Times New Roman"/>
                <w:szCs w:val="24"/>
              </w:rPr>
            </w:pPr>
          </w:p>
        </w:tc>
        <w:tc>
          <w:tcPr>
            <w:tcW w:w="606" w:type="pct"/>
            <w:vMerge w:val="continue"/>
            <w:vAlign w:val="center"/>
          </w:tcPr>
          <w:p w14:paraId="49D26908">
            <w:pPr>
              <w:tabs>
                <w:tab w:val="left" w:pos="8100"/>
              </w:tabs>
              <w:spacing w:line="240" w:lineRule="auto"/>
              <w:rPr>
                <w:rFonts w:cs="Times New Roman"/>
                <w:szCs w:val="24"/>
              </w:rPr>
            </w:pPr>
          </w:p>
        </w:tc>
        <w:tc>
          <w:tcPr>
            <w:tcW w:w="2357" w:type="pct"/>
            <w:vAlign w:val="center"/>
          </w:tcPr>
          <w:p w14:paraId="18BAB14F">
            <w:pPr>
              <w:tabs>
                <w:tab w:val="left" w:pos="8100"/>
              </w:tabs>
              <w:spacing w:line="240" w:lineRule="auto"/>
              <w:rPr>
                <w:rFonts w:cs="Times New Roman"/>
                <w:szCs w:val="24"/>
              </w:rPr>
            </w:pPr>
            <w:r>
              <w:rPr>
                <w:rFonts w:cs="Times New Roman"/>
                <w:szCs w:val="24"/>
              </w:rPr>
              <w:t>作业前，明确分工，指定专人统一指挥，并在作业范围设明显的安全标志及警戒线，派专人看护，严禁非</w:t>
            </w:r>
            <w:r>
              <w:rPr>
                <w:rFonts w:hint="eastAsia" w:cs="Times New Roman"/>
                <w:szCs w:val="24"/>
                <w:lang w:eastAsia="zh-CN"/>
              </w:rPr>
              <w:t>塔机</w:t>
            </w:r>
            <w:r>
              <w:rPr>
                <w:rFonts w:cs="Times New Roman"/>
                <w:szCs w:val="24"/>
              </w:rPr>
              <w:t>装拆工作人员进入施工区。</w:t>
            </w:r>
          </w:p>
        </w:tc>
        <w:tc>
          <w:tcPr>
            <w:tcW w:w="686" w:type="pct"/>
            <w:vAlign w:val="center"/>
          </w:tcPr>
          <w:p w14:paraId="13F81F37">
            <w:pPr>
              <w:tabs>
                <w:tab w:val="left" w:pos="8100"/>
              </w:tabs>
              <w:spacing w:line="240" w:lineRule="auto"/>
              <w:rPr>
                <w:rFonts w:cs="Times New Roman"/>
                <w:szCs w:val="24"/>
              </w:rPr>
            </w:pPr>
            <w:r>
              <w:rPr>
                <w:rFonts w:cs="Times New Roman"/>
                <w:szCs w:val="24"/>
              </w:rPr>
              <w:t>施工工长</w:t>
            </w:r>
          </w:p>
          <w:p w14:paraId="044E24A2">
            <w:pPr>
              <w:tabs>
                <w:tab w:val="left" w:pos="8100"/>
              </w:tabs>
              <w:spacing w:line="240" w:lineRule="auto"/>
              <w:rPr>
                <w:rFonts w:cs="Times New Roman"/>
                <w:szCs w:val="24"/>
              </w:rPr>
            </w:pPr>
            <w:r>
              <w:rPr>
                <w:rFonts w:cs="Times New Roman"/>
                <w:szCs w:val="24"/>
              </w:rPr>
              <w:t>安全员</w:t>
            </w:r>
          </w:p>
        </w:tc>
        <w:tc>
          <w:tcPr>
            <w:tcW w:w="669" w:type="pct"/>
            <w:vAlign w:val="center"/>
          </w:tcPr>
          <w:p w14:paraId="70C9557E">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46B7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D97200E">
            <w:pPr>
              <w:tabs>
                <w:tab w:val="left" w:pos="8100"/>
              </w:tabs>
              <w:spacing w:line="240" w:lineRule="auto"/>
              <w:rPr>
                <w:rFonts w:cs="Times New Roman"/>
                <w:szCs w:val="24"/>
              </w:rPr>
            </w:pPr>
          </w:p>
        </w:tc>
        <w:tc>
          <w:tcPr>
            <w:tcW w:w="606" w:type="pct"/>
            <w:vMerge w:val="restart"/>
            <w:vAlign w:val="center"/>
          </w:tcPr>
          <w:p w14:paraId="5424520E">
            <w:pPr>
              <w:tabs>
                <w:tab w:val="left" w:pos="8100"/>
              </w:tabs>
              <w:spacing w:line="240" w:lineRule="auto"/>
              <w:rPr>
                <w:rFonts w:cs="Times New Roman"/>
                <w:szCs w:val="24"/>
              </w:rPr>
            </w:pPr>
            <w:r>
              <w:rPr>
                <w:rFonts w:cs="Times New Roman"/>
                <w:szCs w:val="24"/>
              </w:rPr>
              <w:t>高空坠落</w:t>
            </w:r>
          </w:p>
        </w:tc>
        <w:tc>
          <w:tcPr>
            <w:tcW w:w="2357" w:type="pct"/>
            <w:vAlign w:val="center"/>
          </w:tcPr>
          <w:p w14:paraId="51524ACF">
            <w:pPr>
              <w:tabs>
                <w:tab w:val="left" w:pos="8100"/>
              </w:tabs>
              <w:spacing w:line="240" w:lineRule="auto"/>
              <w:rPr>
                <w:rFonts w:cs="Times New Roman"/>
                <w:szCs w:val="24"/>
              </w:rPr>
            </w:pPr>
            <w:r>
              <w:rPr>
                <w:rFonts w:cs="Times New Roman"/>
                <w:szCs w:val="24"/>
              </w:rPr>
              <w:t>凡高空作业人员必须身体健康，精神饱满，严禁酒后作业、疲劳作业。</w:t>
            </w:r>
          </w:p>
        </w:tc>
        <w:tc>
          <w:tcPr>
            <w:tcW w:w="686" w:type="pct"/>
            <w:vAlign w:val="center"/>
          </w:tcPr>
          <w:p w14:paraId="3A475BC6">
            <w:pPr>
              <w:tabs>
                <w:tab w:val="left" w:pos="8100"/>
              </w:tabs>
              <w:spacing w:line="240" w:lineRule="auto"/>
              <w:rPr>
                <w:rFonts w:cs="Times New Roman"/>
                <w:szCs w:val="24"/>
              </w:rPr>
            </w:pPr>
            <w:r>
              <w:rPr>
                <w:rFonts w:cs="Times New Roman"/>
                <w:szCs w:val="24"/>
              </w:rPr>
              <w:t>施工工长</w:t>
            </w:r>
          </w:p>
        </w:tc>
        <w:tc>
          <w:tcPr>
            <w:tcW w:w="669" w:type="pct"/>
            <w:vAlign w:val="center"/>
          </w:tcPr>
          <w:p w14:paraId="25D1D34D">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31F0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1F21B045">
            <w:pPr>
              <w:tabs>
                <w:tab w:val="left" w:pos="8100"/>
              </w:tabs>
              <w:spacing w:line="240" w:lineRule="auto"/>
              <w:rPr>
                <w:rFonts w:cs="Times New Roman"/>
                <w:szCs w:val="24"/>
              </w:rPr>
            </w:pPr>
          </w:p>
        </w:tc>
        <w:tc>
          <w:tcPr>
            <w:tcW w:w="606" w:type="pct"/>
            <w:vMerge w:val="continue"/>
            <w:vAlign w:val="center"/>
          </w:tcPr>
          <w:p w14:paraId="4889E326">
            <w:pPr>
              <w:tabs>
                <w:tab w:val="left" w:pos="8100"/>
              </w:tabs>
              <w:spacing w:line="240" w:lineRule="auto"/>
              <w:rPr>
                <w:rFonts w:cs="Times New Roman"/>
                <w:szCs w:val="24"/>
              </w:rPr>
            </w:pPr>
          </w:p>
        </w:tc>
        <w:tc>
          <w:tcPr>
            <w:tcW w:w="2357" w:type="pct"/>
            <w:vAlign w:val="center"/>
          </w:tcPr>
          <w:p w14:paraId="57FA9704">
            <w:pPr>
              <w:tabs>
                <w:tab w:val="left" w:pos="8100"/>
              </w:tabs>
              <w:spacing w:line="240" w:lineRule="auto"/>
              <w:rPr>
                <w:rFonts w:cs="Times New Roman"/>
                <w:szCs w:val="24"/>
              </w:rPr>
            </w:pPr>
            <w:r>
              <w:rPr>
                <w:rFonts w:cs="Times New Roman"/>
                <w:szCs w:val="24"/>
              </w:rPr>
              <w:t>安拆人员必须正确使用规定的安全防护用具（安全帽、安全带、劳保鞋），并正确佩带。</w:t>
            </w:r>
          </w:p>
        </w:tc>
        <w:tc>
          <w:tcPr>
            <w:tcW w:w="686" w:type="pct"/>
            <w:vAlign w:val="center"/>
          </w:tcPr>
          <w:p w14:paraId="272FE7C0">
            <w:pPr>
              <w:tabs>
                <w:tab w:val="left" w:pos="8100"/>
              </w:tabs>
              <w:spacing w:line="240" w:lineRule="auto"/>
              <w:rPr>
                <w:rFonts w:cs="Times New Roman"/>
                <w:szCs w:val="24"/>
              </w:rPr>
            </w:pPr>
            <w:r>
              <w:rPr>
                <w:rFonts w:cs="Times New Roman"/>
                <w:szCs w:val="24"/>
              </w:rPr>
              <w:t>安全员</w:t>
            </w:r>
          </w:p>
        </w:tc>
        <w:tc>
          <w:tcPr>
            <w:tcW w:w="669" w:type="pct"/>
            <w:vAlign w:val="center"/>
          </w:tcPr>
          <w:p w14:paraId="6EABA145">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2C9E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A0AFC3F">
            <w:pPr>
              <w:tabs>
                <w:tab w:val="left" w:pos="8100"/>
              </w:tabs>
              <w:spacing w:line="240" w:lineRule="auto"/>
              <w:rPr>
                <w:rFonts w:cs="Times New Roman"/>
                <w:szCs w:val="24"/>
              </w:rPr>
            </w:pPr>
          </w:p>
        </w:tc>
        <w:tc>
          <w:tcPr>
            <w:tcW w:w="606" w:type="pct"/>
            <w:vMerge w:val="restart"/>
            <w:vAlign w:val="center"/>
          </w:tcPr>
          <w:p w14:paraId="0D6593B7">
            <w:pPr>
              <w:tabs>
                <w:tab w:val="left" w:pos="8100"/>
              </w:tabs>
              <w:spacing w:line="240" w:lineRule="auto"/>
              <w:rPr>
                <w:rFonts w:cs="Times New Roman"/>
                <w:szCs w:val="24"/>
              </w:rPr>
            </w:pPr>
            <w:r>
              <w:rPr>
                <w:rFonts w:cs="Times New Roman"/>
                <w:szCs w:val="24"/>
              </w:rPr>
              <w:t>高空落物</w:t>
            </w:r>
          </w:p>
        </w:tc>
        <w:tc>
          <w:tcPr>
            <w:tcW w:w="2357" w:type="pct"/>
            <w:vAlign w:val="center"/>
          </w:tcPr>
          <w:p w14:paraId="0B8BB746">
            <w:pPr>
              <w:tabs>
                <w:tab w:val="left" w:pos="8100"/>
              </w:tabs>
              <w:spacing w:line="240" w:lineRule="auto"/>
              <w:rPr>
                <w:rFonts w:cs="Times New Roman"/>
                <w:szCs w:val="24"/>
              </w:rPr>
            </w:pPr>
            <w:r>
              <w:rPr>
                <w:rFonts w:cs="Times New Roman"/>
                <w:szCs w:val="24"/>
              </w:rPr>
              <w:t>作业时所有工具和连接件须系挂在身上或放到工具袋内，严防物品坠落，严禁向下抛掷</w:t>
            </w:r>
          </w:p>
        </w:tc>
        <w:tc>
          <w:tcPr>
            <w:tcW w:w="686" w:type="pct"/>
            <w:vAlign w:val="center"/>
          </w:tcPr>
          <w:p w14:paraId="78E2BDAA">
            <w:pPr>
              <w:tabs>
                <w:tab w:val="left" w:pos="8100"/>
              </w:tabs>
              <w:spacing w:line="240" w:lineRule="auto"/>
              <w:rPr>
                <w:rFonts w:cs="Times New Roman"/>
                <w:szCs w:val="24"/>
              </w:rPr>
            </w:pPr>
            <w:r>
              <w:rPr>
                <w:rFonts w:cs="Times New Roman"/>
                <w:szCs w:val="24"/>
              </w:rPr>
              <w:t>施工工长</w:t>
            </w:r>
          </w:p>
        </w:tc>
        <w:tc>
          <w:tcPr>
            <w:tcW w:w="669" w:type="pct"/>
            <w:vAlign w:val="center"/>
          </w:tcPr>
          <w:p w14:paraId="76DE0F9A">
            <w:pPr>
              <w:tabs>
                <w:tab w:val="left" w:pos="8100"/>
              </w:tabs>
              <w:spacing w:line="240" w:lineRule="auto"/>
              <w:rPr>
                <w:rFonts w:cs="Times New Roman"/>
                <w:szCs w:val="24"/>
              </w:rPr>
            </w:pPr>
            <w:r>
              <w:rPr>
                <w:rFonts w:hint="eastAsia" w:cs="Times New Roman"/>
                <w:szCs w:val="24"/>
                <w:lang w:val="en-US" w:eastAsia="zh-CN"/>
              </w:rPr>
              <w:t>安拆</w:t>
            </w:r>
            <w:r>
              <w:rPr>
                <w:rFonts w:cs="Times New Roman"/>
                <w:szCs w:val="24"/>
              </w:rPr>
              <w:t>期间</w:t>
            </w:r>
          </w:p>
        </w:tc>
      </w:tr>
      <w:tr w14:paraId="06A9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5EF33F2C">
            <w:pPr>
              <w:tabs>
                <w:tab w:val="left" w:pos="8100"/>
              </w:tabs>
              <w:spacing w:line="240" w:lineRule="auto"/>
              <w:rPr>
                <w:rFonts w:cs="Times New Roman"/>
                <w:szCs w:val="24"/>
              </w:rPr>
            </w:pPr>
          </w:p>
        </w:tc>
        <w:tc>
          <w:tcPr>
            <w:tcW w:w="606" w:type="pct"/>
            <w:vMerge w:val="continue"/>
            <w:vAlign w:val="center"/>
          </w:tcPr>
          <w:p w14:paraId="2F34108B">
            <w:pPr>
              <w:tabs>
                <w:tab w:val="left" w:pos="8100"/>
              </w:tabs>
              <w:spacing w:line="240" w:lineRule="auto"/>
              <w:rPr>
                <w:rFonts w:cs="Times New Roman"/>
                <w:szCs w:val="24"/>
              </w:rPr>
            </w:pPr>
          </w:p>
        </w:tc>
        <w:tc>
          <w:tcPr>
            <w:tcW w:w="2357" w:type="pct"/>
            <w:vAlign w:val="center"/>
          </w:tcPr>
          <w:p w14:paraId="631211B5">
            <w:pPr>
              <w:tabs>
                <w:tab w:val="left" w:pos="8100"/>
              </w:tabs>
              <w:spacing w:line="240" w:lineRule="auto"/>
              <w:rPr>
                <w:rFonts w:cs="Times New Roman"/>
                <w:szCs w:val="24"/>
              </w:rPr>
            </w:pPr>
            <w:r>
              <w:rPr>
                <w:rFonts w:cs="Times New Roman"/>
                <w:szCs w:val="24"/>
              </w:rPr>
              <w:t>配备常用救急药箱</w:t>
            </w:r>
          </w:p>
        </w:tc>
        <w:tc>
          <w:tcPr>
            <w:tcW w:w="686" w:type="pct"/>
            <w:vAlign w:val="center"/>
          </w:tcPr>
          <w:p w14:paraId="424A405E">
            <w:pPr>
              <w:tabs>
                <w:tab w:val="left" w:pos="8100"/>
              </w:tabs>
              <w:spacing w:line="240" w:lineRule="auto"/>
              <w:jc w:val="center"/>
              <w:rPr>
                <w:rFonts w:cs="Times New Roman"/>
                <w:szCs w:val="24"/>
              </w:rPr>
            </w:pPr>
            <w:r>
              <w:rPr>
                <w:rFonts w:cs="Times New Roman"/>
                <w:szCs w:val="24"/>
              </w:rPr>
              <w:t>施工工长</w:t>
            </w:r>
          </w:p>
        </w:tc>
        <w:tc>
          <w:tcPr>
            <w:tcW w:w="669" w:type="pct"/>
            <w:vAlign w:val="center"/>
          </w:tcPr>
          <w:p w14:paraId="06515409">
            <w:pPr>
              <w:tabs>
                <w:tab w:val="left" w:pos="8100"/>
              </w:tabs>
              <w:spacing w:line="240" w:lineRule="auto"/>
              <w:jc w:val="center"/>
              <w:rPr>
                <w:rFonts w:cs="Times New Roman"/>
                <w:szCs w:val="24"/>
              </w:rPr>
            </w:pPr>
            <w:r>
              <w:rPr>
                <w:rFonts w:hint="eastAsia" w:cs="Times New Roman"/>
                <w:szCs w:val="24"/>
                <w:lang w:val="en-US" w:eastAsia="zh-CN"/>
              </w:rPr>
              <w:t>安拆</w:t>
            </w:r>
            <w:r>
              <w:rPr>
                <w:rFonts w:cs="Times New Roman"/>
                <w:szCs w:val="24"/>
              </w:rPr>
              <w:t>期间</w:t>
            </w:r>
          </w:p>
        </w:tc>
      </w:tr>
      <w:tr w14:paraId="1D85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46DAC219">
            <w:pPr>
              <w:tabs>
                <w:tab w:val="left" w:pos="8100"/>
              </w:tabs>
              <w:spacing w:line="240" w:lineRule="auto"/>
              <w:rPr>
                <w:rFonts w:cs="Times New Roman"/>
                <w:szCs w:val="24"/>
              </w:rPr>
            </w:pPr>
          </w:p>
        </w:tc>
        <w:tc>
          <w:tcPr>
            <w:tcW w:w="606" w:type="pct"/>
            <w:vAlign w:val="center"/>
          </w:tcPr>
          <w:p w14:paraId="0A793E7F">
            <w:pPr>
              <w:tabs>
                <w:tab w:val="left" w:pos="8100"/>
              </w:tabs>
              <w:spacing w:line="240" w:lineRule="auto"/>
              <w:rPr>
                <w:rFonts w:cs="Times New Roman"/>
                <w:szCs w:val="24"/>
              </w:rPr>
            </w:pPr>
            <w:r>
              <w:rPr>
                <w:rFonts w:cs="Times New Roman"/>
                <w:szCs w:val="24"/>
              </w:rPr>
              <w:t>物体打击、机械伤害</w:t>
            </w:r>
          </w:p>
        </w:tc>
        <w:tc>
          <w:tcPr>
            <w:tcW w:w="2357" w:type="pct"/>
            <w:vAlign w:val="center"/>
          </w:tcPr>
          <w:p w14:paraId="0E2520D6">
            <w:pPr>
              <w:tabs>
                <w:tab w:val="left" w:pos="8100"/>
              </w:tabs>
              <w:spacing w:line="240" w:lineRule="auto"/>
              <w:rPr>
                <w:rFonts w:cs="Times New Roman"/>
                <w:szCs w:val="24"/>
              </w:rPr>
            </w:pPr>
            <w:r>
              <w:rPr>
                <w:rFonts w:cs="Times New Roman"/>
                <w:szCs w:val="24"/>
              </w:rPr>
              <w:t>施工负责人对</w:t>
            </w:r>
            <w:r>
              <w:rPr>
                <w:rFonts w:hint="eastAsia" w:cs="Times New Roman"/>
                <w:szCs w:val="24"/>
                <w:lang w:val="en-US" w:eastAsia="zh-CN"/>
              </w:rPr>
              <w:t>安拆</w:t>
            </w:r>
            <w:r>
              <w:rPr>
                <w:rFonts w:cs="Times New Roman"/>
                <w:szCs w:val="24"/>
              </w:rPr>
              <w:t>过程进行检查，及时制止并纠正违章操作行为，防止事故发生。</w:t>
            </w:r>
          </w:p>
        </w:tc>
        <w:tc>
          <w:tcPr>
            <w:tcW w:w="686" w:type="pct"/>
            <w:vAlign w:val="center"/>
          </w:tcPr>
          <w:p w14:paraId="4BFC5802">
            <w:pPr>
              <w:tabs>
                <w:tab w:val="left" w:pos="8100"/>
              </w:tabs>
              <w:spacing w:line="240" w:lineRule="auto"/>
              <w:jc w:val="center"/>
              <w:rPr>
                <w:rFonts w:cs="Times New Roman"/>
                <w:szCs w:val="24"/>
              </w:rPr>
            </w:pPr>
            <w:r>
              <w:rPr>
                <w:rFonts w:cs="Times New Roman"/>
                <w:szCs w:val="24"/>
              </w:rPr>
              <w:t>施工工长</w:t>
            </w:r>
          </w:p>
          <w:p w14:paraId="05C4A081">
            <w:pPr>
              <w:tabs>
                <w:tab w:val="left" w:pos="8100"/>
              </w:tabs>
              <w:spacing w:line="240" w:lineRule="auto"/>
              <w:jc w:val="center"/>
              <w:rPr>
                <w:rFonts w:cs="Times New Roman"/>
                <w:szCs w:val="24"/>
              </w:rPr>
            </w:pPr>
            <w:r>
              <w:rPr>
                <w:rFonts w:cs="Times New Roman"/>
                <w:szCs w:val="24"/>
              </w:rPr>
              <w:t>安全员</w:t>
            </w:r>
          </w:p>
        </w:tc>
        <w:tc>
          <w:tcPr>
            <w:tcW w:w="669" w:type="pct"/>
            <w:vAlign w:val="center"/>
          </w:tcPr>
          <w:p w14:paraId="63C24C81">
            <w:pPr>
              <w:tabs>
                <w:tab w:val="left" w:pos="8100"/>
              </w:tabs>
              <w:spacing w:line="240" w:lineRule="auto"/>
              <w:jc w:val="center"/>
              <w:rPr>
                <w:rFonts w:cs="Times New Roman"/>
                <w:szCs w:val="24"/>
              </w:rPr>
            </w:pPr>
            <w:r>
              <w:rPr>
                <w:rFonts w:hint="eastAsia" w:cs="Times New Roman"/>
                <w:szCs w:val="24"/>
                <w:lang w:val="en-US" w:eastAsia="zh-CN"/>
              </w:rPr>
              <w:t>安拆</w:t>
            </w:r>
            <w:r>
              <w:rPr>
                <w:rFonts w:cs="Times New Roman"/>
                <w:szCs w:val="24"/>
              </w:rPr>
              <w:t>期间</w:t>
            </w:r>
          </w:p>
        </w:tc>
      </w:tr>
      <w:tr w14:paraId="04DD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8DB0114">
            <w:pPr>
              <w:tabs>
                <w:tab w:val="left" w:pos="8100"/>
              </w:tabs>
              <w:spacing w:line="240" w:lineRule="auto"/>
              <w:rPr>
                <w:rFonts w:cs="Times New Roman"/>
                <w:szCs w:val="24"/>
              </w:rPr>
            </w:pPr>
          </w:p>
        </w:tc>
        <w:tc>
          <w:tcPr>
            <w:tcW w:w="606" w:type="pct"/>
            <w:vAlign w:val="center"/>
          </w:tcPr>
          <w:p w14:paraId="413CE56F">
            <w:pPr>
              <w:tabs>
                <w:tab w:val="left" w:pos="8100"/>
              </w:tabs>
              <w:spacing w:line="240" w:lineRule="auto"/>
              <w:rPr>
                <w:rFonts w:cs="Times New Roman"/>
                <w:szCs w:val="24"/>
              </w:rPr>
            </w:pPr>
          </w:p>
        </w:tc>
        <w:tc>
          <w:tcPr>
            <w:tcW w:w="2357" w:type="pct"/>
            <w:vAlign w:val="center"/>
          </w:tcPr>
          <w:p w14:paraId="0A106FC3">
            <w:pPr>
              <w:tabs>
                <w:tab w:val="left" w:pos="8100"/>
              </w:tabs>
              <w:spacing w:line="240" w:lineRule="auto"/>
              <w:rPr>
                <w:rFonts w:cs="Times New Roman"/>
                <w:szCs w:val="24"/>
              </w:rPr>
            </w:pPr>
            <w:r>
              <w:rPr>
                <w:rFonts w:cs="Times New Roman"/>
                <w:szCs w:val="24"/>
              </w:rPr>
              <w:t>4级大风以上禁止</w:t>
            </w:r>
            <w:r>
              <w:rPr>
                <w:rFonts w:hint="eastAsia" w:cs="Times New Roman"/>
                <w:szCs w:val="24"/>
                <w:lang w:val="en-US" w:eastAsia="zh-CN"/>
              </w:rPr>
              <w:t>安拆</w:t>
            </w:r>
            <w:r>
              <w:rPr>
                <w:rFonts w:cs="Times New Roman"/>
                <w:szCs w:val="24"/>
              </w:rPr>
              <w:t>作业；</w:t>
            </w:r>
          </w:p>
        </w:tc>
        <w:tc>
          <w:tcPr>
            <w:tcW w:w="686" w:type="pct"/>
            <w:vAlign w:val="center"/>
          </w:tcPr>
          <w:p w14:paraId="429C21C7">
            <w:pPr>
              <w:tabs>
                <w:tab w:val="left" w:pos="8100"/>
              </w:tabs>
              <w:spacing w:line="240" w:lineRule="auto"/>
              <w:jc w:val="center"/>
              <w:rPr>
                <w:rFonts w:cs="Times New Roman"/>
                <w:szCs w:val="24"/>
              </w:rPr>
            </w:pPr>
            <w:r>
              <w:rPr>
                <w:rFonts w:cs="Times New Roman"/>
                <w:szCs w:val="24"/>
              </w:rPr>
              <w:t>项目经理</w:t>
            </w:r>
          </w:p>
        </w:tc>
        <w:tc>
          <w:tcPr>
            <w:tcW w:w="669" w:type="pct"/>
            <w:vAlign w:val="center"/>
          </w:tcPr>
          <w:p w14:paraId="4C3E4D34">
            <w:pPr>
              <w:tabs>
                <w:tab w:val="left" w:pos="8100"/>
              </w:tabs>
              <w:spacing w:line="240" w:lineRule="auto"/>
              <w:jc w:val="center"/>
              <w:rPr>
                <w:rFonts w:cs="Times New Roman"/>
                <w:szCs w:val="24"/>
              </w:rPr>
            </w:pPr>
            <w:r>
              <w:rPr>
                <w:rFonts w:hint="eastAsia" w:cs="Times New Roman"/>
                <w:szCs w:val="24"/>
                <w:lang w:val="en-US" w:eastAsia="zh-CN"/>
              </w:rPr>
              <w:t>安拆</w:t>
            </w:r>
            <w:r>
              <w:rPr>
                <w:rFonts w:cs="Times New Roman"/>
                <w:szCs w:val="24"/>
              </w:rPr>
              <w:t>前</w:t>
            </w:r>
          </w:p>
        </w:tc>
      </w:tr>
      <w:tr w14:paraId="0DC0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pct"/>
            <w:vMerge w:val="continue"/>
            <w:vAlign w:val="center"/>
          </w:tcPr>
          <w:p w14:paraId="65B363E4">
            <w:pPr>
              <w:tabs>
                <w:tab w:val="left" w:pos="8100"/>
              </w:tabs>
              <w:spacing w:line="240" w:lineRule="auto"/>
              <w:rPr>
                <w:rFonts w:cs="Times New Roman"/>
                <w:szCs w:val="24"/>
              </w:rPr>
            </w:pPr>
          </w:p>
        </w:tc>
        <w:tc>
          <w:tcPr>
            <w:tcW w:w="606" w:type="pct"/>
            <w:vAlign w:val="center"/>
          </w:tcPr>
          <w:p w14:paraId="28110CBF">
            <w:pPr>
              <w:tabs>
                <w:tab w:val="left" w:pos="8100"/>
              </w:tabs>
              <w:spacing w:line="240" w:lineRule="auto"/>
              <w:rPr>
                <w:rFonts w:cs="Times New Roman"/>
                <w:szCs w:val="24"/>
              </w:rPr>
            </w:pPr>
            <w:r>
              <w:rPr>
                <w:rFonts w:cs="Times New Roman"/>
                <w:szCs w:val="24"/>
              </w:rPr>
              <w:t>火灾</w:t>
            </w:r>
          </w:p>
        </w:tc>
        <w:tc>
          <w:tcPr>
            <w:tcW w:w="2357" w:type="pct"/>
            <w:vAlign w:val="center"/>
          </w:tcPr>
          <w:p w14:paraId="54AFF25F">
            <w:pPr>
              <w:tabs>
                <w:tab w:val="left" w:pos="8100"/>
              </w:tabs>
              <w:spacing w:line="240" w:lineRule="auto"/>
              <w:rPr>
                <w:rFonts w:cs="Times New Roman"/>
                <w:szCs w:val="24"/>
              </w:rPr>
            </w:pPr>
            <w:r>
              <w:rPr>
                <w:rFonts w:cs="Times New Roman"/>
                <w:szCs w:val="24"/>
              </w:rPr>
              <w:t>驾驶室配备灭火器、对讲机</w:t>
            </w:r>
          </w:p>
        </w:tc>
        <w:tc>
          <w:tcPr>
            <w:tcW w:w="686" w:type="pct"/>
            <w:vAlign w:val="center"/>
          </w:tcPr>
          <w:p w14:paraId="331D377A">
            <w:pPr>
              <w:tabs>
                <w:tab w:val="left" w:pos="8100"/>
              </w:tabs>
              <w:spacing w:line="240" w:lineRule="auto"/>
              <w:jc w:val="center"/>
              <w:rPr>
                <w:rFonts w:cs="Times New Roman"/>
                <w:szCs w:val="24"/>
              </w:rPr>
            </w:pPr>
            <w:r>
              <w:rPr>
                <w:rFonts w:cs="Times New Roman"/>
                <w:szCs w:val="24"/>
              </w:rPr>
              <w:t>施工工长</w:t>
            </w:r>
          </w:p>
        </w:tc>
        <w:tc>
          <w:tcPr>
            <w:tcW w:w="669" w:type="pct"/>
            <w:vAlign w:val="center"/>
          </w:tcPr>
          <w:p w14:paraId="186ABFB9">
            <w:pPr>
              <w:tabs>
                <w:tab w:val="left" w:pos="8100"/>
              </w:tabs>
              <w:spacing w:line="240" w:lineRule="auto"/>
              <w:jc w:val="center"/>
              <w:rPr>
                <w:rFonts w:cs="Times New Roman"/>
                <w:szCs w:val="24"/>
              </w:rPr>
            </w:pPr>
            <w:r>
              <w:rPr>
                <w:rFonts w:hint="eastAsia" w:cs="Times New Roman"/>
                <w:szCs w:val="24"/>
                <w:lang w:val="en-US" w:eastAsia="zh-CN"/>
              </w:rPr>
              <w:t>安拆</w:t>
            </w:r>
            <w:r>
              <w:rPr>
                <w:rFonts w:cs="Times New Roman"/>
                <w:szCs w:val="24"/>
              </w:rPr>
              <w:t>期间</w:t>
            </w:r>
          </w:p>
        </w:tc>
      </w:tr>
    </w:tbl>
    <w:p w14:paraId="11653F8B">
      <w:pPr>
        <w:pStyle w:val="5"/>
        <w:numPr>
          <w:ilvl w:val="0"/>
          <w:numId w:val="47"/>
        </w:numPr>
        <w:ind w:left="425" w:leftChars="0" w:hanging="425" w:firstLineChars="0"/>
        <w:rPr>
          <w:rFonts w:cs="Times New Roman"/>
        </w:rPr>
      </w:pPr>
      <w:bookmarkStart w:id="117" w:name="_Toc15958"/>
      <w:r>
        <w:rPr>
          <w:rFonts w:cs="Times New Roman"/>
        </w:rPr>
        <w:t>安全规程</w:t>
      </w:r>
      <w:bookmarkEnd w:id="117"/>
    </w:p>
    <w:p w14:paraId="43C33F71">
      <w:pPr>
        <w:ind w:left="17" w:leftChars="7" w:right="-105" w:firstLine="549" w:firstLineChars="229"/>
        <w:rPr>
          <w:rFonts w:cs="Times New Roman"/>
          <w:szCs w:val="28"/>
        </w:rPr>
      </w:pPr>
      <w:r>
        <w:rPr>
          <w:rFonts w:cs="Times New Roman"/>
          <w:szCs w:val="28"/>
        </w:rPr>
        <w:t>在作业前，必须将</w:t>
      </w:r>
      <w:r>
        <w:rPr>
          <w:rFonts w:hint="eastAsia" w:cs="Times New Roman"/>
          <w:szCs w:val="28"/>
          <w:lang w:eastAsia="zh-CN"/>
        </w:rPr>
        <w:t>塔机</w:t>
      </w:r>
      <w:r>
        <w:rPr>
          <w:rFonts w:hint="eastAsia" w:cs="Times New Roman"/>
          <w:szCs w:val="24"/>
          <w:lang w:val="en-US" w:eastAsia="zh-CN"/>
        </w:rPr>
        <w:t>安拆</w:t>
      </w:r>
      <w:r>
        <w:rPr>
          <w:rFonts w:cs="Times New Roman"/>
          <w:szCs w:val="28"/>
        </w:rPr>
        <w:t>技术交底落实到位，确保项目管理人员、现场班组长、劳务人员都对整个</w:t>
      </w:r>
      <w:r>
        <w:rPr>
          <w:rFonts w:hint="eastAsia" w:cs="Times New Roman"/>
          <w:szCs w:val="28"/>
          <w:lang w:eastAsia="zh-CN"/>
        </w:rPr>
        <w:t>塔机</w:t>
      </w:r>
      <w:r>
        <w:rPr>
          <w:rFonts w:hint="eastAsia" w:cs="Times New Roman"/>
          <w:szCs w:val="24"/>
          <w:lang w:val="en-US" w:eastAsia="zh-CN"/>
        </w:rPr>
        <w:t>安拆</w:t>
      </w:r>
      <w:r>
        <w:rPr>
          <w:rFonts w:cs="Times New Roman"/>
          <w:szCs w:val="28"/>
        </w:rPr>
        <w:t>的流程掌握；</w:t>
      </w:r>
    </w:p>
    <w:p w14:paraId="361754E5">
      <w:pPr>
        <w:ind w:left="17" w:leftChars="7" w:right="-105" w:firstLine="549" w:firstLineChars="229"/>
        <w:rPr>
          <w:rFonts w:cs="Times New Roman"/>
          <w:szCs w:val="28"/>
        </w:rPr>
      </w:pPr>
      <w:r>
        <w:rPr>
          <w:rFonts w:cs="Times New Roman"/>
        </w:rPr>
        <w:t>施工前应对吊装绳索、吊装工具、机械、钢丝绳等作全面检查</w:t>
      </w:r>
    </w:p>
    <w:p w14:paraId="69528EA4">
      <w:pPr>
        <w:ind w:left="17" w:leftChars="7" w:right="-105" w:firstLine="549" w:firstLineChars="229"/>
        <w:rPr>
          <w:rFonts w:cs="Times New Roman"/>
          <w:szCs w:val="28"/>
        </w:rPr>
      </w:pPr>
      <w:r>
        <w:rPr>
          <w:rFonts w:cs="Times New Roman"/>
          <w:szCs w:val="28"/>
        </w:rPr>
        <w:t>所有参加作业人员都必须遵守现场施工的各项安全规范及本工种安全操作规程。</w:t>
      </w:r>
    </w:p>
    <w:p w14:paraId="30A4892A">
      <w:pPr>
        <w:ind w:left="17" w:leftChars="7" w:right="-105" w:firstLine="549" w:firstLineChars="229"/>
        <w:rPr>
          <w:rFonts w:cs="Times New Roman"/>
          <w:szCs w:val="28"/>
        </w:rPr>
      </w:pPr>
      <w:r>
        <w:rPr>
          <w:rFonts w:hint="eastAsia" w:cs="Times New Roman"/>
          <w:szCs w:val="24"/>
          <w:lang w:val="en-US" w:eastAsia="zh-CN"/>
        </w:rPr>
        <w:t>安拆</w:t>
      </w:r>
      <w:r>
        <w:rPr>
          <w:rFonts w:cs="Times New Roman"/>
          <w:szCs w:val="28"/>
        </w:rPr>
        <w:t>单位必须指定一名熟悉该类型</w:t>
      </w:r>
      <w:r>
        <w:rPr>
          <w:rFonts w:hint="eastAsia" w:cs="Times New Roman"/>
          <w:szCs w:val="28"/>
          <w:lang w:eastAsia="zh-CN"/>
        </w:rPr>
        <w:t>塔机</w:t>
      </w:r>
      <w:r>
        <w:rPr>
          <w:rFonts w:cs="Times New Roman"/>
          <w:szCs w:val="28"/>
        </w:rPr>
        <w:t>、经验丰富的工长现场指挥。</w:t>
      </w:r>
      <w:r>
        <w:rPr>
          <w:rFonts w:hint="eastAsia" w:cs="Times New Roman"/>
          <w:szCs w:val="28"/>
          <w:lang w:eastAsia="zh-CN"/>
        </w:rPr>
        <w:t>塔机</w:t>
      </w:r>
      <w:r>
        <w:rPr>
          <w:rFonts w:hint="eastAsia" w:cs="Times New Roman"/>
          <w:szCs w:val="24"/>
          <w:lang w:val="en-US" w:eastAsia="zh-CN"/>
        </w:rPr>
        <w:t>安拆</w:t>
      </w:r>
      <w:r>
        <w:rPr>
          <w:rFonts w:cs="Times New Roman"/>
          <w:szCs w:val="28"/>
        </w:rPr>
        <w:t>前，必须先熟悉现场。</w:t>
      </w:r>
    </w:p>
    <w:p w14:paraId="7F6D5150">
      <w:pPr>
        <w:ind w:left="17" w:leftChars="7" w:right="-105" w:firstLine="480"/>
        <w:rPr>
          <w:rFonts w:cs="Times New Roman"/>
          <w:szCs w:val="28"/>
        </w:rPr>
      </w:pPr>
      <w:r>
        <w:rPr>
          <w:rFonts w:hint="eastAsia" w:cs="Times New Roman"/>
          <w:szCs w:val="28"/>
          <w:lang w:eastAsia="zh-CN"/>
        </w:rPr>
        <w:t>塔机</w:t>
      </w:r>
      <w:r>
        <w:rPr>
          <w:rFonts w:cs="Times New Roman"/>
          <w:szCs w:val="28"/>
        </w:rPr>
        <w:t>司机、</w:t>
      </w:r>
      <w:r>
        <w:rPr>
          <w:rFonts w:hint="eastAsia" w:cs="Times New Roman"/>
          <w:szCs w:val="28"/>
          <w:lang w:eastAsia="zh-CN"/>
        </w:rPr>
        <w:t>塔机</w:t>
      </w:r>
      <w:r>
        <w:rPr>
          <w:rFonts w:hint="eastAsia" w:cs="Times New Roman"/>
          <w:szCs w:val="24"/>
          <w:lang w:val="en-US" w:eastAsia="zh-CN"/>
        </w:rPr>
        <w:t>安拆</w:t>
      </w:r>
      <w:r>
        <w:rPr>
          <w:rFonts w:cs="Times New Roman"/>
          <w:szCs w:val="28"/>
        </w:rPr>
        <w:t>人员以及</w:t>
      </w:r>
      <w:r>
        <w:rPr>
          <w:rFonts w:hint="eastAsia" w:cs="Times New Roman"/>
          <w:szCs w:val="28"/>
          <w:lang w:eastAsia="zh-CN"/>
        </w:rPr>
        <w:t>塔机</w:t>
      </w:r>
      <w:r>
        <w:rPr>
          <w:rFonts w:cs="Times New Roman"/>
          <w:szCs w:val="28"/>
        </w:rPr>
        <w:t>指挥都必须持有当地市级劳动部门签发的特殊工种操作证。</w:t>
      </w:r>
    </w:p>
    <w:p w14:paraId="11A86432">
      <w:pPr>
        <w:ind w:left="17" w:leftChars="7" w:right="-105" w:firstLine="480"/>
        <w:rPr>
          <w:rFonts w:cs="Times New Roman"/>
          <w:szCs w:val="28"/>
        </w:rPr>
      </w:pPr>
      <w:r>
        <w:rPr>
          <w:rFonts w:cs="Times New Roman"/>
          <w:szCs w:val="28"/>
        </w:rPr>
        <w:t>严禁高空落物，严禁在高空抛接工具。</w:t>
      </w:r>
    </w:p>
    <w:p w14:paraId="62388AC9">
      <w:pPr>
        <w:ind w:left="17" w:leftChars="7" w:right="-105" w:firstLine="480"/>
        <w:rPr>
          <w:rFonts w:cs="Times New Roman"/>
          <w:szCs w:val="28"/>
        </w:rPr>
      </w:pPr>
      <w:r>
        <w:rPr>
          <w:rFonts w:cs="Times New Roman"/>
          <w:szCs w:val="28"/>
        </w:rPr>
        <w:t>及时了解天气情况，以便根据当日的天气情况决定是否进行</w:t>
      </w:r>
      <w:r>
        <w:rPr>
          <w:rFonts w:hint="eastAsia" w:cs="Times New Roman"/>
          <w:szCs w:val="28"/>
          <w:lang w:eastAsia="zh-CN"/>
        </w:rPr>
        <w:t>塔机</w:t>
      </w:r>
      <w:r>
        <w:rPr>
          <w:rFonts w:hint="eastAsia" w:cs="Times New Roman"/>
          <w:szCs w:val="24"/>
          <w:lang w:val="en-US" w:eastAsia="zh-CN"/>
        </w:rPr>
        <w:t>安拆</w:t>
      </w:r>
      <w:r>
        <w:rPr>
          <w:rFonts w:cs="Times New Roman"/>
          <w:szCs w:val="28"/>
        </w:rPr>
        <w:t>作业。</w:t>
      </w:r>
      <w:r>
        <w:rPr>
          <w:rFonts w:cs="Times New Roman"/>
        </w:rPr>
        <w:t>顶升作业时，风力不大于四级，在作业中风力突然增大达至四级时，必须立即停止，并紧固上、下塔身各连接螺栓。如遇4级和以上风力或下雨等 恶劣天气应停止高空作业。风雨过后，应对机械重新检查试吊，确认制动器灵敏、可靠后方能恢复作业。</w:t>
      </w:r>
    </w:p>
    <w:p w14:paraId="7F2D1272">
      <w:pPr>
        <w:ind w:left="17" w:leftChars="7" w:right="-105" w:firstLine="480"/>
        <w:rPr>
          <w:rFonts w:cs="Times New Roman"/>
          <w:szCs w:val="28"/>
        </w:rPr>
      </w:pPr>
      <w:r>
        <w:rPr>
          <w:rFonts w:hint="eastAsia" w:cs="Times New Roman"/>
          <w:lang w:eastAsia="zh-CN"/>
        </w:rPr>
        <w:t>塔机</w:t>
      </w:r>
      <w:r>
        <w:rPr>
          <w:rFonts w:hint="eastAsia" w:cs="Times New Roman"/>
          <w:szCs w:val="24"/>
          <w:lang w:val="en-US" w:eastAsia="zh-CN"/>
        </w:rPr>
        <w:t>安拆</w:t>
      </w:r>
      <w:r>
        <w:rPr>
          <w:rFonts w:cs="Times New Roman"/>
        </w:rPr>
        <w:t>作业区布好警戒线，挂起警告牌。</w:t>
      </w:r>
      <w:r>
        <w:rPr>
          <w:rFonts w:cs="Times New Roman"/>
          <w:szCs w:val="28"/>
        </w:rPr>
        <w:t>作业现场必须设置足够大的安全作业区（20米×20米），非</w:t>
      </w:r>
      <w:r>
        <w:rPr>
          <w:rFonts w:hint="eastAsia" w:cs="Times New Roman"/>
          <w:szCs w:val="28"/>
          <w:lang w:eastAsia="zh-CN"/>
        </w:rPr>
        <w:t>塔机</w:t>
      </w:r>
      <w:r>
        <w:rPr>
          <w:rFonts w:hint="eastAsia" w:cs="Times New Roman"/>
          <w:szCs w:val="24"/>
          <w:lang w:val="en-US" w:eastAsia="zh-CN"/>
        </w:rPr>
        <w:t>安拆</w:t>
      </w:r>
      <w:r>
        <w:rPr>
          <w:rFonts w:cs="Times New Roman"/>
          <w:szCs w:val="28"/>
        </w:rPr>
        <w:t>人员严禁入内。</w:t>
      </w:r>
    </w:p>
    <w:p w14:paraId="77F2D173">
      <w:pPr>
        <w:ind w:left="17" w:leftChars="7" w:right="-105" w:firstLine="480"/>
        <w:rPr>
          <w:rFonts w:cs="Times New Roman"/>
          <w:szCs w:val="28"/>
        </w:rPr>
      </w:pPr>
      <w:r>
        <w:rPr>
          <w:rFonts w:hint="eastAsia" w:cs="Times New Roman"/>
          <w:lang w:eastAsia="zh-CN"/>
        </w:rPr>
        <w:t>塔机</w:t>
      </w:r>
      <w:r>
        <w:rPr>
          <w:rFonts w:hint="eastAsia" w:cs="Times New Roman"/>
          <w:szCs w:val="24"/>
          <w:lang w:val="en-US" w:eastAsia="zh-CN"/>
        </w:rPr>
        <w:t>安拆</w:t>
      </w:r>
      <w:r>
        <w:rPr>
          <w:rFonts w:cs="Times New Roman"/>
        </w:rPr>
        <w:t>期间，严禁超载起吊，吊物下禁止站人，以防落物伤人</w:t>
      </w:r>
    </w:p>
    <w:p w14:paraId="79856FC3">
      <w:pPr>
        <w:ind w:left="17" w:leftChars="7" w:right="-105" w:firstLine="480"/>
        <w:rPr>
          <w:rFonts w:cs="Times New Roman"/>
          <w:szCs w:val="28"/>
        </w:rPr>
      </w:pPr>
      <w:r>
        <w:rPr>
          <w:rFonts w:cs="Times New Roman"/>
          <w:szCs w:val="28"/>
        </w:rPr>
        <w:t>操作工人进入施工现场必须统一着装，佩带齐全的安全防护用品，登高作业必须系好安全带。</w:t>
      </w:r>
    </w:p>
    <w:p w14:paraId="37D350DF">
      <w:pPr>
        <w:ind w:left="17" w:leftChars="7" w:right="-105" w:firstLine="480"/>
        <w:rPr>
          <w:rFonts w:cs="Times New Roman"/>
          <w:szCs w:val="28"/>
        </w:rPr>
      </w:pPr>
      <w:r>
        <w:rPr>
          <w:rFonts w:hint="eastAsia" w:cs="Times New Roman"/>
          <w:szCs w:val="28"/>
          <w:lang w:eastAsia="zh-CN"/>
        </w:rPr>
        <w:t>塔机</w:t>
      </w:r>
      <w:r>
        <w:rPr>
          <w:rFonts w:cs="Times New Roman"/>
          <w:szCs w:val="28"/>
        </w:rPr>
        <w:t>在</w:t>
      </w:r>
      <w:r>
        <w:rPr>
          <w:rFonts w:hint="eastAsia" w:cs="Times New Roman"/>
          <w:szCs w:val="24"/>
          <w:lang w:val="en-US" w:eastAsia="zh-CN"/>
        </w:rPr>
        <w:t>安拆</w:t>
      </w:r>
      <w:r>
        <w:rPr>
          <w:rFonts w:cs="Times New Roman"/>
          <w:szCs w:val="28"/>
        </w:rPr>
        <w:t>过程中严禁</w:t>
      </w:r>
      <w:r>
        <w:rPr>
          <w:rFonts w:hint="eastAsia" w:cs="Times New Roman"/>
          <w:szCs w:val="28"/>
          <w:lang w:eastAsia="zh-CN"/>
        </w:rPr>
        <w:t>塔机</w:t>
      </w:r>
      <w:r>
        <w:rPr>
          <w:rFonts w:cs="Times New Roman"/>
          <w:szCs w:val="28"/>
        </w:rPr>
        <w:t>与建筑物间发生碰撞。</w:t>
      </w:r>
    </w:p>
    <w:p w14:paraId="5200E2E3">
      <w:pPr>
        <w:ind w:left="17" w:leftChars="7" w:right="-105" w:firstLine="480"/>
        <w:rPr>
          <w:rFonts w:cs="Times New Roman"/>
        </w:rPr>
      </w:pPr>
      <w:r>
        <w:rPr>
          <w:rFonts w:cs="Times New Roman"/>
        </w:rPr>
        <w:t>不应进行夜间作业。如确需夜间作业的，必须有充足的照明和制订相应的安全作业措施。</w:t>
      </w:r>
    </w:p>
    <w:p w14:paraId="4BE11106">
      <w:pPr>
        <w:ind w:left="17" w:leftChars="7" w:right="-105" w:firstLine="480"/>
        <w:rPr>
          <w:rFonts w:cs="Times New Roman"/>
          <w:szCs w:val="28"/>
        </w:rPr>
      </w:pPr>
      <w:r>
        <w:rPr>
          <w:rFonts w:cs="Times New Roman"/>
          <w:szCs w:val="28"/>
        </w:rPr>
        <w:t>从统一指挥，禁止高空抛物。</w:t>
      </w:r>
    </w:p>
    <w:p w14:paraId="624417F8">
      <w:pPr>
        <w:ind w:left="17" w:leftChars="7" w:right="-105" w:firstLine="480"/>
        <w:rPr>
          <w:rFonts w:cs="Times New Roman"/>
          <w:szCs w:val="28"/>
        </w:rPr>
      </w:pPr>
      <w:r>
        <w:rPr>
          <w:rFonts w:cs="Times New Roman"/>
          <w:szCs w:val="28"/>
        </w:rPr>
        <w:t>注意周围环境、地面承载力的，确保</w:t>
      </w:r>
      <w:r>
        <w:rPr>
          <w:rFonts w:hint="eastAsia" w:cs="Times New Roman"/>
          <w:szCs w:val="24"/>
          <w:lang w:val="en-US" w:eastAsia="zh-CN"/>
        </w:rPr>
        <w:t>安拆</w:t>
      </w:r>
      <w:r>
        <w:rPr>
          <w:rFonts w:cs="Times New Roman"/>
          <w:szCs w:val="28"/>
        </w:rPr>
        <w:t>安全。</w:t>
      </w:r>
    </w:p>
    <w:p w14:paraId="1B4E42C9">
      <w:pPr>
        <w:ind w:left="17" w:leftChars="7" w:right="-105" w:firstLine="480"/>
        <w:rPr>
          <w:rFonts w:cs="Times New Roman"/>
          <w:szCs w:val="28"/>
        </w:rPr>
      </w:pPr>
      <w:r>
        <w:rPr>
          <w:rFonts w:cs="Times New Roman"/>
          <w:szCs w:val="28"/>
        </w:rPr>
        <w:t>安装拆卸塔机派专门人员警戒，严禁无关人员在作业区内穿行。</w:t>
      </w:r>
    </w:p>
    <w:p w14:paraId="686B3FAF">
      <w:pPr>
        <w:pStyle w:val="5"/>
        <w:numPr>
          <w:ilvl w:val="0"/>
          <w:numId w:val="47"/>
        </w:numPr>
        <w:ind w:left="425" w:leftChars="0" w:hanging="425" w:firstLineChars="0"/>
        <w:rPr>
          <w:rFonts w:cs="Times New Roman"/>
        </w:rPr>
      </w:pPr>
      <w:bookmarkStart w:id="118" w:name="_Toc8947"/>
      <w:r>
        <w:rPr>
          <w:rFonts w:cs="Times New Roman"/>
        </w:rPr>
        <w:t>吊装钢丝绳的使用</w:t>
      </w:r>
      <w:bookmarkEnd w:id="118"/>
    </w:p>
    <w:p w14:paraId="6653296D">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钢丝绳不得超负荷使用,不能在冲击载荷下工作,工作时速度应平稳。</w:t>
      </w:r>
    </w:p>
    <w:p w14:paraId="229D839F">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在捆绑或吊运物件时,钢丝绳应避免和物体的尖角棱边直接接触,应在接触处垫以木块、麻布或其他衬垫物。</w:t>
      </w:r>
    </w:p>
    <w:p w14:paraId="05ABD6E9">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严禁钢丝绳与电线接触,以免被打坏或发生触电。靠近高温物体时,要采取隔热措施。</w:t>
      </w:r>
    </w:p>
    <w:p w14:paraId="0B968D8B">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钢丝绳在使用中应避免扭结,一旦扭结，应立即抖直。使用中应尽量减少弯折次数,并尽量避免反向弯折。</w:t>
      </w:r>
    </w:p>
    <w:p w14:paraId="77826CCF">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钢丝绳应防止磨损、腐蚀或其他物理条件、化学条件造成的性能降低。</w:t>
      </w:r>
    </w:p>
    <w:p w14:paraId="7B23A3CC">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使用前要根据使用情况选择合适直径的钢丝绳；在使用过程中，要经常检查其负荷能力及破损情况；使用后及时保养，正确存放。</w:t>
      </w:r>
    </w:p>
    <w:p w14:paraId="1C91D274">
      <w:pPr>
        <w:ind w:left="17" w:leftChars="7" w:right="-105" w:firstLine="549" w:firstLineChars="229"/>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钢丝绳应均匀地涂敷防锈、润滑油脂。钢丝绳表面不应有未涂上油脂的地方。</w:t>
      </w:r>
    </w:p>
    <w:p w14:paraId="07CAADC0">
      <w:pPr>
        <w:pStyle w:val="3"/>
        <w:tabs>
          <w:tab w:val="left" w:pos="-1843"/>
          <w:tab w:val="left" w:pos="0"/>
        </w:tabs>
        <w:ind w:left="562" w:hanging="562"/>
        <w:rPr>
          <w:rFonts w:hint="eastAsia" w:cs="Times New Roman"/>
        </w:rPr>
      </w:pPr>
      <w:bookmarkStart w:id="119" w:name="_Toc22290"/>
      <w:r>
        <w:rPr>
          <w:rFonts w:hint="eastAsia" w:cs="Times New Roman"/>
        </w:rPr>
        <w:t>监测监控</w:t>
      </w:r>
      <w:r>
        <w:rPr>
          <w:rFonts w:cs="Times New Roman"/>
        </w:rPr>
        <w:t>措施</w:t>
      </w:r>
      <w:r>
        <w:rPr>
          <w:rFonts w:hint="eastAsia" w:cs="Times New Roman"/>
          <w:lang w:val="en-US" w:eastAsia="zh-CN"/>
        </w:rPr>
        <w:t>与验收要求</w:t>
      </w:r>
      <w:bookmarkEnd w:id="119"/>
    </w:p>
    <w:p w14:paraId="2DE31121">
      <w:pPr>
        <w:pStyle w:val="5"/>
        <w:keepLines w:val="0"/>
        <w:widowControl/>
        <w:numPr>
          <w:ilvl w:val="0"/>
          <w:numId w:val="50"/>
        </w:numPr>
        <w:ind w:left="425" w:leftChars="0" w:hanging="425" w:firstLineChars="0"/>
        <w:rPr>
          <w:rFonts w:hint="eastAsia" w:cs="Times New Roman"/>
        </w:rPr>
      </w:pPr>
      <w:bookmarkStart w:id="120" w:name="_Toc176686629"/>
      <w:bookmarkStart w:id="121" w:name="_Toc5123"/>
      <w:r>
        <w:rPr>
          <w:rFonts w:hint="eastAsia" w:cs="Times New Roman"/>
        </w:rPr>
        <w:t>监测点的设置</w:t>
      </w:r>
      <w:bookmarkEnd w:id="120"/>
      <w:bookmarkEnd w:id="121"/>
    </w:p>
    <w:p w14:paraId="424B6BB6">
      <w:pPr>
        <w:pStyle w:val="7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rPr>
      </w:pPr>
      <w:r>
        <w:rPr>
          <w:rFonts w:hint="eastAsia"/>
          <w:color w:val="auto"/>
          <w:lang w:val="en-US"/>
        </w:rPr>
        <w:t>塔机</w:t>
      </w:r>
      <w:r>
        <w:rPr>
          <w:rFonts w:hint="eastAsia"/>
          <w:color w:val="auto"/>
          <w:lang w:val="en-US" w:eastAsia="zh-CN"/>
        </w:rPr>
        <w:t>安拆</w:t>
      </w:r>
      <w:r>
        <w:rPr>
          <w:rFonts w:hint="eastAsia"/>
          <w:color w:val="auto"/>
          <w:lang w:val="en-US"/>
        </w:rPr>
        <w:t>过程监测内容：观测塔机</w:t>
      </w:r>
      <w:r>
        <w:rPr>
          <w:rFonts w:hint="eastAsia"/>
          <w:color w:val="auto"/>
          <w:lang w:val="en-US" w:eastAsia="zh-CN"/>
        </w:rPr>
        <w:t>安拆</w:t>
      </w:r>
      <w:r>
        <w:rPr>
          <w:rFonts w:hint="eastAsia"/>
          <w:color w:val="auto"/>
          <w:lang w:val="en-US"/>
        </w:rPr>
        <w:t>辅助吊装汽车吊支腿沉降，监测塔机</w:t>
      </w:r>
      <w:r>
        <w:rPr>
          <w:rFonts w:hint="eastAsia"/>
          <w:color w:val="auto"/>
          <w:lang w:val="en-US" w:eastAsia="zh-CN"/>
        </w:rPr>
        <w:t>安拆</w:t>
      </w:r>
      <w:r>
        <w:rPr>
          <w:rFonts w:hint="eastAsia"/>
          <w:color w:val="auto"/>
          <w:lang w:val="en-US"/>
        </w:rPr>
        <w:t>过程中支腿以及周边承台基础混凝土变化。</w:t>
      </w:r>
    </w:p>
    <w:p w14:paraId="075F4F3C">
      <w:pPr>
        <w:pStyle w:val="5"/>
        <w:keepLines w:val="0"/>
        <w:widowControl/>
        <w:numPr>
          <w:ilvl w:val="0"/>
          <w:numId w:val="50"/>
        </w:numPr>
        <w:ind w:left="425" w:leftChars="0" w:hanging="425" w:firstLineChars="0"/>
        <w:rPr>
          <w:rFonts w:hint="eastAsia" w:cs="Times New Roman"/>
        </w:rPr>
      </w:pPr>
      <w:bookmarkStart w:id="122" w:name="_Toc176686630"/>
      <w:bookmarkStart w:id="123" w:name="_Toc5046"/>
      <w:r>
        <w:rPr>
          <w:rFonts w:hint="eastAsia" w:cs="Times New Roman"/>
        </w:rPr>
        <w:t>监测仪器、设备和人员的配备</w:t>
      </w:r>
      <w:bookmarkEnd w:id="122"/>
      <w:bookmarkEnd w:id="123"/>
    </w:p>
    <w:p w14:paraId="7CD5F61A">
      <w:pPr>
        <w:pStyle w:val="7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rPr>
      </w:pPr>
      <w:r>
        <w:rPr>
          <w:rFonts w:hint="eastAsia"/>
          <w:color w:val="auto"/>
          <w:lang w:val="en-US"/>
        </w:rPr>
        <w:t>塔机</w:t>
      </w:r>
      <w:r>
        <w:rPr>
          <w:rFonts w:hint="eastAsia" w:cs="Times New Roman"/>
          <w:szCs w:val="24"/>
          <w:lang w:val="en-US" w:eastAsia="zh-CN"/>
        </w:rPr>
        <w:t>安拆</w:t>
      </w:r>
      <w:r>
        <w:rPr>
          <w:rFonts w:hint="eastAsia"/>
          <w:color w:val="auto"/>
          <w:lang w:val="en-US"/>
        </w:rPr>
        <w:t>过程监测时应配置水准仪和标尺，由</w:t>
      </w:r>
      <w:r>
        <w:rPr>
          <w:rFonts w:hint="eastAsia" w:cs="Times New Roman"/>
          <w:szCs w:val="24"/>
          <w:lang w:val="en-US" w:eastAsia="zh-CN"/>
        </w:rPr>
        <w:t>安拆</w:t>
      </w:r>
      <w:r>
        <w:rPr>
          <w:rFonts w:hint="eastAsia"/>
          <w:color w:val="auto"/>
          <w:lang w:val="en-US"/>
        </w:rPr>
        <w:t>单位现场负责人以及专职安全员进行观测。</w:t>
      </w:r>
    </w:p>
    <w:p w14:paraId="3CDC835C">
      <w:pPr>
        <w:pStyle w:val="5"/>
        <w:keepLines w:val="0"/>
        <w:widowControl/>
        <w:numPr>
          <w:ilvl w:val="0"/>
          <w:numId w:val="50"/>
        </w:numPr>
        <w:ind w:left="425" w:leftChars="0" w:hanging="425" w:firstLineChars="0"/>
        <w:rPr>
          <w:rFonts w:hint="eastAsia" w:cs="Times New Roman"/>
        </w:rPr>
      </w:pPr>
      <w:bookmarkStart w:id="124" w:name="_Toc176686631"/>
      <w:bookmarkStart w:id="125" w:name="_Toc27066"/>
      <w:r>
        <w:rPr>
          <w:rFonts w:hint="eastAsia" w:cs="Times New Roman"/>
        </w:rPr>
        <w:t>监测方式、方法、频率、信息反馈</w:t>
      </w:r>
      <w:bookmarkEnd w:id="124"/>
      <w:bookmarkEnd w:id="125"/>
    </w:p>
    <w:p w14:paraId="6F124BE1">
      <w:pPr>
        <w:pStyle w:val="7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rPr>
      </w:pPr>
      <w:r>
        <w:rPr>
          <w:rFonts w:hint="eastAsia"/>
          <w:color w:val="auto"/>
          <w:lang w:val="en-US"/>
        </w:rPr>
        <w:t>塔机</w:t>
      </w:r>
      <w:r>
        <w:rPr>
          <w:rFonts w:hint="eastAsia"/>
          <w:color w:val="auto"/>
          <w:lang w:val="en-US" w:eastAsia="zh-CN"/>
        </w:rPr>
        <w:t>安拆</w:t>
      </w:r>
      <w:r>
        <w:rPr>
          <w:rFonts w:hint="eastAsia"/>
          <w:color w:val="auto"/>
          <w:lang w:val="en-US"/>
        </w:rPr>
        <w:t>过程监测：在汽车吊支腿垫板处树立标尺，监测支腿垫板变化，汽车吊起重臂下方支腿下降5mm、后方支腿无变化、吊物未离地时，需提示现场负责人，并持续观察是否继续加剧下沉；当下方支腿达到8mm时，后方支腿无变化、吊物未离地时，需提示现场负责人注意警戒；当下方支腿达到15mm时，后方支腿无变化、吊物未离地时，需警示现场负责人停止作业，补强地基承载力；当后方支腿有上升值、吊物未离地时，需警示现场负责人停止作业。</w:t>
      </w:r>
    </w:p>
    <w:p w14:paraId="67770E3A">
      <w:pPr>
        <w:pStyle w:val="5"/>
        <w:keepLines w:val="0"/>
        <w:widowControl/>
        <w:numPr>
          <w:ilvl w:val="0"/>
          <w:numId w:val="50"/>
        </w:numPr>
        <w:ind w:left="425" w:leftChars="0" w:hanging="425" w:firstLineChars="0"/>
        <w:rPr>
          <w:rFonts w:hint="default" w:cs="Times New Roman" w:eastAsiaTheme="majorEastAsia"/>
          <w:lang w:val="en-US" w:eastAsia="zh-CN"/>
        </w:rPr>
      </w:pPr>
      <w:bookmarkStart w:id="126" w:name="_Toc15943"/>
      <w:r>
        <w:rPr>
          <w:rFonts w:hint="eastAsia" w:cs="Times New Roman"/>
          <w:lang w:val="en-US" w:eastAsia="zh-CN"/>
        </w:rPr>
        <w:t>验收表格</w:t>
      </w:r>
      <w:bookmarkEnd w:id="126"/>
    </w:p>
    <w:tbl>
      <w:tblPr>
        <w:tblStyle w:val="30"/>
        <w:tblpPr w:leftFromText="180" w:rightFromText="180" w:vertAnchor="text" w:horzAnchor="page" w:tblpX="1821" w:tblpY="621"/>
        <w:tblOverlap w:val="never"/>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53"/>
        <w:gridCol w:w="4666"/>
        <w:gridCol w:w="1070"/>
        <w:gridCol w:w="1927"/>
      </w:tblGrid>
      <w:tr w14:paraId="3A4F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tblCellSpacing w:w="15" w:type="dxa"/>
        </w:trPr>
        <w:tc>
          <w:tcPr>
            <w:tcW w:w="0" w:type="auto"/>
            <w:tcBorders>
              <w:tl2br w:val="nil"/>
              <w:tr2bl w:val="nil"/>
            </w:tcBorders>
            <w:shd w:val="clear" w:color="auto" w:fill="auto"/>
            <w:vAlign w:val="center"/>
          </w:tcPr>
          <w:p w14:paraId="44BEC289">
            <w:pPr>
              <w:pStyle w:val="63"/>
              <w:spacing w:line="360" w:lineRule="auto"/>
              <w:rPr>
                <w:rFonts w:ascii="Times New Roman" w:hAnsi="Times New Roman"/>
                <w:sz w:val="24"/>
                <w:szCs w:val="24"/>
              </w:rPr>
            </w:pPr>
            <w:r>
              <w:rPr>
                <w:rFonts w:ascii="Times New Roman" w:hAnsi="Times New Roman"/>
                <w:sz w:val="24"/>
                <w:szCs w:val="24"/>
                <w:lang w:val="en-US" w:eastAsia="zh-CN"/>
              </w:rPr>
              <w:t>检查项目</w:t>
            </w:r>
          </w:p>
        </w:tc>
        <w:tc>
          <w:tcPr>
            <w:tcW w:w="0" w:type="auto"/>
            <w:tcBorders>
              <w:tl2br w:val="nil"/>
              <w:tr2bl w:val="nil"/>
            </w:tcBorders>
            <w:shd w:val="clear" w:color="auto" w:fill="auto"/>
            <w:vAlign w:val="center"/>
          </w:tcPr>
          <w:p w14:paraId="2448B77A">
            <w:pPr>
              <w:pStyle w:val="63"/>
              <w:spacing w:line="360" w:lineRule="auto"/>
              <w:rPr>
                <w:rFonts w:ascii="Times New Roman" w:hAnsi="Times New Roman"/>
                <w:sz w:val="24"/>
                <w:szCs w:val="24"/>
              </w:rPr>
            </w:pPr>
            <w:r>
              <w:rPr>
                <w:rFonts w:ascii="Times New Roman" w:hAnsi="Times New Roman"/>
                <w:sz w:val="24"/>
                <w:szCs w:val="24"/>
                <w:lang w:val="en-US" w:eastAsia="zh-CN"/>
              </w:rPr>
              <w:t>验收要求</w:t>
            </w:r>
          </w:p>
        </w:tc>
        <w:tc>
          <w:tcPr>
            <w:tcW w:w="0" w:type="auto"/>
            <w:tcBorders>
              <w:tl2br w:val="nil"/>
              <w:tr2bl w:val="nil"/>
            </w:tcBorders>
            <w:shd w:val="clear" w:color="auto" w:fill="auto"/>
            <w:vAlign w:val="center"/>
          </w:tcPr>
          <w:p w14:paraId="49B44808">
            <w:pPr>
              <w:pStyle w:val="63"/>
              <w:spacing w:line="360" w:lineRule="auto"/>
              <w:rPr>
                <w:rFonts w:ascii="Times New Roman" w:hAnsi="Times New Roman"/>
                <w:sz w:val="24"/>
                <w:szCs w:val="24"/>
              </w:rPr>
            </w:pPr>
            <w:r>
              <w:rPr>
                <w:rFonts w:ascii="Times New Roman" w:hAnsi="Times New Roman"/>
                <w:sz w:val="24"/>
                <w:szCs w:val="24"/>
                <w:lang w:val="en-US" w:eastAsia="zh-CN"/>
              </w:rPr>
              <w:t>结果（√/×）</w:t>
            </w:r>
          </w:p>
        </w:tc>
        <w:tc>
          <w:tcPr>
            <w:tcW w:w="0" w:type="auto"/>
            <w:tcBorders>
              <w:tl2br w:val="nil"/>
              <w:tr2bl w:val="nil"/>
            </w:tcBorders>
            <w:shd w:val="clear" w:color="auto" w:fill="auto"/>
            <w:vAlign w:val="center"/>
          </w:tcPr>
          <w:p w14:paraId="70C5387E">
            <w:pPr>
              <w:pStyle w:val="63"/>
              <w:spacing w:line="360" w:lineRule="auto"/>
              <w:rPr>
                <w:rFonts w:ascii="Times New Roman" w:hAnsi="Times New Roman"/>
                <w:sz w:val="24"/>
                <w:szCs w:val="24"/>
              </w:rPr>
            </w:pPr>
            <w:r>
              <w:rPr>
                <w:rFonts w:ascii="Times New Roman" w:hAnsi="Times New Roman"/>
                <w:sz w:val="24"/>
                <w:szCs w:val="24"/>
                <w:lang w:val="en-US" w:eastAsia="zh-CN"/>
              </w:rPr>
              <w:t>备注</w:t>
            </w:r>
          </w:p>
        </w:tc>
      </w:tr>
      <w:tr w14:paraId="5314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4686B310">
            <w:pPr>
              <w:pStyle w:val="63"/>
              <w:spacing w:line="360" w:lineRule="auto"/>
              <w:rPr>
                <w:rFonts w:ascii="Times New Roman" w:hAnsi="Times New Roman"/>
                <w:sz w:val="24"/>
                <w:szCs w:val="24"/>
              </w:rPr>
            </w:pPr>
            <w:r>
              <w:rPr>
                <w:rFonts w:ascii="Times New Roman" w:hAnsi="Times New Roman"/>
                <w:sz w:val="24"/>
                <w:szCs w:val="24"/>
                <w:lang w:val="en-US" w:eastAsia="zh-CN"/>
              </w:rPr>
              <w:t>1.作业环境</w:t>
            </w:r>
          </w:p>
        </w:tc>
        <w:tc>
          <w:tcPr>
            <w:tcW w:w="0" w:type="auto"/>
            <w:tcBorders>
              <w:tl2br w:val="nil"/>
              <w:tr2bl w:val="nil"/>
            </w:tcBorders>
            <w:shd w:val="clear" w:color="auto" w:fill="auto"/>
            <w:vAlign w:val="center"/>
          </w:tcPr>
          <w:p w14:paraId="45E73BCF">
            <w:pPr>
              <w:pStyle w:val="63"/>
              <w:spacing w:line="360" w:lineRule="auto"/>
              <w:rPr>
                <w:rFonts w:ascii="Times New Roman" w:hAnsi="Times New Roman"/>
                <w:sz w:val="24"/>
                <w:szCs w:val="24"/>
              </w:rPr>
            </w:pPr>
            <w:r>
              <w:rPr>
                <w:rFonts w:ascii="Times New Roman" w:hAnsi="Times New Roman"/>
                <w:sz w:val="24"/>
                <w:szCs w:val="24"/>
                <w:lang w:val="en-US" w:eastAsia="zh-CN"/>
              </w:rPr>
              <w:t>风速≤12m/s（5级风），无雨雪、大雾等恶劣天气；夜间作业照明充足（≥50lux）</w:t>
            </w:r>
          </w:p>
        </w:tc>
        <w:tc>
          <w:tcPr>
            <w:tcW w:w="0" w:type="auto"/>
            <w:tcBorders>
              <w:tl2br w:val="nil"/>
              <w:tr2bl w:val="nil"/>
            </w:tcBorders>
            <w:shd w:val="clear" w:color="auto" w:fill="auto"/>
            <w:vAlign w:val="center"/>
          </w:tcPr>
          <w:p w14:paraId="4B81A485">
            <w:pPr>
              <w:pStyle w:val="63"/>
              <w:spacing w:line="360" w:lineRule="auto"/>
              <w:rPr>
                <w:rFonts w:hint="eastAsia" w:ascii="Times New Roman" w:hAnsi="Times New Roman"/>
                <w:sz w:val="24"/>
                <w:szCs w:val="24"/>
              </w:rPr>
            </w:pPr>
          </w:p>
        </w:tc>
        <w:tc>
          <w:tcPr>
            <w:tcW w:w="0" w:type="auto"/>
            <w:tcBorders>
              <w:tl2br w:val="nil"/>
              <w:tr2bl w:val="nil"/>
            </w:tcBorders>
            <w:shd w:val="clear" w:color="auto" w:fill="auto"/>
            <w:vAlign w:val="center"/>
          </w:tcPr>
          <w:p w14:paraId="461D76B7">
            <w:pPr>
              <w:pStyle w:val="63"/>
              <w:spacing w:line="360" w:lineRule="auto"/>
              <w:rPr>
                <w:rFonts w:ascii="Times New Roman" w:hAnsi="Times New Roman"/>
                <w:sz w:val="24"/>
                <w:szCs w:val="24"/>
              </w:rPr>
            </w:pPr>
            <w:r>
              <w:rPr>
                <w:rFonts w:ascii="Times New Roman" w:hAnsi="Times New Roman"/>
                <w:sz w:val="24"/>
                <w:szCs w:val="24"/>
                <w:lang w:val="en-US" w:eastAsia="zh-CN"/>
              </w:rPr>
              <w:t>实测风速：___m/s，时间：___</w:t>
            </w:r>
          </w:p>
        </w:tc>
      </w:tr>
      <w:tr w14:paraId="047F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58FD700F">
            <w:pPr>
              <w:pStyle w:val="63"/>
              <w:spacing w:line="360" w:lineRule="auto"/>
              <w:rPr>
                <w:rFonts w:ascii="Times New Roman" w:hAnsi="Times New Roman"/>
                <w:sz w:val="24"/>
                <w:szCs w:val="24"/>
              </w:rPr>
            </w:pPr>
            <w:r>
              <w:rPr>
                <w:rFonts w:ascii="Times New Roman" w:hAnsi="Times New Roman"/>
                <w:sz w:val="24"/>
                <w:szCs w:val="24"/>
                <w:lang w:val="en-US" w:eastAsia="zh-CN"/>
              </w:rPr>
              <w:t>2.顶升系统</w:t>
            </w:r>
          </w:p>
        </w:tc>
        <w:tc>
          <w:tcPr>
            <w:tcW w:w="0" w:type="auto"/>
            <w:tcBorders>
              <w:tl2br w:val="nil"/>
              <w:tr2bl w:val="nil"/>
            </w:tcBorders>
            <w:shd w:val="clear" w:color="auto" w:fill="auto"/>
            <w:vAlign w:val="center"/>
          </w:tcPr>
          <w:p w14:paraId="6A5C7D65">
            <w:pPr>
              <w:pStyle w:val="63"/>
              <w:spacing w:line="360" w:lineRule="auto"/>
              <w:rPr>
                <w:rFonts w:ascii="Times New Roman" w:hAnsi="Times New Roman"/>
                <w:sz w:val="24"/>
                <w:szCs w:val="24"/>
              </w:rPr>
            </w:pPr>
            <w:r>
              <w:rPr>
                <w:rFonts w:ascii="Times New Roman" w:hAnsi="Times New Roman"/>
                <w:sz w:val="24"/>
                <w:szCs w:val="24"/>
                <w:lang w:val="en-US" w:eastAsia="zh-CN"/>
              </w:rPr>
              <w:t>液压系统油压≤</w:t>
            </w:r>
            <w:r>
              <w:rPr>
                <w:rFonts w:hint="eastAsia" w:ascii="Times New Roman" w:hAnsi="Times New Roman"/>
                <w:sz w:val="24"/>
                <w:szCs w:val="24"/>
                <w:lang w:val="en-US" w:eastAsia="zh-CN"/>
              </w:rPr>
              <w:t>3</w:t>
            </w:r>
            <w:r>
              <w:rPr>
                <w:rFonts w:ascii="Times New Roman" w:hAnsi="Times New Roman"/>
                <w:sz w:val="24"/>
                <w:szCs w:val="24"/>
                <w:lang w:val="en-US" w:eastAsia="zh-CN"/>
              </w:rPr>
              <w:t>1MPa，油路无泄漏；顶升速度≤0.</w:t>
            </w:r>
            <w:r>
              <w:rPr>
                <w:rFonts w:hint="eastAsia" w:ascii="Times New Roman" w:hAnsi="Times New Roman"/>
                <w:sz w:val="24"/>
                <w:szCs w:val="24"/>
                <w:lang w:val="en-US" w:eastAsia="zh-CN"/>
              </w:rPr>
              <w:t>5</w:t>
            </w:r>
            <w:r>
              <w:rPr>
                <w:rFonts w:ascii="Times New Roman" w:hAnsi="Times New Roman"/>
                <w:sz w:val="24"/>
                <w:szCs w:val="24"/>
                <w:lang w:val="en-US" w:eastAsia="zh-CN"/>
              </w:rPr>
              <w:t>m/min，备用液压泵站功能正常</w:t>
            </w:r>
          </w:p>
        </w:tc>
        <w:tc>
          <w:tcPr>
            <w:tcW w:w="0" w:type="auto"/>
            <w:tcBorders>
              <w:tl2br w:val="nil"/>
              <w:tr2bl w:val="nil"/>
            </w:tcBorders>
            <w:shd w:val="clear" w:color="auto" w:fill="auto"/>
            <w:vAlign w:val="center"/>
          </w:tcPr>
          <w:p w14:paraId="6F0DD2BC">
            <w:pPr>
              <w:pStyle w:val="63"/>
              <w:spacing w:line="360" w:lineRule="auto"/>
              <w:rPr>
                <w:rFonts w:hint="eastAsia" w:ascii="Times New Roman" w:hAnsi="Times New Roman"/>
                <w:sz w:val="24"/>
                <w:szCs w:val="24"/>
              </w:rPr>
            </w:pPr>
          </w:p>
        </w:tc>
        <w:tc>
          <w:tcPr>
            <w:tcW w:w="0" w:type="auto"/>
            <w:tcBorders>
              <w:tl2br w:val="nil"/>
              <w:tr2bl w:val="nil"/>
            </w:tcBorders>
            <w:shd w:val="clear" w:color="auto" w:fill="auto"/>
            <w:vAlign w:val="center"/>
          </w:tcPr>
          <w:p w14:paraId="153B8F2A">
            <w:pPr>
              <w:pStyle w:val="63"/>
              <w:spacing w:line="360" w:lineRule="auto"/>
              <w:rPr>
                <w:rFonts w:ascii="Times New Roman" w:hAnsi="Times New Roman"/>
                <w:sz w:val="24"/>
                <w:szCs w:val="24"/>
              </w:rPr>
            </w:pPr>
            <w:r>
              <w:rPr>
                <w:rFonts w:ascii="Times New Roman" w:hAnsi="Times New Roman"/>
                <w:sz w:val="24"/>
                <w:szCs w:val="24"/>
                <w:lang w:val="en-US" w:eastAsia="zh-CN"/>
              </w:rPr>
              <w:t>液压油位：___，压力表校验：</w:t>
            </w:r>
          </w:p>
        </w:tc>
      </w:tr>
      <w:tr w14:paraId="53CA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382898EE">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3.套架与导轨</w:t>
            </w:r>
          </w:p>
        </w:tc>
        <w:tc>
          <w:tcPr>
            <w:tcW w:w="0" w:type="auto"/>
            <w:tcBorders>
              <w:tl2br w:val="nil"/>
              <w:tr2bl w:val="nil"/>
            </w:tcBorders>
            <w:shd w:val="clear" w:color="auto" w:fill="auto"/>
            <w:vAlign w:val="center"/>
          </w:tcPr>
          <w:p w14:paraId="1DE7FED3">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套架滚轮与塔身间隙≤5mm，转动灵活；导轨无变形、裂纹，垂直度偏差≤2/10003 6</w:t>
            </w:r>
          </w:p>
        </w:tc>
        <w:tc>
          <w:tcPr>
            <w:tcW w:w="0" w:type="auto"/>
            <w:tcBorders>
              <w:tl2br w:val="nil"/>
              <w:tr2bl w:val="nil"/>
            </w:tcBorders>
            <w:shd w:val="clear" w:color="auto" w:fill="auto"/>
            <w:vAlign w:val="center"/>
          </w:tcPr>
          <w:p w14:paraId="16481CA0">
            <w:pPr>
              <w:pStyle w:val="63"/>
              <w:spacing w:line="360" w:lineRule="auto"/>
              <w:rPr>
                <w:rFonts w:hint="eastAsia" w:ascii="Times New Roman" w:hAnsi="Times New Roman"/>
                <w:sz w:val="24"/>
                <w:szCs w:val="24"/>
                <w:lang w:val="en-US" w:eastAsia="zh-CN"/>
              </w:rPr>
            </w:pPr>
          </w:p>
        </w:tc>
        <w:tc>
          <w:tcPr>
            <w:tcW w:w="0" w:type="auto"/>
            <w:tcBorders>
              <w:tl2br w:val="nil"/>
              <w:tr2bl w:val="nil"/>
            </w:tcBorders>
            <w:shd w:val="clear" w:color="auto" w:fill="auto"/>
            <w:vAlign w:val="center"/>
          </w:tcPr>
          <w:p w14:paraId="314E05ED">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实测间隙：___mm</w:t>
            </w:r>
          </w:p>
        </w:tc>
      </w:tr>
      <w:tr w14:paraId="588A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35F0FAC5">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4.连接件</w:t>
            </w:r>
          </w:p>
        </w:tc>
        <w:tc>
          <w:tcPr>
            <w:tcW w:w="0" w:type="auto"/>
            <w:tcBorders>
              <w:tl2br w:val="nil"/>
              <w:tr2bl w:val="nil"/>
            </w:tcBorders>
            <w:shd w:val="clear" w:color="auto" w:fill="auto"/>
            <w:vAlign w:val="center"/>
          </w:tcPr>
          <w:p w14:paraId="004BC4BD">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顶升横梁销轴安装到位，防脱装置有效；标准节连接螺栓预紧力矩达标（如M30螺栓≥1300N·m）</w:t>
            </w:r>
          </w:p>
        </w:tc>
        <w:tc>
          <w:tcPr>
            <w:tcW w:w="0" w:type="auto"/>
            <w:tcBorders>
              <w:tl2br w:val="nil"/>
              <w:tr2bl w:val="nil"/>
            </w:tcBorders>
            <w:shd w:val="clear" w:color="auto" w:fill="auto"/>
            <w:vAlign w:val="center"/>
          </w:tcPr>
          <w:p w14:paraId="71FD26BA">
            <w:pPr>
              <w:pStyle w:val="63"/>
              <w:spacing w:line="360" w:lineRule="auto"/>
              <w:rPr>
                <w:rFonts w:hint="eastAsia" w:ascii="Times New Roman" w:hAnsi="Times New Roman"/>
                <w:sz w:val="24"/>
                <w:szCs w:val="24"/>
                <w:lang w:val="en-US" w:eastAsia="zh-CN"/>
              </w:rPr>
            </w:pPr>
          </w:p>
        </w:tc>
        <w:tc>
          <w:tcPr>
            <w:tcW w:w="0" w:type="auto"/>
            <w:tcBorders>
              <w:tl2br w:val="nil"/>
              <w:tr2bl w:val="nil"/>
            </w:tcBorders>
            <w:shd w:val="clear" w:color="auto" w:fill="auto"/>
            <w:vAlign w:val="center"/>
          </w:tcPr>
          <w:p w14:paraId="3713E3C2">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抽检螺栓编号：___</w:t>
            </w:r>
          </w:p>
        </w:tc>
      </w:tr>
      <w:tr w14:paraId="0B32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7708262A">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5.附着装置</w:t>
            </w:r>
          </w:p>
        </w:tc>
        <w:tc>
          <w:tcPr>
            <w:tcW w:w="0" w:type="auto"/>
            <w:tcBorders>
              <w:tl2br w:val="nil"/>
              <w:tr2bl w:val="nil"/>
            </w:tcBorders>
            <w:shd w:val="clear" w:color="auto" w:fill="auto"/>
            <w:vAlign w:val="center"/>
          </w:tcPr>
          <w:p w14:paraId="7E9558E1">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附着框架与塔身紧固，锚固点混凝土强度≥设计值80%；附着杆无塑性变形</w:t>
            </w:r>
          </w:p>
        </w:tc>
        <w:tc>
          <w:tcPr>
            <w:tcW w:w="0" w:type="auto"/>
            <w:tcBorders>
              <w:tl2br w:val="nil"/>
              <w:tr2bl w:val="nil"/>
            </w:tcBorders>
            <w:shd w:val="clear" w:color="auto" w:fill="auto"/>
            <w:vAlign w:val="center"/>
          </w:tcPr>
          <w:p w14:paraId="1601CF07">
            <w:pPr>
              <w:pStyle w:val="63"/>
              <w:spacing w:line="360" w:lineRule="auto"/>
              <w:rPr>
                <w:rFonts w:hint="eastAsia" w:ascii="Times New Roman" w:hAnsi="Times New Roman"/>
                <w:sz w:val="24"/>
                <w:szCs w:val="24"/>
                <w:lang w:val="en-US" w:eastAsia="zh-CN"/>
              </w:rPr>
            </w:pPr>
          </w:p>
        </w:tc>
        <w:tc>
          <w:tcPr>
            <w:tcW w:w="0" w:type="auto"/>
            <w:tcBorders>
              <w:tl2br w:val="nil"/>
              <w:tr2bl w:val="nil"/>
            </w:tcBorders>
            <w:shd w:val="clear" w:color="auto" w:fill="auto"/>
            <w:vAlign w:val="center"/>
          </w:tcPr>
          <w:p w14:paraId="1BD2F492">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附着杆编号：___，强度：___</w:t>
            </w:r>
          </w:p>
        </w:tc>
      </w:tr>
      <w:tr w14:paraId="0929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0E4B0F0F">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6.安全装置</w:t>
            </w:r>
          </w:p>
        </w:tc>
        <w:tc>
          <w:tcPr>
            <w:tcW w:w="0" w:type="auto"/>
            <w:tcBorders>
              <w:tl2br w:val="nil"/>
              <w:tr2bl w:val="nil"/>
            </w:tcBorders>
            <w:shd w:val="clear" w:color="auto" w:fill="auto"/>
            <w:vAlign w:val="center"/>
          </w:tcPr>
          <w:p w14:paraId="627C7414">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顶升横梁防脱装置、回转制动器、高度限位器有效；紧急停止按钮功能正常</w:t>
            </w:r>
          </w:p>
        </w:tc>
        <w:tc>
          <w:tcPr>
            <w:tcW w:w="0" w:type="auto"/>
            <w:tcBorders>
              <w:tl2br w:val="nil"/>
              <w:tr2bl w:val="nil"/>
            </w:tcBorders>
            <w:shd w:val="clear" w:color="auto" w:fill="auto"/>
            <w:vAlign w:val="center"/>
          </w:tcPr>
          <w:p w14:paraId="0A55DC6F">
            <w:pPr>
              <w:pStyle w:val="63"/>
              <w:spacing w:line="360" w:lineRule="auto"/>
              <w:rPr>
                <w:rFonts w:hint="eastAsia" w:ascii="Times New Roman" w:hAnsi="Times New Roman"/>
                <w:sz w:val="24"/>
                <w:szCs w:val="24"/>
                <w:lang w:val="en-US" w:eastAsia="zh-CN"/>
              </w:rPr>
            </w:pPr>
          </w:p>
        </w:tc>
        <w:tc>
          <w:tcPr>
            <w:tcW w:w="0" w:type="auto"/>
            <w:tcBorders>
              <w:tl2br w:val="nil"/>
              <w:tr2bl w:val="nil"/>
            </w:tcBorders>
            <w:shd w:val="clear" w:color="auto" w:fill="auto"/>
            <w:vAlign w:val="center"/>
          </w:tcPr>
          <w:p w14:paraId="5A2BD56B">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测试记录：___</w:t>
            </w:r>
          </w:p>
        </w:tc>
      </w:tr>
      <w:tr w14:paraId="3065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0" w:type="auto"/>
            <w:tcBorders>
              <w:tl2br w:val="nil"/>
              <w:tr2bl w:val="nil"/>
            </w:tcBorders>
            <w:shd w:val="clear" w:color="auto" w:fill="auto"/>
            <w:vAlign w:val="center"/>
          </w:tcPr>
          <w:p w14:paraId="2DC75122">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7.操作规范</w:t>
            </w:r>
          </w:p>
        </w:tc>
        <w:tc>
          <w:tcPr>
            <w:tcW w:w="0" w:type="auto"/>
            <w:tcBorders>
              <w:tl2br w:val="nil"/>
              <w:tr2bl w:val="nil"/>
            </w:tcBorders>
            <w:shd w:val="clear" w:color="auto" w:fill="auto"/>
            <w:vAlign w:val="center"/>
          </w:tcPr>
          <w:p w14:paraId="7F0D5EA1">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作业人员持证，已接受专项交底；吊具索具无磨损（钢丝绳断丝率≤10%）4 6</w:t>
            </w:r>
          </w:p>
        </w:tc>
        <w:tc>
          <w:tcPr>
            <w:tcW w:w="0" w:type="auto"/>
            <w:tcBorders>
              <w:tl2br w:val="nil"/>
              <w:tr2bl w:val="nil"/>
            </w:tcBorders>
            <w:shd w:val="clear" w:color="auto" w:fill="auto"/>
            <w:vAlign w:val="center"/>
          </w:tcPr>
          <w:p w14:paraId="55C82B50">
            <w:pPr>
              <w:pStyle w:val="63"/>
              <w:spacing w:line="360" w:lineRule="auto"/>
              <w:rPr>
                <w:rFonts w:hint="eastAsia" w:ascii="Times New Roman" w:hAnsi="Times New Roman"/>
                <w:sz w:val="24"/>
                <w:szCs w:val="24"/>
                <w:lang w:val="en-US" w:eastAsia="zh-CN"/>
              </w:rPr>
            </w:pPr>
          </w:p>
        </w:tc>
        <w:tc>
          <w:tcPr>
            <w:tcW w:w="0" w:type="auto"/>
            <w:tcBorders>
              <w:tl2br w:val="nil"/>
              <w:tr2bl w:val="nil"/>
            </w:tcBorders>
            <w:shd w:val="clear" w:color="auto" w:fill="auto"/>
            <w:vAlign w:val="center"/>
          </w:tcPr>
          <w:p w14:paraId="7325C977">
            <w:pPr>
              <w:pStyle w:val="63"/>
              <w:spacing w:line="360" w:lineRule="auto"/>
              <w:rPr>
                <w:rFonts w:ascii="Times New Roman" w:hAnsi="Times New Roman"/>
                <w:sz w:val="24"/>
                <w:szCs w:val="24"/>
                <w:lang w:val="en-US" w:eastAsia="zh-CN"/>
              </w:rPr>
            </w:pPr>
            <w:r>
              <w:rPr>
                <w:rFonts w:ascii="Times New Roman" w:hAnsi="Times New Roman"/>
                <w:sz w:val="24"/>
                <w:szCs w:val="24"/>
                <w:lang w:val="en-US" w:eastAsia="zh-CN"/>
              </w:rPr>
              <w:t>操作人员：___，证书编号：___</w:t>
            </w:r>
          </w:p>
        </w:tc>
      </w:tr>
    </w:tbl>
    <w:p w14:paraId="657818D5"/>
    <w:p w14:paraId="68ACE387"/>
    <w:p w14:paraId="4D417CC4">
      <w:pPr>
        <w:pStyle w:val="3"/>
        <w:tabs>
          <w:tab w:val="left" w:pos="-1843"/>
          <w:tab w:val="left" w:pos="0"/>
        </w:tabs>
        <w:ind w:left="562" w:hanging="562"/>
        <w:rPr>
          <w:rFonts w:cs="Times New Roman"/>
        </w:rPr>
      </w:pPr>
      <w:bookmarkStart w:id="127" w:name="_Toc31491"/>
      <w:r>
        <w:rPr>
          <w:rFonts w:cs="Times New Roman"/>
        </w:rPr>
        <w:t>应急预案</w:t>
      </w:r>
      <w:bookmarkEnd w:id="127"/>
    </w:p>
    <w:p w14:paraId="0F94D2B8">
      <w:pPr>
        <w:pStyle w:val="5"/>
        <w:keepLines w:val="0"/>
        <w:widowControl/>
        <w:numPr>
          <w:ilvl w:val="0"/>
          <w:numId w:val="51"/>
        </w:numPr>
        <w:ind w:left="425" w:leftChars="0" w:hanging="425" w:firstLineChars="0"/>
        <w:rPr>
          <w:rFonts w:cs="Times New Roman"/>
        </w:rPr>
      </w:pPr>
      <w:bookmarkStart w:id="128" w:name="_Toc393705462"/>
      <w:bookmarkStart w:id="129" w:name="_Toc450922371"/>
      <w:bookmarkStart w:id="130" w:name="_Toc18046"/>
      <w:bookmarkStart w:id="131" w:name="_Toc448225298"/>
      <w:bookmarkStart w:id="132" w:name="_Toc448225848"/>
      <w:bookmarkStart w:id="133" w:name="_Toc448135184"/>
      <w:bookmarkStart w:id="134" w:name="_Toc28751"/>
      <w:bookmarkStart w:id="135" w:name="_Toc20327"/>
      <w:bookmarkStart w:id="136" w:name="_Toc391314989"/>
      <w:bookmarkStart w:id="137" w:name="_Toc398819232"/>
      <w:bookmarkStart w:id="138" w:name="_Toc393100852"/>
      <w:bookmarkStart w:id="139" w:name="_Toc395793415"/>
      <w:bookmarkStart w:id="140" w:name="_Toc6933"/>
      <w:r>
        <w:rPr>
          <w:rFonts w:cs="Times New Roman"/>
        </w:rPr>
        <w:t>应急机构及职责</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5CBBF1D2">
      <w:pPr>
        <w:ind w:left="17" w:leftChars="7" w:right="-105" w:firstLine="549" w:firstLineChars="229"/>
        <w:rPr>
          <w:rFonts w:hint="eastAsia" w:asciiTheme="minorEastAsia" w:hAnsiTheme="minorEastAsia" w:cstheme="minorEastAsia"/>
          <w:szCs w:val="24"/>
          <w:lang w:val="en-US" w:eastAsia="zh-CN"/>
        </w:rPr>
      </w:pPr>
      <w:r>
        <w:rPr>
          <w:rFonts w:hint="eastAsia" w:ascii="Times New Roman" w:hAnsi="Times New Roman" w:cs="Times New Roman"/>
          <w:szCs w:val="28"/>
          <w:lang w:val="en-US" w:eastAsia="zh-CN"/>
        </w:rPr>
        <w:t>紧急工作组由项目部建立，明确相关人员的职责。其组成目的是对工地内可能发生的重大险情做出响应。其工作宗旨是减少人员伤亡，并关注财产损失和环境污染。紧急工作组成员必须经过紧急医疗救护和事故预案等紧急救援知识的培训，并能熟练掌握和运用。紧急工作组应经常组织培训和演习。</w:t>
      </w:r>
    </w:p>
    <w:p w14:paraId="5E096F4D">
      <w:pPr>
        <w:pStyle w:val="5"/>
        <w:numPr>
          <w:ilvl w:val="0"/>
          <w:numId w:val="51"/>
        </w:numPr>
        <w:ind w:left="425" w:leftChars="0" w:hanging="425" w:firstLineChars="0"/>
      </w:pPr>
      <w:bookmarkStart w:id="141" w:name="_Toc18992"/>
      <w:bookmarkStart w:id="142" w:name="_Toc26551"/>
      <w:r>
        <w:t>应急小组及其人员组成</w:t>
      </w:r>
      <w:bookmarkEnd w:id="141"/>
      <w:bookmarkEnd w:id="142"/>
    </w:p>
    <w:p w14:paraId="1AC26ECC">
      <w:pPr>
        <w:ind w:left="17" w:leftChars="7" w:right="-105" w:firstLine="549" w:firstLineChars="229"/>
        <w:rPr>
          <w:rFonts w:hint="eastAsia" w:ascii="Times New Roman" w:hAnsi="Times New Roman" w:cs="Times New Roman"/>
          <w:szCs w:val="28"/>
          <w:lang w:val="en-US" w:eastAsia="zh-CN"/>
        </w:rPr>
      </w:pPr>
      <w:bookmarkStart w:id="143" w:name="_Toc477590464"/>
      <w:bookmarkStart w:id="144" w:name="_Toc533861763"/>
      <w:bookmarkStart w:id="145" w:name="_Toc24584_WPSOffice_Level3"/>
      <w:bookmarkStart w:id="146" w:name="_Toc29038_WPSOffice_Level3"/>
      <w:bookmarkStart w:id="147" w:name="_Toc28942_WPSOffice_Level3"/>
      <w:bookmarkStart w:id="148" w:name="_Toc21181"/>
      <w:bookmarkStart w:id="149" w:name="_Toc15589"/>
      <w:bookmarkStart w:id="150" w:name="_Toc533174070"/>
      <w:bookmarkStart w:id="151" w:name="_Toc15289"/>
      <w:bookmarkStart w:id="152" w:name="_Toc450922372"/>
      <w:bookmarkStart w:id="153" w:name="_Toc14696"/>
      <w:bookmarkStart w:id="154" w:name="_Toc448135185"/>
      <w:bookmarkStart w:id="155" w:name="_Toc30282"/>
      <w:bookmarkStart w:id="156" w:name="_Toc31087"/>
      <w:bookmarkStart w:id="157" w:name="_Toc448225849"/>
      <w:bookmarkStart w:id="158" w:name="_Toc21567"/>
      <w:bookmarkStart w:id="159" w:name="_Toc448225299"/>
      <w:bookmarkStart w:id="160" w:name="_Toc26689"/>
      <w:bookmarkStart w:id="161" w:name="_Toc398819233"/>
      <w:r>
        <w:rPr>
          <w:rFonts w:hint="eastAsia" w:ascii="Times New Roman" w:hAnsi="Times New Roman" w:cs="Times New Roman"/>
          <w:szCs w:val="28"/>
          <w:lang w:val="en-US" w:eastAsia="zh-CN"/>
        </w:rPr>
        <w:t>为了保障塔式起重机施工顺利进行，保证从业人员在施工过程中的安全与健康，最大限度地控制危险源，尽可能地减少事故造成的人员伤亡和财产损失，特成立应急救援领导小组，我公司现场负责人及作业人员组成应急救援组并承担主体责任，发生事故时并依附于项目部应急组织机构，受项目部应急领导小组组长指挥进行应急救援工作。</w:t>
      </w:r>
    </w:p>
    <w:p w14:paraId="53385C2F">
      <w:pPr>
        <w:bidi w:val="0"/>
        <w:jc w:val="center"/>
        <w:rPr>
          <w:b/>
          <w:bCs/>
        </w:rPr>
      </w:pPr>
      <w:bookmarkStart w:id="162" w:name="_Toc11680"/>
      <w:bookmarkEnd w:id="162"/>
      <w:bookmarkStart w:id="163" w:name="_Toc8087"/>
      <w:bookmarkEnd w:id="163"/>
      <w:bookmarkStart w:id="164" w:name="_Toc26229"/>
      <w:bookmarkEnd w:id="164"/>
      <w:bookmarkStart w:id="165" w:name="_Toc18645"/>
      <w:bookmarkEnd w:id="165"/>
      <w:bookmarkStart w:id="166" w:name="_Toc6488"/>
      <w:bookmarkEnd w:id="166"/>
      <w:bookmarkStart w:id="167" w:name="_Toc3990"/>
      <w:bookmarkEnd w:id="167"/>
      <w:bookmarkStart w:id="168" w:name="_Toc12712"/>
      <w:bookmarkEnd w:id="168"/>
      <w:bookmarkStart w:id="169" w:name="_Toc11035"/>
      <w:bookmarkEnd w:id="169"/>
      <w:bookmarkStart w:id="170" w:name="_Toc7450"/>
      <w:bookmarkEnd w:id="170"/>
      <w:bookmarkStart w:id="171" w:name="_Toc11678"/>
      <w:bookmarkStart w:id="172" w:name="_Toc21651"/>
      <w:bookmarkStart w:id="173" w:name="_Toc16570"/>
      <w:bookmarkStart w:id="174" w:name="_Toc18785"/>
      <w:bookmarkStart w:id="175" w:name="_Toc14166"/>
      <w:bookmarkStart w:id="176" w:name="_Toc14078"/>
      <w:bookmarkStart w:id="177" w:name="_Toc19794"/>
      <w:bookmarkStart w:id="178" w:name="_Toc14116"/>
      <w:bookmarkStart w:id="179" w:name="_Toc13012"/>
      <w:r>
        <w:rPr>
          <w:rFonts w:hint="eastAsia" w:ascii="Times New Roman" w:hAnsi="Times New Roman" w:cs="Times New Roman"/>
          <w:b/>
          <w:bCs/>
          <w:szCs w:val="28"/>
          <w:lang w:val="en-US" w:eastAsia="zh-CN"/>
        </w:rPr>
        <w:t>四川科斗文智能装备</w:t>
      </w:r>
      <w:r>
        <w:rPr>
          <w:rFonts w:hint="eastAsia"/>
          <w:b/>
          <w:bCs/>
          <w:lang w:val="en-US" w:eastAsia="zh-CN"/>
        </w:rPr>
        <w:t>有限公司</w:t>
      </w:r>
      <w:r>
        <w:rPr>
          <w:b/>
          <w:bCs/>
        </w:rPr>
        <w:t>应急救援组织机构</w:t>
      </w:r>
      <w:bookmarkEnd w:id="171"/>
      <w:bookmarkEnd w:id="172"/>
      <w:bookmarkEnd w:id="173"/>
      <w:bookmarkEnd w:id="174"/>
      <w:bookmarkEnd w:id="175"/>
      <w:bookmarkEnd w:id="176"/>
      <w:bookmarkEnd w:id="177"/>
      <w:bookmarkEnd w:id="178"/>
      <w:bookmarkEnd w:id="179"/>
    </w:p>
    <w:tbl>
      <w:tblPr>
        <w:tblStyle w:val="30"/>
        <w:tblW w:w="907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1288"/>
        <w:gridCol w:w="2701"/>
        <w:gridCol w:w="2173"/>
        <w:gridCol w:w="1983"/>
      </w:tblGrid>
      <w:tr w14:paraId="7B763DF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4D5B0BC1">
            <w:pPr>
              <w:bidi w:val="0"/>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 号</w:t>
            </w:r>
          </w:p>
        </w:tc>
        <w:tc>
          <w:tcPr>
            <w:tcW w:w="1288" w:type="dxa"/>
            <w:noWrap w:val="0"/>
            <w:vAlign w:val="center"/>
          </w:tcPr>
          <w:p w14:paraId="3C16EA1C">
            <w:pPr>
              <w:bidi w:val="0"/>
              <w:ind w:left="0" w:leftChars="0"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姓 名</w:t>
            </w:r>
          </w:p>
        </w:tc>
        <w:tc>
          <w:tcPr>
            <w:tcW w:w="2701" w:type="dxa"/>
            <w:noWrap w:val="0"/>
            <w:vAlign w:val="center"/>
          </w:tcPr>
          <w:p w14:paraId="1FF784C9">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职务</w:t>
            </w:r>
          </w:p>
        </w:tc>
        <w:tc>
          <w:tcPr>
            <w:tcW w:w="2173" w:type="dxa"/>
            <w:noWrap w:val="0"/>
            <w:vAlign w:val="center"/>
          </w:tcPr>
          <w:p w14:paraId="2B10A3BC">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联系方式</w:t>
            </w:r>
          </w:p>
        </w:tc>
        <w:tc>
          <w:tcPr>
            <w:tcW w:w="1983" w:type="dxa"/>
            <w:noWrap w:val="0"/>
            <w:vAlign w:val="center"/>
          </w:tcPr>
          <w:p w14:paraId="0006619D">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备注</w:t>
            </w:r>
          </w:p>
        </w:tc>
      </w:tr>
      <w:tr w14:paraId="6A8EB51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71" w:type="dxa"/>
            <w:gridSpan w:val="5"/>
            <w:noWrap w:val="0"/>
            <w:vAlign w:val="center"/>
          </w:tcPr>
          <w:p w14:paraId="72AAFD9C">
            <w:pPr>
              <w:bidi w:val="0"/>
              <w:ind w:firstLine="480" w:firstLineChars="200"/>
              <w:jc w:val="center"/>
              <w:rPr>
                <w:rFonts w:hint="eastAsia" w:ascii="宋体" w:hAnsi="宋体" w:eastAsia="宋体" w:cs="宋体"/>
                <w:color w:val="auto"/>
                <w:sz w:val="24"/>
                <w:szCs w:val="24"/>
                <w:highlight w:val="none"/>
                <w:lang w:val="en-US" w:eastAsia="zh-CN"/>
              </w:rPr>
            </w:pPr>
            <w:r>
              <w:rPr>
                <w:rFonts w:hint="eastAsia" w:ascii="Times New Roman" w:hAnsi="Times New Roman" w:cs="Times New Roman"/>
                <w:szCs w:val="28"/>
                <w:lang w:val="en-US" w:eastAsia="zh-CN"/>
              </w:rPr>
              <w:t>四川科斗文智能装备</w:t>
            </w:r>
            <w:r>
              <w:rPr>
                <w:rFonts w:hint="eastAsia"/>
                <w:lang w:val="en-US" w:eastAsia="zh-CN"/>
              </w:rPr>
              <w:t>有限公司</w:t>
            </w:r>
          </w:p>
        </w:tc>
      </w:tr>
      <w:tr w14:paraId="74E2A8C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2DFCBF5">
            <w:pPr>
              <w:bidi w:val="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w:t>
            </w:r>
          </w:p>
        </w:tc>
        <w:tc>
          <w:tcPr>
            <w:tcW w:w="1288" w:type="dxa"/>
            <w:noWrap w:val="0"/>
            <w:vAlign w:val="center"/>
          </w:tcPr>
          <w:p w14:paraId="20B2F3D4">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明兴富</w:t>
            </w:r>
          </w:p>
        </w:tc>
        <w:tc>
          <w:tcPr>
            <w:tcW w:w="2701" w:type="dxa"/>
            <w:noWrap w:val="0"/>
            <w:vAlign w:val="center"/>
          </w:tcPr>
          <w:p w14:paraId="2B7D3BF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项目负责人</w:t>
            </w:r>
          </w:p>
        </w:tc>
        <w:tc>
          <w:tcPr>
            <w:tcW w:w="2173" w:type="dxa"/>
            <w:noWrap w:val="0"/>
            <w:vAlign w:val="center"/>
          </w:tcPr>
          <w:p w14:paraId="55CD84F7">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13350096472</w:t>
            </w:r>
          </w:p>
        </w:tc>
        <w:tc>
          <w:tcPr>
            <w:tcW w:w="1983" w:type="dxa"/>
            <w:noWrap w:val="0"/>
            <w:vAlign w:val="center"/>
          </w:tcPr>
          <w:p w14:paraId="198ABFE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组长</w:t>
            </w:r>
          </w:p>
        </w:tc>
      </w:tr>
      <w:tr w14:paraId="6674064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776ABD2D">
            <w:pPr>
              <w:bidi w:val="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p>
        </w:tc>
        <w:tc>
          <w:tcPr>
            <w:tcW w:w="1288" w:type="dxa"/>
            <w:noWrap w:val="0"/>
            <w:vAlign w:val="center"/>
          </w:tcPr>
          <w:p w14:paraId="5C22C51F">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温涛</w:t>
            </w:r>
          </w:p>
        </w:tc>
        <w:tc>
          <w:tcPr>
            <w:tcW w:w="2701" w:type="dxa"/>
            <w:noWrap w:val="0"/>
            <w:vAlign w:val="center"/>
          </w:tcPr>
          <w:p w14:paraId="04216B1C">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技术负责人</w:t>
            </w:r>
          </w:p>
        </w:tc>
        <w:tc>
          <w:tcPr>
            <w:tcW w:w="2173" w:type="dxa"/>
            <w:noWrap w:val="0"/>
            <w:vAlign w:val="center"/>
          </w:tcPr>
          <w:p w14:paraId="17DE55AF">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17783408811</w:t>
            </w:r>
          </w:p>
        </w:tc>
        <w:tc>
          <w:tcPr>
            <w:tcW w:w="1983" w:type="dxa"/>
            <w:noWrap w:val="0"/>
            <w:vAlign w:val="center"/>
          </w:tcPr>
          <w:p w14:paraId="62F034C4">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组长</w:t>
            </w:r>
          </w:p>
        </w:tc>
      </w:tr>
      <w:tr w14:paraId="4025B8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618BEFC4">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288" w:type="dxa"/>
            <w:noWrap w:val="0"/>
            <w:vAlign w:val="center"/>
          </w:tcPr>
          <w:p w14:paraId="345A3CEB">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白美富</w:t>
            </w:r>
          </w:p>
        </w:tc>
        <w:tc>
          <w:tcPr>
            <w:tcW w:w="2701" w:type="dxa"/>
            <w:noWrap w:val="0"/>
            <w:vAlign w:val="center"/>
          </w:tcPr>
          <w:p w14:paraId="4F17027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安全员</w:t>
            </w:r>
          </w:p>
        </w:tc>
        <w:tc>
          <w:tcPr>
            <w:tcW w:w="2173" w:type="dxa"/>
            <w:noWrap w:val="0"/>
            <w:vAlign w:val="center"/>
          </w:tcPr>
          <w:p w14:paraId="3465FDA4">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13551045034</w:t>
            </w:r>
          </w:p>
        </w:tc>
        <w:tc>
          <w:tcPr>
            <w:tcW w:w="1983" w:type="dxa"/>
            <w:noWrap w:val="0"/>
            <w:vAlign w:val="center"/>
          </w:tcPr>
          <w:p w14:paraId="797DCF84">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副组长</w:t>
            </w:r>
          </w:p>
        </w:tc>
      </w:tr>
      <w:tr w14:paraId="019055D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875731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288" w:type="dxa"/>
            <w:noWrap w:val="0"/>
            <w:vAlign w:val="center"/>
          </w:tcPr>
          <w:p w14:paraId="208ABFC6">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黄科</w:t>
            </w:r>
          </w:p>
        </w:tc>
        <w:tc>
          <w:tcPr>
            <w:tcW w:w="2701" w:type="dxa"/>
            <w:noWrap w:val="0"/>
            <w:vAlign w:val="center"/>
          </w:tcPr>
          <w:p w14:paraId="7CFAAC0D">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带班班长</w:t>
            </w:r>
          </w:p>
        </w:tc>
        <w:tc>
          <w:tcPr>
            <w:tcW w:w="2173" w:type="dxa"/>
            <w:noWrap w:val="0"/>
            <w:vAlign w:val="center"/>
          </w:tcPr>
          <w:p w14:paraId="5C9B0081">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18161239589</w:t>
            </w:r>
          </w:p>
        </w:tc>
        <w:tc>
          <w:tcPr>
            <w:tcW w:w="1983" w:type="dxa"/>
            <w:noWrap w:val="0"/>
            <w:vAlign w:val="center"/>
          </w:tcPr>
          <w:p w14:paraId="3EB18D6E">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抢险组</w:t>
            </w:r>
          </w:p>
        </w:tc>
      </w:tr>
      <w:tr w14:paraId="588710C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22DD4C75">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288" w:type="dxa"/>
            <w:noWrap w:val="0"/>
            <w:vAlign w:val="center"/>
          </w:tcPr>
          <w:p w14:paraId="398DC8D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陈刚</w:t>
            </w:r>
          </w:p>
        </w:tc>
        <w:tc>
          <w:tcPr>
            <w:tcW w:w="2701" w:type="dxa"/>
            <w:noWrap w:val="0"/>
            <w:vAlign w:val="center"/>
          </w:tcPr>
          <w:p w14:paraId="5110A468">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电工作业人员</w:t>
            </w:r>
          </w:p>
        </w:tc>
        <w:tc>
          <w:tcPr>
            <w:tcW w:w="2173" w:type="dxa"/>
            <w:noWrap w:val="0"/>
            <w:vAlign w:val="center"/>
          </w:tcPr>
          <w:p w14:paraId="3E5158E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15181931537</w:t>
            </w:r>
          </w:p>
        </w:tc>
        <w:tc>
          <w:tcPr>
            <w:tcW w:w="1983" w:type="dxa"/>
            <w:noWrap w:val="0"/>
            <w:vAlign w:val="center"/>
          </w:tcPr>
          <w:p w14:paraId="78A99BA2">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抢险组</w:t>
            </w:r>
          </w:p>
        </w:tc>
      </w:tr>
      <w:tr w14:paraId="3114F49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44DED284">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288" w:type="dxa"/>
            <w:noWrap w:val="0"/>
            <w:vAlign w:val="center"/>
          </w:tcPr>
          <w:p w14:paraId="09BADDE3">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黄科</w:t>
            </w:r>
          </w:p>
          <w:p w14:paraId="116D1FAA">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徐刚</w:t>
            </w:r>
          </w:p>
          <w:p w14:paraId="53107B63">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王祯权</w:t>
            </w:r>
          </w:p>
          <w:p w14:paraId="1DEDE781">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黄仁训</w:t>
            </w:r>
          </w:p>
        </w:tc>
        <w:tc>
          <w:tcPr>
            <w:tcW w:w="2701" w:type="dxa"/>
            <w:noWrap w:val="0"/>
            <w:vAlign w:val="center"/>
          </w:tcPr>
          <w:p w14:paraId="0AE1B325">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安拆工人员</w:t>
            </w:r>
          </w:p>
        </w:tc>
        <w:tc>
          <w:tcPr>
            <w:tcW w:w="2173" w:type="dxa"/>
            <w:noWrap w:val="0"/>
            <w:vAlign w:val="center"/>
          </w:tcPr>
          <w:p w14:paraId="4AF5C797">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18161239589</w:t>
            </w:r>
          </w:p>
          <w:p w14:paraId="10841309">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18883260808</w:t>
            </w:r>
          </w:p>
          <w:p w14:paraId="55880B16">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13568880167</w:t>
            </w:r>
          </w:p>
          <w:p w14:paraId="65AFF51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13438332026</w:t>
            </w:r>
          </w:p>
        </w:tc>
        <w:tc>
          <w:tcPr>
            <w:tcW w:w="1983" w:type="dxa"/>
            <w:noWrap w:val="0"/>
            <w:vAlign w:val="center"/>
          </w:tcPr>
          <w:p w14:paraId="0CC06122">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通信联络组</w:t>
            </w:r>
          </w:p>
        </w:tc>
      </w:tr>
      <w:tr w14:paraId="1ADDDC0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4A8CDBEA">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288" w:type="dxa"/>
            <w:noWrap w:val="0"/>
            <w:vAlign w:val="center"/>
          </w:tcPr>
          <w:p w14:paraId="30BF00F7">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彭兴华</w:t>
            </w:r>
          </w:p>
        </w:tc>
        <w:tc>
          <w:tcPr>
            <w:tcW w:w="2701" w:type="dxa"/>
            <w:noWrap w:val="0"/>
            <w:vAlign w:val="center"/>
          </w:tcPr>
          <w:p w14:paraId="3D3CA56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塔机司机</w:t>
            </w:r>
          </w:p>
        </w:tc>
        <w:tc>
          <w:tcPr>
            <w:tcW w:w="2173" w:type="dxa"/>
            <w:noWrap w:val="0"/>
            <w:vAlign w:val="center"/>
          </w:tcPr>
          <w:p w14:paraId="13BCCA82">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17380070457</w:t>
            </w:r>
          </w:p>
        </w:tc>
        <w:tc>
          <w:tcPr>
            <w:tcW w:w="1983" w:type="dxa"/>
            <w:noWrap w:val="0"/>
            <w:vAlign w:val="center"/>
          </w:tcPr>
          <w:p w14:paraId="2C677C2F">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通信联络组</w:t>
            </w:r>
          </w:p>
        </w:tc>
      </w:tr>
      <w:tr w14:paraId="6B50743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1C17048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288" w:type="dxa"/>
            <w:noWrap w:val="0"/>
            <w:vAlign w:val="center"/>
          </w:tcPr>
          <w:p w14:paraId="6983EC70">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张全超</w:t>
            </w:r>
          </w:p>
        </w:tc>
        <w:tc>
          <w:tcPr>
            <w:tcW w:w="2701" w:type="dxa"/>
            <w:noWrap w:val="0"/>
            <w:vAlign w:val="center"/>
          </w:tcPr>
          <w:p w14:paraId="163DDCAD">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塔机指挥</w:t>
            </w:r>
          </w:p>
        </w:tc>
        <w:tc>
          <w:tcPr>
            <w:tcW w:w="2173" w:type="dxa"/>
            <w:noWrap w:val="0"/>
            <w:vAlign w:val="center"/>
          </w:tcPr>
          <w:p w14:paraId="1E06A9E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13547909051</w:t>
            </w:r>
          </w:p>
        </w:tc>
        <w:tc>
          <w:tcPr>
            <w:tcW w:w="1983" w:type="dxa"/>
            <w:noWrap w:val="0"/>
            <w:vAlign w:val="center"/>
          </w:tcPr>
          <w:p w14:paraId="18B43CF1">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通信联络组</w:t>
            </w:r>
          </w:p>
        </w:tc>
      </w:tr>
      <w:tr w14:paraId="6FDB6FB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71" w:type="dxa"/>
            <w:gridSpan w:val="5"/>
            <w:noWrap w:val="0"/>
            <w:vAlign w:val="center"/>
          </w:tcPr>
          <w:p w14:paraId="4613B672">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项目部</w:t>
            </w:r>
          </w:p>
        </w:tc>
      </w:tr>
      <w:tr w14:paraId="1573D1E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66ACF12F">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288" w:type="dxa"/>
            <w:noWrap w:val="0"/>
            <w:vAlign w:val="center"/>
          </w:tcPr>
          <w:p w14:paraId="6DF35398">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曹恒</w:t>
            </w:r>
          </w:p>
        </w:tc>
        <w:tc>
          <w:tcPr>
            <w:tcW w:w="2701" w:type="dxa"/>
            <w:noWrap w:val="0"/>
            <w:vAlign w:val="center"/>
          </w:tcPr>
          <w:p w14:paraId="322967C2">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项目经理</w:t>
            </w:r>
          </w:p>
        </w:tc>
        <w:tc>
          <w:tcPr>
            <w:tcW w:w="2173" w:type="dxa"/>
            <w:noWrap w:val="0"/>
            <w:vAlign w:val="center"/>
          </w:tcPr>
          <w:p w14:paraId="133453A2">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18897508090</w:t>
            </w:r>
          </w:p>
        </w:tc>
        <w:tc>
          <w:tcPr>
            <w:tcW w:w="1983" w:type="dxa"/>
            <w:noWrap w:val="0"/>
            <w:vAlign w:val="center"/>
          </w:tcPr>
          <w:p w14:paraId="3649F457">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组 长</w:t>
            </w:r>
          </w:p>
        </w:tc>
      </w:tr>
      <w:tr w14:paraId="251A42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8D87C49">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288" w:type="dxa"/>
            <w:noWrap w:val="0"/>
            <w:vAlign w:val="center"/>
          </w:tcPr>
          <w:p w14:paraId="0097FBDB">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卢庆丰</w:t>
            </w:r>
          </w:p>
        </w:tc>
        <w:tc>
          <w:tcPr>
            <w:tcW w:w="2701" w:type="dxa"/>
            <w:noWrap w:val="0"/>
            <w:vAlign w:val="center"/>
          </w:tcPr>
          <w:p w14:paraId="105B5CCA">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项目书记</w:t>
            </w:r>
          </w:p>
        </w:tc>
        <w:tc>
          <w:tcPr>
            <w:tcW w:w="2173" w:type="dxa"/>
            <w:noWrap w:val="0"/>
            <w:vAlign w:val="center"/>
          </w:tcPr>
          <w:p w14:paraId="716383DE">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13416358151</w:t>
            </w:r>
          </w:p>
        </w:tc>
        <w:tc>
          <w:tcPr>
            <w:tcW w:w="1983" w:type="dxa"/>
            <w:noWrap w:val="0"/>
            <w:vAlign w:val="center"/>
          </w:tcPr>
          <w:p w14:paraId="79EC97DC">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副组长</w:t>
            </w:r>
          </w:p>
        </w:tc>
      </w:tr>
      <w:tr w14:paraId="3369371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33F54FAB">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288" w:type="dxa"/>
            <w:noWrap w:val="0"/>
            <w:vAlign w:val="center"/>
          </w:tcPr>
          <w:p w14:paraId="04904DA7">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何宁</w:t>
            </w:r>
          </w:p>
        </w:tc>
        <w:tc>
          <w:tcPr>
            <w:tcW w:w="2701" w:type="dxa"/>
            <w:noWrap w:val="0"/>
            <w:vAlign w:val="center"/>
          </w:tcPr>
          <w:p w14:paraId="6E138DB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安全总监</w:t>
            </w:r>
          </w:p>
        </w:tc>
        <w:tc>
          <w:tcPr>
            <w:tcW w:w="2173" w:type="dxa"/>
            <w:noWrap w:val="0"/>
            <w:vAlign w:val="center"/>
          </w:tcPr>
          <w:p w14:paraId="2BE43CFF">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15082256330</w:t>
            </w:r>
          </w:p>
        </w:tc>
        <w:tc>
          <w:tcPr>
            <w:tcW w:w="1983" w:type="dxa"/>
            <w:noWrap w:val="0"/>
            <w:vAlign w:val="center"/>
          </w:tcPr>
          <w:p w14:paraId="470F62A0">
            <w:pPr>
              <w:bidi w:val="0"/>
              <w:jc w:val="center"/>
              <w:rPr>
                <w:rFonts w:hint="eastAsia" w:ascii="宋体" w:hAnsi="宋体" w:cs="宋体"/>
                <w:color w:val="auto"/>
                <w:sz w:val="24"/>
                <w:szCs w:val="24"/>
                <w:highlight w:val="none"/>
                <w:lang w:val="en-US" w:eastAsia="zh-CN"/>
              </w:rPr>
            </w:pPr>
            <w:bookmarkStart w:id="180" w:name="OLE_LINK98"/>
            <w:bookmarkStart w:id="181" w:name="OLE_LINK97"/>
            <w:r>
              <w:rPr>
                <w:rFonts w:hint="eastAsia" w:ascii="宋体" w:hAnsi="宋体" w:cs="宋体"/>
                <w:color w:val="auto"/>
                <w:sz w:val="24"/>
                <w:szCs w:val="24"/>
                <w:highlight w:val="none"/>
                <w:lang w:val="en-US" w:eastAsia="zh-CN"/>
              </w:rPr>
              <w:t>抢险抢修</w:t>
            </w:r>
            <w:bookmarkEnd w:id="180"/>
            <w:bookmarkEnd w:id="181"/>
            <w:r>
              <w:rPr>
                <w:rFonts w:hint="eastAsia" w:ascii="宋体" w:hAnsi="宋体" w:cs="宋体"/>
                <w:color w:val="auto"/>
                <w:sz w:val="24"/>
                <w:szCs w:val="24"/>
                <w:highlight w:val="none"/>
                <w:lang w:val="en-US" w:eastAsia="zh-CN"/>
              </w:rPr>
              <w:t>组长</w:t>
            </w:r>
          </w:p>
        </w:tc>
      </w:tr>
      <w:tr w14:paraId="4B9E35C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21E58859">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288" w:type="dxa"/>
            <w:noWrap w:val="0"/>
            <w:vAlign w:val="center"/>
          </w:tcPr>
          <w:p w14:paraId="48984647">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彭茂军</w:t>
            </w:r>
          </w:p>
        </w:tc>
        <w:tc>
          <w:tcPr>
            <w:tcW w:w="2701" w:type="dxa"/>
            <w:noWrap w:val="0"/>
            <w:vAlign w:val="center"/>
          </w:tcPr>
          <w:p w14:paraId="48D7C02E">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总工</w:t>
            </w:r>
          </w:p>
        </w:tc>
        <w:tc>
          <w:tcPr>
            <w:tcW w:w="2173" w:type="dxa"/>
            <w:noWrap w:val="0"/>
            <w:vAlign w:val="center"/>
          </w:tcPr>
          <w:p w14:paraId="58E8834B">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18789501262</w:t>
            </w:r>
          </w:p>
        </w:tc>
        <w:tc>
          <w:tcPr>
            <w:tcW w:w="1983" w:type="dxa"/>
            <w:noWrap w:val="0"/>
            <w:vAlign w:val="center"/>
          </w:tcPr>
          <w:p w14:paraId="51044C4B">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技术支持组长</w:t>
            </w:r>
          </w:p>
        </w:tc>
      </w:tr>
      <w:tr w14:paraId="776879B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4BCD72EF">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288" w:type="dxa"/>
            <w:noWrap w:val="0"/>
            <w:vAlign w:val="center"/>
          </w:tcPr>
          <w:p w14:paraId="46BB7F97">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施喜孝</w:t>
            </w:r>
          </w:p>
        </w:tc>
        <w:tc>
          <w:tcPr>
            <w:tcW w:w="2701" w:type="dxa"/>
            <w:noWrap w:val="0"/>
            <w:vAlign w:val="center"/>
          </w:tcPr>
          <w:p w14:paraId="7AB37597">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副总工</w:t>
            </w:r>
          </w:p>
        </w:tc>
        <w:tc>
          <w:tcPr>
            <w:tcW w:w="2173" w:type="dxa"/>
            <w:noWrap w:val="0"/>
            <w:vAlign w:val="center"/>
          </w:tcPr>
          <w:p w14:paraId="570BD8B2">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13594937792</w:t>
            </w:r>
          </w:p>
        </w:tc>
        <w:tc>
          <w:tcPr>
            <w:tcW w:w="1983" w:type="dxa"/>
            <w:noWrap w:val="0"/>
            <w:vAlign w:val="center"/>
          </w:tcPr>
          <w:p w14:paraId="36C32B90">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通讯联络组长</w:t>
            </w:r>
          </w:p>
        </w:tc>
      </w:tr>
      <w:tr w14:paraId="1CD58B3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shd w:val="clear" w:color="auto" w:fill="auto"/>
            <w:noWrap w:val="0"/>
            <w:vAlign w:val="center"/>
          </w:tcPr>
          <w:p w14:paraId="3AD870B2">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288" w:type="dxa"/>
            <w:shd w:val="clear" w:color="auto" w:fill="auto"/>
            <w:noWrap w:val="0"/>
            <w:vAlign w:val="center"/>
          </w:tcPr>
          <w:p w14:paraId="4DE3B05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向浩</w:t>
            </w:r>
          </w:p>
        </w:tc>
        <w:tc>
          <w:tcPr>
            <w:tcW w:w="2701" w:type="dxa"/>
            <w:shd w:val="clear" w:color="auto" w:fill="auto"/>
            <w:noWrap w:val="0"/>
            <w:vAlign w:val="center"/>
          </w:tcPr>
          <w:p w14:paraId="391DEE59">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经理助理</w:t>
            </w:r>
          </w:p>
        </w:tc>
        <w:tc>
          <w:tcPr>
            <w:tcW w:w="2173" w:type="dxa"/>
            <w:shd w:val="clear" w:color="auto" w:fill="auto"/>
            <w:noWrap w:val="0"/>
            <w:vAlign w:val="center"/>
          </w:tcPr>
          <w:p w14:paraId="44EBB7AB">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13545753313</w:t>
            </w:r>
          </w:p>
        </w:tc>
        <w:tc>
          <w:tcPr>
            <w:tcW w:w="1983" w:type="dxa"/>
            <w:shd w:val="clear" w:color="auto" w:fill="auto"/>
            <w:noWrap w:val="0"/>
            <w:vAlign w:val="center"/>
          </w:tcPr>
          <w:p w14:paraId="09450C4B">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后勤救护组长</w:t>
            </w:r>
          </w:p>
        </w:tc>
      </w:tr>
      <w:tr w14:paraId="50DC29D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60797842">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288" w:type="dxa"/>
            <w:noWrap w:val="0"/>
            <w:vAlign w:val="center"/>
          </w:tcPr>
          <w:p w14:paraId="1F159342">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曹飞</w:t>
            </w:r>
          </w:p>
        </w:tc>
        <w:tc>
          <w:tcPr>
            <w:tcW w:w="2701" w:type="dxa"/>
            <w:noWrap w:val="0"/>
            <w:vAlign w:val="center"/>
          </w:tcPr>
          <w:p w14:paraId="2D3CC709">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安环部副部长</w:t>
            </w:r>
          </w:p>
        </w:tc>
        <w:tc>
          <w:tcPr>
            <w:tcW w:w="2173" w:type="dxa"/>
            <w:noWrap w:val="0"/>
            <w:vAlign w:val="center"/>
          </w:tcPr>
          <w:p w14:paraId="3541F0E8">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19923394461</w:t>
            </w:r>
          </w:p>
        </w:tc>
        <w:tc>
          <w:tcPr>
            <w:tcW w:w="1983" w:type="dxa"/>
            <w:noWrap w:val="0"/>
            <w:vAlign w:val="center"/>
          </w:tcPr>
          <w:p w14:paraId="08C7E4BD">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抢险抢修成员</w:t>
            </w:r>
          </w:p>
        </w:tc>
      </w:tr>
      <w:tr w14:paraId="797F013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752711FD">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288" w:type="dxa"/>
            <w:noWrap w:val="0"/>
            <w:vAlign w:val="center"/>
          </w:tcPr>
          <w:p w14:paraId="7CAD4AB6">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龙睿</w:t>
            </w:r>
          </w:p>
        </w:tc>
        <w:tc>
          <w:tcPr>
            <w:tcW w:w="2701" w:type="dxa"/>
            <w:noWrap w:val="0"/>
            <w:vAlign w:val="center"/>
          </w:tcPr>
          <w:p w14:paraId="410D2F2C">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工程技术部部长</w:t>
            </w:r>
          </w:p>
        </w:tc>
        <w:tc>
          <w:tcPr>
            <w:tcW w:w="2173" w:type="dxa"/>
            <w:noWrap w:val="0"/>
            <w:vAlign w:val="center"/>
          </w:tcPr>
          <w:p w14:paraId="5E969E71">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18623249277</w:t>
            </w:r>
          </w:p>
        </w:tc>
        <w:tc>
          <w:tcPr>
            <w:tcW w:w="1983" w:type="dxa"/>
            <w:noWrap w:val="0"/>
            <w:vAlign w:val="center"/>
          </w:tcPr>
          <w:p w14:paraId="40FAE71F">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抢险抢修成员</w:t>
            </w:r>
          </w:p>
        </w:tc>
      </w:tr>
      <w:tr w14:paraId="42C050C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26" w:type="dxa"/>
            <w:noWrap w:val="0"/>
            <w:vAlign w:val="center"/>
          </w:tcPr>
          <w:p w14:paraId="3DB86E1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288" w:type="dxa"/>
            <w:noWrap w:val="0"/>
            <w:vAlign w:val="center"/>
          </w:tcPr>
          <w:p w14:paraId="5EFE8FB0">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康艳威</w:t>
            </w:r>
          </w:p>
        </w:tc>
        <w:tc>
          <w:tcPr>
            <w:tcW w:w="2701" w:type="dxa"/>
            <w:noWrap w:val="0"/>
            <w:vAlign w:val="center"/>
          </w:tcPr>
          <w:p w14:paraId="43621986">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船机部部长</w:t>
            </w:r>
          </w:p>
        </w:tc>
        <w:tc>
          <w:tcPr>
            <w:tcW w:w="2173" w:type="dxa"/>
            <w:noWrap w:val="0"/>
            <w:vAlign w:val="center"/>
          </w:tcPr>
          <w:p w14:paraId="74CF74A0">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15993669136</w:t>
            </w:r>
          </w:p>
        </w:tc>
        <w:tc>
          <w:tcPr>
            <w:tcW w:w="1983" w:type="dxa"/>
            <w:noWrap w:val="0"/>
            <w:vAlign w:val="center"/>
          </w:tcPr>
          <w:p w14:paraId="20DBD3E5">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技术支持成员</w:t>
            </w:r>
          </w:p>
        </w:tc>
      </w:tr>
      <w:tr w14:paraId="4F80A17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2483850A">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288" w:type="dxa"/>
            <w:noWrap w:val="0"/>
            <w:vAlign w:val="center"/>
          </w:tcPr>
          <w:p w14:paraId="7F6504A3">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熊鹏</w:t>
            </w:r>
          </w:p>
        </w:tc>
        <w:tc>
          <w:tcPr>
            <w:tcW w:w="2701" w:type="dxa"/>
            <w:noWrap w:val="0"/>
            <w:vAlign w:val="center"/>
          </w:tcPr>
          <w:p w14:paraId="5C653F87">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质量部部长</w:t>
            </w:r>
          </w:p>
        </w:tc>
        <w:tc>
          <w:tcPr>
            <w:tcW w:w="2173" w:type="dxa"/>
            <w:noWrap w:val="0"/>
            <w:vAlign w:val="center"/>
          </w:tcPr>
          <w:p w14:paraId="2134EC8E">
            <w:pPr>
              <w:bidi w:val="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17713543064</w:t>
            </w:r>
          </w:p>
        </w:tc>
        <w:tc>
          <w:tcPr>
            <w:tcW w:w="1983" w:type="dxa"/>
            <w:noWrap w:val="0"/>
            <w:vAlign w:val="center"/>
          </w:tcPr>
          <w:p w14:paraId="0017E09F">
            <w:pPr>
              <w:bidi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技术支持成员</w:t>
            </w:r>
          </w:p>
        </w:tc>
      </w:tr>
    </w:tbl>
    <w:p w14:paraId="04A95EF9">
      <w:pPr>
        <w:ind w:firstLine="48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为了发生紧急情况时能及时联络，及时启动应急预案，应急小组相关负责人的应急电话要在现场、生活区、必要的操作面上予以公布，发生事故后由明兴富向项目部曹恒报告并说明情况，联合展开救援；应急小组组长、副组长及相关小组小组长的应急电话，必须24 小时不关机或停机，当应急小组人员的电话有变化时，应及时公布。</w:t>
      </w:r>
    </w:p>
    <w:p w14:paraId="53B3C1C1">
      <w:pPr>
        <w:ind w:firstLine="48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抢险救援队在接收到紧急救援求救信号后，需立即赶赴现场，服从现场总指挥及现场事故管理人员的指挥和安排，积极投入抢险救援工作。</w:t>
      </w:r>
    </w:p>
    <w:bookmarkEnd w:id="143"/>
    <w:bookmarkEnd w:id="144"/>
    <w:bookmarkEnd w:id="145"/>
    <w:bookmarkEnd w:id="146"/>
    <w:bookmarkEnd w:id="147"/>
    <w:bookmarkEnd w:id="148"/>
    <w:bookmarkEnd w:id="149"/>
    <w:p w14:paraId="4EE9BE28">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指挥机构及职责</w:t>
      </w:r>
    </w:p>
    <w:p w14:paraId="6C769925">
      <w:pPr>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组长职责：</w:t>
      </w:r>
    </w:p>
    <w:p w14:paraId="5580E4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（1）统一指挥、领导应急救援工作。</w:t>
      </w:r>
    </w:p>
    <w:p w14:paraId="350006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（2）组织制定项目生产安全事故应急预案。</w:t>
      </w:r>
    </w:p>
    <w:p w14:paraId="71E175B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（3）分析紧急状态确定相应应急救援级别，根据相关危险类型、潜在后果、现有资源控制紧急情况的行动类型。</w:t>
      </w:r>
    </w:p>
    <w:p w14:paraId="4D1715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（4）启动和终止项目级应急预案，做出应急救援决策。</w:t>
      </w:r>
    </w:p>
    <w:p w14:paraId="0FD218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（5）决定请求外部援助，执行上一级应急指挥部指令。</w:t>
      </w:r>
    </w:p>
    <w:p w14:paraId="0AA0F2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（6）确保应急资金的投入。</w:t>
      </w:r>
    </w:p>
    <w:p w14:paraId="48F3D7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（7）组织事故调查、处理，配合上级单位事故调查、处理。</w:t>
      </w:r>
    </w:p>
    <w:p w14:paraId="05856008">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副组长职责：</w:t>
      </w:r>
    </w:p>
    <w:p w14:paraId="303144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（1）组长不在现场的时候，代替组长进行应急指挥。</w:t>
      </w:r>
    </w:p>
    <w:p w14:paraId="753566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（2）组织筹备、保障应急物资和人员的应急救援教育和培训。</w:t>
      </w:r>
    </w:p>
    <w:p w14:paraId="3E6A2A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（3）负责人员、资源配置、应急队伍的调动；协调、组织和获取应急所需的其它资源，设备以支援现场的应急操作。</w:t>
      </w:r>
    </w:p>
    <w:p w14:paraId="4744CB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（4）调动各部门参与应急救援工作，组织项目总部的相关技术和管理人员对作业场所的生产过程各危险源进行风险评估。</w:t>
      </w:r>
    </w:p>
    <w:p w14:paraId="1240372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（5）定期检查各常设应急救援组织的日常工作和应急救援准备状态，组织事故后恢复生产。</w:t>
      </w:r>
    </w:p>
    <w:p w14:paraId="503E41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（6）向应急总指挥提出采取的减缓事故后果行动的应急反救援对策和建议。</w:t>
      </w:r>
    </w:p>
    <w:p w14:paraId="00DD02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（7）根据各施工现场、其他作业场所的实际条件，努力与周边有条件的企业为在事故应急处理中共享资源、相互帮助、建立共同应急救援网络和制定应急救援协议。</w:t>
      </w:r>
    </w:p>
    <w:p w14:paraId="66BDCC73">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指挥部成员职责：</w:t>
      </w:r>
    </w:p>
    <w:p w14:paraId="201BDD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（1）组织协调现场的抢救工作。</w:t>
      </w:r>
    </w:p>
    <w:p w14:paraId="15C993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（2）及时上报事故信息。</w:t>
      </w:r>
    </w:p>
    <w:p w14:paraId="4CED5BC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（3）执行组长和副组长指令，处理好本职工作为应急服务。</w:t>
      </w:r>
    </w:p>
    <w:p w14:paraId="73C139B8">
      <w:pPr>
        <w:bidi w:val="0"/>
        <w:rPr>
          <w:rFonts w:hint="eastAsia" w:ascii="宋体" w:hAnsi="宋体" w:eastAsia="宋体" w:cs="宋体"/>
          <w:color w:val="auto"/>
          <w:highlight w:val="none"/>
          <w:lang w:val="en-US" w:eastAsia="zh-CN"/>
        </w:rPr>
      </w:pPr>
      <w:bookmarkStart w:id="182" w:name="_Toc477590467"/>
      <w:bookmarkEnd w:id="182"/>
      <w:bookmarkStart w:id="183" w:name="_Toc287616794"/>
      <w:bookmarkEnd w:id="183"/>
      <w:bookmarkStart w:id="184" w:name="_Toc290041739"/>
      <w:bookmarkEnd w:id="184"/>
      <w:bookmarkStart w:id="185" w:name="_Toc305160675"/>
      <w:bookmarkEnd w:id="185"/>
      <w:bookmarkStart w:id="186" w:name="_Toc322680683"/>
      <w:bookmarkEnd w:id="186"/>
      <w:bookmarkStart w:id="187" w:name="_Toc299635269"/>
      <w:bookmarkEnd w:id="187"/>
      <w:bookmarkStart w:id="188" w:name="_Toc296516671"/>
      <w:bookmarkEnd w:id="188"/>
      <w:r>
        <w:rPr>
          <w:rFonts w:hint="eastAsia" w:ascii="宋体" w:hAnsi="宋体" w:eastAsia="宋体" w:cs="宋体"/>
          <w:color w:val="auto"/>
          <w:highlight w:val="none"/>
          <w:lang w:val="en-US" w:eastAsia="zh-CN"/>
        </w:rPr>
        <w:t>抢险抢修组职责：</w:t>
      </w:r>
    </w:p>
    <w:p w14:paraId="19C21B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（1）及时组织有关专业技术人员对事故现场的危险源进行风险评估。</w:t>
      </w:r>
    </w:p>
    <w:p w14:paraId="13DA22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（2）根据事故现场风险评估意见，对事故救援和防范次生灾害及时向总指挥汇报工程技术方案和应急救援过程中需要的技术支持。</w:t>
      </w:r>
    </w:p>
    <w:p w14:paraId="3A80F9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（3）迅速绘制事故现场平面图标明重点部位，必要时向外部救援机构提供准确的抢险救援信息资料。</w:t>
      </w:r>
    </w:p>
    <w:p w14:paraId="2130AF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（4）根据技术建议和事故现场情况制定救援方案，按照方案迅速组织抢险力量进行抢险救援。</w:t>
      </w:r>
    </w:p>
    <w:p w14:paraId="041BFA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（5）执行抢险救援任务，抢救现场伤员、抢救现场物资、寻找受害者并转移至安全地方。</w:t>
      </w:r>
    </w:p>
    <w:p w14:paraId="5F54A0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（6）在事故有可能扩大的情况下进行抢险抢修或救援，必须保证救援人员生命安全，当救援人员生命安全受到威胁时，组长可下达紧急撤离命令。</w:t>
      </w:r>
    </w:p>
    <w:p w14:paraId="5C6333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（7）抢险救援结束后，报告总指挥并对结果进行复查和评估。</w:t>
      </w:r>
    </w:p>
    <w:p w14:paraId="6B1B4EB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（8）执行应急指挥部的其他指令。</w:t>
      </w:r>
    </w:p>
    <w:p w14:paraId="772ABF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（9）设置事故现场警戒线、岗，保护事故现场，维持事故现场内抢险救援的正常秩序。</w:t>
      </w:r>
    </w:p>
    <w:p w14:paraId="6B7DC7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（10）保证现场救援通道的畅通和指挥无关人员疏散，并引导抢险救援人员及车辆的进入。</w:t>
      </w:r>
    </w:p>
    <w:p w14:paraId="7659735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（11）抢险救援结束后，封闭事故现场直到收到明确解除令。</w:t>
      </w:r>
    </w:p>
    <w:p w14:paraId="0A50FB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（12）查清事故发生原因和事故责任，并按有关规定提出对事故责任部门和责任人的处理意见。</w:t>
      </w:r>
    </w:p>
    <w:p w14:paraId="0CCDA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（13）总结事故教训，制定防范措施。</w:t>
      </w:r>
    </w:p>
    <w:p w14:paraId="510510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（14）需要时要积极配合上级事故调查工作。</w:t>
      </w:r>
    </w:p>
    <w:p w14:paraId="74C6794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（15）执行应急指挥部的其他指令。</w:t>
      </w:r>
    </w:p>
    <w:p w14:paraId="73DE22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（16）负责抢救和临时处置事故现场伤员。</w:t>
      </w:r>
    </w:p>
    <w:p w14:paraId="31512BC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（17）负责护送伤员到相应医院救治。有权禁止人员进入情况不明的场地，以防止人员伤亡事故的扩大。</w:t>
      </w:r>
    </w:p>
    <w:p w14:paraId="0F3F6101">
      <w:pPr>
        <w:bidi w:val="0"/>
        <w:rPr>
          <w:rFonts w:hint="eastAsia" w:ascii="宋体" w:hAnsi="宋体" w:eastAsia="宋体" w:cs="宋体"/>
          <w:color w:val="auto"/>
          <w:highlight w:val="none"/>
          <w:lang w:val="en-US" w:eastAsia="zh-CN"/>
        </w:rPr>
      </w:pPr>
      <w:bookmarkStart w:id="189" w:name="_Toc305160677"/>
      <w:bookmarkStart w:id="190" w:name="_Toc296516673"/>
      <w:bookmarkStart w:id="191" w:name="_Toc477590469"/>
      <w:bookmarkStart w:id="192" w:name="_Toc287616796"/>
      <w:bookmarkStart w:id="193" w:name="_Toc299635271"/>
      <w:bookmarkStart w:id="194" w:name="_Toc322680685"/>
      <w:bookmarkStart w:id="195" w:name="_Toc290041741"/>
      <w:bookmarkStart w:id="196" w:name="_Toc219045345"/>
      <w:r>
        <w:rPr>
          <w:rFonts w:hint="eastAsia" w:ascii="宋体" w:hAnsi="宋体" w:eastAsia="宋体" w:cs="宋体"/>
          <w:color w:val="auto"/>
          <w:highlight w:val="none"/>
          <w:lang w:val="en-US" w:eastAsia="zh-CN"/>
        </w:rPr>
        <w:t>技术支持组职责：</w:t>
      </w:r>
    </w:p>
    <w:p w14:paraId="1F5BFA7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bookmarkStart w:id="197" w:name="OLE_LINK90"/>
      <w:bookmarkStart w:id="198" w:name="OLE_LINK89"/>
      <w:r>
        <w:rPr>
          <w:rFonts w:hint="eastAsia" w:ascii="宋体" w:hAnsi="宋体" w:eastAsia="宋体" w:cs="宋体"/>
          <w:color w:val="auto"/>
          <w:highlight w:val="none"/>
          <w:lang w:val="en-US" w:eastAsia="zh-CN"/>
        </w:rPr>
        <w:t>（1）提出抢险抢修及避免事故扩大的临时应急方案和措施。</w:t>
      </w:r>
    </w:p>
    <w:p w14:paraId="5EBC54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（2）指导抢险抢修组实施应急救援工作。</w:t>
      </w:r>
    </w:p>
    <w:p w14:paraId="131A11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（3）修补实施中的应急方案和措施存在的缺陷。</w:t>
      </w:r>
    </w:p>
    <w:bookmarkEnd w:id="197"/>
    <w:bookmarkEnd w:id="198"/>
    <w:p w14:paraId="77CA54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（4）绘制事故现场平面图，标明重点部位，向救援机构提供准确的抢险救援信息资料。 </w:t>
      </w:r>
    </w:p>
    <w:p w14:paraId="31D1439F">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通讯联络组职责：</w:t>
      </w:r>
    </w:p>
    <w:p w14:paraId="71F648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（1）保持通讯畅通，负责向指挥部通报、报警。负责及时向外界通报有关安全生产事故的应急救援情况。</w:t>
      </w:r>
    </w:p>
    <w:p w14:paraId="448E7C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（2）责搜集事故全过程的文字、图像资料，撰写书面报告。整理相关的材料，做好相关数据的分类统计与分析工作，为事故的逐级上报工作提供相应的资料。</w:t>
      </w:r>
    </w:p>
    <w:bookmarkEnd w:id="189"/>
    <w:bookmarkEnd w:id="190"/>
    <w:bookmarkEnd w:id="191"/>
    <w:bookmarkEnd w:id="192"/>
    <w:bookmarkEnd w:id="193"/>
    <w:bookmarkEnd w:id="194"/>
    <w:bookmarkEnd w:id="195"/>
    <w:bookmarkEnd w:id="196"/>
    <w:p w14:paraId="493F742B">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后勤救援组职责：</w:t>
      </w:r>
    </w:p>
    <w:p w14:paraId="2495A2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（1）组织项目部制订应急救援物资资源的储备计划，检查、监督落实应急救援物资的储备数量，收集和建立并归档。</w:t>
      </w:r>
    </w:p>
    <w:p w14:paraId="03EEA54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（2）检查、监督项目部落实应急救援物资资源的变更和更新情况。</w:t>
      </w:r>
    </w:p>
    <w:p w14:paraId="7E013A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（3）定期收集和整理项目部的应急救援物资资源信息、建立档案并归档，为应急救援行动的启动，做好物资源数据储备。</w:t>
      </w:r>
    </w:p>
    <w:p w14:paraId="126555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（4）应急预案启动后，按应急救援总指挥的部署，有效地组织应急救援物资到事故现场，并及时对事故现场进行增援，同时提供后勤服务。</w:t>
      </w:r>
    </w:p>
    <w:p w14:paraId="1AE679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（5）负责受伤人员的前期救护工作。</w:t>
      </w:r>
    </w:p>
    <w:p w14:paraId="31C439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（6）负责接送受伤人员到医院急救。</w:t>
      </w:r>
    </w:p>
    <w:p w14:paraId="00148A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（7）给外援救护人员提供初期资料、信息并交接工作。</w:t>
      </w:r>
    </w:p>
    <w:p w14:paraId="289C7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（8）执行应急指挥部的指令。</w:t>
      </w:r>
    </w:p>
    <w:p w14:paraId="7B1289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（9）做好伤亡人员及家属的稳定工作，确保事故发生后伤亡人员及家属思想能够稳定，不发生不安定的现象。</w:t>
      </w:r>
    </w:p>
    <w:p w14:paraId="0A1981E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（10）做好受伤人员医疗救护的跟踪工作，协调处理医疗救护单位的相关问题。</w:t>
      </w:r>
    </w:p>
    <w:p w14:paraId="637113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（11）与保险部门一起做好伤亡人员及财产损失的理赔工作。</w:t>
      </w:r>
    </w:p>
    <w:p w14:paraId="0D4D65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（12）慰问有关伤员及家属。</w:t>
      </w:r>
    </w:p>
    <w:p w14:paraId="7AD4DA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（13）协调处理事故产生的相关纠纷问题。</w:t>
      </w:r>
    </w:p>
    <w:bookmarkEnd w:id="150"/>
    <w:p w14:paraId="5B22E704">
      <w:pPr>
        <w:pStyle w:val="5"/>
        <w:keepLines w:val="0"/>
        <w:widowControl/>
        <w:numPr>
          <w:ilvl w:val="0"/>
          <w:numId w:val="51"/>
        </w:numPr>
        <w:ind w:left="425" w:leftChars="0" w:hanging="425" w:firstLineChars="0"/>
        <w:rPr>
          <w:rFonts w:cs="Times New Roman"/>
        </w:rPr>
      </w:pPr>
      <w:bookmarkStart w:id="199" w:name="_Toc23918"/>
      <w:bookmarkStart w:id="200" w:name="_Toc11324"/>
      <w:r>
        <w:rPr>
          <w:rFonts w:cs="Times New Roman"/>
        </w:rPr>
        <w:t>预防与预警</w:t>
      </w:r>
      <w:bookmarkEnd w:id="151"/>
      <w:bookmarkEnd w:id="152"/>
      <w:bookmarkEnd w:id="153"/>
      <w:bookmarkEnd w:id="154"/>
      <w:bookmarkEnd w:id="155"/>
      <w:bookmarkEnd w:id="156"/>
      <w:bookmarkEnd w:id="157"/>
      <w:bookmarkEnd w:id="158"/>
      <w:bookmarkEnd w:id="159"/>
      <w:bookmarkEnd w:id="160"/>
      <w:bookmarkEnd w:id="161"/>
      <w:bookmarkEnd w:id="199"/>
      <w:bookmarkEnd w:id="200"/>
    </w:p>
    <w:p w14:paraId="5C5E19EB">
      <w:pPr>
        <w:pStyle w:val="6"/>
        <w:numPr>
          <w:ilvl w:val="0"/>
          <w:numId w:val="52"/>
        </w:numPr>
        <w:ind w:left="425" w:leftChars="0" w:hanging="425" w:firstLineChars="0"/>
      </w:pPr>
      <w:bookmarkStart w:id="201" w:name="_Toc448225850"/>
      <w:bookmarkStart w:id="202" w:name="_Toc448225300"/>
      <w:r>
        <w:t>危险源监控</w:t>
      </w:r>
      <w:bookmarkEnd w:id="201"/>
      <w:bookmarkEnd w:id="202"/>
    </w:p>
    <w:p w14:paraId="011A0586">
      <w:pPr>
        <w:pStyle w:val="37"/>
        <w:keepNext w:val="0"/>
        <w:keepLines w:val="0"/>
        <w:pageBreakBefore w:val="0"/>
        <w:widowControl w:val="0"/>
        <w:numPr>
          <w:ilvl w:val="0"/>
          <w:numId w:val="53"/>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起重设备倾覆：包含塔机倾覆及安拆吊车倾覆两种形式，针对塔机倾覆，在基础设计时，要根据现场地耐力和塔机说明书，严格控制基础选型及安装高度；针对安拆吊车倾覆，在吊车站位时，需确认支腿下方无管线、暗沟，</w:t>
      </w:r>
      <w:r>
        <w:rPr>
          <w:rFonts w:hint="eastAsia" w:ascii="Times New Roman" w:hAnsi="Times New Roman" w:cs="Times New Roman"/>
          <w:sz w:val="24"/>
          <w:szCs w:val="24"/>
        </w:rPr>
        <w:t>满足汽车吊支腿</w:t>
      </w:r>
      <w:r>
        <w:rPr>
          <w:rFonts w:ascii="Times New Roman" w:hAnsi="Times New Roman" w:cs="Times New Roman"/>
          <w:sz w:val="24"/>
          <w:szCs w:val="24"/>
        </w:rPr>
        <w:t>受力。</w:t>
      </w:r>
    </w:p>
    <w:p w14:paraId="12619D0F">
      <w:pPr>
        <w:pStyle w:val="37"/>
        <w:keepNext w:val="0"/>
        <w:keepLines w:val="0"/>
        <w:pageBreakBefore w:val="0"/>
        <w:widowControl w:val="0"/>
        <w:numPr>
          <w:ilvl w:val="0"/>
          <w:numId w:val="53"/>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高处坠落：塔机安拆作业人员需持有特种设备操作许可证，严禁无证上岗，安全带、胶鞋、手套等防护用品齐全，安全带使用时需高挂低用。</w:t>
      </w:r>
    </w:p>
    <w:p w14:paraId="2341366F">
      <w:pPr>
        <w:pStyle w:val="37"/>
        <w:keepNext w:val="0"/>
        <w:keepLines w:val="0"/>
        <w:pageBreakBefore w:val="0"/>
        <w:widowControl w:val="0"/>
        <w:numPr>
          <w:ilvl w:val="0"/>
          <w:numId w:val="53"/>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物体打击：为安拆人员提供合格的安全帽，安全帽的佩戴要符合规范，高空作业时地面需拉设警戒线标识作业区域。</w:t>
      </w:r>
    </w:p>
    <w:p w14:paraId="49A4CF18">
      <w:pPr>
        <w:pStyle w:val="37"/>
        <w:keepNext w:val="0"/>
        <w:keepLines w:val="0"/>
        <w:pageBreakBefore w:val="0"/>
        <w:widowControl w:val="0"/>
        <w:numPr>
          <w:ilvl w:val="0"/>
          <w:numId w:val="53"/>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触电事故：操作人员需持有电工操作证，佩戴绝缘手套，配齐专用电气工具。</w:t>
      </w:r>
    </w:p>
    <w:p w14:paraId="45E11AA7">
      <w:pPr>
        <w:pStyle w:val="37"/>
        <w:keepNext w:val="0"/>
        <w:keepLines w:val="0"/>
        <w:pageBreakBefore w:val="0"/>
        <w:widowControl w:val="0"/>
        <w:numPr>
          <w:ilvl w:val="0"/>
          <w:numId w:val="53"/>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火灾事故：严格遵守项目消防要求，认真履行动火审批制度，施工现场严禁吸烟，电气焊动火前需安排专人看火，并配齐灭火器。</w:t>
      </w:r>
    </w:p>
    <w:p w14:paraId="504D0C91">
      <w:pPr>
        <w:pStyle w:val="37"/>
        <w:keepNext w:val="0"/>
        <w:keepLines w:val="0"/>
        <w:pageBreakBefore w:val="0"/>
        <w:widowControl w:val="0"/>
        <w:numPr>
          <w:ilvl w:val="0"/>
          <w:numId w:val="53"/>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坍塌事故：靠近基坑边线的塔机基础或者吊车支腿，需将具体受力参数提供给项目，请项目负责核算边坡受力。</w:t>
      </w:r>
    </w:p>
    <w:p w14:paraId="55BB9235">
      <w:pPr>
        <w:pStyle w:val="6"/>
        <w:numPr>
          <w:ilvl w:val="0"/>
          <w:numId w:val="52"/>
        </w:numPr>
        <w:ind w:left="425" w:leftChars="0" w:hanging="425" w:firstLineChars="0"/>
      </w:pPr>
      <w:bookmarkStart w:id="203" w:name="_Toc448225851"/>
      <w:bookmarkStart w:id="204" w:name="_Toc448225301"/>
      <w:r>
        <w:t>预警行动</w:t>
      </w:r>
      <w:bookmarkEnd w:id="203"/>
      <w:bookmarkEnd w:id="204"/>
    </w:p>
    <w:p w14:paraId="737518D8">
      <w:pPr>
        <w:pStyle w:val="37"/>
        <w:keepNext w:val="0"/>
        <w:keepLines w:val="0"/>
        <w:pageBreakBefore w:val="0"/>
        <w:widowControl w:val="0"/>
        <w:numPr>
          <w:ilvl w:val="0"/>
          <w:numId w:val="54"/>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认真落实安全生产责任制，安全生产规章制度和安全操作规程。</w:t>
      </w:r>
    </w:p>
    <w:p w14:paraId="186EA3D9">
      <w:pPr>
        <w:pStyle w:val="37"/>
        <w:keepNext w:val="0"/>
        <w:keepLines w:val="0"/>
        <w:pageBreakBefore w:val="0"/>
        <w:widowControl w:val="0"/>
        <w:numPr>
          <w:ilvl w:val="0"/>
          <w:numId w:val="54"/>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及时对设备、设施的不安全状态、人的不安全行为，以及安全管理上的缺陷等隐患进行排查治理，采取有效的防护措施。</w:t>
      </w:r>
    </w:p>
    <w:p w14:paraId="3022DC4A">
      <w:pPr>
        <w:pStyle w:val="37"/>
        <w:keepNext w:val="0"/>
        <w:keepLines w:val="0"/>
        <w:pageBreakBefore w:val="0"/>
        <w:widowControl w:val="0"/>
        <w:numPr>
          <w:ilvl w:val="0"/>
          <w:numId w:val="54"/>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在危险要害部位，设置明显的安全警示标志，便于公众识别。</w:t>
      </w:r>
    </w:p>
    <w:p w14:paraId="60849F73">
      <w:pPr>
        <w:pStyle w:val="37"/>
        <w:keepNext w:val="0"/>
        <w:keepLines w:val="0"/>
        <w:pageBreakBefore w:val="0"/>
        <w:widowControl w:val="0"/>
        <w:numPr>
          <w:ilvl w:val="0"/>
          <w:numId w:val="54"/>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加强对员工安全生产教育培训，提高安全生产意识，掌握安全技能，提高对事故的应急处理能力。</w:t>
      </w:r>
    </w:p>
    <w:p w14:paraId="19AA60FF">
      <w:pPr>
        <w:pStyle w:val="6"/>
        <w:numPr>
          <w:ilvl w:val="0"/>
          <w:numId w:val="52"/>
        </w:numPr>
        <w:ind w:left="425" w:leftChars="0" w:hanging="425" w:firstLineChars="0"/>
      </w:pPr>
      <w:r>
        <w:t>信息报告与处置</w:t>
      </w:r>
    </w:p>
    <w:p w14:paraId="7FC85EE1">
      <w:pPr>
        <w:pStyle w:val="37"/>
        <w:keepNext w:val="0"/>
        <w:keepLines w:val="0"/>
        <w:pageBreakBefore w:val="0"/>
        <w:widowControl w:val="0"/>
        <w:numPr>
          <w:ilvl w:val="0"/>
          <w:numId w:val="55"/>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事故发生后，第一发现人立即向单位负责人报告，报告事故发生的时间、地点和简要情况，并随时报告事故的后续情况。</w:t>
      </w:r>
    </w:p>
    <w:p w14:paraId="61A018ED">
      <w:pPr>
        <w:pStyle w:val="37"/>
        <w:keepNext w:val="0"/>
        <w:keepLines w:val="0"/>
        <w:pageBreakBefore w:val="0"/>
        <w:widowControl w:val="0"/>
        <w:numPr>
          <w:ilvl w:val="0"/>
          <w:numId w:val="55"/>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现场负责人用最快速度通知应急小组成员到现场，及时启动应急预案，并迅速做出响应，进入相应的应急状态，依据职责分工履行各自所应承担的职责。</w:t>
      </w:r>
    </w:p>
    <w:p w14:paraId="24090A1F">
      <w:pPr>
        <w:pStyle w:val="37"/>
        <w:keepNext w:val="0"/>
        <w:keepLines w:val="0"/>
        <w:pageBreakBefore w:val="0"/>
        <w:widowControl w:val="0"/>
        <w:numPr>
          <w:ilvl w:val="0"/>
          <w:numId w:val="55"/>
        </w:numPr>
        <w:kinsoku/>
        <w:wordWrap/>
        <w:overflowPunct/>
        <w:topLinePunct w:val="0"/>
        <w:autoSpaceDE/>
        <w:autoSpaceDN/>
        <w:bidi w:val="0"/>
        <w:adjustRightInd/>
        <w:snapToGrid/>
        <w:spacing w:line="360" w:lineRule="auto"/>
        <w:ind w:left="283" w:firstLine="480" w:firstLineChars="200"/>
        <w:textAlignment w:val="auto"/>
        <w:rPr>
          <w:rFonts w:ascii="Times New Roman" w:hAnsi="Times New Roman" w:cs="Times New Roman"/>
          <w:sz w:val="24"/>
          <w:szCs w:val="24"/>
        </w:rPr>
      </w:pPr>
      <w:r>
        <w:rPr>
          <w:rFonts w:ascii="Times New Roman" w:hAnsi="Times New Roman" w:cs="Times New Roman"/>
          <w:sz w:val="24"/>
          <w:szCs w:val="24"/>
        </w:rPr>
        <w:t>事故处理根据事故大小情况来确定，如果事故特别小，根据上级指示可由施工单位自行直接进行处理。如果事故较大或施工单位处理不了则由施工单位向</w:t>
      </w:r>
      <w:r>
        <w:rPr>
          <w:rFonts w:hint="eastAsia" w:ascii="Times New Roman" w:hAnsi="Times New Roman" w:cs="Times New Roman"/>
          <w:sz w:val="24"/>
          <w:szCs w:val="24"/>
        </w:rPr>
        <w:t>总包单位</w:t>
      </w:r>
      <w:r>
        <w:rPr>
          <w:rFonts w:ascii="Times New Roman" w:hAnsi="Times New Roman" w:cs="Times New Roman"/>
          <w:sz w:val="24"/>
          <w:szCs w:val="24"/>
        </w:rPr>
        <w:t>进行请示，请求启动</w:t>
      </w:r>
      <w:r>
        <w:rPr>
          <w:rFonts w:hint="eastAsia" w:ascii="Times New Roman" w:hAnsi="Times New Roman" w:cs="Times New Roman"/>
          <w:sz w:val="24"/>
          <w:szCs w:val="24"/>
        </w:rPr>
        <w:t>总包</w:t>
      </w:r>
      <w:r>
        <w:rPr>
          <w:rFonts w:ascii="Times New Roman" w:hAnsi="Times New Roman" w:cs="Times New Roman"/>
          <w:sz w:val="24"/>
          <w:szCs w:val="24"/>
        </w:rPr>
        <w:t>单位的救援预案，</w:t>
      </w:r>
      <w:r>
        <w:rPr>
          <w:rFonts w:hint="eastAsia" w:ascii="Times New Roman" w:hAnsi="Times New Roman" w:cs="Times New Roman"/>
          <w:sz w:val="24"/>
          <w:szCs w:val="24"/>
        </w:rPr>
        <w:t>总包</w:t>
      </w:r>
      <w:r>
        <w:rPr>
          <w:rFonts w:ascii="Times New Roman" w:hAnsi="Times New Roman" w:cs="Times New Roman"/>
          <w:sz w:val="24"/>
          <w:szCs w:val="24"/>
        </w:rPr>
        <w:t>单位的救援预案仍不能进行处理，则由</w:t>
      </w:r>
      <w:r>
        <w:rPr>
          <w:rFonts w:hint="eastAsia" w:ascii="Times New Roman" w:hAnsi="Times New Roman" w:cs="Times New Roman"/>
          <w:sz w:val="24"/>
          <w:szCs w:val="24"/>
        </w:rPr>
        <w:t>总包</w:t>
      </w:r>
      <w:r>
        <w:rPr>
          <w:rFonts w:ascii="Times New Roman" w:hAnsi="Times New Roman" w:cs="Times New Roman"/>
          <w:sz w:val="24"/>
          <w:szCs w:val="24"/>
        </w:rPr>
        <w:t>单位的安全管理部门向建管局安监站或政府部门请示启动上一级救援预案。</w:t>
      </w:r>
    </w:p>
    <w:p w14:paraId="6A1B65ED">
      <w:pPr>
        <w:pStyle w:val="5"/>
        <w:keepLines w:val="0"/>
        <w:widowControl/>
        <w:numPr>
          <w:ilvl w:val="0"/>
          <w:numId w:val="51"/>
        </w:numPr>
        <w:ind w:left="425" w:leftChars="0" w:hanging="425" w:firstLineChars="0"/>
        <w:rPr>
          <w:rFonts w:cs="Times New Roman"/>
        </w:rPr>
      </w:pPr>
      <w:bookmarkStart w:id="205" w:name="_Toc28044"/>
      <w:bookmarkStart w:id="206" w:name="_Toc9663"/>
      <w:bookmarkStart w:id="207" w:name="_Toc448135186"/>
      <w:bookmarkStart w:id="208" w:name="_Toc448225302"/>
      <w:bookmarkStart w:id="209" w:name="_Toc18579"/>
      <w:bookmarkStart w:id="210" w:name="_Toc450922373"/>
      <w:bookmarkStart w:id="211" w:name="_Toc398819234"/>
      <w:bookmarkStart w:id="212" w:name="_Toc30839"/>
      <w:bookmarkStart w:id="213" w:name="_Toc11950"/>
      <w:bookmarkStart w:id="214" w:name="_Toc14030"/>
      <w:bookmarkStart w:id="215" w:name="_Toc17720"/>
      <w:bookmarkStart w:id="216" w:name="_Toc448225852"/>
      <w:bookmarkStart w:id="217" w:name="_Toc3233"/>
      <w:r>
        <w:rPr>
          <w:rFonts w:cs="Times New Roman"/>
        </w:rPr>
        <w:t>应急响应</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680A9321">
      <w:pPr>
        <w:pStyle w:val="6"/>
        <w:keepNext/>
        <w:keepLines/>
        <w:pageBreakBefore w:val="0"/>
        <w:widowControl w:val="0"/>
        <w:numPr>
          <w:ilvl w:val="0"/>
          <w:numId w:val="56"/>
        </w:numPr>
        <w:kinsoku/>
        <w:wordWrap/>
        <w:overflowPunct/>
        <w:topLinePunct w:val="0"/>
        <w:autoSpaceDE/>
        <w:autoSpaceDN/>
        <w:bidi w:val="0"/>
        <w:adjustRightInd/>
        <w:snapToGrid/>
        <w:ind w:left="0" w:leftChars="0" w:firstLine="0" w:firstLineChars="0"/>
        <w:textAlignment w:val="auto"/>
      </w:pPr>
      <w:bookmarkStart w:id="218" w:name="_Toc448225853"/>
      <w:bookmarkStart w:id="219" w:name="_Toc448225303"/>
      <w:r>
        <w:t>启动本预案</w:t>
      </w:r>
      <w:bookmarkEnd w:id="218"/>
      <w:bookmarkEnd w:id="219"/>
    </w:p>
    <w:p w14:paraId="12DD9B4D">
      <w:pPr>
        <w:ind w:firstLine="480"/>
        <w:rPr>
          <w:rFonts w:cs="Times New Roman"/>
          <w:szCs w:val="24"/>
        </w:rPr>
      </w:pPr>
      <w:r>
        <w:rPr>
          <w:rFonts w:cs="Times New Roman"/>
          <w:szCs w:val="24"/>
        </w:rPr>
        <w:t>单位负责人接到事故报告后，通知应急预案领导小组及其人员，启动应急预案。</w:t>
      </w:r>
    </w:p>
    <w:p w14:paraId="37C7E6A1">
      <w:pPr>
        <w:pStyle w:val="6"/>
        <w:keepNext/>
        <w:keepLines/>
        <w:pageBreakBefore w:val="0"/>
        <w:widowControl w:val="0"/>
        <w:numPr>
          <w:ilvl w:val="0"/>
          <w:numId w:val="56"/>
        </w:numPr>
        <w:kinsoku/>
        <w:wordWrap/>
        <w:overflowPunct/>
        <w:topLinePunct w:val="0"/>
        <w:autoSpaceDE/>
        <w:autoSpaceDN/>
        <w:bidi w:val="0"/>
        <w:adjustRightInd/>
        <w:snapToGrid/>
        <w:ind w:left="0" w:leftChars="0" w:firstLine="0" w:firstLineChars="0"/>
        <w:textAlignment w:val="auto"/>
      </w:pPr>
      <w:bookmarkStart w:id="220" w:name="_Toc448225304"/>
      <w:bookmarkStart w:id="221" w:name="_Toc448225854"/>
      <w:r>
        <w:t>赶赴事故现场</w:t>
      </w:r>
      <w:bookmarkEnd w:id="220"/>
      <w:bookmarkEnd w:id="221"/>
    </w:p>
    <w:p w14:paraId="099F654F">
      <w:pPr>
        <w:ind w:firstLine="480"/>
        <w:rPr>
          <w:rFonts w:cs="Times New Roman"/>
          <w:szCs w:val="24"/>
        </w:rPr>
      </w:pPr>
      <w:r>
        <w:rPr>
          <w:rFonts w:cs="Times New Roman"/>
          <w:szCs w:val="24"/>
        </w:rPr>
        <w:t>应急小组组长、副组长接到报告后，立即赶赴事故现场，成立事故现场指挥部，组织指挥救援处置工作。</w:t>
      </w:r>
    </w:p>
    <w:p w14:paraId="09350AD9">
      <w:pPr>
        <w:ind w:firstLine="480"/>
        <w:rPr>
          <w:rFonts w:cs="Times New Roman"/>
          <w:szCs w:val="24"/>
        </w:rPr>
      </w:pPr>
      <w:r>
        <w:rPr>
          <w:rFonts w:cs="Times New Roman"/>
          <w:szCs w:val="24"/>
        </w:rPr>
        <w:t>应急小组成员接到报告后，立即赶赴现场并依据职责分工履行各自所应承担的职责，实施救援处置。</w:t>
      </w:r>
    </w:p>
    <w:p w14:paraId="1191F892">
      <w:pPr>
        <w:pStyle w:val="6"/>
        <w:keepNext/>
        <w:keepLines/>
        <w:pageBreakBefore w:val="0"/>
        <w:widowControl w:val="0"/>
        <w:numPr>
          <w:ilvl w:val="0"/>
          <w:numId w:val="56"/>
        </w:numPr>
        <w:kinsoku/>
        <w:wordWrap/>
        <w:overflowPunct/>
        <w:topLinePunct w:val="0"/>
        <w:autoSpaceDE/>
        <w:autoSpaceDN/>
        <w:bidi w:val="0"/>
        <w:adjustRightInd/>
        <w:snapToGrid/>
        <w:ind w:left="0" w:leftChars="0" w:firstLine="0" w:firstLineChars="0"/>
        <w:textAlignment w:val="auto"/>
      </w:pPr>
      <w:bookmarkStart w:id="222" w:name="_Toc448225855"/>
      <w:bookmarkStart w:id="223" w:name="_Toc448225305"/>
      <w:r>
        <w:t>现场救援处置</w:t>
      </w:r>
      <w:bookmarkEnd w:id="222"/>
      <w:bookmarkEnd w:id="223"/>
    </w:p>
    <w:p w14:paraId="2C5F5889">
      <w:pPr>
        <w:rPr>
          <w:rFonts w:cs="Times New Roman"/>
          <w:szCs w:val="24"/>
        </w:rPr>
      </w:pPr>
      <w:r>
        <w:rPr>
          <w:rFonts w:cs="Times New Roman"/>
          <w:szCs w:val="24"/>
        </w:rPr>
        <w:t>（1）应急电话的正确使用</w:t>
      </w:r>
    </w:p>
    <w:p w14:paraId="50F9E272">
      <w:pPr>
        <w:ind w:firstLine="480"/>
        <w:rPr>
          <w:rFonts w:eastAsia="宋体" w:cs="Times New Roman"/>
          <w:szCs w:val="24"/>
        </w:rPr>
      </w:pPr>
      <w:r>
        <w:rPr>
          <w:rFonts w:eastAsia="宋体" w:cs="Times New Roman"/>
          <w:szCs w:val="24"/>
        </w:rPr>
        <w:t>事故发生后，现场发现人第一时间通知现场负责人，控制事态，保护现场，组织抢救，疏导人员。工伤事故现场，重病人抢救应拨打120救护电话，请医疗单位急救。火警、火灾事故应拨打119火警电话，请消防部门急救。发生抢劫、偷盗、斗殴等情况应拨打报警电话110，向公安部门报警。拨打电话时要尽量说清楚一下几件事：</w:t>
      </w:r>
    </w:p>
    <w:p w14:paraId="10860267">
      <w:pPr>
        <w:ind w:firstLine="480"/>
        <w:rPr>
          <w:rFonts w:eastAsia="宋体" w:cs="Times New Roman"/>
          <w:szCs w:val="24"/>
        </w:rPr>
      </w:pPr>
      <w:r>
        <w:rPr>
          <w:rFonts w:hint="eastAsia" w:ascii="宋体" w:hAnsi="宋体" w:eastAsia="宋体" w:cs="宋体"/>
          <w:szCs w:val="24"/>
        </w:rPr>
        <w:t>①</w:t>
      </w:r>
      <w:r>
        <w:rPr>
          <w:rFonts w:eastAsia="宋体" w:cs="Times New Roman"/>
          <w:szCs w:val="24"/>
        </w:rPr>
        <w:t>说明伤情（病情、火情、案情）和已经采取了什么措施，以便让救护人员事先做好急救的准备；</w:t>
      </w:r>
    </w:p>
    <w:p w14:paraId="57B78837">
      <w:pPr>
        <w:ind w:firstLine="480"/>
        <w:rPr>
          <w:rFonts w:eastAsia="宋体" w:cs="Times New Roman"/>
          <w:szCs w:val="24"/>
        </w:rPr>
      </w:pPr>
      <w:r>
        <w:rPr>
          <w:rFonts w:hint="eastAsia" w:ascii="宋体" w:hAnsi="宋体" w:eastAsia="宋体" w:cs="宋体"/>
          <w:szCs w:val="24"/>
        </w:rPr>
        <w:t>②</w:t>
      </w:r>
      <w:r>
        <w:rPr>
          <w:rFonts w:eastAsia="宋体" w:cs="Times New Roman"/>
          <w:szCs w:val="24"/>
        </w:rPr>
        <w:t>讲清楚伤者（事故）发生在什么地方，什么路几号、靠近什么路口、附近有什么特征；</w:t>
      </w:r>
    </w:p>
    <w:p w14:paraId="0F89CBA6">
      <w:pPr>
        <w:ind w:firstLine="480"/>
        <w:rPr>
          <w:rFonts w:eastAsia="宋体" w:cs="Times New Roman"/>
          <w:szCs w:val="24"/>
        </w:rPr>
      </w:pPr>
      <w:r>
        <w:rPr>
          <w:rFonts w:hint="eastAsia" w:ascii="宋体" w:hAnsi="宋体" w:eastAsia="宋体" w:cs="宋体"/>
          <w:szCs w:val="24"/>
        </w:rPr>
        <w:t>③</w:t>
      </w:r>
      <w:r>
        <w:rPr>
          <w:rFonts w:eastAsia="宋体" w:cs="Times New Roman"/>
          <w:szCs w:val="24"/>
        </w:rPr>
        <w:t>说明报救者单位、姓名、电话号码，以便救护车（消防车、警车）找不到所报地方时，随时通过电话联系。</w:t>
      </w:r>
    </w:p>
    <w:p w14:paraId="7F489EE1">
      <w:pPr>
        <w:ind w:firstLine="480"/>
        <w:rPr>
          <w:rFonts w:eastAsia="宋体" w:cs="Times New Roman"/>
          <w:szCs w:val="24"/>
        </w:rPr>
      </w:pPr>
      <w:r>
        <w:rPr>
          <w:rFonts w:hint="eastAsia" w:ascii="宋体" w:hAnsi="宋体" w:eastAsia="宋体" w:cs="宋体"/>
          <w:szCs w:val="24"/>
        </w:rPr>
        <w:t>④</w:t>
      </w:r>
      <w:r>
        <w:rPr>
          <w:rFonts w:eastAsia="宋体" w:cs="Times New Roman"/>
          <w:szCs w:val="24"/>
        </w:rPr>
        <w:t>基本打完报救电话后，应问接报人员还有什么问题不清楚，如无问题才能挂断电话。通完电话后，应派人在现场外等候接应救护车，同时把救护车进项目部现场的路上障碍及时予以清除，以利救护车到达后，能及时进行抢救。</w:t>
      </w:r>
    </w:p>
    <w:p w14:paraId="27476CD0">
      <w:pPr>
        <w:rPr>
          <w:rFonts w:cs="Times New Roman"/>
          <w:szCs w:val="24"/>
        </w:rPr>
      </w:pPr>
      <w:r>
        <w:rPr>
          <w:rFonts w:cs="Times New Roman"/>
          <w:szCs w:val="24"/>
        </w:rPr>
        <w:t>（2）机械伤害事故的处置措施</w:t>
      </w:r>
    </w:p>
    <w:p w14:paraId="0A5808B5">
      <w:pPr>
        <w:ind w:firstLine="480"/>
        <w:rPr>
          <w:rFonts w:eastAsia="宋体" w:cs="Times New Roman"/>
          <w:szCs w:val="24"/>
        </w:rPr>
      </w:pPr>
      <w:r>
        <w:rPr>
          <w:rFonts w:hint="eastAsia" w:ascii="宋体" w:hAnsi="宋体" w:eastAsia="宋体" w:cs="宋体"/>
          <w:szCs w:val="24"/>
        </w:rPr>
        <w:t>①</w:t>
      </w:r>
      <w:r>
        <w:rPr>
          <w:rFonts w:eastAsia="宋体" w:cs="Times New Roman"/>
          <w:szCs w:val="24"/>
        </w:rPr>
        <w:t>发现有人受伤后，现场有关人员立即关闭电源，向周围人员呼救，迅速向领导汇报。</w:t>
      </w:r>
    </w:p>
    <w:p w14:paraId="248C74BF">
      <w:pPr>
        <w:ind w:firstLine="480"/>
        <w:rPr>
          <w:rFonts w:eastAsia="宋体" w:cs="Times New Roman"/>
          <w:szCs w:val="24"/>
        </w:rPr>
      </w:pPr>
      <w:r>
        <w:rPr>
          <w:rFonts w:hint="eastAsia" w:ascii="宋体" w:hAnsi="宋体" w:eastAsia="宋体" w:cs="宋体"/>
          <w:szCs w:val="24"/>
        </w:rPr>
        <w:t>②</w:t>
      </w:r>
      <w:r>
        <w:rPr>
          <w:rFonts w:eastAsia="宋体" w:cs="Times New Roman"/>
          <w:szCs w:val="24"/>
        </w:rPr>
        <w:t>一般性外伤，迅速包扎止血，并将伤者送往医院。</w:t>
      </w:r>
    </w:p>
    <w:p w14:paraId="331FC810">
      <w:pPr>
        <w:ind w:firstLine="480"/>
        <w:rPr>
          <w:rFonts w:eastAsia="宋体" w:cs="Times New Roman"/>
          <w:szCs w:val="24"/>
        </w:rPr>
      </w:pPr>
      <w:r>
        <w:rPr>
          <w:rFonts w:hint="eastAsia" w:ascii="宋体" w:hAnsi="宋体" w:eastAsia="宋体" w:cs="宋体"/>
          <w:szCs w:val="24"/>
        </w:rPr>
        <w:t>③</w:t>
      </w:r>
      <w:r>
        <w:rPr>
          <w:rFonts w:eastAsia="宋体" w:cs="Times New Roman"/>
          <w:szCs w:val="24"/>
        </w:rPr>
        <w:t>如果受伤人员伤势较重，现场指挥人员立即拨打120急救中心电话或将伤员送往医院治疗。</w:t>
      </w:r>
    </w:p>
    <w:p w14:paraId="2F29DB42">
      <w:pPr>
        <w:ind w:firstLine="480"/>
        <w:rPr>
          <w:rFonts w:eastAsia="宋体" w:cs="Times New Roman"/>
          <w:szCs w:val="24"/>
        </w:rPr>
      </w:pPr>
      <w:r>
        <w:rPr>
          <w:rFonts w:hint="eastAsia" w:ascii="宋体" w:hAnsi="宋体" w:eastAsia="宋体" w:cs="宋体"/>
          <w:szCs w:val="24"/>
        </w:rPr>
        <w:t>④</w:t>
      </w:r>
      <w:r>
        <w:rPr>
          <w:rFonts w:eastAsia="宋体" w:cs="Times New Roman"/>
          <w:szCs w:val="24"/>
        </w:rPr>
        <w:t>发生断指，立即止血，尽可能做到将断指清洗干净，用消毒敷料包裹好，放入装有冷饮的塑料袋内，将伤者连同断指立即送往医院。</w:t>
      </w:r>
    </w:p>
    <w:p w14:paraId="5811B667">
      <w:pPr>
        <w:ind w:firstLine="480"/>
        <w:rPr>
          <w:rFonts w:eastAsia="宋体" w:cs="Times New Roman"/>
          <w:szCs w:val="24"/>
        </w:rPr>
      </w:pPr>
      <w:r>
        <w:rPr>
          <w:rFonts w:hint="eastAsia" w:ascii="宋体" w:hAnsi="宋体" w:eastAsia="宋体" w:cs="宋体"/>
          <w:szCs w:val="24"/>
        </w:rPr>
        <w:t>⑤</w:t>
      </w:r>
      <w:r>
        <w:rPr>
          <w:rFonts w:eastAsia="宋体" w:cs="Times New Roman"/>
          <w:szCs w:val="24"/>
        </w:rPr>
        <w:t>肢体骨折，将伤肢固定，减少骨折断端对周围组织的进一步损伤，再送往医院。</w:t>
      </w:r>
    </w:p>
    <w:p w14:paraId="20EAAF98">
      <w:pPr>
        <w:rPr>
          <w:rFonts w:eastAsia="宋体" w:cs="Times New Roman"/>
          <w:szCs w:val="24"/>
        </w:rPr>
      </w:pPr>
      <w:r>
        <w:rPr>
          <w:rFonts w:eastAsia="宋体" w:cs="Times New Roman"/>
          <w:szCs w:val="24"/>
        </w:rPr>
        <w:t>（3）触电事故现场处置措施</w:t>
      </w:r>
    </w:p>
    <w:p w14:paraId="625FD7BF">
      <w:pPr>
        <w:ind w:firstLine="480"/>
        <w:rPr>
          <w:rFonts w:eastAsia="宋体" w:cs="Times New Roman"/>
          <w:szCs w:val="24"/>
        </w:rPr>
      </w:pPr>
      <w:r>
        <w:rPr>
          <w:rFonts w:hint="eastAsia" w:ascii="宋体" w:hAnsi="宋体" w:eastAsia="宋体" w:cs="宋体"/>
          <w:szCs w:val="24"/>
        </w:rPr>
        <w:t>①</w:t>
      </w:r>
      <w:r>
        <w:rPr>
          <w:rFonts w:eastAsia="宋体" w:cs="Times New Roman"/>
          <w:szCs w:val="24"/>
        </w:rPr>
        <w:t>截断电源，关上插座上的开关或拔除插头，切勿触摸电器用具的开关。</w:t>
      </w:r>
    </w:p>
    <w:p w14:paraId="067303EC">
      <w:pPr>
        <w:ind w:firstLine="480"/>
        <w:rPr>
          <w:rFonts w:eastAsia="宋体" w:cs="Times New Roman"/>
          <w:szCs w:val="24"/>
        </w:rPr>
      </w:pPr>
      <w:r>
        <w:rPr>
          <w:rFonts w:hint="eastAsia" w:ascii="宋体" w:hAnsi="宋体" w:eastAsia="宋体" w:cs="宋体"/>
          <w:szCs w:val="24"/>
        </w:rPr>
        <w:t>②</w:t>
      </w:r>
      <w:r>
        <w:rPr>
          <w:rFonts w:eastAsia="宋体" w:cs="Times New Roman"/>
          <w:szCs w:val="24"/>
        </w:rPr>
        <w:t>若无法关上开关，可站在绝缘物体上，如一叠厚报纸、塑料布、木板之类，用扫着或木棍等将伤者剥离电源，或用绳子、裤子或任何干布条绕过伤者腋下或腿部，把伤者拖离电源。切勿用手触及伤者，也不要用潮湿的工具或金属物质把伤者拨开，也不要用潮湿的物件拖动伤者。</w:t>
      </w:r>
    </w:p>
    <w:p w14:paraId="6047F150">
      <w:pPr>
        <w:ind w:firstLine="480"/>
        <w:rPr>
          <w:rFonts w:eastAsia="宋体" w:cs="Times New Roman"/>
          <w:szCs w:val="24"/>
        </w:rPr>
      </w:pPr>
      <w:r>
        <w:rPr>
          <w:rFonts w:hint="eastAsia" w:ascii="宋体" w:hAnsi="宋体" w:eastAsia="宋体" w:cs="宋体"/>
          <w:szCs w:val="24"/>
        </w:rPr>
        <w:t>③</w:t>
      </w:r>
      <w:r>
        <w:rPr>
          <w:rFonts w:eastAsia="宋体" w:cs="Times New Roman"/>
          <w:szCs w:val="24"/>
        </w:rPr>
        <w:t>如果伤者呼吸心跳停止，开始人工呼吸和胸外心脏按压。若伤者昏迷，则将其身体放置成卧式，打电话叫救护车，或立即送伤者到医院急救。</w:t>
      </w:r>
    </w:p>
    <w:p w14:paraId="1A12E3CC">
      <w:pPr>
        <w:rPr>
          <w:rFonts w:eastAsia="宋体" w:cs="Times New Roman"/>
          <w:szCs w:val="24"/>
        </w:rPr>
      </w:pPr>
      <w:r>
        <w:rPr>
          <w:rFonts w:eastAsia="宋体" w:cs="Times New Roman"/>
          <w:szCs w:val="24"/>
        </w:rPr>
        <w:t>（4）火灾事故现场处置措施</w:t>
      </w:r>
    </w:p>
    <w:p w14:paraId="7B2F1274">
      <w:pPr>
        <w:ind w:firstLine="480"/>
        <w:rPr>
          <w:rFonts w:eastAsia="宋体" w:cs="Times New Roman"/>
          <w:szCs w:val="24"/>
        </w:rPr>
      </w:pPr>
      <w:r>
        <w:rPr>
          <w:rFonts w:hint="eastAsia" w:ascii="宋体" w:hAnsi="宋体" w:eastAsia="宋体" w:cs="宋体"/>
          <w:szCs w:val="24"/>
        </w:rPr>
        <w:t>①</w:t>
      </w:r>
      <w:r>
        <w:rPr>
          <w:rFonts w:eastAsia="宋体" w:cs="Times New Roman"/>
          <w:szCs w:val="24"/>
        </w:rPr>
        <w:t>员工发现事故征兆，如电源线产生火花，某个部位有烟气、异味等，立即报告现场负责人，现场人员在保证自身安全的条件下，立即进行自救，灭火，防止火情扩大。</w:t>
      </w:r>
    </w:p>
    <w:p w14:paraId="43F74308">
      <w:pPr>
        <w:ind w:firstLine="480"/>
        <w:rPr>
          <w:rFonts w:eastAsia="宋体" w:cs="Times New Roman"/>
          <w:szCs w:val="24"/>
        </w:rPr>
      </w:pPr>
      <w:r>
        <w:rPr>
          <w:rFonts w:hint="eastAsia" w:ascii="宋体" w:hAnsi="宋体" w:eastAsia="宋体" w:cs="宋体"/>
          <w:szCs w:val="24"/>
        </w:rPr>
        <w:t>②</w:t>
      </w:r>
      <w:r>
        <w:rPr>
          <w:rFonts w:eastAsia="宋体" w:cs="Times New Roman"/>
          <w:szCs w:val="24"/>
        </w:rPr>
        <w:t>事故现场继续蔓延扩大，现场指挥人员通知各救援小组快速集结，快速反应履行各自职责投入灭火行动。</w:t>
      </w:r>
    </w:p>
    <w:p w14:paraId="56B49506">
      <w:pPr>
        <w:ind w:firstLine="480"/>
        <w:rPr>
          <w:rFonts w:eastAsia="宋体" w:cs="Times New Roman"/>
          <w:szCs w:val="24"/>
        </w:rPr>
      </w:pPr>
      <w:r>
        <w:rPr>
          <w:rFonts w:hint="eastAsia" w:ascii="宋体" w:hAnsi="宋体" w:eastAsia="宋体" w:cs="宋体"/>
          <w:szCs w:val="24"/>
        </w:rPr>
        <w:t>③</w:t>
      </w:r>
      <w:r>
        <w:rPr>
          <w:rFonts w:eastAsia="宋体" w:cs="Times New Roman"/>
          <w:szCs w:val="24"/>
        </w:rPr>
        <w:t>拨打119火警电话，派人接应消防车辆，并随时与救援领导小组联系。</w:t>
      </w:r>
    </w:p>
    <w:p w14:paraId="28027C30">
      <w:pPr>
        <w:ind w:firstLine="480"/>
        <w:rPr>
          <w:rFonts w:eastAsia="宋体" w:cs="Times New Roman"/>
          <w:szCs w:val="24"/>
        </w:rPr>
      </w:pPr>
      <w:r>
        <w:rPr>
          <w:rFonts w:hint="eastAsia" w:ascii="宋体" w:hAnsi="宋体" w:eastAsia="宋体" w:cs="宋体"/>
          <w:szCs w:val="24"/>
        </w:rPr>
        <w:t>④</w:t>
      </w:r>
      <w:r>
        <w:rPr>
          <w:rFonts w:eastAsia="宋体" w:cs="Times New Roman"/>
          <w:szCs w:val="24"/>
        </w:rPr>
        <w:t>根据不同类型的火灾，采取不同的方法进行灭火，如含碳固体可燃物，甲、乙、丙类液体（如汽油、煤油、柴油、甲醇等）燃烧的火灾，则用灭火器扑救，如带电物体燃烧的火灾，首先切断供电线路及电气设备电源，再利用灭火器进行灭火。</w:t>
      </w:r>
    </w:p>
    <w:p w14:paraId="5666C502">
      <w:pPr>
        <w:ind w:firstLine="480"/>
        <w:rPr>
          <w:rFonts w:eastAsia="宋体" w:cs="Times New Roman"/>
          <w:szCs w:val="24"/>
        </w:rPr>
      </w:pPr>
      <w:r>
        <w:rPr>
          <w:rFonts w:hint="eastAsia" w:ascii="宋体" w:hAnsi="宋体" w:eastAsia="宋体" w:cs="宋体"/>
          <w:szCs w:val="24"/>
        </w:rPr>
        <w:t>⑤</w:t>
      </w:r>
      <w:r>
        <w:rPr>
          <w:rFonts w:eastAsia="宋体" w:cs="Times New Roman"/>
          <w:szCs w:val="24"/>
        </w:rPr>
        <w:t>气焊中，氧气软管着火时，不得折弯软管断气，应立即关闭氧气阀门停止供氧。乙炔软管着火时，应先关闭炬火，可用折弯前面一段软管的办法将火熄灭。</w:t>
      </w:r>
    </w:p>
    <w:p w14:paraId="611A53D7">
      <w:pPr>
        <w:pStyle w:val="6"/>
        <w:keepNext/>
        <w:keepLines/>
        <w:pageBreakBefore w:val="0"/>
        <w:widowControl w:val="0"/>
        <w:numPr>
          <w:ilvl w:val="0"/>
          <w:numId w:val="56"/>
        </w:numPr>
        <w:kinsoku/>
        <w:wordWrap/>
        <w:overflowPunct/>
        <w:topLinePunct w:val="0"/>
        <w:autoSpaceDE/>
        <w:autoSpaceDN/>
        <w:bidi w:val="0"/>
        <w:adjustRightInd/>
        <w:snapToGrid/>
        <w:ind w:left="0" w:leftChars="0" w:firstLine="0" w:firstLineChars="0"/>
        <w:textAlignment w:val="auto"/>
      </w:pPr>
      <w:bookmarkStart w:id="224" w:name="_Toc448225856"/>
      <w:bookmarkStart w:id="225" w:name="_Toc448225306"/>
      <w:r>
        <w:t>应急保障</w:t>
      </w:r>
      <w:bookmarkEnd w:id="224"/>
      <w:bookmarkEnd w:id="225"/>
    </w:p>
    <w:p w14:paraId="2954903A">
      <w:pPr>
        <w:bidi w:val="0"/>
        <w:rPr>
          <w:rFonts w:hint="eastAsia"/>
          <w:highlight w:val="none"/>
          <w:lang w:val="en-US" w:eastAsia="zh-CN"/>
        </w:rPr>
      </w:pPr>
      <w:bookmarkStart w:id="226" w:name="_Toc47"/>
      <w:bookmarkStart w:id="227" w:name="_Toc1344"/>
      <w:r>
        <w:rPr>
          <w:rFonts w:hint="eastAsia"/>
          <w:highlight w:val="none"/>
          <w:lang w:val="en-US" w:eastAsia="zh-CN"/>
        </w:rPr>
        <w:t>1、应急指挥联络方式</w:t>
      </w:r>
      <w:bookmarkEnd w:id="226"/>
      <w:bookmarkEnd w:id="227"/>
    </w:p>
    <w:p w14:paraId="03F8EE1D">
      <w:pPr>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①配备所需的通信联络设备，如手机、固定电话、对讲机等，并公布应急救援领导小组电话、联系人等；</w:t>
      </w:r>
    </w:p>
    <w:p w14:paraId="7AEDEE30">
      <w:pPr>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②组建固定的救援队伍；</w:t>
      </w:r>
    </w:p>
    <w:p w14:paraId="4A9020E3">
      <w:pPr>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③配齐配足必要的救援专用设备和器械；</w:t>
      </w:r>
    </w:p>
    <w:p w14:paraId="17D357B3">
      <w:pPr>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④项目部财务应准备一定金额的应急救援备用金，并不得挪用；</w:t>
      </w:r>
    </w:p>
    <w:p w14:paraId="762CEC18">
      <w:pPr>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t>⑤根据实际情况制定的其它应急措施；</w:t>
      </w:r>
    </w:p>
    <w:p w14:paraId="77FBCFEC">
      <w:pPr>
        <w:ind w:firstLine="480"/>
        <w:rPr>
          <w:rFonts w:hint="eastAsia" w:ascii="宋体" w:hAnsi="宋体" w:eastAsia="宋体" w:cs="宋体"/>
          <w:szCs w:val="24"/>
          <w:lang w:val="en-US" w:eastAsia="zh-CN"/>
        </w:rPr>
      </w:pPr>
      <w:r>
        <w:rPr>
          <w:rFonts w:hint="eastAsia" w:ascii="宋体" w:hAnsi="宋体" w:eastAsia="宋体" w:cs="宋体"/>
          <w:szCs w:val="24"/>
          <w:lang w:val="en-US" w:eastAsia="zh-CN"/>
        </w:rPr>
        <w:fldChar w:fldCharType="begin"/>
      </w:r>
      <w:r>
        <w:rPr>
          <w:rFonts w:hint="eastAsia" w:ascii="宋体" w:hAnsi="宋体" w:eastAsia="宋体" w:cs="宋体"/>
          <w:szCs w:val="24"/>
          <w:lang w:val="en-US" w:eastAsia="zh-CN"/>
        </w:rPr>
        <w:instrText xml:space="preserve"> = 6 \* GB3 </w:instrText>
      </w:r>
      <w:r>
        <w:rPr>
          <w:rFonts w:hint="eastAsia" w:ascii="宋体" w:hAnsi="宋体" w:eastAsia="宋体" w:cs="宋体"/>
          <w:szCs w:val="24"/>
          <w:lang w:val="en-US" w:eastAsia="zh-CN"/>
        </w:rPr>
        <w:fldChar w:fldCharType="separate"/>
      </w:r>
      <w:r>
        <w:rPr>
          <w:rFonts w:hint="eastAsia" w:ascii="宋体" w:hAnsi="宋体" w:eastAsia="宋体" w:cs="宋体"/>
          <w:szCs w:val="24"/>
          <w:lang w:val="en-US" w:eastAsia="zh-CN"/>
        </w:rPr>
        <w:t>⑥</w:t>
      </w:r>
      <w:r>
        <w:rPr>
          <w:rFonts w:hint="eastAsia" w:ascii="宋体" w:hAnsi="宋体" w:eastAsia="宋体" w:cs="宋体"/>
          <w:szCs w:val="24"/>
          <w:lang w:val="en-US" w:eastAsia="zh-CN"/>
        </w:rPr>
        <w:fldChar w:fldCharType="end"/>
      </w:r>
      <w:r>
        <w:rPr>
          <w:rFonts w:hint="eastAsia" w:ascii="宋体" w:hAnsi="宋体" w:eastAsia="宋体" w:cs="宋体"/>
          <w:szCs w:val="24"/>
          <w:lang w:val="en-US" w:eastAsia="zh-CN"/>
        </w:rPr>
        <w:t>外部依托条件。</w:t>
      </w:r>
    </w:p>
    <w:p w14:paraId="66FD2CBF">
      <w:pPr>
        <w:bidi w:val="0"/>
        <w:ind w:left="0" w:leftChars="0" w:firstLine="0" w:firstLineChars="0"/>
        <w:rPr>
          <w:rFonts w:hint="eastAsia" w:ascii="宋体" w:hAnsi="宋体" w:eastAsia="宋体" w:cs="宋体"/>
          <w:color w:val="auto"/>
          <w:highlight w:val="none"/>
          <w:lang w:val="en-US" w:eastAsia="zh-CN"/>
        </w:rPr>
      </w:pPr>
      <w:r>
        <w:rPr>
          <w:color w:val="auto"/>
          <w:highlight w:val="none"/>
        </w:rPr>
        <w:drawing>
          <wp:inline distT="0" distB="0" distL="114300" distR="114300">
            <wp:extent cx="5939790" cy="3620135"/>
            <wp:effectExtent l="0" t="0" r="381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5"/>
                    <a:stretch>
                      <a:fillRect/>
                    </a:stretch>
                  </pic:blipFill>
                  <pic:spPr>
                    <a:xfrm>
                      <a:off x="0" y="0"/>
                      <a:ext cx="5939790" cy="3620135"/>
                    </a:xfrm>
                    <a:prstGeom prst="rect">
                      <a:avLst/>
                    </a:prstGeom>
                    <a:noFill/>
                    <a:ln>
                      <a:noFill/>
                    </a:ln>
                  </pic:spPr>
                </pic:pic>
              </a:graphicData>
            </a:graphic>
          </wp:inline>
        </w:drawing>
      </w:r>
    </w:p>
    <w:p w14:paraId="6ED96180">
      <w:pPr>
        <w:bidi w:val="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图</w:t>
      </w:r>
      <w:r>
        <w:rPr>
          <w:rFonts w:hint="eastAsia" w:ascii="宋体" w:hAnsi="宋体" w:cs="宋体"/>
          <w:b/>
          <w:bCs/>
          <w:color w:val="auto"/>
          <w:highlight w:val="none"/>
          <w:lang w:val="en-US" w:eastAsia="zh-CN"/>
        </w:rPr>
        <w:t>12.4.4</w:t>
      </w:r>
      <w:r>
        <w:rPr>
          <w:rFonts w:hint="eastAsia" w:ascii="宋体" w:hAnsi="宋体" w:eastAsia="宋体" w:cs="宋体"/>
          <w:b/>
          <w:bCs/>
          <w:color w:val="auto"/>
          <w:highlight w:val="none"/>
          <w:lang w:val="en-US" w:eastAsia="zh-CN"/>
        </w:rPr>
        <w:t>-1</w:t>
      </w:r>
      <w:r>
        <w:rPr>
          <w:rFonts w:hint="eastAsia" w:ascii="宋体" w:hAnsi="宋体" w:cs="宋体"/>
          <w:b/>
          <w:bCs/>
          <w:color w:val="auto"/>
          <w:highlight w:val="none"/>
          <w:lang w:val="en-US" w:eastAsia="zh-CN"/>
        </w:rPr>
        <w:t>：</w:t>
      </w:r>
      <w:r>
        <w:rPr>
          <w:rFonts w:hint="eastAsia" w:ascii="宋体" w:hAnsi="宋体" w:eastAsia="宋体" w:cs="宋体"/>
          <w:b/>
          <w:bCs/>
          <w:color w:val="auto"/>
          <w:highlight w:val="none"/>
          <w:lang w:val="en-US" w:eastAsia="zh-CN"/>
        </w:rPr>
        <w:t>工程所在地到</w:t>
      </w:r>
      <w:r>
        <w:rPr>
          <w:rFonts w:hint="eastAsia" w:ascii="宋体" w:hAnsi="宋体" w:cs="宋体"/>
          <w:b/>
          <w:bCs/>
          <w:color w:val="auto"/>
          <w:highlight w:val="none"/>
          <w:lang w:val="en-US" w:eastAsia="zh-CN"/>
        </w:rPr>
        <w:t>各应急单位</w:t>
      </w:r>
      <w:r>
        <w:rPr>
          <w:rFonts w:hint="eastAsia" w:ascii="宋体" w:hAnsi="宋体" w:eastAsia="宋体" w:cs="宋体"/>
          <w:b/>
          <w:bCs/>
          <w:color w:val="auto"/>
          <w:highlight w:val="none"/>
          <w:lang w:val="en-US" w:eastAsia="zh-CN"/>
        </w:rPr>
        <w:t>导航图</w:t>
      </w:r>
    </w:p>
    <w:p w14:paraId="3E2E6C7E">
      <w:pPr>
        <w:bidi w:val="0"/>
        <w:rPr>
          <w:rFonts w:hint="eastAsia" w:eastAsia="宋体"/>
          <w:color w:val="auto"/>
          <w:highlight w:val="none"/>
          <w:lang w:eastAsia="zh-CN"/>
        </w:rPr>
      </w:pPr>
      <w:r>
        <w:rPr>
          <w:rFonts w:hint="eastAsia" w:ascii="宋体" w:hAnsi="宋体" w:eastAsia="宋体" w:cs="宋体"/>
          <w:color w:val="auto"/>
          <w:highlight w:val="none"/>
          <w:lang w:val="en-US" w:eastAsia="zh-CN"/>
        </w:rPr>
        <w:t>救援路线及紧急电话</w:t>
      </w:r>
      <w:r>
        <w:rPr>
          <w:rFonts w:hint="eastAsia" w:ascii="宋体" w:hAnsi="宋体" w:cs="宋体"/>
          <w:color w:val="auto"/>
          <w:highlight w:val="none"/>
          <w:lang w:val="en-US" w:eastAsia="zh-CN"/>
        </w:rPr>
        <w:t>：</w:t>
      </w:r>
    </w:p>
    <w:p w14:paraId="7B598A5C">
      <w:pPr>
        <w:bidi w:val="0"/>
        <w:ind w:left="0"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应急领导小组成员的手机24小时开通。</w:t>
      </w:r>
    </w:p>
    <w:tbl>
      <w:tblPr>
        <w:tblStyle w:val="30"/>
        <w:tblW w:w="89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2373"/>
        <w:gridCol w:w="3627"/>
        <w:gridCol w:w="2201"/>
      </w:tblGrid>
      <w:tr w14:paraId="18145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763" w:type="dxa"/>
            <w:noWrap w:val="0"/>
            <w:vAlign w:val="center"/>
          </w:tcPr>
          <w:p w14:paraId="124A51CA">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序号</w:t>
            </w:r>
          </w:p>
        </w:tc>
        <w:tc>
          <w:tcPr>
            <w:tcW w:w="2373" w:type="dxa"/>
            <w:noWrap w:val="0"/>
            <w:vAlign w:val="center"/>
          </w:tcPr>
          <w:p w14:paraId="0098F64C">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单位</w:t>
            </w:r>
          </w:p>
        </w:tc>
        <w:tc>
          <w:tcPr>
            <w:tcW w:w="3627" w:type="dxa"/>
            <w:noWrap w:val="0"/>
            <w:vAlign w:val="center"/>
          </w:tcPr>
          <w:p w14:paraId="3D823B2E">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地址</w:t>
            </w:r>
          </w:p>
        </w:tc>
        <w:tc>
          <w:tcPr>
            <w:tcW w:w="2201" w:type="dxa"/>
            <w:noWrap w:val="0"/>
            <w:vAlign w:val="center"/>
          </w:tcPr>
          <w:p w14:paraId="1D78741C">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电话</w:t>
            </w:r>
          </w:p>
        </w:tc>
      </w:tr>
      <w:tr w14:paraId="5622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63" w:type="dxa"/>
            <w:noWrap w:val="0"/>
            <w:vAlign w:val="center"/>
          </w:tcPr>
          <w:p w14:paraId="5A4DDF9A">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1</w:t>
            </w:r>
          </w:p>
        </w:tc>
        <w:tc>
          <w:tcPr>
            <w:tcW w:w="2373" w:type="dxa"/>
            <w:noWrap w:val="0"/>
            <w:vAlign w:val="center"/>
          </w:tcPr>
          <w:p w14:paraId="763DE4E9">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shd w:val="clear" w:color="auto" w:fill="FFFFFF"/>
                <w:lang w:val="en-US" w:eastAsia="zh-CN"/>
              </w:rPr>
              <w:t>渠县佑安</w:t>
            </w:r>
            <w:r>
              <w:rPr>
                <w:rFonts w:hint="eastAsia" w:ascii="宋体" w:hAnsi="宋体" w:cs="宋体"/>
                <w:color w:val="auto"/>
                <w:sz w:val="24"/>
                <w:highlight w:val="none"/>
                <w:shd w:val="clear" w:color="auto" w:fill="FFFFFF"/>
              </w:rPr>
              <w:t>医院</w:t>
            </w:r>
          </w:p>
        </w:tc>
        <w:tc>
          <w:tcPr>
            <w:tcW w:w="3627" w:type="dxa"/>
            <w:noWrap w:val="0"/>
            <w:vAlign w:val="center"/>
          </w:tcPr>
          <w:p w14:paraId="5BF45F68">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shd w:val="clear" w:color="auto" w:fill="FFFFFF"/>
              </w:rPr>
              <w:t>达州市渠县</w:t>
            </w:r>
            <w:r>
              <w:rPr>
                <w:rFonts w:hint="eastAsia" w:ascii="宋体" w:hAnsi="宋体" w:cs="宋体"/>
                <w:color w:val="auto"/>
                <w:sz w:val="24"/>
                <w:highlight w:val="none"/>
                <w:shd w:val="clear" w:color="auto" w:fill="FFFFFF"/>
                <w:lang w:val="en-US" w:eastAsia="zh-CN"/>
              </w:rPr>
              <w:t>营渠路</w:t>
            </w:r>
          </w:p>
        </w:tc>
        <w:tc>
          <w:tcPr>
            <w:tcW w:w="2201" w:type="dxa"/>
            <w:noWrap w:val="0"/>
            <w:vAlign w:val="center"/>
          </w:tcPr>
          <w:p w14:paraId="4E646092">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shd w:val="clear" w:color="auto" w:fill="FFFFFF"/>
              </w:rPr>
              <w:t>0818-73</w:t>
            </w:r>
            <w:r>
              <w:rPr>
                <w:rFonts w:hint="eastAsia" w:ascii="宋体" w:hAnsi="宋体" w:cs="宋体"/>
                <w:color w:val="auto"/>
                <w:sz w:val="24"/>
                <w:highlight w:val="none"/>
                <w:shd w:val="clear" w:color="auto" w:fill="FFFFFF"/>
                <w:lang w:val="en-US" w:eastAsia="zh-CN"/>
              </w:rPr>
              <w:t>15555</w:t>
            </w:r>
          </w:p>
        </w:tc>
      </w:tr>
      <w:tr w14:paraId="3DE4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763" w:type="dxa"/>
            <w:noWrap w:val="0"/>
            <w:vAlign w:val="center"/>
          </w:tcPr>
          <w:p w14:paraId="5813CCB5">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2</w:t>
            </w:r>
          </w:p>
        </w:tc>
        <w:tc>
          <w:tcPr>
            <w:tcW w:w="2373" w:type="dxa"/>
            <w:noWrap w:val="0"/>
            <w:vAlign w:val="center"/>
          </w:tcPr>
          <w:p w14:paraId="3FA48D58">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渠县公安消防大队</w:t>
            </w:r>
          </w:p>
        </w:tc>
        <w:tc>
          <w:tcPr>
            <w:tcW w:w="3627" w:type="dxa"/>
            <w:noWrap w:val="0"/>
            <w:vAlign w:val="center"/>
          </w:tcPr>
          <w:p w14:paraId="2A3AD39B">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两路口公安消防中队</w:t>
            </w:r>
          </w:p>
        </w:tc>
        <w:tc>
          <w:tcPr>
            <w:tcW w:w="2201" w:type="dxa"/>
            <w:noWrap w:val="0"/>
            <w:vAlign w:val="center"/>
          </w:tcPr>
          <w:p w14:paraId="772FE2B4">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0818-7215119</w:t>
            </w:r>
          </w:p>
        </w:tc>
      </w:tr>
      <w:tr w14:paraId="16CF1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763" w:type="dxa"/>
            <w:noWrap w:val="0"/>
            <w:vAlign w:val="center"/>
          </w:tcPr>
          <w:p w14:paraId="1620DB31">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rPr>
              <w:t>3</w:t>
            </w:r>
          </w:p>
        </w:tc>
        <w:tc>
          <w:tcPr>
            <w:tcW w:w="2373" w:type="dxa"/>
            <w:noWrap w:val="0"/>
            <w:vAlign w:val="center"/>
          </w:tcPr>
          <w:p w14:paraId="5A3FB847">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达州渠县公安局</w:t>
            </w:r>
          </w:p>
        </w:tc>
        <w:tc>
          <w:tcPr>
            <w:tcW w:w="3627" w:type="dxa"/>
            <w:noWrap w:val="0"/>
            <w:vAlign w:val="center"/>
          </w:tcPr>
          <w:p w14:paraId="75C0FBF8">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达州市后溪街3号</w:t>
            </w:r>
          </w:p>
        </w:tc>
        <w:tc>
          <w:tcPr>
            <w:tcW w:w="2201" w:type="dxa"/>
            <w:noWrap w:val="0"/>
            <w:vAlign w:val="center"/>
          </w:tcPr>
          <w:p w14:paraId="233B2595">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0818-7216232</w:t>
            </w:r>
          </w:p>
        </w:tc>
      </w:tr>
    </w:tbl>
    <w:p w14:paraId="54CBFFCC">
      <w:pPr>
        <w:bidi w:val="0"/>
        <w:rPr>
          <w:rFonts w:hint="eastAsia"/>
          <w:highlight w:val="none"/>
          <w:lang w:val="en-US" w:eastAsia="zh-CN"/>
        </w:rPr>
      </w:pPr>
      <w:bookmarkStart w:id="228" w:name="_Toc22296"/>
      <w:bookmarkStart w:id="229" w:name="_Toc18665"/>
      <w:r>
        <w:rPr>
          <w:rFonts w:hint="eastAsia"/>
          <w:highlight w:val="none"/>
          <w:lang w:val="en-US" w:eastAsia="zh-CN"/>
        </w:rPr>
        <w:t>2、应急物资装备保障措施</w:t>
      </w:r>
      <w:bookmarkEnd w:id="228"/>
      <w:bookmarkEnd w:id="229"/>
    </w:p>
    <w:p w14:paraId="2A0E2CFD">
      <w:pPr>
        <w:ind w:firstLine="480"/>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依据本预案应急处置的需求，建立健全以本项目应急组织为主体，应急物资储备和社会救援物资为辅的应急物资供应保障体系，完善应急物资储备的联动机制，做到本项目内部各部门、各场所应急物资资源共享、动态管理。应急物资保障由后勤救护组负责；在应急状态下，由应急指挥部调配使用。</w:t>
      </w:r>
    </w:p>
    <w:p w14:paraId="0B12EAD7">
      <w:pPr>
        <w:bidi w:val="0"/>
        <w:ind w:firstLine="2891" w:firstLineChars="1200"/>
        <w:jc w:val="both"/>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w:t>
      </w:r>
      <w:r>
        <w:rPr>
          <w:rFonts w:hint="eastAsia" w:ascii="宋体" w:hAnsi="宋体" w:cs="宋体"/>
          <w:b/>
          <w:bCs/>
          <w:color w:val="auto"/>
          <w:highlight w:val="none"/>
          <w:lang w:val="en-US" w:eastAsia="zh-CN"/>
        </w:rPr>
        <w:t>12.4.4</w:t>
      </w:r>
      <w:r>
        <w:rPr>
          <w:rFonts w:hint="eastAsia" w:ascii="宋体" w:hAnsi="宋体" w:eastAsia="宋体" w:cs="宋体"/>
          <w:b/>
          <w:bCs/>
          <w:color w:val="auto"/>
          <w:highlight w:val="none"/>
          <w:lang w:val="en-US" w:eastAsia="zh-CN"/>
        </w:rPr>
        <w:t>-1</w:t>
      </w:r>
      <w:r>
        <w:rPr>
          <w:rFonts w:hint="eastAsia" w:ascii="宋体" w:hAnsi="宋体" w:cs="宋体"/>
          <w:b/>
          <w:bCs/>
          <w:color w:val="auto"/>
          <w:highlight w:val="none"/>
          <w:lang w:val="en-US" w:eastAsia="zh-CN"/>
        </w:rPr>
        <w:t>：</w:t>
      </w:r>
      <w:r>
        <w:rPr>
          <w:rFonts w:hint="eastAsia" w:ascii="宋体" w:hAnsi="宋体" w:eastAsia="宋体" w:cs="宋体"/>
          <w:b/>
          <w:bCs/>
          <w:color w:val="auto"/>
          <w:highlight w:val="none"/>
          <w:lang w:val="en-US" w:eastAsia="zh-CN"/>
        </w:rPr>
        <w:t xml:space="preserve"> 应急物资清单</w:t>
      </w:r>
    </w:p>
    <w:tbl>
      <w:tblPr>
        <w:tblStyle w:val="30"/>
        <w:tblW w:w="899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8"/>
        <w:gridCol w:w="1498"/>
        <w:gridCol w:w="1498"/>
        <w:gridCol w:w="1498"/>
        <w:gridCol w:w="1498"/>
        <w:gridCol w:w="1503"/>
      </w:tblGrid>
      <w:tr w14:paraId="5B53A88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498" w:type="dxa"/>
            <w:noWrap w:val="0"/>
            <w:vAlign w:val="center"/>
          </w:tcPr>
          <w:p w14:paraId="6A5A6F73">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1498" w:type="dxa"/>
            <w:noWrap w:val="0"/>
            <w:vAlign w:val="center"/>
          </w:tcPr>
          <w:p w14:paraId="558F0AF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名称</w:t>
            </w:r>
          </w:p>
        </w:tc>
        <w:tc>
          <w:tcPr>
            <w:tcW w:w="1498" w:type="dxa"/>
            <w:noWrap w:val="0"/>
            <w:vAlign w:val="center"/>
          </w:tcPr>
          <w:p w14:paraId="6EFCBB8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用途</w:t>
            </w:r>
          </w:p>
        </w:tc>
        <w:tc>
          <w:tcPr>
            <w:tcW w:w="1498" w:type="dxa"/>
            <w:noWrap w:val="0"/>
            <w:vAlign w:val="center"/>
          </w:tcPr>
          <w:p w14:paraId="28E6C878">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w:t>
            </w:r>
          </w:p>
        </w:tc>
        <w:tc>
          <w:tcPr>
            <w:tcW w:w="1498" w:type="dxa"/>
            <w:noWrap w:val="0"/>
            <w:vAlign w:val="center"/>
          </w:tcPr>
          <w:p w14:paraId="6C104BE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名称</w:t>
            </w:r>
          </w:p>
        </w:tc>
        <w:tc>
          <w:tcPr>
            <w:tcW w:w="1503" w:type="dxa"/>
            <w:noWrap w:val="0"/>
            <w:vAlign w:val="center"/>
          </w:tcPr>
          <w:p w14:paraId="59B9D657">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用途</w:t>
            </w:r>
          </w:p>
        </w:tc>
      </w:tr>
      <w:tr w14:paraId="3848C0A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498" w:type="dxa"/>
            <w:noWrap w:val="0"/>
            <w:vAlign w:val="center"/>
          </w:tcPr>
          <w:p w14:paraId="3409337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498" w:type="dxa"/>
            <w:noWrap w:val="0"/>
            <w:vAlign w:val="center"/>
          </w:tcPr>
          <w:p w14:paraId="169D2C5D">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应急救箱</w:t>
            </w:r>
          </w:p>
        </w:tc>
        <w:tc>
          <w:tcPr>
            <w:tcW w:w="1498" w:type="dxa"/>
            <w:noWrap w:val="0"/>
            <w:vAlign w:val="center"/>
          </w:tcPr>
          <w:p w14:paraId="4105855C">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消毒</w:t>
            </w:r>
          </w:p>
        </w:tc>
        <w:tc>
          <w:tcPr>
            <w:tcW w:w="1498" w:type="dxa"/>
            <w:noWrap w:val="0"/>
            <w:vAlign w:val="center"/>
          </w:tcPr>
          <w:p w14:paraId="2DE7059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w:t>
            </w:r>
          </w:p>
        </w:tc>
        <w:tc>
          <w:tcPr>
            <w:tcW w:w="1498" w:type="dxa"/>
            <w:noWrap w:val="0"/>
            <w:vAlign w:val="center"/>
          </w:tcPr>
          <w:p w14:paraId="5081ABA7">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千斤顶</w:t>
            </w:r>
          </w:p>
        </w:tc>
        <w:tc>
          <w:tcPr>
            <w:tcW w:w="1503" w:type="dxa"/>
            <w:noWrap w:val="0"/>
            <w:vAlign w:val="center"/>
          </w:tcPr>
          <w:p w14:paraId="324E2EB7">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支护</w:t>
            </w:r>
          </w:p>
        </w:tc>
      </w:tr>
      <w:tr w14:paraId="1C447D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498" w:type="dxa"/>
            <w:noWrap w:val="0"/>
            <w:vAlign w:val="center"/>
          </w:tcPr>
          <w:p w14:paraId="51361732">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1498" w:type="dxa"/>
            <w:noWrap w:val="0"/>
            <w:vAlign w:val="center"/>
          </w:tcPr>
          <w:p w14:paraId="5076C704">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绷带</w:t>
            </w:r>
          </w:p>
        </w:tc>
        <w:tc>
          <w:tcPr>
            <w:tcW w:w="1498" w:type="dxa"/>
            <w:noWrap w:val="0"/>
            <w:vAlign w:val="center"/>
          </w:tcPr>
          <w:p w14:paraId="0A3E8455">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止血、包扎</w:t>
            </w:r>
          </w:p>
        </w:tc>
        <w:tc>
          <w:tcPr>
            <w:tcW w:w="1498" w:type="dxa"/>
            <w:noWrap w:val="0"/>
            <w:vAlign w:val="center"/>
          </w:tcPr>
          <w:p w14:paraId="39E6294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1498" w:type="dxa"/>
            <w:noWrap w:val="0"/>
            <w:vAlign w:val="center"/>
          </w:tcPr>
          <w:p w14:paraId="7098428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大锤</w:t>
            </w:r>
          </w:p>
        </w:tc>
        <w:tc>
          <w:tcPr>
            <w:tcW w:w="1503" w:type="dxa"/>
            <w:noWrap w:val="0"/>
            <w:vAlign w:val="center"/>
          </w:tcPr>
          <w:p w14:paraId="3B6FEF7E">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清除障碍</w:t>
            </w:r>
          </w:p>
        </w:tc>
      </w:tr>
      <w:tr w14:paraId="6BA8937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498" w:type="dxa"/>
            <w:noWrap w:val="0"/>
            <w:vAlign w:val="center"/>
          </w:tcPr>
          <w:p w14:paraId="4FF057C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498" w:type="dxa"/>
            <w:noWrap w:val="0"/>
            <w:vAlign w:val="center"/>
          </w:tcPr>
          <w:p w14:paraId="107596F1">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止血药物</w:t>
            </w:r>
          </w:p>
        </w:tc>
        <w:tc>
          <w:tcPr>
            <w:tcW w:w="1498" w:type="dxa"/>
            <w:noWrap w:val="0"/>
            <w:vAlign w:val="center"/>
          </w:tcPr>
          <w:p w14:paraId="67D1750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止血</w:t>
            </w:r>
          </w:p>
        </w:tc>
        <w:tc>
          <w:tcPr>
            <w:tcW w:w="1498" w:type="dxa"/>
            <w:noWrap w:val="0"/>
            <w:vAlign w:val="center"/>
          </w:tcPr>
          <w:p w14:paraId="510A65F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w:t>
            </w:r>
          </w:p>
        </w:tc>
        <w:tc>
          <w:tcPr>
            <w:tcW w:w="1498" w:type="dxa"/>
            <w:noWrap w:val="0"/>
            <w:vAlign w:val="center"/>
          </w:tcPr>
          <w:p w14:paraId="2FB62F31">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手电筒</w:t>
            </w:r>
          </w:p>
        </w:tc>
        <w:tc>
          <w:tcPr>
            <w:tcW w:w="1503" w:type="dxa"/>
            <w:noWrap w:val="0"/>
            <w:vAlign w:val="center"/>
          </w:tcPr>
          <w:p w14:paraId="634A8AFA">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照明</w:t>
            </w:r>
          </w:p>
        </w:tc>
      </w:tr>
      <w:tr w14:paraId="1A007EA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498" w:type="dxa"/>
            <w:noWrap w:val="0"/>
            <w:vAlign w:val="center"/>
          </w:tcPr>
          <w:p w14:paraId="2DE622DF">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p>
        </w:tc>
        <w:tc>
          <w:tcPr>
            <w:tcW w:w="1498" w:type="dxa"/>
            <w:noWrap w:val="0"/>
            <w:vAlign w:val="center"/>
          </w:tcPr>
          <w:p w14:paraId="0D3423B3">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简易担架</w:t>
            </w:r>
          </w:p>
        </w:tc>
        <w:tc>
          <w:tcPr>
            <w:tcW w:w="1498" w:type="dxa"/>
            <w:noWrap w:val="0"/>
            <w:vAlign w:val="center"/>
          </w:tcPr>
          <w:p w14:paraId="0F5C8C23">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救护</w:t>
            </w:r>
          </w:p>
        </w:tc>
        <w:tc>
          <w:tcPr>
            <w:tcW w:w="1498" w:type="dxa"/>
            <w:noWrap w:val="0"/>
            <w:vAlign w:val="center"/>
          </w:tcPr>
          <w:p w14:paraId="47EC8294">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w:t>
            </w:r>
          </w:p>
        </w:tc>
        <w:tc>
          <w:tcPr>
            <w:tcW w:w="1498" w:type="dxa"/>
            <w:noWrap w:val="0"/>
            <w:vAlign w:val="center"/>
          </w:tcPr>
          <w:p w14:paraId="0A26C0BA">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对讲机</w:t>
            </w:r>
          </w:p>
        </w:tc>
        <w:tc>
          <w:tcPr>
            <w:tcW w:w="1503" w:type="dxa"/>
            <w:noWrap w:val="0"/>
            <w:vAlign w:val="center"/>
          </w:tcPr>
          <w:p w14:paraId="6DCDAF52">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通讯</w:t>
            </w:r>
          </w:p>
        </w:tc>
      </w:tr>
      <w:tr w14:paraId="6EFDBE0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498" w:type="dxa"/>
            <w:noWrap w:val="0"/>
            <w:vAlign w:val="center"/>
          </w:tcPr>
          <w:p w14:paraId="54F786DE">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p>
        </w:tc>
        <w:tc>
          <w:tcPr>
            <w:tcW w:w="1498" w:type="dxa"/>
            <w:noWrap w:val="0"/>
            <w:vAlign w:val="center"/>
          </w:tcPr>
          <w:p w14:paraId="5E593C54">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急灯</w:t>
            </w:r>
          </w:p>
        </w:tc>
        <w:tc>
          <w:tcPr>
            <w:tcW w:w="1498" w:type="dxa"/>
            <w:noWrap w:val="0"/>
            <w:vAlign w:val="center"/>
          </w:tcPr>
          <w:p w14:paraId="7156D195">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照明</w:t>
            </w:r>
          </w:p>
        </w:tc>
        <w:tc>
          <w:tcPr>
            <w:tcW w:w="1498" w:type="dxa"/>
            <w:noWrap w:val="0"/>
            <w:vAlign w:val="center"/>
          </w:tcPr>
          <w:p w14:paraId="108FD6B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1498" w:type="dxa"/>
            <w:noWrap w:val="0"/>
            <w:vAlign w:val="center"/>
          </w:tcPr>
          <w:p w14:paraId="340CD037">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灭火器</w:t>
            </w:r>
          </w:p>
        </w:tc>
        <w:tc>
          <w:tcPr>
            <w:tcW w:w="1503" w:type="dxa"/>
            <w:noWrap w:val="0"/>
            <w:vAlign w:val="center"/>
          </w:tcPr>
          <w:p w14:paraId="29823B6F">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消灭火源</w:t>
            </w:r>
          </w:p>
        </w:tc>
      </w:tr>
      <w:tr w14:paraId="11FEE04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498" w:type="dxa"/>
            <w:noWrap w:val="0"/>
            <w:vAlign w:val="center"/>
          </w:tcPr>
          <w:p w14:paraId="7F5432BF">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p>
        </w:tc>
        <w:tc>
          <w:tcPr>
            <w:tcW w:w="1498" w:type="dxa"/>
            <w:noWrap w:val="0"/>
            <w:vAlign w:val="center"/>
          </w:tcPr>
          <w:p w14:paraId="517977C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指挥旗</w:t>
            </w:r>
          </w:p>
        </w:tc>
        <w:tc>
          <w:tcPr>
            <w:tcW w:w="1498" w:type="dxa"/>
            <w:noWrap w:val="0"/>
            <w:vAlign w:val="center"/>
          </w:tcPr>
          <w:p w14:paraId="46F01E0E">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指挥联络</w:t>
            </w:r>
          </w:p>
        </w:tc>
        <w:tc>
          <w:tcPr>
            <w:tcW w:w="1498" w:type="dxa"/>
            <w:noWrap w:val="0"/>
            <w:vAlign w:val="center"/>
          </w:tcPr>
          <w:p w14:paraId="0F987BB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w:t>
            </w:r>
          </w:p>
        </w:tc>
        <w:tc>
          <w:tcPr>
            <w:tcW w:w="1498" w:type="dxa"/>
            <w:noWrap w:val="0"/>
            <w:vAlign w:val="center"/>
          </w:tcPr>
          <w:p w14:paraId="27E2538E">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自卸汽车</w:t>
            </w:r>
          </w:p>
        </w:tc>
        <w:tc>
          <w:tcPr>
            <w:tcW w:w="1503" w:type="dxa"/>
            <w:noWrap w:val="0"/>
            <w:vAlign w:val="center"/>
          </w:tcPr>
          <w:p w14:paraId="03AEB0C1">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物资运输</w:t>
            </w:r>
          </w:p>
        </w:tc>
      </w:tr>
      <w:tr w14:paraId="75297F5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498" w:type="dxa"/>
            <w:noWrap w:val="0"/>
            <w:vAlign w:val="center"/>
          </w:tcPr>
          <w:p w14:paraId="2F1F1576">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w:t>
            </w:r>
          </w:p>
        </w:tc>
        <w:tc>
          <w:tcPr>
            <w:tcW w:w="1498" w:type="dxa"/>
            <w:noWrap w:val="0"/>
            <w:vAlign w:val="center"/>
          </w:tcPr>
          <w:p w14:paraId="25D25B1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绳索</w:t>
            </w:r>
          </w:p>
        </w:tc>
        <w:tc>
          <w:tcPr>
            <w:tcW w:w="1498" w:type="dxa"/>
            <w:noWrap w:val="0"/>
            <w:vAlign w:val="center"/>
          </w:tcPr>
          <w:p w14:paraId="2D2B5177">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救护</w:t>
            </w:r>
          </w:p>
        </w:tc>
        <w:tc>
          <w:tcPr>
            <w:tcW w:w="1498" w:type="dxa"/>
            <w:noWrap w:val="0"/>
            <w:vAlign w:val="center"/>
          </w:tcPr>
          <w:p w14:paraId="34DEC0A9">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w:t>
            </w:r>
          </w:p>
        </w:tc>
        <w:tc>
          <w:tcPr>
            <w:tcW w:w="1498" w:type="dxa"/>
            <w:noWrap w:val="0"/>
            <w:vAlign w:val="center"/>
          </w:tcPr>
          <w:p w14:paraId="77D705F1">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吊车</w:t>
            </w:r>
          </w:p>
        </w:tc>
        <w:tc>
          <w:tcPr>
            <w:tcW w:w="1503" w:type="dxa"/>
            <w:noWrap w:val="0"/>
            <w:vAlign w:val="center"/>
          </w:tcPr>
          <w:p w14:paraId="74EA09F0">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障碍物吊离</w:t>
            </w:r>
          </w:p>
        </w:tc>
      </w:tr>
      <w:tr w14:paraId="0F4E164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98" w:type="dxa"/>
            <w:noWrap w:val="0"/>
            <w:vAlign w:val="center"/>
          </w:tcPr>
          <w:p w14:paraId="4E74EBA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w:t>
            </w:r>
          </w:p>
        </w:tc>
        <w:tc>
          <w:tcPr>
            <w:tcW w:w="1498" w:type="dxa"/>
            <w:noWrap w:val="0"/>
            <w:vAlign w:val="center"/>
          </w:tcPr>
          <w:p w14:paraId="1430D29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水桶</w:t>
            </w:r>
          </w:p>
        </w:tc>
        <w:tc>
          <w:tcPr>
            <w:tcW w:w="1498" w:type="dxa"/>
            <w:noWrap w:val="0"/>
            <w:vAlign w:val="center"/>
          </w:tcPr>
          <w:p w14:paraId="5D0AE53F">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灭火</w:t>
            </w:r>
          </w:p>
        </w:tc>
        <w:tc>
          <w:tcPr>
            <w:tcW w:w="1498" w:type="dxa"/>
            <w:noWrap w:val="0"/>
            <w:vAlign w:val="center"/>
          </w:tcPr>
          <w:p w14:paraId="19056854">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1498" w:type="dxa"/>
            <w:noWrap w:val="0"/>
            <w:vAlign w:val="center"/>
          </w:tcPr>
          <w:p w14:paraId="3B27E0A9">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发电机</w:t>
            </w:r>
          </w:p>
        </w:tc>
        <w:tc>
          <w:tcPr>
            <w:tcW w:w="1503" w:type="dxa"/>
            <w:noWrap w:val="0"/>
            <w:vAlign w:val="center"/>
          </w:tcPr>
          <w:p w14:paraId="52C99A92">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供电</w:t>
            </w:r>
          </w:p>
        </w:tc>
      </w:tr>
    </w:tbl>
    <w:p w14:paraId="791CB3F1"/>
    <w:p w14:paraId="642A4A96">
      <w:pPr>
        <w:pStyle w:val="3"/>
        <w:ind w:left="562" w:hanging="562"/>
        <w:rPr>
          <w:rFonts w:cs="Times New Roman"/>
        </w:rPr>
      </w:pPr>
      <w:bookmarkStart w:id="230" w:name="_Toc6664"/>
      <w:r>
        <w:rPr>
          <w:rFonts w:cs="Times New Roman"/>
        </w:rPr>
        <w:t>附件</w:t>
      </w:r>
      <w:bookmarkEnd w:id="230"/>
    </w:p>
    <w:p w14:paraId="014E614B">
      <w:pPr>
        <w:pStyle w:val="5"/>
        <w:numPr>
          <w:ilvl w:val="1"/>
          <w:numId w:val="1"/>
        </w:numPr>
        <w:rPr>
          <w:rFonts w:cs="Times New Roman"/>
        </w:rPr>
      </w:pPr>
      <w:r>
        <w:rPr>
          <w:rFonts w:hint="eastAsia" w:cs="Times New Roman"/>
        </w:rPr>
        <w:t xml:space="preserve"> </w:t>
      </w:r>
      <w:bookmarkStart w:id="231" w:name="_Toc31937"/>
      <w:r>
        <w:rPr>
          <w:rFonts w:cs="Times New Roman"/>
        </w:rPr>
        <w:t>吊索</w:t>
      </w:r>
      <w:r>
        <w:rPr>
          <w:rFonts w:hint="eastAsia" w:cs="Times New Roman"/>
          <w:lang w:val="en-US" w:eastAsia="zh-CN"/>
        </w:rPr>
        <w:t>及卸扣的</w:t>
      </w:r>
      <w:r>
        <w:rPr>
          <w:rFonts w:cs="Times New Roman"/>
        </w:rPr>
        <w:t>选型</w:t>
      </w:r>
      <w:bookmarkEnd w:id="231"/>
    </w:p>
    <w:p w14:paraId="37D18AD8">
      <w:pPr>
        <w:ind w:firstLine="480"/>
        <w:rPr>
          <w:rFonts w:hint="eastAsia" w:ascii="宋体" w:hAnsi="宋体" w:eastAsia="宋体" w:cs="宋体"/>
          <w:sz w:val="24"/>
          <w:szCs w:val="24"/>
        </w:rPr>
      </w:pPr>
      <w:r>
        <w:rPr>
          <w:rFonts w:hint="eastAsia" w:ascii="宋体" w:hAnsi="宋体" w:eastAsia="宋体" w:cs="宋体"/>
          <w:sz w:val="24"/>
          <w:szCs w:val="24"/>
        </w:rPr>
        <w:t>根据起吊重量选择相对应的钢丝绳和卸扣。</w:t>
      </w:r>
    </w:p>
    <w:p w14:paraId="1839C50A">
      <w:pPr>
        <w:ind w:firstLine="480"/>
        <w:rPr>
          <w:rFonts w:hint="eastAsia" w:ascii="宋体" w:hAnsi="宋体" w:eastAsia="宋体" w:cs="宋体"/>
          <w:sz w:val="24"/>
          <w:szCs w:val="24"/>
        </w:rPr>
      </w:pPr>
      <w:r>
        <w:rPr>
          <w:rFonts w:hint="eastAsia" w:ascii="宋体" w:hAnsi="宋体" w:eastAsia="宋体" w:cs="宋体"/>
          <w:sz w:val="24"/>
          <w:szCs w:val="24"/>
        </w:rPr>
        <w:t>有对称分布的与垂直方向具有相同角度的单肢吊索组成的多肢吊索的工作荷载按《一般用途钢丝绳吊索特性和技术条件》公式计算：</w:t>
      </w:r>
    </w:p>
    <w:p w14:paraId="280CCD1C">
      <w:pPr>
        <w:widowControl w:val="0"/>
        <w:tabs>
          <w:tab w:val="left" w:pos="1320"/>
        </w:tabs>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eastAsia" w:ascii="Cambria Math" w:hAnsi="Cambria Math" w:eastAsia="宋体" w:cs="宋体"/>
              <w:b w:val="0"/>
              <w:i w:val="0"/>
              <w:sz w:val="24"/>
              <w:szCs w:val="24"/>
            </w:rPr>
            <m:t>WLL=</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e</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×K÷</m:t>
          </m:r>
          <m:d>
            <m:dPr>
              <m:ctrlPr>
                <w:rPr>
                  <w:rFonts w:hint="eastAsia" w:ascii="Cambria Math" w:hAnsi="Cambria Math" w:eastAsia="宋体" w:cs="宋体"/>
                  <w:sz w:val="24"/>
                  <w:szCs w:val="24"/>
                </w:rPr>
              </m:ctrlPr>
            </m:dPr>
            <m:e>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m</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u</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e>
          </m:d>
        </m:oMath>
      </m:oMathPara>
    </w:p>
    <w:p w14:paraId="60AA39E0">
      <w:pPr>
        <w:widowControl w:val="0"/>
        <w:tabs>
          <w:tab w:val="left" w:pos="1200"/>
        </w:tabs>
        <w:spacing w:line="360" w:lineRule="auto"/>
        <w:ind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式中：</w:t>
      </w:r>
    </w:p>
    <w:p w14:paraId="55F390B5">
      <w:pPr>
        <w:widowControl w:val="0"/>
        <w:tabs>
          <w:tab w:val="left" w:pos="1200"/>
        </w:tabs>
        <w:spacing w:line="360" w:lineRule="auto"/>
        <w:ind w:firstLine="0" w:firstLineChars="0"/>
        <w:jc w:val="both"/>
        <w:rPr>
          <w:rFonts w:hint="eastAsia" w:ascii="宋体" w:hAnsi="宋体" w:eastAsia="宋体" w:cs="宋体"/>
          <w:kern w:val="2"/>
          <w:sz w:val="24"/>
          <w:szCs w:val="24"/>
          <w:lang w:val="en-US" w:eastAsia="zh-CN" w:bidi="ar-SA"/>
        </w:rPr>
      </w:pPr>
    </w:p>
    <w:p w14:paraId="5CA30FE6">
      <w:pPr>
        <w:widowControl w:val="0"/>
        <w:tabs>
          <w:tab w:val="left" w:pos="1200"/>
        </w:tabs>
        <w:spacing w:line="360" w:lineRule="auto"/>
        <w:ind w:firstLine="0" w:firstLineChars="0"/>
        <w:jc w:val="both"/>
        <w:rPr>
          <w:rFonts w:hint="eastAsia" w:ascii="宋体" w:hAnsi="宋体" w:eastAsia="宋体" w:cs="宋体"/>
          <w:kern w:val="2"/>
          <w:sz w:val="24"/>
          <w:szCs w:val="24"/>
          <w:lang w:val="en-US" w:eastAsia="zh-CN" w:bidi="ar-SA"/>
        </w:rPr>
      </w:pP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20"/>
        <w:gridCol w:w="7299"/>
      </w:tblGrid>
      <w:tr w14:paraId="4283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3CEACF8">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08BB0C27">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WLL</w:t>
            </w:r>
          </w:p>
        </w:tc>
        <w:tc>
          <w:tcPr>
            <w:tcW w:w="8048" w:type="dxa"/>
          </w:tcPr>
          <w:p w14:paraId="3E35078A">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——吊索额定工作荷载，单位为t；</w:t>
            </w:r>
          </w:p>
        </w:tc>
      </w:tr>
      <w:tr w14:paraId="5DCD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26C4C33">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4BDABBB0">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F</w:t>
            </w:r>
            <w:r>
              <w:rPr>
                <w:rFonts w:hint="eastAsia" w:ascii="宋体" w:hAnsi="宋体" w:eastAsia="宋体" w:cs="宋体"/>
                <w:i/>
                <w:kern w:val="0"/>
                <w:sz w:val="24"/>
                <w:szCs w:val="24"/>
                <w:vertAlign w:val="subscript"/>
                <w:lang w:val="en-US" w:eastAsia="zh-CN" w:bidi="ar-SA"/>
              </w:rPr>
              <w:t>0</w:t>
            </w:r>
          </w:p>
        </w:tc>
        <w:tc>
          <w:tcPr>
            <w:tcW w:w="8048" w:type="dxa"/>
          </w:tcPr>
          <w:p w14:paraId="68F250AE">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——钢丝绳最小破断拉力，单位为kN；</w:t>
            </w:r>
          </w:p>
        </w:tc>
      </w:tr>
      <w:tr w14:paraId="6C8D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AE7BCAF">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0C4A824E">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r>
              <w:rPr>
                <w:rFonts w:hint="eastAsia" w:ascii="宋体" w:hAnsi="宋体" w:eastAsia="宋体" w:cs="宋体"/>
                <w:i/>
                <w:kern w:val="0"/>
                <w:sz w:val="24"/>
                <w:szCs w:val="24"/>
                <w:vertAlign w:val="subscript"/>
                <w:lang w:val="en-US" w:eastAsia="zh-CN" w:bidi="ar-SA"/>
              </w:rPr>
              <w:t>e</w:t>
            </w:r>
          </w:p>
        </w:tc>
        <w:tc>
          <w:tcPr>
            <w:tcW w:w="8048" w:type="dxa"/>
          </w:tcPr>
          <w:p w14:paraId="426F09F5">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——接头形式效能近似系数，压制接头取0.9，插编接头取0.75；</w:t>
            </w:r>
          </w:p>
        </w:tc>
      </w:tr>
      <w:tr w14:paraId="01F3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749B7EB">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5F556F5F">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p>
        </w:tc>
        <w:tc>
          <w:tcPr>
            <w:tcW w:w="8048" w:type="dxa"/>
          </w:tcPr>
          <w:p w14:paraId="2AC470E2">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——肢的数量与垂直方向角度的相关系数，两肢吊索取1.4，3～4肢吊索取2.1；</w:t>
            </w:r>
          </w:p>
        </w:tc>
      </w:tr>
      <w:tr w14:paraId="3033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297AE79">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2A41DA37">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r>
              <w:rPr>
                <w:rFonts w:hint="eastAsia" w:ascii="宋体" w:hAnsi="宋体" w:eastAsia="宋体" w:cs="宋体"/>
                <w:i/>
                <w:kern w:val="0"/>
                <w:sz w:val="24"/>
                <w:szCs w:val="24"/>
                <w:vertAlign w:val="subscript"/>
                <w:lang w:val="en-US" w:eastAsia="zh-CN" w:bidi="ar-SA"/>
              </w:rPr>
              <w:t>u</w:t>
            </w:r>
          </w:p>
        </w:tc>
        <w:tc>
          <w:tcPr>
            <w:tcW w:w="8048" w:type="dxa"/>
          </w:tcPr>
          <w:p w14:paraId="13F63BA5">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——安全系数，一般取6；</w:t>
            </w:r>
          </w:p>
        </w:tc>
      </w:tr>
      <w:tr w14:paraId="3D4B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276EF0D">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50" w:type="dxa"/>
          </w:tcPr>
          <w:p w14:paraId="51681110">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r>
              <w:rPr>
                <w:rFonts w:hint="eastAsia" w:ascii="宋体" w:hAnsi="宋体" w:eastAsia="宋体" w:cs="宋体"/>
                <w:i/>
                <w:kern w:val="0"/>
                <w:sz w:val="24"/>
                <w:szCs w:val="24"/>
                <w:vertAlign w:val="subscript"/>
                <w:lang w:val="en-US" w:eastAsia="zh-CN" w:bidi="ar-SA"/>
              </w:rPr>
              <w:t>m</w:t>
            </w:r>
          </w:p>
        </w:tc>
        <w:tc>
          <w:tcPr>
            <w:tcW w:w="8048" w:type="dxa"/>
          </w:tcPr>
          <w:p w14:paraId="37A8D67F">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——质量与力的转换系数，取值为9.80665。</w:t>
            </w:r>
          </w:p>
        </w:tc>
      </w:tr>
    </w:tbl>
    <w:p w14:paraId="34E43AA2">
      <w:pPr>
        <w:widowControl w:val="0"/>
        <w:tabs>
          <w:tab w:val="left" w:pos="1200"/>
        </w:tabs>
        <w:spacing w:line="360" w:lineRule="auto"/>
        <w:ind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钢丝绳最小破断拉力按《重要用途钢丝绳》公式计算：</w:t>
      </w:r>
    </w:p>
    <w:p w14:paraId="3016D669">
      <w:pPr>
        <w:widowControl w:val="0"/>
        <w:tabs>
          <w:tab w:val="left" w:pos="1320"/>
        </w:tabs>
        <w:spacing w:line="360" w:lineRule="auto"/>
        <w:ind w:firstLine="0" w:firstLineChars="0"/>
        <w:jc w:val="center"/>
        <w:rPr>
          <w:rFonts w:hint="eastAsia" w:ascii="宋体" w:hAnsi="宋体" w:eastAsia="宋体" w:cs="宋体"/>
          <w:i/>
          <w:kern w:val="2"/>
          <w:sz w:val="24"/>
          <w:szCs w:val="24"/>
          <w:lang w:val="en-US" w:eastAsia="zh-CN" w:bidi="ar-SA"/>
        </w:rPr>
      </w:pPr>
      <m:oMathPara>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D</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2</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R</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÷1000</m:t>
          </m:r>
        </m:oMath>
      </m:oMathPara>
    </w:p>
    <w:p w14:paraId="4F54B068">
      <w:pPr>
        <w:widowControl w:val="0"/>
        <w:tabs>
          <w:tab w:val="left" w:pos="1200"/>
        </w:tabs>
        <w:spacing w:line="360" w:lineRule="auto"/>
        <w:ind w:firstLine="0" w:firstLineChars="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式中：</w:t>
      </w:r>
    </w:p>
    <w:tbl>
      <w:tblPr>
        <w:tblStyle w:val="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
        <w:gridCol w:w="833"/>
        <w:gridCol w:w="7312"/>
      </w:tblGrid>
      <w:tr w14:paraId="2181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0EC7FA1">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4522E786">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F</w:t>
            </w:r>
            <w:r>
              <w:rPr>
                <w:rFonts w:hint="eastAsia" w:ascii="宋体" w:hAnsi="宋体" w:eastAsia="宋体" w:cs="宋体"/>
                <w:i/>
                <w:kern w:val="0"/>
                <w:sz w:val="24"/>
                <w:szCs w:val="24"/>
                <w:vertAlign w:val="subscript"/>
                <w:lang w:val="en-US" w:eastAsia="zh-CN" w:bidi="ar-SA"/>
              </w:rPr>
              <w:t>0</w:t>
            </w:r>
          </w:p>
        </w:tc>
        <w:tc>
          <w:tcPr>
            <w:tcW w:w="8063" w:type="dxa"/>
          </w:tcPr>
          <w:p w14:paraId="2EA0D4A1">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——钢丝绳最小破断拉力，单位为kN；</w:t>
            </w:r>
          </w:p>
        </w:tc>
      </w:tr>
      <w:tr w14:paraId="09F2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BED140C">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0F1DECE7">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D</w:t>
            </w:r>
          </w:p>
        </w:tc>
        <w:tc>
          <w:tcPr>
            <w:tcW w:w="8063" w:type="dxa"/>
          </w:tcPr>
          <w:p w14:paraId="66B71C80">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——钢丝绳公称直径，单位为mm；</w:t>
            </w:r>
          </w:p>
        </w:tc>
      </w:tr>
      <w:tr w14:paraId="1213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9936330">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3A96EF9E">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R</w:t>
            </w:r>
            <w:r>
              <w:rPr>
                <w:rFonts w:hint="eastAsia" w:ascii="宋体" w:hAnsi="宋体" w:eastAsia="宋体" w:cs="宋体"/>
                <w:i/>
                <w:kern w:val="0"/>
                <w:sz w:val="24"/>
                <w:szCs w:val="24"/>
                <w:vertAlign w:val="subscript"/>
                <w:lang w:val="en-US" w:eastAsia="zh-CN" w:bidi="ar-SA"/>
              </w:rPr>
              <w:t>0</w:t>
            </w:r>
          </w:p>
        </w:tc>
        <w:tc>
          <w:tcPr>
            <w:tcW w:w="8063" w:type="dxa"/>
          </w:tcPr>
          <w:p w14:paraId="77FB056B">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——钢丝绳公称抗拉强度，取1870MPa；</w:t>
            </w:r>
          </w:p>
        </w:tc>
      </w:tr>
      <w:tr w14:paraId="6CB2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1758FFF">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p>
        </w:tc>
        <w:tc>
          <w:tcPr>
            <w:tcW w:w="865" w:type="dxa"/>
            <w:vAlign w:val="center"/>
          </w:tcPr>
          <w:p w14:paraId="7FA835D9">
            <w:pPr>
              <w:widowControl w:val="0"/>
              <w:tabs>
                <w:tab w:val="left" w:pos="1320"/>
              </w:tabs>
              <w:spacing w:line="360" w:lineRule="auto"/>
              <w:ind w:firstLine="0" w:firstLineChars="0"/>
              <w:jc w:val="center"/>
              <w:rPr>
                <w:rFonts w:hint="eastAsia" w:ascii="宋体" w:hAnsi="宋体" w:eastAsia="宋体" w:cs="宋体"/>
                <w:i/>
                <w:kern w:val="0"/>
                <w:sz w:val="24"/>
                <w:szCs w:val="24"/>
                <w:lang w:val="en-US" w:eastAsia="zh-CN" w:bidi="ar-SA"/>
              </w:rPr>
            </w:pPr>
            <w:r>
              <w:rPr>
                <w:rFonts w:hint="eastAsia" w:ascii="宋体" w:hAnsi="宋体" w:eastAsia="宋体" w:cs="宋体"/>
                <w:i/>
                <w:kern w:val="0"/>
                <w:sz w:val="24"/>
                <w:szCs w:val="24"/>
                <w:lang w:val="en-US" w:eastAsia="zh-CN" w:bidi="ar-SA"/>
              </w:rPr>
              <w:t>K’</w:t>
            </w:r>
          </w:p>
        </w:tc>
        <w:tc>
          <w:tcPr>
            <w:tcW w:w="8063" w:type="dxa"/>
          </w:tcPr>
          <w:p w14:paraId="40952FB7">
            <w:pPr>
              <w:widowControl w:val="0"/>
              <w:tabs>
                <w:tab w:val="left" w:pos="1200"/>
              </w:tabs>
              <w:spacing w:line="360" w:lineRule="auto"/>
              <w:ind w:firstLine="0" w:firstLineChars="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——钢丝绳的最小破断拉力系数，6×19S+FC钢丝绳取0.33。</w:t>
            </w:r>
          </w:p>
        </w:tc>
      </w:tr>
    </w:tbl>
    <w:p w14:paraId="7F39357E">
      <w:pPr>
        <w:ind w:firstLine="480"/>
        <w:rPr>
          <w:rFonts w:hint="eastAsia" w:ascii="宋体" w:hAnsi="宋体" w:eastAsia="宋体" w:cs="宋体"/>
          <w:sz w:val="24"/>
          <w:szCs w:val="24"/>
        </w:rPr>
      </w:pPr>
      <w:r>
        <w:rPr>
          <w:rFonts w:hint="eastAsia" w:ascii="宋体" w:hAnsi="宋体" w:eastAsia="宋体" w:cs="宋体"/>
          <w:sz w:val="24"/>
          <w:szCs w:val="24"/>
        </w:rPr>
        <w:t>采用四点吊的</w:t>
      </w:r>
      <w:r>
        <w:rPr>
          <w:rFonts w:hint="eastAsia" w:ascii="宋体" w:hAnsi="宋体" w:eastAsia="宋体" w:cs="宋体"/>
          <w:sz w:val="24"/>
          <w:szCs w:val="24"/>
          <w:lang w:eastAsia="zh-CN"/>
        </w:rPr>
        <w:t>塔机</w:t>
      </w:r>
      <w:r>
        <w:rPr>
          <w:rFonts w:hint="eastAsia" w:ascii="宋体" w:hAnsi="宋体" w:eastAsia="宋体" w:cs="宋体"/>
          <w:sz w:val="24"/>
          <w:szCs w:val="24"/>
        </w:rPr>
        <w:t>主要部件</w:t>
      </w:r>
      <w:r>
        <w:rPr>
          <w:rFonts w:hint="eastAsia" w:ascii="宋体" w:hAnsi="宋体" w:eastAsia="宋体" w:cs="宋体"/>
          <w:sz w:val="24"/>
          <w:szCs w:val="24"/>
          <w:lang w:val="en-US" w:eastAsia="zh-CN"/>
        </w:rPr>
        <w:t>中</w:t>
      </w:r>
      <w:r>
        <w:rPr>
          <w:rFonts w:hint="eastAsia" w:ascii="宋体" w:hAnsi="宋体" w:eastAsia="宋体" w:cs="宋体"/>
          <w:sz w:val="24"/>
          <w:szCs w:val="24"/>
        </w:rPr>
        <w:t>最大重量为</w:t>
      </w:r>
      <w:r>
        <w:rPr>
          <w:rFonts w:hint="eastAsia" w:ascii="宋体" w:hAnsi="宋体" w:eastAsia="宋体" w:cs="宋体"/>
          <w:sz w:val="24"/>
          <w:szCs w:val="24"/>
          <w:lang w:val="en-US" w:eastAsia="zh-CN"/>
        </w:rPr>
        <w:t>爬升架</w:t>
      </w:r>
      <w:r>
        <w:rPr>
          <w:rFonts w:hint="eastAsia" w:ascii="宋体" w:hAnsi="宋体" w:eastAsia="宋体" w:cs="宋体"/>
          <w:sz w:val="24"/>
          <w:szCs w:val="24"/>
        </w:rPr>
        <w:t>，</w:t>
      </w:r>
      <w:r>
        <w:rPr>
          <w:rFonts w:hint="eastAsia" w:ascii="宋体" w:hAnsi="宋体" w:eastAsia="宋体" w:cs="宋体"/>
          <w:sz w:val="24"/>
          <w:szCs w:val="24"/>
          <w:lang w:val="en-US" w:eastAsia="zh-CN"/>
        </w:rPr>
        <w:t>爬升架</w:t>
      </w:r>
      <w:r>
        <w:rPr>
          <w:rFonts w:hint="eastAsia" w:ascii="宋体" w:hAnsi="宋体" w:eastAsia="宋体" w:cs="宋体"/>
          <w:sz w:val="24"/>
          <w:szCs w:val="24"/>
        </w:rPr>
        <w:t>起重量约</w:t>
      </w:r>
      <w:r>
        <w:rPr>
          <w:rFonts w:hint="eastAsia" w:ascii="宋体" w:hAnsi="宋体" w:eastAsia="宋体" w:cs="宋体"/>
          <w:sz w:val="24"/>
          <w:szCs w:val="24"/>
          <w:lang w:val="en-US" w:eastAsia="zh-CN"/>
        </w:rPr>
        <w:t>5.35</w:t>
      </w:r>
      <w:r>
        <w:rPr>
          <w:rFonts w:hint="eastAsia" w:ascii="宋体" w:hAnsi="宋体" w:eastAsia="宋体" w:cs="宋体"/>
          <w:sz w:val="24"/>
          <w:szCs w:val="24"/>
        </w:rPr>
        <w:t>t，钢丝绳与</w:t>
      </w:r>
      <w:r>
        <w:rPr>
          <w:rFonts w:hint="eastAsia" w:ascii="宋体" w:hAnsi="宋体" w:eastAsia="宋体" w:cs="宋体"/>
          <w:sz w:val="24"/>
          <w:szCs w:val="24"/>
          <w:lang w:val="en-US" w:eastAsia="zh-CN"/>
        </w:rPr>
        <w:t>爬升架</w:t>
      </w:r>
      <w:r>
        <w:rPr>
          <w:rFonts w:hint="eastAsia" w:ascii="宋体" w:hAnsi="宋体" w:eastAsia="宋体" w:cs="宋体"/>
          <w:sz w:val="24"/>
          <w:szCs w:val="24"/>
        </w:rPr>
        <w:t>60°夹角，以</w:t>
      </w:r>
      <w:r>
        <w:rPr>
          <w:rFonts w:hint="eastAsia" w:ascii="宋体" w:hAnsi="宋体" w:eastAsia="宋体" w:cs="宋体"/>
          <w:sz w:val="24"/>
          <w:szCs w:val="24"/>
          <w:lang w:val="en-US" w:eastAsia="zh-CN"/>
        </w:rPr>
        <w:t>爬升架</w:t>
      </w:r>
      <w:r>
        <w:rPr>
          <w:rFonts w:hint="eastAsia" w:ascii="宋体" w:hAnsi="宋体" w:eastAsia="宋体" w:cs="宋体"/>
          <w:sz w:val="24"/>
          <w:szCs w:val="24"/>
        </w:rPr>
        <w:t>顶部四个销轴孔作为吊装孔，钢丝绳采用压制接头。</w:t>
      </w:r>
    </w:p>
    <w:p w14:paraId="16EB42E1">
      <w:pPr>
        <w:ind w:firstLine="480"/>
        <w:rPr>
          <w:rFonts w:hint="eastAsia" w:ascii="宋体" w:hAnsi="宋体" w:eastAsia="宋体" w:cs="宋体"/>
          <w:sz w:val="24"/>
          <w:szCs w:val="24"/>
        </w:rPr>
      </w:pPr>
      <w:r>
        <w:rPr>
          <w:rFonts w:hint="eastAsia" w:ascii="宋体" w:hAnsi="宋体" w:eastAsia="宋体" w:cs="宋体"/>
          <w:sz w:val="24"/>
          <w:szCs w:val="24"/>
        </w:rPr>
        <w:t>每根钢丝绳最小破断拉力：</w:t>
      </w:r>
    </w:p>
    <w:p w14:paraId="00B82D8E">
      <w:pPr>
        <w:widowControl w:val="0"/>
        <w:tabs>
          <w:tab w:val="left" w:pos="1320"/>
        </w:tabs>
        <w:spacing w:line="360" w:lineRule="auto"/>
        <w:ind w:firstLine="0" w:firstLineChars="0"/>
        <w:jc w:val="center"/>
        <w:rPr>
          <w:rFonts w:hint="eastAsia" w:ascii="宋体" w:hAnsi="宋体" w:eastAsia="宋体" w:cs="宋体"/>
          <w:i/>
          <w:kern w:val="2"/>
          <w:sz w:val="24"/>
          <w:szCs w:val="24"/>
          <w:lang w:val="en-US" w:eastAsia="zh-CN" w:bidi="ar-SA"/>
        </w:rPr>
      </w:pPr>
      <m:oMathPara>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WLL×</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m</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u</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e</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lang w:val="en-US" w:eastAsia="zh-CN"/>
                </w:rPr>
                <m:t>5.35</m:t>
              </m:r>
              <m:r>
                <m:rPr>
                  <m:nor/>
                  <m:sty m:val="p"/>
                </m:rPr>
                <w:rPr>
                  <w:rFonts w:hint="eastAsia" w:ascii="Cambria Math" w:hAnsi="Cambria Math" w:eastAsia="宋体" w:cs="宋体"/>
                  <w:b w:val="0"/>
                  <w:i w:val="0"/>
                  <w:sz w:val="24"/>
                  <w:szCs w:val="24"/>
                </w:rPr>
                <m:t>×9.80665×6</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0.9×2.1</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r>
            <m:rPr>
              <m:nor/>
              <m:sty m:val="p"/>
            </m:rPr>
            <w:rPr>
              <w:rFonts w:hint="eastAsia" w:ascii="Cambria Math" w:hAnsi="Cambria Math" w:eastAsia="宋体" w:cs="宋体"/>
              <w:b w:val="0"/>
              <w:i w:val="0"/>
              <w:sz w:val="24"/>
              <w:szCs w:val="24"/>
              <w:lang w:val="en-US" w:eastAsia="zh-CN"/>
            </w:rPr>
            <m:t>166.56</m:t>
          </m:r>
          <m:r>
            <m:rPr>
              <m:nor/>
              <m:sty m:val="p"/>
            </m:rPr>
            <w:rPr>
              <w:rFonts w:hint="eastAsia" w:ascii="Cambria Math" w:hAnsi="Cambria Math" w:eastAsia="宋体" w:cs="宋体"/>
              <w:b w:val="0"/>
              <w:i w:val="0"/>
              <w:sz w:val="24"/>
              <w:szCs w:val="24"/>
            </w:rPr>
            <m:t>kN</m:t>
          </m:r>
        </m:oMath>
      </m:oMathPara>
    </w:p>
    <w:p w14:paraId="7D8A6ED0">
      <w:pPr>
        <w:ind w:firstLine="480"/>
        <w:rPr>
          <w:rFonts w:hint="eastAsia" w:ascii="宋体" w:hAnsi="宋体" w:eastAsia="宋体" w:cs="宋体"/>
          <w:sz w:val="24"/>
          <w:szCs w:val="24"/>
        </w:rPr>
      </w:pPr>
      <w:r>
        <w:rPr>
          <w:rFonts w:hint="eastAsia" w:ascii="宋体" w:hAnsi="宋体" w:eastAsia="宋体" w:cs="宋体"/>
          <w:sz w:val="24"/>
          <w:szCs w:val="24"/>
        </w:rPr>
        <w:t>则钢丝绳最小公称直径：</w:t>
      </w:r>
    </w:p>
    <w:p w14:paraId="045FFB74">
      <w:pPr>
        <w:widowControl w:val="0"/>
        <w:tabs>
          <w:tab w:val="left" w:pos="1320"/>
        </w:tabs>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eastAsia" w:ascii="Cambria Math" w:hAnsi="Cambria Math" w:eastAsia="宋体" w:cs="宋体"/>
              <w:b w:val="0"/>
              <w:i w:val="0"/>
              <w:sz w:val="24"/>
              <w:szCs w:val="24"/>
            </w:rPr>
            <m:t>D=</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R</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r>
                    <m:rPr>
                      <m:nor/>
                      <m:sty m:val="p"/>
                    </m:rPr>
                    <w:rPr>
                      <w:rFonts w:hint="eastAsia" w:ascii="Cambria Math" w:hAnsi="Cambria Math" w:eastAsia="宋体" w:cs="宋体"/>
                      <w:b w:val="0"/>
                      <w:i w:val="0"/>
                      <w:sz w:val="24"/>
                      <w:szCs w:val="24"/>
                      <w:lang w:val="en-US" w:eastAsia="zh-CN"/>
                    </w:rPr>
                    <m:t>166.56</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0.33×1</m:t>
                  </m:r>
                  <m:r>
                    <m:rPr>
                      <m:nor/>
                      <m:sty m:val="p"/>
                    </m:rPr>
                    <w:rPr>
                      <w:rFonts w:hint="eastAsia" w:ascii="Cambria Math" w:hAnsi="Cambria Math" w:eastAsia="宋体" w:cs="宋体"/>
                      <w:b w:val="0"/>
                      <w:i w:val="0"/>
                      <w:sz w:val="24"/>
                      <w:szCs w:val="24"/>
                      <w:lang w:val="en-US" w:eastAsia="zh-CN"/>
                    </w:rPr>
                    <m:t>87</m:t>
                  </m:r>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
            <m:rPr>
              <m:nor/>
              <m:sty m:val="p"/>
            </m:rPr>
            <w:rPr>
              <w:rFonts w:hint="eastAsia" w:ascii="Cambria Math" w:hAnsi="Cambria Math" w:eastAsia="宋体" w:cs="宋体"/>
              <w:b w:val="0"/>
              <w:i w:val="0"/>
              <w:sz w:val="24"/>
              <w:szCs w:val="24"/>
              <w:lang w:val="en-US" w:eastAsia="zh-CN"/>
            </w:rPr>
            <m:t>16.43</m:t>
          </m:r>
          <m:r>
            <m:rPr>
              <m:nor/>
              <m:sty m:val="p"/>
            </m:rPr>
            <w:rPr>
              <w:rFonts w:hint="eastAsia" w:ascii="Cambria Math" w:hAnsi="Cambria Math" w:eastAsia="宋体" w:cs="宋体"/>
              <w:b w:val="0"/>
              <w:i w:val="0"/>
              <w:sz w:val="24"/>
              <w:szCs w:val="24"/>
            </w:rPr>
            <m:t>mm</m:t>
          </m:r>
        </m:oMath>
      </m:oMathPara>
    </w:p>
    <w:p w14:paraId="301AFE22">
      <w:pPr>
        <w:ind w:firstLine="480"/>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φ18</w:t>
      </w:r>
      <w:r>
        <w:rPr>
          <w:rFonts w:hint="eastAsia" w:ascii="宋体" w:hAnsi="宋体" w:eastAsia="宋体" w:cs="宋体"/>
          <w:sz w:val="24"/>
          <w:szCs w:val="24"/>
        </w:rPr>
        <w:t>mm钢丝绳可满足要求。</w:t>
      </w:r>
    </w:p>
    <w:p w14:paraId="20C47967">
      <w:pPr>
        <w:ind w:firstLine="480"/>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两</w:t>
      </w:r>
      <w:r>
        <w:rPr>
          <w:rFonts w:hint="eastAsia" w:ascii="宋体" w:hAnsi="宋体" w:eastAsia="宋体" w:cs="宋体"/>
          <w:sz w:val="24"/>
          <w:szCs w:val="24"/>
        </w:rPr>
        <w:t>点吊的</w:t>
      </w:r>
      <w:r>
        <w:rPr>
          <w:rFonts w:hint="eastAsia" w:ascii="宋体" w:hAnsi="宋体" w:eastAsia="宋体" w:cs="宋体"/>
          <w:sz w:val="24"/>
          <w:szCs w:val="24"/>
          <w:lang w:eastAsia="zh-CN"/>
        </w:rPr>
        <w:t>塔机</w:t>
      </w:r>
      <w:r>
        <w:rPr>
          <w:rFonts w:hint="eastAsia" w:ascii="宋体" w:hAnsi="宋体" w:eastAsia="宋体" w:cs="宋体"/>
          <w:sz w:val="24"/>
          <w:szCs w:val="24"/>
        </w:rPr>
        <w:t>主要部件</w:t>
      </w:r>
      <w:r>
        <w:rPr>
          <w:rFonts w:hint="eastAsia" w:ascii="宋体" w:hAnsi="宋体" w:eastAsia="宋体" w:cs="宋体"/>
          <w:sz w:val="24"/>
          <w:szCs w:val="24"/>
          <w:lang w:val="en-US" w:eastAsia="zh-CN"/>
        </w:rPr>
        <w:t>中</w:t>
      </w:r>
      <w:r>
        <w:rPr>
          <w:rFonts w:hint="eastAsia" w:ascii="宋体" w:hAnsi="宋体" w:eastAsia="宋体" w:cs="宋体"/>
          <w:sz w:val="24"/>
          <w:szCs w:val="24"/>
        </w:rPr>
        <w:t>最大重量为</w:t>
      </w:r>
      <w:r>
        <w:rPr>
          <w:rFonts w:hint="eastAsia" w:ascii="宋体" w:hAnsi="宋体" w:eastAsia="宋体" w:cs="宋体"/>
          <w:sz w:val="24"/>
          <w:szCs w:val="24"/>
          <w:lang w:val="en-US" w:eastAsia="zh-CN"/>
        </w:rPr>
        <w:t>平衡重</w:t>
      </w: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平衡重</w:t>
      </w:r>
      <w:r>
        <w:rPr>
          <w:rFonts w:hint="eastAsia" w:ascii="宋体" w:hAnsi="宋体" w:eastAsia="宋体" w:cs="宋体"/>
          <w:sz w:val="24"/>
          <w:szCs w:val="24"/>
        </w:rPr>
        <w:t>最大重量约</w:t>
      </w:r>
      <w:r>
        <w:rPr>
          <w:rFonts w:hint="eastAsia" w:ascii="宋体" w:hAnsi="宋体" w:eastAsia="宋体" w:cs="宋体"/>
          <w:sz w:val="24"/>
          <w:szCs w:val="24"/>
          <w:lang w:val="en-US" w:eastAsia="zh-CN"/>
        </w:rPr>
        <w:t>3.2</w:t>
      </w:r>
      <w:r>
        <w:rPr>
          <w:rFonts w:hint="eastAsia" w:ascii="宋体" w:hAnsi="宋体" w:eastAsia="宋体" w:cs="宋体"/>
          <w:sz w:val="24"/>
          <w:szCs w:val="24"/>
        </w:rPr>
        <w:t>t，钢丝绳与</w:t>
      </w:r>
      <w:r>
        <w:rPr>
          <w:rFonts w:hint="eastAsia" w:ascii="宋体" w:hAnsi="宋体" w:eastAsia="宋体" w:cs="宋体"/>
          <w:sz w:val="24"/>
          <w:szCs w:val="24"/>
          <w:lang w:val="en-US" w:eastAsia="zh-CN"/>
        </w:rPr>
        <w:t>平衡重</w:t>
      </w:r>
      <w:r>
        <w:rPr>
          <w:rFonts w:hint="eastAsia" w:ascii="宋体" w:hAnsi="宋体" w:eastAsia="宋体" w:cs="宋体"/>
          <w:sz w:val="24"/>
          <w:szCs w:val="24"/>
        </w:rPr>
        <w:t>成60°夹角，</w:t>
      </w:r>
      <w:r>
        <w:rPr>
          <w:rFonts w:hint="eastAsia" w:ascii="宋体" w:hAnsi="宋体" w:eastAsia="宋体" w:cs="宋体"/>
          <w:sz w:val="24"/>
          <w:szCs w:val="24"/>
          <w:lang w:val="en-US" w:eastAsia="zh-CN"/>
        </w:rPr>
        <w:t>平衡重</w:t>
      </w:r>
      <w:r>
        <w:rPr>
          <w:rFonts w:hint="eastAsia" w:ascii="宋体" w:hAnsi="宋体" w:eastAsia="宋体" w:cs="宋体"/>
          <w:sz w:val="24"/>
          <w:szCs w:val="24"/>
        </w:rPr>
        <w:t>吊装采用两点吊，在起重臂腹杆上设置2个吊点，钢丝绳采用压制接头。</w:t>
      </w:r>
    </w:p>
    <w:p w14:paraId="7A681BF1">
      <w:pPr>
        <w:ind w:firstLine="480"/>
        <w:rPr>
          <w:rFonts w:hint="eastAsia" w:ascii="宋体" w:hAnsi="宋体" w:eastAsia="宋体" w:cs="宋体"/>
          <w:sz w:val="24"/>
          <w:szCs w:val="24"/>
        </w:rPr>
      </w:pPr>
      <w:r>
        <w:rPr>
          <w:rFonts w:hint="eastAsia" w:ascii="宋体" w:hAnsi="宋体" w:eastAsia="宋体" w:cs="宋体"/>
          <w:sz w:val="24"/>
          <w:szCs w:val="24"/>
        </w:rPr>
        <w:t>每根钢丝绳最小破断拉力：</w:t>
      </w:r>
    </w:p>
    <w:p w14:paraId="47C00C48">
      <w:pPr>
        <w:widowControl w:val="0"/>
        <w:tabs>
          <w:tab w:val="left" w:pos="1320"/>
        </w:tabs>
        <w:spacing w:line="360" w:lineRule="auto"/>
        <w:ind w:firstLine="0" w:firstLineChars="0"/>
        <w:jc w:val="center"/>
        <w:rPr>
          <w:rFonts w:hint="eastAsia" w:ascii="宋体" w:hAnsi="宋体" w:eastAsia="宋体" w:cs="宋体"/>
          <w:i/>
          <w:kern w:val="2"/>
          <w:sz w:val="24"/>
          <w:szCs w:val="24"/>
          <w:lang w:val="en-US" w:eastAsia="zh-CN" w:bidi="ar-SA"/>
        </w:rPr>
      </w:pPr>
      <m:oMathPara>
        <m:oMath>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WLL×</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m</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u</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e</m:t>
                  </m:r>
                  <m:ctrlPr>
                    <w:rPr>
                      <w:rFonts w:hint="eastAsia" w:ascii="Cambria Math" w:hAnsi="Cambria Math" w:eastAsia="宋体" w:cs="宋体"/>
                      <w:sz w:val="24"/>
                      <w:szCs w:val="24"/>
                    </w:rPr>
                  </m:ctrlPr>
                </m:sub>
              </m:sSub>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lang w:val="en-US" w:eastAsia="zh-CN"/>
                </w:rPr>
                <m:t>3.2</m:t>
              </m:r>
              <m:r>
                <m:rPr>
                  <m:nor/>
                  <m:sty m:val="p"/>
                </m:rPr>
                <w:rPr>
                  <w:rFonts w:hint="eastAsia" w:ascii="Cambria Math" w:hAnsi="Cambria Math" w:eastAsia="宋体" w:cs="宋体"/>
                  <w:b w:val="0"/>
                  <w:i w:val="0"/>
                  <w:sz w:val="24"/>
                  <w:szCs w:val="24"/>
                </w:rPr>
                <m:t>×9.80665×6</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0.9×1.4</m:t>
              </m:r>
              <m:ctrlPr>
                <w:rPr>
                  <w:rFonts w:hint="eastAsia" w:ascii="Cambria Math" w:hAnsi="Cambria Math" w:eastAsia="宋体" w:cs="宋体"/>
                  <w:sz w:val="24"/>
                  <w:szCs w:val="24"/>
                </w:rPr>
              </m:ctrlPr>
            </m:den>
          </m:f>
          <m:r>
            <m:rPr>
              <m:nor/>
              <m:sty m:val="p"/>
            </m:rPr>
            <w:rPr>
              <w:rFonts w:hint="eastAsia" w:ascii="Cambria Math" w:hAnsi="Cambria Math" w:eastAsia="宋体" w:cs="宋体"/>
              <w:b w:val="0"/>
              <w:i w:val="0"/>
              <w:sz w:val="24"/>
              <w:szCs w:val="24"/>
            </w:rPr>
            <m:t>=</m:t>
          </m:r>
          <m:r>
            <m:rPr>
              <m:nor/>
              <m:sty m:val="p"/>
            </m:rPr>
            <w:rPr>
              <w:rFonts w:hint="eastAsia" w:ascii="Cambria Math" w:hAnsi="Cambria Math" w:eastAsia="宋体" w:cs="宋体"/>
              <w:b w:val="0"/>
              <w:i w:val="0"/>
              <w:sz w:val="24"/>
              <w:szCs w:val="24"/>
              <w:lang w:val="en-US" w:eastAsia="zh-CN"/>
            </w:rPr>
            <m:t>149.44</m:t>
          </m:r>
          <m:r>
            <m:rPr>
              <m:nor/>
              <m:sty m:val="p"/>
            </m:rPr>
            <w:rPr>
              <w:rFonts w:hint="eastAsia" w:ascii="Cambria Math" w:hAnsi="Cambria Math" w:eastAsia="宋体" w:cs="宋体"/>
              <w:b w:val="0"/>
              <w:i w:val="0"/>
              <w:sz w:val="24"/>
              <w:szCs w:val="24"/>
            </w:rPr>
            <m:t>kN</m:t>
          </m:r>
        </m:oMath>
      </m:oMathPara>
    </w:p>
    <w:p w14:paraId="427DEF63">
      <w:pPr>
        <w:ind w:firstLine="480"/>
        <w:rPr>
          <w:rFonts w:hint="eastAsia" w:ascii="宋体" w:hAnsi="宋体" w:eastAsia="宋体" w:cs="宋体"/>
          <w:sz w:val="24"/>
          <w:szCs w:val="24"/>
        </w:rPr>
      </w:pPr>
      <w:r>
        <w:rPr>
          <w:rFonts w:hint="eastAsia" w:ascii="宋体" w:hAnsi="宋体" w:eastAsia="宋体" w:cs="宋体"/>
          <w:sz w:val="24"/>
          <w:szCs w:val="24"/>
        </w:rPr>
        <w:t>则钢丝绳最小公称直径：</w:t>
      </w:r>
    </w:p>
    <w:p w14:paraId="0F6EC263">
      <w:pPr>
        <w:widowControl w:val="0"/>
        <w:tabs>
          <w:tab w:val="left" w:pos="1320"/>
        </w:tabs>
        <w:spacing w:line="360" w:lineRule="auto"/>
        <w:ind w:firstLine="0" w:firstLineChars="0"/>
        <w:jc w:val="center"/>
        <w:rPr>
          <w:rFonts w:hint="eastAsia" w:ascii="宋体" w:hAnsi="宋体" w:eastAsia="宋体" w:cs="宋体"/>
          <w:i/>
          <w:kern w:val="2"/>
          <w:sz w:val="24"/>
          <w:szCs w:val="24"/>
          <w:lang w:val="en-US" w:eastAsia="zh-CN" w:bidi="ar-SA"/>
        </w:rPr>
      </w:pPr>
      <m:oMathPara>
        <m:oMath>
          <m:r>
            <m:rPr>
              <m:nor/>
              <m:sty m:val="p"/>
            </m:rPr>
            <w:rPr>
              <w:rFonts w:hint="eastAsia" w:ascii="Cambria Math" w:hAnsi="Cambria Math" w:eastAsia="宋体" w:cs="宋体"/>
              <w:b w:val="0"/>
              <w:i w:val="0"/>
              <w:sz w:val="24"/>
              <w:szCs w:val="24"/>
            </w:rPr>
            <m:t>D=</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F</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num>
                <m:den>
                  <m:sSup>
                    <m:sSupPr>
                      <m:ctrlPr>
                        <w:rPr>
                          <w:rFonts w:hint="eastAsia" w:ascii="Cambria Math" w:hAnsi="Cambria Math" w:eastAsia="宋体" w:cs="宋体"/>
                          <w:sz w:val="24"/>
                          <w:szCs w:val="24"/>
                        </w:rPr>
                      </m:ctrlPr>
                    </m:sSupPr>
                    <m:e>
                      <m:r>
                        <m:rPr>
                          <m:nor/>
                          <m:sty m:val="p"/>
                        </m:rPr>
                        <w:rPr>
                          <w:rFonts w:hint="eastAsia" w:ascii="Cambria Math" w:hAnsi="Cambria Math" w:eastAsia="宋体" w:cs="宋体"/>
                          <w:b w:val="0"/>
                          <w:i w:val="0"/>
                          <w:sz w:val="24"/>
                          <w:szCs w:val="24"/>
                        </w:rPr>
                        <m:t>K</m:t>
                      </m:r>
                      <m:ctrlPr>
                        <w:rPr>
                          <w:rFonts w:hint="eastAsia" w:ascii="Cambria Math" w:hAnsi="Cambria Math" w:eastAsia="宋体" w:cs="宋体"/>
                          <w:sz w:val="24"/>
                          <w:szCs w:val="24"/>
                        </w:rPr>
                      </m:ctrlPr>
                    </m:e>
                    <m:sup>
                      <m:r>
                        <m:rPr>
                          <m:nor/>
                          <m:sty m:val="p"/>
                        </m:rPr>
                        <w:rPr>
                          <w:rFonts w:hint="eastAsia" w:ascii="Cambria Math" w:hAnsi="Cambria Math" w:eastAsia="宋体" w:cs="宋体"/>
                          <w:b w:val="0"/>
                          <w:i w:val="0"/>
                          <w:sz w:val="24"/>
                          <w:szCs w:val="24"/>
                        </w:rPr>
                        <m:t>'</m:t>
                      </m:r>
                      <m:ctrlPr>
                        <w:rPr>
                          <w:rFonts w:hint="eastAsia" w:ascii="Cambria Math" w:hAnsi="Cambria Math" w:eastAsia="宋体" w:cs="宋体"/>
                          <w:sz w:val="24"/>
                          <w:szCs w:val="24"/>
                        </w:rPr>
                      </m:ctrlPr>
                    </m:sup>
                  </m:sSup>
                  <m:r>
                    <m:rPr>
                      <m:nor/>
                      <m:sty m:val="p"/>
                    </m:rPr>
                    <w:rPr>
                      <w:rFonts w:hint="eastAsia" w:ascii="Cambria Math" w:hAnsi="Cambria Math" w:eastAsia="宋体" w:cs="宋体"/>
                      <w:b w:val="0"/>
                      <w:i w:val="0"/>
                      <w:sz w:val="24"/>
                      <w:szCs w:val="24"/>
                    </w:rPr>
                    <m:t>×</m:t>
                  </m:r>
                  <m:sSub>
                    <m:sSubPr>
                      <m:ctrlPr>
                        <w:rPr>
                          <w:rFonts w:hint="eastAsia" w:ascii="Cambria Math" w:hAnsi="Cambria Math" w:eastAsia="宋体" w:cs="宋体"/>
                          <w:sz w:val="24"/>
                          <w:szCs w:val="24"/>
                        </w:rPr>
                      </m:ctrlPr>
                    </m:sSubPr>
                    <m:e>
                      <m:r>
                        <m:rPr>
                          <m:nor/>
                          <m:sty m:val="p"/>
                        </m:rPr>
                        <w:rPr>
                          <w:rFonts w:hint="eastAsia" w:ascii="Cambria Math" w:hAnsi="Cambria Math" w:eastAsia="宋体" w:cs="宋体"/>
                          <w:b w:val="0"/>
                          <w:i w:val="0"/>
                          <w:sz w:val="24"/>
                          <w:szCs w:val="24"/>
                        </w:rPr>
                        <m:t>R</m:t>
                      </m:r>
                      <m:ctrlPr>
                        <w:rPr>
                          <w:rFonts w:hint="eastAsia" w:ascii="Cambria Math" w:hAnsi="Cambria Math" w:eastAsia="宋体" w:cs="宋体"/>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sub>
                  </m:sSub>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sz w:val="24"/>
                      <w:szCs w:val="24"/>
                    </w:rPr>
                  </m:ctrlPr>
                </m:fPr>
                <m:num>
                  <m:r>
                    <m:rPr>
                      <m:nor/>
                      <m:sty m:val="p"/>
                    </m:rPr>
                    <w:rPr>
                      <w:rFonts w:hint="eastAsia" w:ascii="Cambria Math" w:hAnsi="Cambria Math" w:eastAsia="宋体" w:cs="宋体"/>
                      <w:b w:val="0"/>
                      <w:i w:val="0"/>
                      <w:sz w:val="24"/>
                      <w:szCs w:val="24"/>
                    </w:rPr>
                    <m:t>1000×</m:t>
                  </m:r>
                  <m:r>
                    <m:rPr>
                      <m:nor/>
                      <m:sty m:val="p"/>
                    </m:rPr>
                    <w:rPr>
                      <w:rFonts w:hint="eastAsia" w:ascii="Cambria Math" w:hAnsi="Cambria Math" w:eastAsia="宋体" w:cs="宋体"/>
                      <w:b w:val="0"/>
                      <w:i w:val="0"/>
                      <w:sz w:val="24"/>
                      <w:szCs w:val="24"/>
                      <w:lang w:val="en-US" w:eastAsia="zh-CN"/>
                    </w:rPr>
                    <m:t>149.44</m:t>
                  </m:r>
                  <m:ctrlPr>
                    <w:rPr>
                      <w:rFonts w:hint="eastAsia" w:ascii="Cambria Math" w:hAnsi="Cambria Math" w:eastAsia="宋体" w:cs="宋体"/>
                      <w:sz w:val="24"/>
                      <w:szCs w:val="24"/>
                    </w:rPr>
                  </m:ctrlPr>
                </m:num>
                <m:den>
                  <m:r>
                    <m:rPr>
                      <m:nor/>
                      <m:sty m:val="p"/>
                    </m:rPr>
                    <w:rPr>
                      <w:rFonts w:hint="eastAsia" w:ascii="Cambria Math" w:hAnsi="Cambria Math" w:eastAsia="宋体" w:cs="宋体"/>
                      <w:b w:val="0"/>
                      <w:i w:val="0"/>
                      <w:sz w:val="24"/>
                      <w:szCs w:val="24"/>
                    </w:rPr>
                    <m:t>0.33×1</m:t>
                  </m:r>
                  <m:r>
                    <m:rPr>
                      <m:nor/>
                      <m:sty m:val="p"/>
                    </m:rPr>
                    <w:rPr>
                      <w:rFonts w:hint="eastAsia" w:ascii="Cambria Math" w:hAnsi="Cambria Math" w:eastAsia="宋体" w:cs="宋体"/>
                      <w:b w:val="0"/>
                      <w:i w:val="0"/>
                      <w:sz w:val="24"/>
                      <w:szCs w:val="24"/>
                      <w:lang w:val="en-US" w:eastAsia="zh-CN"/>
                    </w:rPr>
                    <m:t>87</m:t>
                  </m:r>
                  <m:r>
                    <m:rPr>
                      <m:nor/>
                      <m:sty m:val="p"/>
                    </m:rPr>
                    <w:rPr>
                      <w:rFonts w:hint="eastAsia" w:ascii="Cambria Math" w:hAnsi="Cambria Math" w:eastAsia="宋体" w:cs="宋体"/>
                      <w:b w:val="0"/>
                      <w:i w:val="0"/>
                      <w:sz w:val="24"/>
                      <w:szCs w:val="24"/>
                    </w:rPr>
                    <m:t>0</m:t>
                  </m:r>
                  <m:ctrlPr>
                    <w:rPr>
                      <w:rFonts w:hint="eastAsia" w:ascii="Cambria Math" w:hAnsi="Cambria Math" w:eastAsia="宋体" w:cs="宋体"/>
                      <w:sz w:val="24"/>
                      <w:szCs w:val="24"/>
                    </w:rPr>
                  </m:ctrlPr>
                </m:den>
              </m:f>
              <m:ctrlPr>
                <w:rPr>
                  <w:rFonts w:hint="eastAsia" w:ascii="Cambria Math" w:hAnsi="Cambria Math" w:eastAsia="宋体" w:cs="宋体"/>
                  <w:sz w:val="24"/>
                  <w:szCs w:val="24"/>
                </w:rPr>
              </m:ctrlPr>
            </m:e>
          </m:rad>
          <m:r>
            <m:rPr>
              <m:nor/>
              <m:sty m:val="p"/>
            </m:rPr>
            <w:rPr>
              <w:rFonts w:hint="eastAsia" w:ascii="Cambria Math" w:hAnsi="Cambria Math" w:eastAsia="宋体" w:cs="宋体"/>
              <w:b w:val="0"/>
              <w:i w:val="0"/>
              <w:sz w:val="24"/>
              <w:szCs w:val="24"/>
            </w:rPr>
            <m:t>=</m:t>
          </m:r>
          <m:r>
            <m:rPr>
              <m:nor/>
              <m:sty m:val="p"/>
            </m:rPr>
            <w:rPr>
              <w:rFonts w:hint="eastAsia" w:ascii="Cambria Math" w:hAnsi="Cambria Math" w:eastAsia="宋体" w:cs="宋体"/>
              <w:b w:val="0"/>
              <w:i w:val="0"/>
              <w:sz w:val="24"/>
              <w:szCs w:val="24"/>
              <w:lang w:val="en-US" w:eastAsia="zh-CN"/>
            </w:rPr>
            <m:t>15.57</m:t>
          </m:r>
          <m:r>
            <m:rPr>
              <m:nor/>
              <m:sty m:val="p"/>
            </m:rPr>
            <w:rPr>
              <w:rFonts w:hint="eastAsia" w:ascii="Cambria Math" w:hAnsi="Cambria Math" w:eastAsia="宋体" w:cs="宋体"/>
              <w:b w:val="0"/>
              <w:i w:val="0"/>
              <w:sz w:val="24"/>
              <w:szCs w:val="24"/>
            </w:rPr>
            <m:t>mm</m:t>
          </m:r>
        </m:oMath>
      </m:oMathPara>
    </w:p>
    <w:p w14:paraId="34B7FAFC">
      <w:pPr>
        <w:ind w:firstLine="480"/>
        <w:rPr>
          <w:rFonts w:hint="eastAsia" w:ascii="宋体" w:hAnsi="宋体" w:eastAsia="宋体" w:cs="宋体"/>
          <w:sz w:val="24"/>
          <w:szCs w:val="24"/>
        </w:rPr>
      </w:pPr>
      <w:r>
        <w:rPr>
          <w:rFonts w:hint="eastAsia" w:ascii="宋体" w:hAnsi="宋体" w:eastAsia="宋体" w:cs="宋体"/>
          <w:sz w:val="24"/>
          <w:szCs w:val="24"/>
        </w:rPr>
        <w:t>采用</w:t>
      </w:r>
      <w:r>
        <w:rPr>
          <w:rFonts w:hint="eastAsia" w:ascii="宋体" w:hAnsi="宋体" w:eastAsia="宋体" w:cs="宋体"/>
          <w:sz w:val="24"/>
          <w:szCs w:val="24"/>
          <w:lang w:val="en-US" w:eastAsia="zh-CN"/>
        </w:rPr>
        <w:t>φ16</w:t>
      </w:r>
      <w:r>
        <w:rPr>
          <w:rFonts w:hint="eastAsia" w:ascii="宋体" w:hAnsi="宋体" w:eastAsia="宋体" w:cs="宋体"/>
          <w:sz w:val="24"/>
          <w:szCs w:val="24"/>
        </w:rPr>
        <w:t>mm钢丝绳可满足要求。</w:t>
      </w:r>
    </w:p>
    <w:p w14:paraId="1A24E1F2">
      <w:pPr>
        <w:ind w:firstLine="480"/>
        <w:rPr>
          <w:rFonts w:hint="eastAsia" w:ascii="宋体" w:hAnsi="宋体" w:eastAsia="宋体" w:cs="宋体"/>
          <w:sz w:val="24"/>
          <w:szCs w:val="24"/>
        </w:rPr>
      </w:pPr>
      <w:r>
        <w:rPr>
          <w:rFonts w:hint="eastAsia" w:ascii="宋体" w:hAnsi="宋体" w:eastAsia="宋体" w:cs="宋体"/>
          <w:sz w:val="24"/>
          <w:szCs w:val="24"/>
        </w:rPr>
        <w:t>卸扣根据《一般起重用D形和弓形锻造卸扣》（GB/T25854-2010）的规定选用。</w:t>
      </w:r>
    </w:p>
    <w:p w14:paraId="187FFDCB">
      <w:pPr>
        <w:pStyle w:val="80"/>
        <w:rPr>
          <w:rFonts w:hint="eastAsia" w:ascii="宋体" w:hAnsi="宋体" w:eastAsia="宋体" w:cs="宋体"/>
          <w:sz w:val="24"/>
          <w:szCs w:val="24"/>
          <w:lang w:val="en-US" w:eastAsia="zh-CN"/>
        </w:rPr>
      </w:pPr>
      <w:r>
        <w:rPr>
          <w:rFonts w:hint="eastAsia" w:ascii="宋体" w:hAnsi="宋体" w:eastAsia="宋体" w:cs="宋体"/>
          <w:b/>
          <w:bCs/>
          <w:sz w:val="24"/>
          <w:szCs w:val="24"/>
        </w:rPr>
        <w:t>表</w:t>
      </w:r>
      <w:r>
        <w:rPr>
          <w:rFonts w:hint="eastAsia" w:ascii="宋体" w:hAnsi="宋体" w:eastAsia="宋体" w:cs="宋体"/>
          <w:b/>
          <w:bCs/>
          <w:sz w:val="24"/>
          <w:szCs w:val="24"/>
          <w:lang w:val="en-US" w:eastAsia="zh-CN"/>
        </w:rPr>
        <w:t>13.1</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D形卸扣尺寸</w:t>
      </w:r>
    </w:p>
    <w:tbl>
      <w:tblPr>
        <w:tblStyle w:val="8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4F4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78E40343">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极限工作荷载WLL</w:t>
            </w:r>
          </w:p>
        </w:tc>
        <w:tc>
          <w:tcPr>
            <w:tcW w:w="589" w:type="pct"/>
            <w:vMerge w:val="restart"/>
            <w:shd w:val="clear" w:color="auto" w:fill="4472C4"/>
            <w:vAlign w:val="center"/>
          </w:tcPr>
          <w:p w14:paraId="44231930">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d</w:t>
            </w:r>
            <w:r>
              <w:rPr>
                <w:rFonts w:hint="eastAsia" w:ascii="宋体" w:hAnsi="宋体" w:eastAsia="宋体" w:cs="宋体"/>
                <w:b/>
                <w:color w:val="FFFFFF"/>
                <w:kern w:val="0"/>
                <w:sz w:val="24"/>
                <w:szCs w:val="24"/>
                <w:vertAlign w:val="superscript"/>
                <w:lang w:val="en-US" w:eastAsia="zh-CN" w:bidi="ar-SA"/>
              </w:rPr>
              <w:t>a</w:t>
            </w:r>
          </w:p>
          <w:p w14:paraId="057C6649">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max</w:t>
            </w:r>
          </w:p>
        </w:tc>
        <w:tc>
          <w:tcPr>
            <w:tcW w:w="589" w:type="pct"/>
            <w:vMerge w:val="restart"/>
            <w:shd w:val="clear" w:color="auto" w:fill="4472C4"/>
            <w:vAlign w:val="center"/>
          </w:tcPr>
          <w:p w14:paraId="283B4B49">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D</w:t>
            </w:r>
            <w:r>
              <w:rPr>
                <w:rFonts w:hint="eastAsia" w:ascii="宋体" w:hAnsi="宋体" w:eastAsia="宋体" w:cs="宋体"/>
                <w:b/>
                <w:color w:val="FFFFFF"/>
                <w:kern w:val="0"/>
                <w:sz w:val="24"/>
                <w:szCs w:val="24"/>
                <w:vertAlign w:val="superscript"/>
                <w:lang w:val="en-US" w:eastAsia="zh-CN" w:bidi="ar-SA"/>
              </w:rPr>
              <w:t>b</w:t>
            </w:r>
          </w:p>
          <w:p w14:paraId="04A75750">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max</w:t>
            </w:r>
          </w:p>
        </w:tc>
        <w:tc>
          <w:tcPr>
            <w:tcW w:w="675" w:type="pct"/>
            <w:vMerge w:val="restart"/>
            <w:shd w:val="clear" w:color="auto" w:fill="4472C4"/>
            <w:vAlign w:val="center"/>
          </w:tcPr>
          <w:p w14:paraId="000A4F2B">
            <w:pPr>
              <w:widowControl w:val="0"/>
              <w:spacing w:line="240" w:lineRule="auto"/>
              <w:ind w:firstLine="0" w:firstLineChars="0"/>
              <w:jc w:val="center"/>
              <w:rPr>
                <w:rFonts w:hint="eastAsia" w:ascii="宋体" w:hAnsi="宋体" w:eastAsia="宋体" w:cs="宋体"/>
                <w:b w:val="0"/>
                <w:color w:val="FFFFFF"/>
                <w:kern w:val="0"/>
                <w:sz w:val="24"/>
                <w:szCs w:val="24"/>
                <w:vertAlign w:val="superscript"/>
                <w:lang w:val="en-US" w:eastAsia="zh-CN" w:bidi="ar-SA"/>
              </w:rPr>
            </w:pPr>
            <w:r>
              <w:rPr>
                <w:rFonts w:hint="eastAsia" w:ascii="宋体" w:hAnsi="宋体" w:eastAsia="宋体" w:cs="宋体"/>
                <w:b/>
                <w:color w:val="FFFFFF"/>
                <w:kern w:val="0"/>
                <w:sz w:val="24"/>
                <w:szCs w:val="24"/>
                <w:lang w:val="en-US" w:eastAsia="zh-CN" w:bidi="ar-SA"/>
              </w:rPr>
              <w:t>e</w:t>
            </w:r>
            <w:r>
              <w:rPr>
                <w:rFonts w:hint="eastAsia" w:ascii="宋体" w:hAnsi="宋体" w:eastAsia="宋体" w:cs="宋体"/>
                <w:b/>
                <w:color w:val="FFFFFF"/>
                <w:kern w:val="0"/>
                <w:sz w:val="24"/>
                <w:szCs w:val="24"/>
                <w:vertAlign w:val="superscript"/>
                <w:lang w:val="en-US" w:eastAsia="zh-CN" w:bidi="ar-SA"/>
              </w:rPr>
              <w:t>c</w:t>
            </w:r>
          </w:p>
          <w:p w14:paraId="40E72A15">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max</w:t>
            </w:r>
          </w:p>
        </w:tc>
        <w:tc>
          <w:tcPr>
            <w:tcW w:w="556" w:type="pct"/>
            <w:vMerge w:val="restart"/>
            <w:shd w:val="clear" w:color="auto" w:fill="4472C4"/>
            <w:vAlign w:val="center"/>
          </w:tcPr>
          <w:p w14:paraId="0B6BF385">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S</w:t>
            </w:r>
            <w:r>
              <w:rPr>
                <w:rFonts w:hint="eastAsia" w:ascii="宋体" w:hAnsi="宋体" w:eastAsia="宋体" w:cs="宋体"/>
                <w:b/>
                <w:color w:val="FFFFFF"/>
                <w:kern w:val="0"/>
                <w:sz w:val="24"/>
                <w:szCs w:val="24"/>
                <w:vertAlign w:val="superscript"/>
                <w:lang w:val="en-US" w:eastAsia="zh-CN" w:bidi="ar-SA"/>
              </w:rPr>
              <w:t>d</w:t>
            </w:r>
          </w:p>
          <w:p w14:paraId="78A32AB6">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min</w:t>
            </w:r>
          </w:p>
        </w:tc>
        <w:tc>
          <w:tcPr>
            <w:tcW w:w="605" w:type="pct"/>
            <w:vMerge w:val="restart"/>
            <w:shd w:val="clear" w:color="auto" w:fill="4472C4"/>
            <w:vAlign w:val="center"/>
          </w:tcPr>
          <w:p w14:paraId="494FDBED">
            <w:pPr>
              <w:widowControl w:val="0"/>
              <w:spacing w:line="240" w:lineRule="auto"/>
              <w:ind w:firstLine="0" w:firstLineChars="0"/>
              <w:jc w:val="center"/>
              <w:rPr>
                <w:rFonts w:hint="eastAsia" w:ascii="宋体" w:hAnsi="宋体" w:eastAsia="宋体" w:cs="宋体"/>
                <w:b w:val="0"/>
                <w:color w:val="FFFFFF"/>
                <w:kern w:val="0"/>
                <w:sz w:val="24"/>
                <w:szCs w:val="24"/>
                <w:vertAlign w:val="superscript"/>
                <w:lang w:val="en-US" w:eastAsia="zh-CN" w:bidi="ar-SA"/>
              </w:rPr>
            </w:pPr>
            <w:r>
              <w:rPr>
                <w:rFonts w:hint="eastAsia" w:ascii="宋体" w:hAnsi="宋体" w:eastAsia="宋体" w:cs="宋体"/>
                <w:b/>
                <w:color w:val="FFFFFF"/>
                <w:kern w:val="0"/>
                <w:sz w:val="24"/>
                <w:szCs w:val="24"/>
                <w:lang w:val="en-US" w:eastAsia="zh-CN" w:bidi="ar-SA"/>
              </w:rPr>
              <w:t>W</w:t>
            </w:r>
            <w:r>
              <w:rPr>
                <w:rFonts w:hint="eastAsia" w:ascii="宋体" w:hAnsi="宋体" w:eastAsia="宋体" w:cs="宋体"/>
                <w:b/>
                <w:color w:val="FFFFFF"/>
                <w:kern w:val="0"/>
                <w:sz w:val="24"/>
                <w:szCs w:val="24"/>
                <w:vertAlign w:val="superscript"/>
                <w:lang w:val="en-US" w:eastAsia="zh-CN" w:bidi="ar-SA"/>
              </w:rPr>
              <w:t>b</w:t>
            </w:r>
          </w:p>
          <w:p w14:paraId="224408BB">
            <w:pPr>
              <w:widowControl w:val="0"/>
              <w:spacing w:line="240" w:lineRule="auto"/>
              <w:ind w:firstLine="0" w:firstLineChars="0"/>
              <w:jc w:val="center"/>
              <w:rPr>
                <w:rFonts w:hint="eastAsia" w:ascii="宋体" w:hAnsi="宋体" w:eastAsia="宋体" w:cs="宋体"/>
                <w:b w:val="0"/>
                <w:color w:val="FFFFFF"/>
                <w:kern w:val="0"/>
                <w:sz w:val="24"/>
                <w:szCs w:val="24"/>
                <w:lang w:val="en-US" w:eastAsia="zh-CN" w:bidi="ar-SA"/>
              </w:rPr>
            </w:pPr>
            <w:r>
              <w:rPr>
                <w:rFonts w:hint="eastAsia" w:ascii="宋体" w:hAnsi="宋体" w:eastAsia="宋体" w:cs="宋体"/>
                <w:b/>
                <w:color w:val="FFFFFF"/>
                <w:kern w:val="0"/>
                <w:sz w:val="24"/>
                <w:szCs w:val="24"/>
                <w:lang w:val="en-US" w:eastAsia="zh-CN" w:bidi="ar-SA"/>
              </w:rPr>
              <w:t>min</w:t>
            </w:r>
          </w:p>
        </w:tc>
      </w:tr>
      <w:tr w14:paraId="4F9B3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33BECABA">
            <w:pPr>
              <w:widowControl w:val="0"/>
              <w:spacing w:line="240" w:lineRule="auto"/>
              <w:ind w:firstLine="0" w:firstLineChars="0"/>
              <w:jc w:val="center"/>
              <w:rPr>
                <w:rFonts w:hint="eastAsia" w:ascii="宋体" w:hAnsi="宋体" w:eastAsia="宋体" w:cs="宋体"/>
                <w:b/>
                <w:bCs/>
                <w:color w:val="FFFFFF"/>
                <w:kern w:val="0"/>
                <w:sz w:val="24"/>
                <w:szCs w:val="24"/>
                <w:lang w:val="en-US" w:eastAsia="zh-CN" w:bidi="ar-SA"/>
              </w:rPr>
            </w:pPr>
            <w:r>
              <w:rPr>
                <w:rFonts w:hint="eastAsia" w:ascii="宋体" w:hAnsi="宋体" w:eastAsia="宋体" w:cs="宋体"/>
                <w:b/>
                <w:bCs/>
                <w:color w:val="FFFFFF"/>
                <w:kern w:val="0"/>
                <w:sz w:val="24"/>
                <w:szCs w:val="24"/>
                <w:lang w:val="en-US" w:eastAsia="zh-CN" w:bidi="ar-SA"/>
              </w:rPr>
              <w:t>4级</w:t>
            </w:r>
          </w:p>
        </w:tc>
        <w:tc>
          <w:tcPr>
            <w:tcW w:w="662" w:type="pct"/>
            <w:shd w:val="clear" w:color="auto" w:fill="4472C4"/>
            <w:vAlign w:val="center"/>
          </w:tcPr>
          <w:p w14:paraId="450AF836">
            <w:pPr>
              <w:widowControl w:val="0"/>
              <w:spacing w:line="240" w:lineRule="auto"/>
              <w:ind w:firstLine="0" w:firstLineChars="0"/>
              <w:jc w:val="center"/>
              <w:rPr>
                <w:rFonts w:hint="eastAsia" w:ascii="宋体" w:hAnsi="宋体" w:eastAsia="宋体" w:cs="宋体"/>
                <w:b/>
                <w:bCs/>
                <w:color w:val="FFFFFF"/>
                <w:kern w:val="0"/>
                <w:sz w:val="24"/>
                <w:szCs w:val="24"/>
                <w:lang w:val="en-US" w:eastAsia="zh-CN" w:bidi="ar-SA"/>
              </w:rPr>
            </w:pPr>
            <w:r>
              <w:rPr>
                <w:rFonts w:hint="eastAsia" w:ascii="宋体" w:hAnsi="宋体" w:eastAsia="宋体" w:cs="宋体"/>
                <w:b/>
                <w:bCs/>
                <w:color w:val="FFFFFF"/>
                <w:kern w:val="0"/>
                <w:sz w:val="24"/>
                <w:szCs w:val="24"/>
                <w:lang w:val="en-US" w:eastAsia="zh-CN" w:bidi="ar-SA"/>
              </w:rPr>
              <w:t>6级</w:t>
            </w:r>
          </w:p>
        </w:tc>
        <w:tc>
          <w:tcPr>
            <w:tcW w:w="662" w:type="pct"/>
            <w:shd w:val="clear" w:color="auto" w:fill="4472C4"/>
            <w:vAlign w:val="center"/>
          </w:tcPr>
          <w:p w14:paraId="72A36885">
            <w:pPr>
              <w:widowControl w:val="0"/>
              <w:spacing w:line="240" w:lineRule="auto"/>
              <w:ind w:firstLine="0" w:firstLineChars="0"/>
              <w:jc w:val="center"/>
              <w:rPr>
                <w:rFonts w:hint="eastAsia" w:ascii="宋体" w:hAnsi="宋体" w:eastAsia="宋体" w:cs="宋体"/>
                <w:b/>
                <w:bCs/>
                <w:color w:val="FFFFFF"/>
                <w:kern w:val="0"/>
                <w:sz w:val="24"/>
                <w:szCs w:val="24"/>
                <w:lang w:val="en-US" w:eastAsia="zh-CN" w:bidi="ar-SA"/>
              </w:rPr>
            </w:pPr>
            <w:r>
              <w:rPr>
                <w:rFonts w:hint="eastAsia" w:ascii="宋体" w:hAnsi="宋体" w:eastAsia="宋体" w:cs="宋体"/>
                <w:b/>
                <w:bCs/>
                <w:color w:val="FFFFFF"/>
                <w:kern w:val="0"/>
                <w:sz w:val="24"/>
                <w:szCs w:val="24"/>
                <w:lang w:val="en-US" w:eastAsia="zh-CN" w:bidi="ar-SA"/>
              </w:rPr>
              <w:t>8级</w:t>
            </w:r>
          </w:p>
        </w:tc>
        <w:tc>
          <w:tcPr>
            <w:tcW w:w="589" w:type="pct"/>
            <w:vMerge w:val="continue"/>
            <w:shd w:val="clear" w:color="auto" w:fill="auto"/>
            <w:vAlign w:val="center"/>
          </w:tcPr>
          <w:p w14:paraId="684A8B9A">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p>
        </w:tc>
        <w:tc>
          <w:tcPr>
            <w:tcW w:w="589" w:type="pct"/>
            <w:vMerge w:val="continue"/>
            <w:shd w:val="clear" w:color="auto" w:fill="auto"/>
            <w:vAlign w:val="center"/>
          </w:tcPr>
          <w:p w14:paraId="72709913">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p>
        </w:tc>
        <w:tc>
          <w:tcPr>
            <w:tcW w:w="675" w:type="pct"/>
            <w:vMerge w:val="continue"/>
            <w:shd w:val="clear" w:color="auto" w:fill="auto"/>
            <w:vAlign w:val="center"/>
          </w:tcPr>
          <w:p w14:paraId="0EA2A3DE">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p>
        </w:tc>
        <w:tc>
          <w:tcPr>
            <w:tcW w:w="556" w:type="pct"/>
            <w:vMerge w:val="continue"/>
            <w:shd w:val="clear" w:color="auto" w:fill="auto"/>
            <w:vAlign w:val="center"/>
          </w:tcPr>
          <w:p w14:paraId="67B5EFF4">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p>
        </w:tc>
        <w:tc>
          <w:tcPr>
            <w:tcW w:w="605" w:type="pct"/>
            <w:vMerge w:val="continue"/>
            <w:shd w:val="clear" w:color="auto" w:fill="auto"/>
            <w:vAlign w:val="center"/>
          </w:tcPr>
          <w:p w14:paraId="160CAE1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p>
        </w:tc>
      </w:tr>
      <w:tr w14:paraId="072FE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78984ED0">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t</w:t>
            </w:r>
          </w:p>
        </w:tc>
        <w:tc>
          <w:tcPr>
            <w:tcW w:w="3014" w:type="pct"/>
            <w:gridSpan w:val="5"/>
            <w:shd w:val="clear" w:color="auto" w:fill="auto"/>
            <w:vAlign w:val="center"/>
          </w:tcPr>
          <w:p w14:paraId="20925AD0">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mm</w:t>
            </w:r>
          </w:p>
        </w:tc>
      </w:tr>
      <w:tr w14:paraId="4B0DB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B017F6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w:t>
            </w:r>
          </w:p>
        </w:tc>
        <w:tc>
          <w:tcPr>
            <w:tcW w:w="662" w:type="pct"/>
            <w:shd w:val="clear" w:color="auto" w:fill="auto"/>
            <w:vAlign w:val="center"/>
          </w:tcPr>
          <w:p w14:paraId="5426D973">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w:t>
            </w:r>
          </w:p>
        </w:tc>
        <w:tc>
          <w:tcPr>
            <w:tcW w:w="662" w:type="pct"/>
            <w:shd w:val="clear" w:color="auto" w:fill="auto"/>
            <w:vAlign w:val="center"/>
          </w:tcPr>
          <w:p w14:paraId="60A5ACE8">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w:t>
            </w:r>
          </w:p>
        </w:tc>
        <w:tc>
          <w:tcPr>
            <w:tcW w:w="589" w:type="pct"/>
            <w:shd w:val="clear" w:color="auto" w:fill="auto"/>
            <w:vAlign w:val="center"/>
          </w:tcPr>
          <w:p w14:paraId="11EA3D87">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31.5</w:t>
            </w:r>
          </w:p>
        </w:tc>
        <w:tc>
          <w:tcPr>
            <w:tcW w:w="589" w:type="pct"/>
            <w:shd w:val="clear" w:color="auto" w:fill="auto"/>
            <w:vAlign w:val="center"/>
          </w:tcPr>
          <w:p w14:paraId="5CC80D4B">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35.5</w:t>
            </w:r>
          </w:p>
        </w:tc>
        <w:tc>
          <w:tcPr>
            <w:tcW w:w="675" w:type="pct"/>
            <w:shd w:val="clear" w:color="auto" w:fill="auto"/>
            <w:vAlign w:val="center"/>
          </w:tcPr>
          <w:p w14:paraId="50208A9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78.1</w:t>
            </w:r>
          </w:p>
        </w:tc>
        <w:tc>
          <w:tcPr>
            <w:tcW w:w="556" w:type="pct"/>
            <w:shd w:val="clear" w:color="auto" w:fill="auto"/>
            <w:vAlign w:val="center"/>
          </w:tcPr>
          <w:p w14:paraId="6CC11A61">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605" w:type="pct"/>
            <w:shd w:val="clear" w:color="auto" w:fill="auto"/>
            <w:vAlign w:val="center"/>
          </w:tcPr>
          <w:p w14:paraId="526EC52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35.5</w:t>
            </w:r>
          </w:p>
        </w:tc>
      </w:tr>
      <w:tr w14:paraId="29724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5AD9EF4">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662" w:type="pct"/>
            <w:shd w:val="clear" w:color="auto" w:fill="auto"/>
            <w:vAlign w:val="center"/>
          </w:tcPr>
          <w:p w14:paraId="3361279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w:t>
            </w:r>
          </w:p>
        </w:tc>
        <w:tc>
          <w:tcPr>
            <w:tcW w:w="662" w:type="pct"/>
            <w:shd w:val="clear" w:color="auto" w:fill="auto"/>
            <w:vAlign w:val="center"/>
          </w:tcPr>
          <w:p w14:paraId="781210F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589" w:type="pct"/>
            <w:shd w:val="clear" w:color="auto" w:fill="auto"/>
            <w:vAlign w:val="center"/>
          </w:tcPr>
          <w:p w14:paraId="581E9970">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35.5</w:t>
            </w:r>
          </w:p>
        </w:tc>
        <w:tc>
          <w:tcPr>
            <w:tcW w:w="589" w:type="pct"/>
            <w:shd w:val="clear" w:color="auto" w:fill="auto"/>
            <w:vAlign w:val="center"/>
          </w:tcPr>
          <w:p w14:paraId="19F5B167">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675" w:type="pct"/>
            <w:shd w:val="clear" w:color="auto" w:fill="auto"/>
            <w:vAlign w:val="center"/>
          </w:tcPr>
          <w:p w14:paraId="7B6B867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88</w:t>
            </w:r>
          </w:p>
        </w:tc>
        <w:tc>
          <w:tcPr>
            <w:tcW w:w="556" w:type="pct"/>
            <w:shd w:val="clear" w:color="auto" w:fill="auto"/>
            <w:vAlign w:val="center"/>
          </w:tcPr>
          <w:p w14:paraId="74F1CFE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605" w:type="pct"/>
            <w:shd w:val="clear" w:color="auto" w:fill="auto"/>
            <w:vAlign w:val="center"/>
          </w:tcPr>
          <w:p w14:paraId="3D71345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r>
      <w:tr w14:paraId="373BB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84D7E03">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w:t>
            </w:r>
          </w:p>
        </w:tc>
        <w:tc>
          <w:tcPr>
            <w:tcW w:w="662" w:type="pct"/>
            <w:shd w:val="clear" w:color="auto" w:fill="auto"/>
            <w:vAlign w:val="center"/>
          </w:tcPr>
          <w:p w14:paraId="7CFF217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662" w:type="pct"/>
            <w:shd w:val="clear" w:color="auto" w:fill="auto"/>
            <w:vAlign w:val="center"/>
          </w:tcPr>
          <w:p w14:paraId="7128779B">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w:t>
            </w:r>
          </w:p>
        </w:tc>
        <w:tc>
          <w:tcPr>
            <w:tcW w:w="589" w:type="pct"/>
            <w:shd w:val="clear" w:color="auto" w:fill="auto"/>
            <w:vAlign w:val="center"/>
          </w:tcPr>
          <w:p w14:paraId="254CFCE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589" w:type="pct"/>
            <w:shd w:val="clear" w:color="auto" w:fill="auto"/>
            <w:vAlign w:val="center"/>
          </w:tcPr>
          <w:p w14:paraId="264CCF32">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45</w:t>
            </w:r>
          </w:p>
        </w:tc>
        <w:tc>
          <w:tcPr>
            <w:tcW w:w="675" w:type="pct"/>
            <w:shd w:val="clear" w:color="auto" w:fill="auto"/>
            <w:vAlign w:val="center"/>
          </w:tcPr>
          <w:p w14:paraId="70D98C6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99</w:t>
            </w:r>
          </w:p>
        </w:tc>
        <w:tc>
          <w:tcPr>
            <w:tcW w:w="556" w:type="pct"/>
            <w:shd w:val="clear" w:color="auto" w:fill="auto"/>
            <w:vAlign w:val="center"/>
          </w:tcPr>
          <w:p w14:paraId="7C7FE62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c>
          <w:tcPr>
            <w:tcW w:w="605" w:type="pct"/>
            <w:shd w:val="clear" w:color="auto" w:fill="auto"/>
            <w:vAlign w:val="center"/>
          </w:tcPr>
          <w:p w14:paraId="1F4DE91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45</w:t>
            </w:r>
          </w:p>
        </w:tc>
      </w:tr>
      <w:tr w14:paraId="586BB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EB4CCB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w:t>
            </w:r>
          </w:p>
        </w:tc>
        <w:tc>
          <w:tcPr>
            <w:tcW w:w="662" w:type="pct"/>
            <w:shd w:val="clear" w:color="auto" w:fill="auto"/>
            <w:vAlign w:val="center"/>
          </w:tcPr>
          <w:p w14:paraId="001F748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w:t>
            </w:r>
          </w:p>
        </w:tc>
        <w:tc>
          <w:tcPr>
            <w:tcW w:w="662" w:type="pct"/>
            <w:shd w:val="clear" w:color="auto" w:fill="auto"/>
            <w:vAlign w:val="center"/>
          </w:tcPr>
          <w:p w14:paraId="097C25ED">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w:t>
            </w:r>
          </w:p>
        </w:tc>
        <w:tc>
          <w:tcPr>
            <w:tcW w:w="589" w:type="pct"/>
            <w:shd w:val="clear" w:color="auto" w:fill="auto"/>
            <w:vAlign w:val="center"/>
          </w:tcPr>
          <w:p w14:paraId="505AA204">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45</w:t>
            </w:r>
          </w:p>
        </w:tc>
        <w:tc>
          <w:tcPr>
            <w:tcW w:w="589" w:type="pct"/>
            <w:shd w:val="clear" w:color="auto" w:fill="auto"/>
            <w:vAlign w:val="center"/>
          </w:tcPr>
          <w:p w14:paraId="03B56DC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675" w:type="pct"/>
            <w:shd w:val="clear" w:color="auto" w:fill="auto"/>
            <w:vAlign w:val="center"/>
          </w:tcPr>
          <w:p w14:paraId="40FB9A3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110</w:t>
            </w:r>
          </w:p>
        </w:tc>
        <w:tc>
          <w:tcPr>
            <w:tcW w:w="556" w:type="pct"/>
            <w:shd w:val="clear" w:color="auto" w:fill="auto"/>
            <w:vAlign w:val="center"/>
          </w:tcPr>
          <w:p w14:paraId="1673576D">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100</w:t>
            </w:r>
          </w:p>
        </w:tc>
        <w:tc>
          <w:tcPr>
            <w:tcW w:w="605" w:type="pct"/>
            <w:shd w:val="clear" w:color="auto" w:fill="auto"/>
            <w:vAlign w:val="center"/>
          </w:tcPr>
          <w:p w14:paraId="088311A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r>
      <w:tr w14:paraId="09122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AFD323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662" w:type="pct"/>
            <w:shd w:val="clear" w:color="auto" w:fill="auto"/>
            <w:vAlign w:val="center"/>
          </w:tcPr>
          <w:p w14:paraId="03A100D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w:t>
            </w:r>
          </w:p>
        </w:tc>
        <w:tc>
          <w:tcPr>
            <w:tcW w:w="662" w:type="pct"/>
            <w:shd w:val="clear" w:color="auto" w:fill="auto"/>
            <w:vAlign w:val="center"/>
          </w:tcPr>
          <w:p w14:paraId="17B7BA5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25</w:t>
            </w:r>
          </w:p>
        </w:tc>
        <w:tc>
          <w:tcPr>
            <w:tcW w:w="589" w:type="pct"/>
            <w:shd w:val="clear" w:color="auto" w:fill="auto"/>
            <w:vAlign w:val="center"/>
          </w:tcPr>
          <w:p w14:paraId="3E83596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589" w:type="pct"/>
            <w:shd w:val="clear" w:color="auto" w:fill="auto"/>
            <w:vAlign w:val="center"/>
          </w:tcPr>
          <w:p w14:paraId="3666572D">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56</w:t>
            </w:r>
          </w:p>
        </w:tc>
        <w:tc>
          <w:tcPr>
            <w:tcW w:w="675" w:type="pct"/>
            <w:shd w:val="clear" w:color="auto" w:fill="auto"/>
            <w:vAlign w:val="center"/>
          </w:tcPr>
          <w:p w14:paraId="2DCEC51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123.2</w:t>
            </w:r>
          </w:p>
        </w:tc>
        <w:tc>
          <w:tcPr>
            <w:tcW w:w="556" w:type="pct"/>
            <w:shd w:val="clear" w:color="auto" w:fill="auto"/>
            <w:vAlign w:val="center"/>
          </w:tcPr>
          <w:p w14:paraId="02895663">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112</w:t>
            </w:r>
          </w:p>
        </w:tc>
        <w:tc>
          <w:tcPr>
            <w:tcW w:w="605" w:type="pct"/>
            <w:shd w:val="clear" w:color="auto" w:fill="auto"/>
            <w:vAlign w:val="center"/>
          </w:tcPr>
          <w:p w14:paraId="59FF5928">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56</w:t>
            </w:r>
          </w:p>
        </w:tc>
      </w:tr>
      <w:tr w14:paraId="78CCB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45A4206D">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w:t>
            </w:r>
          </w:p>
        </w:tc>
        <w:tc>
          <w:tcPr>
            <w:tcW w:w="662" w:type="pct"/>
            <w:shd w:val="clear" w:color="auto" w:fill="auto"/>
            <w:vAlign w:val="center"/>
          </w:tcPr>
          <w:p w14:paraId="792F8B8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25</w:t>
            </w:r>
          </w:p>
        </w:tc>
        <w:tc>
          <w:tcPr>
            <w:tcW w:w="662" w:type="pct"/>
            <w:shd w:val="clear" w:color="auto" w:fill="auto"/>
            <w:vAlign w:val="center"/>
          </w:tcPr>
          <w:p w14:paraId="6742946B">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w:t>
            </w:r>
          </w:p>
        </w:tc>
        <w:tc>
          <w:tcPr>
            <w:tcW w:w="589" w:type="pct"/>
            <w:shd w:val="clear" w:color="auto" w:fill="auto"/>
            <w:vAlign w:val="center"/>
          </w:tcPr>
          <w:p w14:paraId="0CB32FE7">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56</w:t>
            </w:r>
          </w:p>
        </w:tc>
        <w:tc>
          <w:tcPr>
            <w:tcW w:w="589" w:type="pct"/>
            <w:shd w:val="clear" w:color="auto" w:fill="auto"/>
            <w:vAlign w:val="center"/>
          </w:tcPr>
          <w:p w14:paraId="64852A8A">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675" w:type="pct"/>
            <w:shd w:val="clear" w:color="auto" w:fill="auto"/>
            <w:vAlign w:val="center"/>
          </w:tcPr>
          <w:p w14:paraId="58A035E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138.6</w:t>
            </w:r>
          </w:p>
        </w:tc>
        <w:tc>
          <w:tcPr>
            <w:tcW w:w="556" w:type="pct"/>
            <w:shd w:val="clear" w:color="auto" w:fill="auto"/>
            <w:vAlign w:val="center"/>
          </w:tcPr>
          <w:p w14:paraId="77B7C6E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125</w:t>
            </w:r>
          </w:p>
        </w:tc>
        <w:tc>
          <w:tcPr>
            <w:tcW w:w="605" w:type="pct"/>
            <w:shd w:val="clear" w:color="auto" w:fill="auto"/>
            <w:vAlign w:val="center"/>
          </w:tcPr>
          <w:p w14:paraId="7EDFC67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r>
      <w:tr w14:paraId="613CD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DCCA5B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w:t>
            </w:r>
          </w:p>
        </w:tc>
        <w:tc>
          <w:tcPr>
            <w:tcW w:w="662" w:type="pct"/>
            <w:shd w:val="clear" w:color="auto" w:fill="auto"/>
            <w:vAlign w:val="center"/>
          </w:tcPr>
          <w:p w14:paraId="53FE7F28">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w:t>
            </w:r>
          </w:p>
        </w:tc>
        <w:tc>
          <w:tcPr>
            <w:tcW w:w="662" w:type="pct"/>
            <w:shd w:val="clear" w:color="auto" w:fill="auto"/>
            <w:vAlign w:val="center"/>
          </w:tcPr>
          <w:p w14:paraId="4943B683">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589" w:type="pct"/>
            <w:shd w:val="clear" w:color="auto" w:fill="auto"/>
            <w:vAlign w:val="center"/>
          </w:tcPr>
          <w:p w14:paraId="48B55EBE">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589" w:type="pct"/>
            <w:shd w:val="clear" w:color="auto" w:fill="auto"/>
            <w:vAlign w:val="center"/>
          </w:tcPr>
          <w:p w14:paraId="62765E28">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675" w:type="pct"/>
            <w:shd w:val="clear" w:color="auto" w:fill="auto"/>
            <w:vAlign w:val="center"/>
          </w:tcPr>
          <w:p w14:paraId="3E84C9A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156.2</w:t>
            </w:r>
          </w:p>
        </w:tc>
        <w:tc>
          <w:tcPr>
            <w:tcW w:w="556" w:type="pct"/>
            <w:shd w:val="clear" w:color="auto" w:fill="auto"/>
            <w:vAlign w:val="center"/>
          </w:tcPr>
          <w:p w14:paraId="7FC326FB">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140</w:t>
            </w:r>
          </w:p>
        </w:tc>
        <w:tc>
          <w:tcPr>
            <w:tcW w:w="605" w:type="pct"/>
            <w:shd w:val="clear" w:color="auto" w:fill="auto"/>
            <w:vAlign w:val="center"/>
          </w:tcPr>
          <w:p w14:paraId="255939D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r>
      <w:tr w14:paraId="1FF56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66E7A5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25</w:t>
            </w:r>
          </w:p>
        </w:tc>
        <w:tc>
          <w:tcPr>
            <w:tcW w:w="662" w:type="pct"/>
            <w:shd w:val="clear" w:color="auto" w:fill="auto"/>
            <w:vAlign w:val="center"/>
          </w:tcPr>
          <w:p w14:paraId="58BC89D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662" w:type="pct"/>
            <w:shd w:val="clear" w:color="auto" w:fill="auto"/>
            <w:vAlign w:val="center"/>
          </w:tcPr>
          <w:p w14:paraId="5AC5E4E2">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589" w:type="pct"/>
            <w:shd w:val="clear" w:color="auto" w:fill="auto"/>
            <w:vAlign w:val="center"/>
          </w:tcPr>
          <w:p w14:paraId="1CD014C0">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71</w:t>
            </w:r>
          </w:p>
        </w:tc>
        <w:tc>
          <w:tcPr>
            <w:tcW w:w="589" w:type="pct"/>
            <w:shd w:val="clear" w:color="auto" w:fill="auto"/>
            <w:vAlign w:val="center"/>
          </w:tcPr>
          <w:p w14:paraId="1FBA1D16">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675" w:type="pct"/>
            <w:shd w:val="clear" w:color="auto" w:fill="auto"/>
            <w:vAlign w:val="center"/>
          </w:tcPr>
          <w:p w14:paraId="2E2CE933">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178</w:t>
            </w:r>
          </w:p>
        </w:tc>
        <w:tc>
          <w:tcPr>
            <w:tcW w:w="556" w:type="pct"/>
            <w:shd w:val="clear" w:color="auto" w:fill="auto"/>
            <w:vAlign w:val="center"/>
          </w:tcPr>
          <w:p w14:paraId="75C1A42E">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160</w:t>
            </w:r>
          </w:p>
        </w:tc>
        <w:tc>
          <w:tcPr>
            <w:tcW w:w="605" w:type="pct"/>
            <w:shd w:val="clear" w:color="auto" w:fill="auto"/>
            <w:vAlign w:val="center"/>
          </w:tcPr>
          <w:p w14:paraId="362DC152">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r>
      <w:tr w14:paraId="24738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C7E23DF">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w:t>
            </w:r>
          </w:p>
        </w:tc>
        <w:tc>
          <w:tcPr>
            <w:tcW w:w="662" w:type="pct"/>
            <w:shd w:val="clear" w:color="auto" w:fill="auto"/>
            <w:vAlign w:val="center"/>
          </w:tcPr>
          <w:p w14:paraId="5C58A38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50</w:t>
            </w:r>
          </w:p>
        </w:tc>
        <w:tc>
          <w:tcPr>
            <w:tcW w:w="662" w:type="pct"/>
            <w:shd w:val="clear" w:color="auto" w:fill="auto"/>
            <w:vAlign w:val="center"/>
          </w:tcPr>
          <w:p w14:paraId="3AAA43AD">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589" w:type="pct"/>
            <w:shd w:val="clear" w:color="auto" w:fill="auto"/>
            <w:vAlign w:val="center"/>
          </w:tcPr>
          <w:p w14:paraId="19F9D0F4">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589" w:type="pct"/>
            <w:shd w:val="clear" w:color="auto" w:fill="auto"/>
            <w:vAlign w:val="center"/>
          </w:tcPr>
          <w:p w14:paraId="3C48EC4E">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c>
          <w:tcPr>
            <w:tcW w:w="675" w:type="pct"/>
            <w:shd w:val="clear" w:color="auto" w:fill="auto"/>
            <w:vAlign w:val="center"/>
          </w:tcPr>
          <w:p w14:paraId="4BBFE9AA">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198</w:t>
            </w:r>
          </w:p>
        </w:tc>
        <w:tc>
          <w:tcPr>
            <w:tcW w:w="556" w:type="pct"/>
            <w:shd w:val="clear" w:color="auto" w:fill="auto"/>
            <w:vAlign w:val="center"/>
          </w:tcPr>
          <w:p w14:paraId="0AC6AE3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180</w:t>
            </w:r>
          </w:p>
        </w:tc>
        <w:tc>
          <w:tcPr>
            <w:tcW w:w="605" w:type="pct"/>
            <w:shd w:val="clear" w:color="auto" w:fill="auto"/>
            <w:vAlign w:val="center"/>
          </w:tcPr>
          <w:p w14:paraId="6CCC64CA">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r>
      <w:tr w14:paraId="3B564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21CA489C">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40</w:t>
            </w:r>
          </w:p>
        </w:tc>
        <w:tc>
          <w:tcPr>
            <w:tcW w:w="662" w:type="pct"/>
            <w:shd w:val="clear" w:color="auto" w:fill="auto"/>
            <w:vAlign w:val="center"/>
          </w:tcPr>
          <w:p w14:paraId="256D766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63</w:t>
            </w:r>
          </w:p>
        </w:tc>
        <w:tc>
          <w:tcPr>
            <w:tcW w:w="662" w:type="pct"/>
            <w:shd w:val="clear" w:color="auto" w:fill="auto"/>
            <w:vAlign w:val="center"/>
          </w:tcPr>
          <w:p w14:paraId="2554C500">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80</w:t>
            </w:r>
          </w:p>
        </w:tc>
        <w:tc>
          <w:tcPr>
            <w:tcW w:w="589" w:type="pct"/>
            <w:shd w:val="clear" w:color="auto" w:fill="auto"/>
            <w:vAlign w:val="center"/>
          </w:tcPr>
          <w:p w14:paraId="14E90027">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90</w:t>
            </w:r>
          </w:p>
        </w:tc>
        <w:tc>
          <w:tcPr>
            <w:tcW w:w="589" w:type="pct"/>
            <w:shd w:val="clear" w:color="auto" w:fill="auto"/>
            <w:vAlign w:val="center"/>
          </w:tcPr>
          <w:p w14:paraId="4994D4A2">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100</w:t>
            </w:r>
          </w:p>
        </w:tc>
        <w:tc>
          <w:tcPr>
            <w:tcW w:w="675" w:type="pct"/>
            <w:shd w:val="clear" w:color="auto" w:fill="auto"/>
            <w:vAlign w:val="center"/>
          </w:tcPr>
          <w:p w14:paraId="05BE0DC9">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220</w:t>
            </w:r>
          </w:p>
        </w:tc>
        <w:tc>
          <w:tcPr>
            <w:tcW w:w="556" w:type="pct"/>
            <w:shd w:val="clear" w:color="auto" w:fill="auto"/>
            <w:vAlign w:val="center"/>
          </w:tcPr>
          <w:p w14:paraId="3D364627">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200</w:t>
            </w:r>
          </w:p>
        </w:tc>
        <w:tc>
          <w:tcPr>
            <w:tcW w:w="605" w:type="pct"/>
            <w:shd w:val="clear" w:color="auto" w:fill="auto"/>
            <w:vAlign w:val="center"/>
          </w:tcPr>
          <w:p w14:paraId="2E844225">
            <w:pPr>
              <w:widowControl w:val="0"/>
              <w:spacing w:line="240" w:lineRule="auto"/>
              <w:ind w:firstLine="0" w:firstLineChars="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100</w:t>
            </w:r>
          </w:p>
        </w:tc>
      </w:tr>
    </w:tbl>
    <w:p w14:paraId="7D6ADD64">
      <w:pPr>
        <w:ind w:firstLine="480"/>
        <w:rPr>
          <w:rFonts w:hint="eastAsia" w:ascii="宋体" w:hAnsi="宋体" w:eastAsia="宋体" w:cs="宋体"/>
          <w:sz w:val="24"/>
          <w:szCs w:val="24"/>
        </w:rPr>
      </w:pPr>
      <w:r>
        <w:rPr>
          <w:rFonts w:hint="eastAsia" w:ascii="宋体" w:hAnsi="宋体" w:eastAsia="宋体" w:cs="宋体"/>
          <w:sz w:val="24"/>
          <w:szCs w:val="24"/>
        </w:rPr>
        <w:t>四点吊的</w:t>
      </w:r>
      <w:r>
        <w:rPr>
          <w:rFonts w:hint="eastAsia" w:ascii="宋体" w:hAnsi="宋体" w:eastAsia="宋体" w:cs="宋体"/>
          <w:sz w:val="24"/>
          <w:szCs w:val="24"/>
          <w:lang w:eastAsia="zh-CN"/>
        </w:rPr>
        <w:t>塔机</w:t>
      </w:r>
      <w:r>
        <w:rPr>
          <w:rFonts w:hint="eastAsia" w:ascii="宋体" w:hAnsi="宋体" w:eastAsia="宋体" w:cs="宋体"/>
          <w:sz w:val="24"/>
          <w:szCs w:val="24"/>
        </w:rPr>
        <w:t>主要部件</w:t>
      </w:r>
      <w:r>
        <w:rPr>
          <w:rFonts w:hint="eastAsia" w:ascii="宋体" w:hAnsi="宋体" w:eastAsia="宋体" w:cs="宋体"/>
          <w:sz w:val="24"/>
          <w:szCs w:val="24"/>
          <w:lang w:val="en-US" w:eastAsia="zh-CN"/>
        </w:rPr>
        <w:t>为</w:t>
      </w:r>
      <w:r>
        <w:rPr>
          <w:rFonts w:hint="eastAsia" w:ascii="宋体" w:hAnsi="宋体" w:cs="宋体"/>
          <w:sz w:val="24"/>
          <w:szCs w:val="24"/>
          <w:lang w:val="en-US" w:eastAsia="zh-CN"/>
        </w:rPr>
        <w:t>爬升架</w:t>
      </w:r>
      <w:r>
        <w:rPr>
          <w:rFonts w:hint="eastAsia" w:ascii="宋体" w:hAnsi="宋体" w:eastAsia="宋体" w:cs="宋体"/>
          <w:sz w:val="24"/>
          <w:szCs w:val="24"/>
          <w:highlight w:val="none"/>
          <w:lang w:eastAsia="zh-CN"/>
        </w:rPr>
        <w:t>，</w:t>
      </w:r>
      <w:r>
        <w:rPr>
          <w:rFonts w:hint="eastAsia" w:ascii="宋体" w:hAnsi="宋体" w:cs="宋体"/>
          <w:sz w:val="24"/>
          <w:szCs w:val="24"/>
          <w:lang w:val="en-US" w:eastAsia="zh-CN"/>
        </w:rPr>
        <w:t>爬升架</w:t>
      </w:r>
      <w:r>
        <w:rPr>
          <w:rFonts w:hint="eastAsia" w:ascii="宋体" w:hAnsi="宋体" w:eastAsia="宋体" w:cs="宋体"/>
          <w:sz w:val="24"/>
          <w:szCs w:val="24"/>
        </w:rPr>
        <w:t>最大重量约</w:t>
      </w:r>
      <w:r>
        <w:rPr>
          <w:rFonts w:hint="eastAsia" w:ascii="宋体" w:hAnsi="宋体" w:cs="宋体"/>
          <w:sz w:val="24"/>
          <w:szCs w:val="24"/>
          <w:lang w:val="en-US" w:eastAsia="zh-CN"/>
        </w:rPr>
        <w:t>5.35</w:t>
      </w:r>
      <w:r>
        <w:rPr>
          <w:rFonts w:hint="eastAsia" w:ascii="宋体" w:hAnsi="宋体" w:eastAsia="宋体" w:cs="宋体"/>
          <w:sz w:val="24"/>
          <w:szCs w:val="24"/>
        </w:rPr>
        <w:t>t，钢丝绳连接卸扣工作荷载：</w:t>
      </w:r>
    </w:p>
    <w:p w14:paraId="72C8DF82">
      <w:pPr>
        <w:ind w:firstLine="480"/>
        <w:rPr>
          <w:rFonts w:hint="eastAsia" w:ascii="宋体" w:hAnsi="宋体" w:eastAsia="宋体" w:cs="宋体"/>
          <w:sz w:val="24"/>
          <w:szCs w:val="24"/>
        </w:rPr>
      </w:pPr>
      <m:oMath>
        <m:r>
          <m:rPr>
            <m:nor/>
            <m:sty m:val="p"/>
          </m:rPr>
          <w:rPr>
            <w:rFonts w:hint="eastAsia" w:ascii="Cambria Math" w:hAnsi="Cambria Math" w:eastAsia="宋体" w:cs="宋体"/>
            <w:b w:val="0"/>
            <w:i w:val="0"/>
            <w:sz w:val="24"/>
            <w:szCs w:val="24"/>
          </w:rPr>
          <m:t>WL</m:t>
        </m:r>
        <m:sSub>
          <m:sSubPr>
            <m:ctrlPr>
              <w:rPr>
                <w:rFonts w:hint="eastAsia" w:ascii="Cambria Math" w:hAnsi="Cambria Math" w:eastAsia="宋体" w:cs="宋体"/>
                <w:i/>
                <w:sz w:val="24"/>
                <w:szCs w:val="24"/>
              </w:rPr>
            </m:ctrlPr>
          </m:sSubPr>
          <m:e>
            <m:r>
              <m:rPr>
                <m:nor/>
                <m:sty m:val="p"/>
              </m:rPr>
              <w:rPr>
                <w:rFonts w:hint="eastAsia" w:ascii="Cambria Math" w:hAnsi="Cambria Math" w:eastAsia="宋体" w:cs="宋体"/>
                <w:b w:val="0"/>
                <w:i w:val="0"/>
                <w:sz w:val="24"/>
                <w:szCs w:val="24"/>
              </w:rPr>
              <m:t>L</m:t>
            </m:r>
            <m:ctrlPr>
              <w:rPr>
                <w:rFonts w:hint="eastAsia" w:ascii="Cambria Math" w:hAnsi="Cambria Math" w:eastAsia="宋体" w:cs="宋体"/>
                <w:i/>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i/>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i/>
                <w:sz w:val="24"/>
                <w:szCs w:val="24"/>
              </w:rPr>
            </m:ctrlPr>
          </m:fPr>
          <m:num>
            <m:r>
              <m:rPr/>
              <w:rPr>
                <w:rFonts w:hint="eastAsia" w:ascii="Cambria Math" w:hAnsi="Cambria Math" w:eastAsia="宋体" w:cs="宋体"/>
                <w:sz w:val="24"/>
                <w:szCs w:val="24"/>
                <w:lang w:val="en-US" w:eastAsia="zh-CN"/>
              </w:rPr>
              <m:t>166.56</m:t>
            </m:r>
            <m:ctrlPr>
              <w:rPr>
                <w:rFonts w:hint="eastAsia" w:ascii="Cambria Math" w:hAnsi="Cambria Math" w:eastAsia="宋体" w:cs="宋体"/>
                <w:i/>
                <w:sz w:val="24"/>
                <w:szCs w:val="24"/>
              </w:rPr>
            </m:ctrlPr>
          </m:num>
          <m:den>
            <m:r>
              <m:rPr>
                <m:nor/>
                <m:sty m:val="p"/>
              </m:rPr>
              <w:rPr>
                <w:rFonts w:hint="eastAsia" w:ascii="Cambria Math" w:hAnsi="Cambria Math" w:eastAsia="宋体" w:cs="宋体"/>
                <w:b w:val="0"/>
                <w:i w:val="0"/>
                <w:sz w:val="24"/>
                <w:szCs w:val="24"/>
              </w:rPr>
              <m:t>6</m:t>
            </m:r>
            <m:ctrlPr>
              <w:rPr>
                <w:rFonts w:hint="eastAsia" w:ascii="Cambria Math" w:hAnsi="Cambria Math" w:eastAsia="宋体" w:cs="宋体"/>
                <w:i/>
                <w:sz w:val="24"/>
                <w:szCs w:val="24"/>
              </w:rPr>
            </m:ctrlPr>
          </m:den>
        </m:f>
        <m:r>
          <m:rPr>
            <m:nor/>
            <m:sty m:val="p"/>
          </m:rPr>
          <w:rPr>
            <w:rFonts w:hint="eastAsia" w:ascii="Cambria Math" w:hAnsi="Cambria Math" w:eastAsia="宋体" w:cs="宋体"/>
            <w:b w:val="0"/>
            <w:i w:val="0"/>
            <w:sz w:val="24"/>
            <w:szCs w:val="24"/>
          </w:rPr>
          <m:t>=</m:t>
        </m:r>
        <m:r>
          <m:rPr>
            <m:nor/>
            <m:sty m:val="p"/>
          </m:rPr>
          <w:rPr>
            <w:rFonts w:hint="eastAsia" w:ascii="Cambria Math" w:hAnsi="Cambria Math" w:eastAsia="宋体" w:cs="宋体"/>
            <w:b w:val="0"/>
            <w:i w:val="0"/>
            <w:sz w:val="24"/>
            <w:szCs w:val="24"/>
            <w:lang w:val="en-US" w:eastAsia="zh-CN"/>
          </w:rPr>
          <m:t>27.76</m:t>
        </m:r>
        <m:r>
          <m:rPr>
            <m:nor/>
            <m:sty m:val="p"/>
          </m:rPr>
          <w:rPr>
            <w:rFonts w:hint="eastAsia" w:ascii="Cambria Math" w:hAnsi="Cambria Math" w:eastAsia="宋体" w:cs="宋体"/>
            <w:b w:val="0"/>
            <w:i w:val="0"/>
            <w:sz w:val="24"/>
            <w:szCs w:val="24"/>
          </w:rPr>
          <m:t>kN</m:t>
        </m:r>
      </m:oMath>
      <w:r>
        <w:rPr>
          <w:rFonts w:hint="eastAsia" w:ascii="宋体" w:hAnsi="宋体" w:eastAsia="宋体" w:cs="宋体"/>
          <w:sz w:val="24"/>
          <w:szCs w:val="24"/>
        </w:rPr>
        <w:t>，选用卸扣</w:t>
      </w:r>
      <w:r>
        <w:rPr>
          <w:rFonts w:hint="eastAsia" w:ascii="宋体" w:hAnsi="宋体" w:eastAsia="宋体" w:cs="宋体"/>
          <w:sz w:val="24"/>
          <w:szCs w:val="24"/>
          <w:highlight w:val="none"/>
        </w:rPr>
        <w:t>GB/T25854-6-DW</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p w14:paraId="5BB78EDF">
      <w:pPr>
        <w:ind w:firstLine="480"/>
        <w:rPr>
          <w:rFonts w:hint="eastAsia" w:ascii="宋体" w:hAnsi="宋体" w:eastAsia="宋体" w:cs="宋体"/>
          <w:sz w:val="24"/>
          <w:szCs w:val="24"/>
        </w:rPr>
      </w:pPr>
      <w:r>
        <w:rPr>
          <w:rFonts w:hint="eastAsia" w:ascii="宋体" w:hAnsi="宋体" w:eastAsia="宋体" w:cs="宋体"/>
          <w:sz w:val="24"/>
          <w:szCs w:val="24"/>
          <w:lang w:val="en-US" w:eastAsia="zh-CN"/>
        </w:rPr>
        <w:t>两</w:t>
      </w:r>
      <w:r>
        <w:rPr>
          <w:rFonts w:hint="eastAsia" w:ascii="宋体" w:hAnsi="宋体" w:eastAsia="宋体" w:cs="宋体"/>
          <w:sz w:val="24"/>
          <w:szCs w:val="24"/>
        </w:rPr>
        <w:t>点吊的</w:t>
      </w:r>
      <w:r>
        <w:rPr>
          <w:rFonts w:hint="eastAsia" w:ascii="宋体" w:hAnsi="宋体" w:eastAsia="宋体" w:cs="宋体"/>
          <w:sz w:val="24"/>
          <w:szCs w:val="24"/>
          <w:lang w:eastAsia="zh-CN"/>
        </w:rPr>
        <w:t>塔机</w:t>
      </w:r>
      <w:r>
        <w:rPr>
          <w:rFonts w:hint="eastAsia" w:ascii="宋体" w:hAnsi="宋体" w:eastAsia="宋体" w:cs="宋体"/>
          <w:sz w:val="24"/>
          <w:szCs w:val="24"/>
        </w:rPr>
        <w:t>主要部件</w:t>
      </w:r>
      <w:r>
        <w:rPr>
          <w:rFonts w:hint="eastAsia" w:ascii="宋体" w:hAnsi="宋体" w:eastAsia="宋体" w:cs="宋体"/>
          <w:sz w:val="24"/>
          <w:szCs w:val="24"/>
          <w:lang w:val="en-US" w:eastAsia="zh-CN"/>
        </w:rPr>
        <w:t>为平衡重，平衡重</w:t>
      </w:r>
      <w:r>
        <w:rPr>
          <w:rFonts w:hint="eastAsia" w:ascii="宋体" w:hAnsi="宋体" w:eastAsia="宋体" w:cs="宋体"/>
          <w:sz w:val="24"/>
          <w:szCs w:val="24"/>
        </w:rPr>
        <w:t>最大重量约</w:t>
      </w:r>
      <w:r>
        <w:rPr>
          <w:rFonts w:hint="eastAsia" w:ascii="宋体" w:hAnsi="宋体" w:eastAsia="宋体" w:cs="宋体"/>
          <w:sz w:val="24"/>
          <w:szCs w:val="24"/>
          <w:lang w:val="en-US" w:eastAsia="zh-CN"/>
        </w:rPr>
        <w:t>3.2</w:t>
      </w:r>
      <w:r>
        <w:rPr>
          <w:rFonts w:hint="eastAsia" w:ascii="宋体" w:hAnsi="宋体" w:eastAsia="宋体" w:cs="宋体"/>
          <w:sz w:val="24"/>
          <w:szCs w:val="24"/>
        </w:rPr>
        <w:t>t，钢丝绳连接卸扣工作荷载：</w:t>
      </w:r>
    </w:p>
    <w:p w14:paraId="26138AB5">
      <w:pPr>
        <w:ind w:firstLine="480"/>
        <w:rPr>
          <w:rFonts w:hint="eastAsia" w:ascii="宋体" w:hAnsi="宋体" w:eastAsia="宋体" w:cs="宋体"/>
          <w:sz w:val="24"/>
          <w:szCs w:val="24"/>
        </w:rPr>
      </w:pPr>
      <m:oMath>
        <m:r>
          <m:rPr>
            <m:nor/>
            <m:sty m:val="p"/>
          </m:rPr>
          <w:rPr>
            <w:rFonts w:hint="eastAsia" w:ascii="Cambria Math" w:hAnsi="Cambria Math" w:eastAsia="宋体" w:cs="宋体"/>
            <w:b w:val="0"/>
            <w:i w:val="0"/>
            <w:sz w:val="24"/>
            <w:szCs w:val="24"/>
          </w:rPr>
          <m:t>WL</m:t>
        </m:r>
        <m:sSub>
          <m:sSubPr>
            <m:ctrlPr>
              <w:rPr>
                <w:rFonts w:hint="eastAsia" w:ascii="Cambria Math" w:hAnsi="Cambria Math" w:eastAsia="宋体" w:cs="宋体"/>
                <w:i/>
                <w:sz w:val="24"/>
                <w:szCs w:val="24"/>
              </w:rPr>
            </m:ctrlPr>
          </m:sSubPr>
          <m:e>
            <m:r>
              <m:rPr>
                <m:nor/>
                <m:sty m:val="p"/>
              </m:rPr>
              <w:rPr>
                <w:rFonts w:hint="eastAsia" w:ascii="Cambria Math" w:hAnsi="Cambria Math" w:eastAsia="宋体" w:cs="宋体"/>
                <w:b w:val="0"/>
                <w:i w:val="0"/>
                <w:sz w:val="24"/>
                <w:szCs w:val="24"/>
              </w:rPr>
              <m:t>L</m:t>
            </m:r>
            <m:ctrlPr>
              <w:rPr>
                <w:rFonts w:hint="eastAsia" w:ascii="Cambria Math" w:hAnsi="Cambria Math" w:eastAsia="宋体" w:cs="宋体"/>
                <w:i/>
                <w:sz w:val="24"/>
                <w:szCs w:val="24"/>
              </w:rPr>
            </m:ctrlPr>
          </m:e>
          <m:sub>
            <m:r>
              <m:rPr>
                <m:nor/>
                <m:sty m:val="p"/>
              </m:rPr>
              <w:rPr>
                <w:rFonts w:hint="eastAsia" w:ascii="Cambria Math" w:hAnsi="Cambria Math" w:eastAsia="宋体" w:cs="宋体"/>
                <w:b w:val="0"/>
                <w:i w:val="0"/>
                <w:sz w:val="24"/>
                <w:szCs w:val="24"/>
              </w:rPr>
              <m:t>0</m:t>
            </m:r>
            <m:ctrlPr>
              <w:rPr>
                <w:rFonts w:hint="eastAsia" w:ascii="Cambria Math" w:hAnsi="Cambria Math" w:eastAsia="宋体" w:cs="宋体"/>
                <w:i/>
                <w:sz w:val="24"/>
                <w:szCs w:val="24"/>
              </w:rPr>
            </m:ctrlPr>
          </m:sub>
        </m:sSub>
        <m:r>
          <m:rPr>
            <m:nor/>
            <m:sty m:val="p"/>
          </m:rPr>
          <w:rPr>
            <w:rFonts w:hint="eastAsia" w:ascii="Cambria Math" w:hAnsi="Cambria Math" w:eastAsia="宋体" w:cs="宋体"/>
            <w:b w:val="0"/>
            <w:i w:val="0"/>
            <w:sz w:val="24"/>
            <w:szCs w:val="24"/>
          </w:rPr>
          <m:t>=</m:t>
        </m:r>
        <m:f>
          <m:fPr>
            <m:ctrlPr>
              <w:rPr>
                <w:rFonts w:hint="eastAsia" w:ascii="Cambria Math" w:hAnsi="Cambria Math" w:eastAsia="宋体" w:cs="宋体"/>
                <w:i/>
                <w:sz w:val="24"/>
                <w:szCs w:val="24"/>
              </w:rPr>
            </m:ctrlPr>
          </m:fPr>
          <m:num>
            <m:r>
              <m:rPr/>
              <w:rPr>
                <w:rFonts w:hint="eastAsia" w:ascii="Cambria Math" w:hAnsi="Cambria Math" w:eastAsia="宋体" w:cs="宋体"/>
                <w:sz w:val="24"/>
                <w:szCs w:val="24"/>
                <w:lang w:val="en-US" w:eastAsia="zh-CN"/>
              </w:rPr>
              <m:t>149.44</m:t>
            </m:r>
            <m:ctrlPr>
              <w:rPr>
                <w:rFonts w:hint="eastAsia" w:ascii="Cambria Math" w:hAnsi="Cambria Math" w:eastAsia="宋体" w:cs="宋体"/>
                <w:i/>
                <w:sz w:val="24"/>
                <w:szCs w:val="24"/>
              </w:rPr>
            </m:ctrlPr>
          </m:num>
          <m:den>
            <m:r>
              <m:rPr>
                <m:nor/>
                <m:sty m:val="p"/>
              </m:rPr>
              <w:rPr>
                <w:rFonts w:hint="eastAsia" w:ascii="Cambria Math" w:hAnsi="Cambria Math" w:eastAsia="宋体" w:cs="宋体"/>
                <w:b w:val="0"/>
                <w:i w:val="0"/>
                <w:sz w:val="24"/>
                <w:szCs w:val="24"/>
              </w:rPr>
              <m:t>6</m:t>
            </m:r>
            <m:ctrlPr>
              <w:rPr>
                <w:rFonts w:hint="eastAsia" w:ascii="Cambria Math" w:hAnsi="Cambria Math" w:eastAsia="宋体" w:cs="宋体"/>
                <w:i/>
                <w:sz w:val="24"/>
                <w:szCs w:val="24"/>
              </w:rPr>
            </m:ctrlPr>
          </m:den>
        </m:f>
        <m:r>
          <m:rPr>
            <m:nor/>
            <m:sty m:val="p"/>
          </m:rPr>
          <w:rPr>
            <w:rFonts w:hint="eastAsia" w:ascii="Cambria Math" w:hAnsi="Cambria Math" w:eastAsia="宋体" w:cs="宋体"/>
            <w:b w:val="0"/>
            <w:i w:val="0"/>
            <w:sz w:val="24"/>
            <w:szCs w:val="24"/>
          </w:rPr>
          <m:t>=</m:t>
        </m:r>
        <m:r>
          <m:rPr>
            <m:nor/>
            <m:sty m:val="p"/>
          </m:rPr>
          <w:rPr>
            <w:rFonts w:hint="eastAsia" w:ascii="Cambria Math" w:hAnsi="Cambria Math" w:eastAsia="宋体" w:cs="宋体"/>
            <w:b w:val="0"/>
            <w:i w:val="0"/>
            <w:sz w:val="24"/>
            <w:szCs w:val="24"/>
            <w:lang w:val="en-US" w:eastAsia="zh-CN"/>
          </w:rPr>
          <m:t>24.91</m:t>
        </m:r>
        <m:r>
          <m:rPr>
            <m:nor/>
            <m:sty m:val="p"/>
          </m:rPr>
          <w:rPr>
            <w:rFonts w:hint="eastAsia" w:ascii="Cambria Math" w:hAnsi="Cambria Math" w:eastAsia="宋体" w:cs="宋体"/>
            <w:b w:val="0"/>
            <w:i w:val="0"/>
            <w:sz w:val="24"/>
            <w:szCs w:val="24"/>
          </w:rPr>
          <m:t>kN</m:t>
        </m:r>
      </m:oMath>
      <w:r>
        <w:rPr>
          <w:rFonts w:hint="eastAsia" w:ascii="宋体" w:hAnsi="宋体" w:eastAsia="宋体" w:cs="宋体"/>
          <w:sz w:val="24"/>
          <w:szCs w:val="24"/>
        </w:rPr>
        <w:t>，选用卸扣</w:t>
      </w:r>
      <w:r>
        <w:rPr>
          <w:rFonts w:hint="eastAsia" w:ascii="宋体" w:hAnsi="宋体" w:eastAsia="宋体" w:cs="宋体"/>
          <w:sz w:val="24"/>
          <w:szCs w:val="24"/>
          <w:highlight w:val="none"/>
        </w:rPr>
        <w:t>GB/T25854-6-DW</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p w14:paraId="6FABC27D">
      <w:pPr>
        <w:rPr>
          <w:rFonts w:hint="eastAsia" w:ascii="宋体" w:hAnsi="宋体" w:eastAsia="宋体" w:cs="宋体"/>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eastAsia="zh-CN"/>
        </w:rPr>
        <w:t>塔机</w:t>
      </w:r>
      <w:r>
        <w:rPr>
          <w:rFonts w:hint="eastAsia" w:ascii="宋体" w:hAnsi="宋体" w:eastAsia="宋体" w:cs="宋体"/>
          <w:color w:val="auto"/>
          <w:sz w:val="24"/>
          <w:szCs w:val="24"/>
        </w:rPr>
        <w:t>基础设计参数及</w:t>
      </w:r>
      <w:r>
        <w:rPr>
          <w:rFonts w:hint="eastAsia" w:ascii="宋体" w:hAnsi="宋体" w:eastAsia="宋体" w:cs="宋体"/>
          <w:color w:val="auto"/>
          <w:sz w:val="24"/>
          <w:szCs w:val="24"/>
          <w:lang w:eastAsia="zh-CN"/>
        </w:rPr>
        <w:t>塔机</w:t>
      </w:r>
      <w:r>
        <w:rPr>
          <w:rFonts w:hint="eastAsia" w:ascii="宋体" w:hAnsi="宋体" w:eastAsia="宋体" w:cs="宋体"/>
          <w:color w:val="auto"/>
          <w:sz w:val="24"/>
          <w:szCs w:val="24"/>
        </w:rPr>
        <w:t>主要部件重量及吊装高度，确定</w:t>
      </w:r>
      <w:r>
        <w:rPr>
          <w:rFonts w:hint="eastAsia" w:ascii="宋体" w:hAnsi="宋体" w:eastAsia="宋体" w:cs="宋体"/>
          <w:color w:val="auto"/>
          <w:sz w:val="24"/>
          <w:szCs w:val="24"/>
          <w:lang w:val="en-US" w:eastAsia="zh-CN"/>
        </w:rPr>
        <w:t>拆除</w:t>
      </w:r>
      <w:r>
        <w:rPr>
          <w:rFonts w:hint="eastAsia" w:ascii="宋体" w:hAnsi="宋体" w:eastAsia="宋体" w:cs="宋体"/>
          <w:color w:val="auto"/>
          <w:sz w:val="24"/>
          <w:szCs w:val="24"/>
        </w:rPr>
        <w:t>过程中所需的最大吊重、最大钢丝绳夹角，结合施工现场实际情况，确定起重钢丝绳型号。钢丝绳及卸扣选型见下表。</w:t>
      </w:r>
    </w:p>
    <w:p w14:paraId="3A8B4563">
      <w:pPr>
        <w:pStyle w:val="11"/>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表</w:t>
      </w:r>
      <w:r>
        <w:rPr>
          <w:rFonts w:hint="eastAsia" w:ascii="宋体" w:hAnsi="宋体" w:eastAsia="宋体" w:cs="宋体"/>
          <w:sz w:val="24"/>
          <w:szCs w:val="24"/>
          <w:highlight w:val="none"/>
          <w:lang w:val="en-US" w:eastAsia="zh-CN"/>
        </w:rPr>
        <w:t>13.1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color w:val="auto"/>
          <w:sz w:val="24"/>
          <w:szCs w:val="24"/>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727"/>
        <w:gridCol w:w="2667"/>
        <w:gridCol w:w="567"/>
        <w:gridCol w:w="567"/>
      </w:tblGrid>
      <w:tr w14:paraId="6AB7E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62343D11">
            <w:pPr>
              <w:pStyle w:val="83"/>
              <w:rPr>
                <w:rFonts w:hint="eastAsia" w:ascii="宋体" w:hAnsi="宋体" w:eastAsia="宋体" w:cs="宋体"/>
                <w:b w:val="0"/>
                <w:color w:val="auto"/>
                <w:sz w:val="24"/>
                <w:szCs w:val="24"/>
              </w:rPr>
            </w:pPr>
            <w:r>
              <w:rPr>
                <w:rFonts w:hint="eastAsia" w:ascii="宋体" w:hAnsi="宋体" w:eastAsia="宋体" w:cs="宋体"/>
                <w:b/>
                <w:color w:val="auto"/>
                <w:sz w:val="24"/>
                <w:szCs w:val="24"/>
              </w:rPr>
              <w:t>序号</w:t>
            </w:r>
          </w:p>
        </w:tc>
        <w:tc>
          <w:tcPr>
            <w:tcW w:w="1727" w:type="dxa"/>
            <w:vAlign w:val="center"/>
          </w:tcPr>
          <w:p w14:paraId="3922325B">
            <w:pPr>
              <w:pStyle w:val="83"/>
              <w:rPr>
                <w:rFonts w:hint="eastAsia" w:ascii="宋体" w:hAnsi="宋体" w:eastAsia="宋体" w:cs="宋体"/>
                <w:b w:val="0"/>
                <w:color w:val="auto"/>
                <w:sz w:val="24"/>
                <w:szCs w:val="24"/>
              </w:rPr>
            </w:pPr>
            <w:r>
              <w:rPr>
                <w:rFonts w:hint="eastAsia" w:ascii="宋体" w:hAnsi="宋体" w:eastAsia="宋体" w:cs="宋体"/>
                <w:b/>
                <w:color w:val="auto"/>
                <w:sz w:val="24"/>
                <w:szCs w:val="24"/>
              </w:rPr>
              <w:t>设备名称</w:t>
            </w:r>
          </w:p>
        </w:tc>
        <w:tc>
          <w:tcPr>
            <w:tcW w:w="2667" w:type="dxa"/>
            <w:vAlign w:val="center"/>
          </w:tcPr>
          <w:p w14:paraId="61B6EE10">
            <w:pPr>
              <w:pStyle w:val="83"/>
              <w:rPr>
                <w:rFonts w:hint="eastAsia" w:ascii="宋体" w:hAnsi="宋体" w:eastAsia="宋体" w:cs="宋体"/>
                <w:b w:val="0"/>
                <w:color w:val="auto"/>
                <w:sz w:val="24"/>
                <w:szCs w:val="24"/>
              </w:rPr>
            </w:pPr>
            <w:r>
              <w:rPr>
                <w:rFonts w:hint="eastAsia" w:ascii="宋体" w:hAnsi="宋体" w:eastAsia="宋体" w:cs="宋体"/>
                <w:b/>
                <w:color w:val="auto"/>
                <w:sz w:val="24"/>
                <w:szCs w:val="24"/>
              </w:rPr>
              <w:t>规格型号</w:t>
            </w:r>
          </w:p>
        </w:tc>
        <w:tc>
          <w:tcPr>
            <w:tcW w:w="567" w:type="dxa"/>
            <w:vAlign w:val="center"/>
          </w:tcPr>
          <w:p w14:paraId="0DEAF121">
            <w:pPr>
              <w:pStyle w:val="83"/>
              <w:rPr>
                <w:rFonts w:hint="eastAsia" w:ascii="宋体" w:hAnsi="宋体" w:eastAsia="宋体" w:cs="宋体"/>
                <w:b w:val="0"/>
                <w:color w:val="auto"/>
                <w:sz w:val="24"/>
                <w:szCs w:val="24"/>
              </w:rPr>
            </w:pPr>
            <w:r>
              <w:rPr>
                <w:rFonts w:hint="eastAsia" w:ascii="宋体" w:hAnsi="宋体" w:eastAsia="宋体" w:cs="宋体"/>
                <w:b/>
                <w:color w:val="auto"/>
                <w:sz w:val="24"/>
                <w:szCs w:val="24"/>
              </w:rPr>
              <w:t>单位</w:t>
            </w:r>
          </w:p>
        </w:tc>
        <w:tc>
          <w:tcPr>
            <w:tcW w:w="567" w:type="dxa"/>
            <w:vAlign w:val="center"/>
          </w:tcPr>
          <w:p w14:paraId="1057D927">
            <w:pPr>
              <w:pStyle w:val="83"/>
              <w:rPr>
                <w:rFonts w:hint="eastAsia" w:ascii="宋体" w:hAnsi="宋体" w:eastAsia="宋体" w:cs="宋体"/>
                <w:b w:val="0"/>
                <w:color w:val="auto"/>
                <w:sz w:val="24"/>
                <w:szCs w:val="24"/>
              </w:rPr>
            </w:pPr>
            <w:r>
              <w:rPr>
                <w:rFonts w:hint="eastAsia" w:ascii="宋体" w:hAnsi="宋体" w:eastAsia="宋体" w:cs="宋体"/>
                <w:b/>
                <w:color w:val="auto"/>
                <w:sz w:val="24"/>
                <w:szCs w:val="24"/>
              </w:rPr>
              <w:t>数量</w:t>
            </w:r>
          </w:p>
        </w:tc>
      </w:tr>
      <w:tr w14:paraId="42D09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7108DAB">
            <w:pPr>
              <w:pStyle w:val="8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727" w:type="dxa"/>
            <w:vAlign w:val="center"/>
          </w:tcPr>
          <w:p w14:paraId="1194CE4E">
            <w:pPr>
              <w:pStyle w:val="83"/>
              <w:rPr>
                <w:rFonts w:hint="eastAsia" w:ascii="宋体" w:hAnsi="宋体" w:eastAsia="宋体" w:cs="宋体"/>
                <w:color w:val="auto"/>
                <w:sz w:val="24"/>
                <w:szCs w:val="24"/>
              </w:rPr>
            </w:pPr>
            <w:r>
              <w:rPr>
                <w:rFonts w:hint="eastAsia" w:ascii="宋体" w:hAnsi="宋体" w:eastAsia="宋体" w:cs="宋体"/>
                <w:color w:val="auto"/>
                <w:sz w:val="24"/>
                <w:szCs w:val="24"/>
              </w:rPr>
              <w:t>起重用钢丝绳</w:t>
            </w:r>
          </w:p>
        </w:tc>
        <w:tc>
          <w:tcPr>
            <w:tcW w:w="2667" w:type="dxa"/>
            <w:vAlign w:val="center"/>
          </w:tcPr>
          <w:p w14:paraId="5853C112">
            <w:pPr>
              <w:pStyle w:val="83"/>
              <w:rPr>
                <w:rFonts w:hint="eastAsia" w:ascii="宋体" w:hAnsi="宋体" w:eastAsia="宋体" w:cs="宋体"/>
                <w:color w:val="auto"/>
                <w:sz w:val="24"/>
                <w:szCs w:val="24"/>
              </w:rPr>
            </w:pPr>
            <w:r>
              <w:rPr>
                <w:rFonts w:hint="eastAsia" w:ascii="宋体" w:hAnsi="宋体" w:eastAsia="宋体" w:cs="宋体"/>
                <w:b w:val="0"/>
                <w:bCs w:val="0"/>
                <w:sz w:val="24"/>
                <w:szCs w:val="24"/>
                <w:lang w:val="en-US" w:eastAsia="zh-CN"/>
              </w:rPr>
              <w:t>18</w:t>
            </w:r>
            <w:r>
              <w:rPr>
                <w:rFonts w:hint="eastAsia" w:ascii="宋体" w:hAnsi="宋体" w:eastAsia="宋体" w:cs="宋体"/>
                <w:b w:val="0"/>
                <w:bCs w:val="0"/>
                <w:sz w:val="24"/>
                <w:szCs w:val="24"/>
              </w:rPr>
              <w:t>mm6×19S+FC1</w:t>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70Mpa</w:t>
            </w:r>
          </w:p>
        </w:tc>
        <w:tc>
          <w:tcPr>
            <w:tcW w:w="567" w:type="dxa"/>
            <w:vAlign w:val="center"/>
          </w:tcPr>
          <w:p w14:paraId="389D4ED4">
            <w:pPr>
              <w:pStyle w:val="83"/>
              <w:rPr>
                <w:rFonts w:hint="eastAsia" w:ascii="宋体" w:hAnsi="宋体" w:eastAsia="宋体" w:cs="宋体"/>
                <w:color w:val="auto"/>
                <w:sz w:val="24"/>
                <w:szCs w:val="24"/>
              </w:rPr>
            </w:pPr>
            <w:r>
              <w:rPr>
                <w:rFonts w:hint="eastAsia" w:ascii="宋体" w:hAnsi="宋体" w:eastAsia="宋体" w:cs="宋体"/>
                <w:color w:val="auto"/>
                <w:sz w:val="24"/>
                <w:szCs w:val="24"/>
              </w:rPr>
              <w:t>根</w:t>
            </w:r>
          </w:p>
        </w:tc>
        <w:tc>
          <w:tcPr>
            <w:tcW w:w="567" w:type="dxa"/>
            <w:vAlign w:val="center"/>
          </w:tcPr>
          <w:p w14:paraId="4DF6A401">
            <w:pPr>
              <w:pStyle w:val="83"/>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p>
        </w:tc>
      </w:tr>
      <w:tr w14:paraId="36EE0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15B74DD">
            <w:pPr>
              <w:pStyle w:val="8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727" w:type="dxa"/>
            <w:vAlign w:val="center"/>
          </w:tcPr>
          <w:p w14:paraId="1DDCC488">
            <w:pPr>
              <w:pStyle w:val="83"/>
              <w:rPr>
                <w:rFonts w:hint="eastAsia" w:ascii="宋体" w:hAnsi="宋体" w:eastAsia="宋体" w:cs="宋体"/>
                <w:color w:val="auto"/>
                <w:sz w:val="24"/>
                <w:szCs w:val="24"/>
              </w:rPr>
            </w:pPr>
            <w:r>
              <w:rPr>
                <w:rFonts w:hint="eastAsia" w:ascii="宋体" w:hAnsi="宋体" w:eastAsia="宋体" w:cs="宋体"/>
                <w:color w:val="auto"/>
                <w:sz w:val="24"/>
                <w:szCs w:val="24"/>
              </w:rPr>
              <w:t>起重用钢丝绳</w:t>
            </w:r>
          </w:p>
        </w:tc>
        <w:tc>
          <w:tcPr>
            <w:tcW w:w="2667" w:type="dxa"/>
            <w:vAlign w:val="center"/>
          </w:tcPr>
          <w:p w14:paraId="3473C7D3">
            <w:pPr>
              <w:pStyle w:val="83"/>
              <w:rPr>
                <w:rFonts w:hint="eastAsia" w:ascii="宋体" w:hAnsi="宋体" w:eastAsia="宋体" w:cs="宋体"/>
                <w:color w:val="auto"/>
                <w:sz w:val="24"/>
                <w:szCs w:val="24"/>
              </w:rPr>
            </w:pPr>
            <w:r>
              <w:rPr>
                <w:rFonts w:hint="eastAsia" w:ascii="宋体" w:hAnsi="宋体" w:eastAsia="宋体" w:cs="宋体"/>
                <w:b w:val="0"/>
                <w:bCs w:val="0"/>
                <w:sz w:val="24"/>
                <w:szCs w:val="24"/>
                <w:lang w:val="en-US" w:eastAsia="zh-CN"/>
              </w:rPr>
              <w:t>16</w:t>
            </w:r>
            <w:r>
              <w:rPr>
                <w:rFonts w:hint="eastAsia" w:ascii="宋体" w:hAnsi="宋体" w:eastAsia="宋体" w:cs="宋体"/>
                <w:b w:val="0"/>
                <w:bCs w:val="0"/>
                <w:sz w:val="24"/>
                <w:szCs w:val="24"/>
              </w:rPr>
              <w:t>mm6×19S+FC1</w:t>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70Mpa</w:t>
            </w:r>
          </w:p>
        </w:tc>
        <w:tc>
          <w:tcPr>
            <w:tcW w:w="567" w:type="dxa"/>
            <w:vAlign w:val="center"/>
          </w:tcPr>
          <w:p w14:paraId="1B72CE06">
            <w:pPr>
              <w:pStyle w:val="83"/>
              <w:rPr>
                <w:rFonts w:hint="eastAsia" w:ascii="宋体" w:hAnsi="宋体" w:eastAsia="宋体" w:cs="宋体"/>
                <w:color w:val="auto"/>
                <w:sz w:val="24"/>
                <w:szCs w:val="24"/>
              </w:rPr>
            </w:pPr>
            <w:r>
              <w:rPr>
                <w:rFonts w:hint="eastAsia" w:ascii="宋体" w:hAnsi="宋体" w:eastAsia="宋体" w:cs="宋体"/>
                <w:color w:val="auto"/>
                <w:sz w:val="24"/>
                <w:szCs w:val="24"/>
              </w:rPr>
              <w:t>根</w:t>
            </w:r>
          </w:p>
        </w:tc>
        <w:tc>
          <w:tcPr>
            <w:tcW w:w="567" w:type="dxa"/>
            <w:vAlign w:val="center"/>
          </w:tcPr>
          <w:p w14:paraId="369CD9B9">
            <w:pPr>
              <w:pStyle w:val="8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r>
      <w:tr w14:paraId="46B4E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7350E61A">
            <w:pPr>
              <w:pStyle w:val="8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727" w:type="dxa"/>
            <w:vAlign w:val="center"/>
          </w:tcPr>
          <w:p w14:paraId="4BF8E1AB">
            <w:pPr>
              <w:pStyle w:val="83"/>
              <w:rPr>
                <w:rFonts w:hint="eastAsia" w:ascii="宋体" w:hAnsi="宋体" w:eastAsia="宋体" w:cs="宋体"/>
                <w:color w:val="auto"/>
                <w:sz w:val="24"/>
                <w:szCs w:val="24"/>
              </w:rPr>
            </w:pPr>
            <w:r>
              <w:rPr>
                <w:rFonts w:hint="eastAsia" w:ascii="宋体" w:hAnsi="宋体" w:eastAsia="宋体" w:cs="宋体"/>
                <w:color w:val="auto"/>
                <w:sz w:val="24"/>
                <w:szCs w:val="24"/>
              </w:rPr>
              <w:t>卸扣</w:t>
            </w:r>
          </w:p>
        </w:tc>
        <w:tc>
          <w:tcPr>
            <w:tcW w:w="2667" w:type="dxa"/>
            <w:vAlign w:val="center"/>
          </w:tcPr>
          <w:p w14:paraId="66E3AD55">
            <w:pPr>
              <w:pStyle w:val="83"/>
              <w:rPr>
                <w:rFonts w:hint="eastAsia" w:ascii="宋体" w:hAnsi="宋体" w:eastAsia="宋体" w:cs="宋体"/>
                <w:color w:val="auto"/>
                <w:sz w:val="24"/>
                <w:szCs w:val="24"/>
                <w:lang w:val="en-US" w:eastAsia="zh-CN"/>
              </w:rPr>
            </w:pPr>
            <w:r>
              <w:rPr>
                <w:rFonts w:hint="eastAsia" w:ascii="宋体" w:hAnsi="宋体" w:eastAsia="宋体" w:cs="宋体"/>
                <w:sz w:val="24"/>
                <w:szCs w:val="24"/>
              </w:rPr>
              <w:t>GB/T 25854-6-DW</w:t>
            </w:r>
            <w:r>
              <w:rPr>
                <w:rFonts w:hint="eastAsia" w:ascii="宋体" w:hAnsi="宋体" w:eastAsia="宋体" w:cs="宋体"/>
                <w:sz w:val="24"/>
                <w:szCs w:val="24"/>
                <w:lang w:val="en-US" w:eastAsia="zh-CN"/>
              </w:rPr>
              <w:t>5</w:t>
            </w:r>
          </w:p>
        </w:tc>
        <w:tc>
          <w:tcPr>
            <w:tcW w:w="567" w:type="dxa"/>
            <w:vAlign w:val="center"/>
          </w:tcPr>
          <w:p w14:paraId="10C7CE6D">
            <w:pPr>
              <w:pStyle w:val="83"/>
              <w:rPr>
                <w:rFonts w:hint="eastAsia" w:ascii="宋体" w:hAnsi="宋体" w:eastAsia="宋体" w:cs="宋体"/>
                <w:color w:val="auto"/>
                <w:sz w:val="24"/>
                <w:szCs w:val="24"/>
              </w:rPr>
            </w:pPr>
            <w:r>
              <w:rPr>
                <w:rFonts w:hint="eastAsia" w:ascii="宋体" w:hAnsi="宋体" w:eastAsia="宋体" w:cs="宋体"/>
                <w:color w:val="auto"/>
                <w:sz w:val="24"/>
                <w:szCs w:val="24"/>
              </w:rPr>
              <w:t>个</w:t>
            </w:r>
          </w:p>
        </w:tc>
        <w:tc>
          <w:tcPr>
            <w:tcW w:w="567" w:type="dxa"/>
            <w:vAlign w:val="center"/>
          </w:tcPr>
          <w:p w14:paraId="3B26AFF3">
            <w:pPr>
              <w:pStyle w:val="83"/>
              <w:rPr>
                <w:rFonts w:hint="eastAsia" w:ascii="宋体" w:hAnsi="宋体" w:eastAsia="宋体" w:cs="宋体"/>
                <w:color w:val="auto"/>
                <w:sz w:val="24"/>
                <w:szCs w:val="24"/>
              </w:rPr>
            </w:pPr>
            <w:r>
              <w:rPr>
                <w:rFonts w:hint="eastAsia" w:ascii="宋体" w:hAnsi="宋体" w:eastAsia="宋体" w:cs="宋体"/>
                <w:color w:val="auto"/>
                <w:sz w:val="24"/>
                <w:szCs w:val="24"/>
              </w:rPr>
              <w:t>4</w:t>
            </w:r>
          </w:p>
        </w:tc>
      </w:tr>
    </w:tbl>
    <w:p w14:paraId="2D09E5FD">
      <w:pPr>
        <w:pStyle w:val="5"/>
        <w:numPr>
          <w:ilvl w:val="1"/>
          <w:numId w:val="1"/>
        </w:numPr>
        <w:rPr>
          <w:rFonts w:hint="eastAsia" w:ascii="Times New Roman" w:hAnsi="Times New Roman" w:cs="Times New Roman" w:eastAsiaTheme="majorEastAsia"/>
          <w:b/>
          <w:bCs/>
          <w:kern w:val="2"/>
          <w:sz w:val="28"/>
          <w:szCs w:val="32"/>
          <w:lang w:val="en-US" w:eastAsia="zh-CN" w:bidi="ar-SA"/>
        </w:rPr>
      </w:pPr>
      <w:bookmarkStart w:id="232" w:name="_Toc12219"/>
      <w:bookmarkStart w:id="233" w:name="_Toc2131"/>
      <w:bookmarkStart w:id="234" w:name="_Toc25740"/>
      <w:r>
        <w:rPr>
          <w:rFonts w:hint="eastAsia" w:cs="Times New Roman"/>
          <w:b/>
          <w:bCs/>
          <w:kern w:val="2"/>
          <w:sz w:val="28"/>
          <w:szCs w:val="32"/>
          <w:lang w:val="en-US" w:eastAsia="zh-CN" w:bidi="ar-SA"/>
        </w:rPr>
        <w:t>附件</w:t>
      </w:r>
      <w:bookmarkEnd w:id="232"/>
    </w:p>
    <w:p w14:paraId="2FA8C252">
      <w:pPr>
        <w:bidi w:val="0"/>
        <w:outlineLvl w:val="1"/>
        <w:rPr>
          <w:rFonts w:hint="default" w:ascii="宋体" w:hAnsi="宋体" w:cs="宋体"/>
          <w:lang w:val="en-US" w:eastAsia="zh-CN"/>
        </w:rPr>
      </w:pPr>
      <w:bookmarkStart w:id="235" w:name="_Toc20877"/>
      <w:r>
        <w:rPr>
          <w:rFonts w:hint="eastAsia" w:ascii="宋体" w:hAnsi="宋体" w:cs="宋体"/>
          <w:lang w:val="en-US" w:eastAsia="zh-CN"/>
        </w:rPr>
        <w:t>附件1  安拆单位资质</w:t>
      </w:r>
      <w:bookmarkEnd w:id="233"/>
      <w:bookmarkEnd w:id="234"/>
      <w:bookmarkEnd w:id="235"/>
      <w:r>
        <w:rPr>
          <w:rFonts w:hint="eastAsia" w:ascii="宋体" w:hAnsi="宋体" w:cs="宋体"/>
          <w:lang w:val="en-US" w:eastAsia="zh-CN"/>
        </w:rPr>
        <w:t xml:space="preserve"> </w:t>
      </w:r>
    </w:p>
    <w:p w14:paraId="3180D825">
      <w:pPr>
        <w:bidi w:val="0"/>
        <w:outlineLvl w:val="1"/>
        <w:rPr>
          <w:rFonts w:hint="eastAsia" w:ascii="宋体" w:hAnsi="宋体" w:cs="宋体"/>
          <w:lang w:val="en-US" w:eastAsia="zh-CN"/>
        </w:rPr>
      </w:pPr>
      <w:bookmarkStart w:id="236" w:name="_Toc23491"/>
      <w:bookmarkStart w:id="237" w:name="_Toc29724"/>
      <w:bookmarkStart w:id="238" w:name="_Toc5959"/>
      <w:r>
        <w:rPr>
          <w:rFonts w:hint="eastAsia" w:ascii="宋体" w:hAnsi="宋体" w:cs="宋体"/>
          <w:lang w:val="en-US" w:eastAsia="zh-CN"/>
        </w:rPr>
        <w:t>附件2  人员资格证书</w:t>
      </w:r>
      <w:bookmarkEnd w:id="236"/>
      <w:bookmarkEnd w:id="237"/>
      <w:bookmarkEnd w:id="238"/>
    </w:p>
    <w:p w14:paraId="19651B08">
      <w:pPr>
        <w:bidi w:val="0"/>
        <w:outlineLvl w:val="1"/>
        <w:rPr>
          <w:rFonts w:hint="eastAsia" w:ascii="宋体" w:hAnsi="宋体" w:cs="宋体"/>
          <w:lang w:val="en-US" w:eastAsia="zh-CN"/>
        </w:rPr>
      </w:pPr>
      <w:bookmarkStart w:id="239" w:name="_Toc13896"/>
      <w:bookmarkStart w:id="240" w:name="_Toc4692"/>
      <w:bookmarkStart w:id="241" w:name="_Toc29241"/>
      <w:r>
        <w:rPr>
          <w:rFonts w:hint="eastAsia" w:ascii="宋体" w:hAnsi="宋体" w:cs="宋体"/>
          <w:lang w:val="en-US" w:eastAsia="zh-CN"/>
        </w:rPr>
        <w:t>附件3  XGT6515-10S安拆手册</w:t>
      </w:r>
      <w:bookmarkEnd w:id="239"/>
      <w:bookmarkEnd w:id="240"/>
      <w:bookmarkEnd w:id="241"/>
    </w:p>
    <w:p w14:paraId="04BC309C">
      <w:pPr>
        <w:bidi w:val="0"/>
        <w:outlineLvl w:val="1"/>
        <w:rPr>
          <w:rFonts w:hint="eastAsia" w:ascii="Times New Roman" w:hAnsi="Times New Roman" w:cs="Times New Roman"/>
          <w:sz w:val="24"/>
          <w:szCs w:val="24"/>
          <w:lang w:val="en-US" w:eastAsia="zh-CN"/>
        </w:rPr>
      </w:pPr>
      <w:bookmarkStart w:id="242" w:name="_Toc5104"/>
      <w:bookmarkStart w:id="243" w:name="_Toc13675"/>
      <w:r>
        <w:rPr>
          <w:rFonts w:hint="eastAsia" w:ascii="宋体" w:hAnsi="宋体" w:cs="宋体"/>
          <w:lang w:val="en-US" w:eastAsia="zh-CN"/>
        </w:rPr>
        <w:t>附件4  T1200-64Q塔式起重机操作手册</w:t>
      </w:r>
      <w:bookmarkEnd w:id="242"/>
    </w:p>
    <w:p w14:paraId="6A72862E">
      <w:pPr>
        <w:bidi w:val="0"/>
        <w:outlineLvl w:val="1"/>
        <w:rPr>
          <w:rFonts w:hint="default" w:ascii="宋体" w:hAnsi="宋体" w:cs="宋体"/>
          <w:lang w:val="en-US" w:eastAsia="zh-CN"/>
        </w:rPr>
      </w:pPr>
      <w:bookmarkStart w:id="244" w:name="_Toc12886"/>
      <w:r>
        <w:rPr>
          <w:rFonts w:hint="eastAsia" w:ascii="宋体" w:hAnsi="宋体" w:cs="宋体"/>
          <w:lang w:val="en-US" w:eastAsia="zh-CN"/>
        </w:rPr>
        <w:t>附件5  基础计算书</w:t>
      </w:r>
      <w:bookmarkEnd w:id="243"/>
      <w:bookmarkEnd w:id="244"/>
    </w:p>
    <w:p w14:paraId="6CC0285D">
      <w:pPr>
        <w:bidi w:val="0"/>
        <w:outlineLvl w:val="1"/>
        <w:rPr>
          <w:rFonts w:hint="eastAsia" w:ascii="宋体" w:hAnsi="宋体" w:cs="宋体"/>
          <w:lang w:val="en-US" w:eastAsia="zh-CN"/>
        </w:rPr>
      </w:pPr>
      <w:bookmarkStart w:id="245" w:name="_Toc15096"/>
      <w:r>
        <w:rPr>
          <w:rFonts w:hint="eastAsia" w:ascii="宋体" w:hAnsi="宋体" w:cs="宋体"/>
          <w:lang w:val="en-US" w:eastAsia="zh-CN"/>
        </w:rPr>
        <w:t>附件6  基础设计单位资质</w:t>
      </w:r>
      <w:bookmarkEnd w:id="245"/>
    </w:p>
    <w:p w14:paraId="3B45D1CC">
      <w:pPr>
        <w:bidi w:val="0"/>
        <w:outlineLvl w:val="1"/>
        <w:rPr>
          <w:rFonts w:hint="eastAsia" w:ascii="宋体" w:hAnsi="宋体" w:cs="宋体"/>
          <w:lang w:val="en-US" w:eastAsia="zh-CN"/>
        </w:rPr>
      </w:pPr>
      <w:bookmarkStart w:id="246" w:name="_Toc25290"/>
      <w:r>
        <w:rPr>
          <w:rFonts w:hint="eastAsia" w:ascii="宋体" w:hAnsi="宋体" w:cs="宋体"/>
          <w:lang w:val="en-US" w:eastAsia="zh-CN"/>
        </w:rPr>
        <w:t>附件7  设备合格证</w:t>
      </w:r>
      <w:bookmarkEnd w:id="246"/>
    </w:p>
    <w:p w14:paraId="772CC983">
      <w:pPr>
        <w:bidi w:val="0"/>
        <w:outlineLvl w:val="1"/>
        <w:rPr>
          <w:rFonts w:hint="default"/>
          <w:lang w:val="en-US" w:eastAsia="zh-CN"/>
        </w:rPr>
      </w:pPr>
      <w:bookmarkStart w:id="247" w:name="_Toc58"/>
      <w:r>
        <w:rPr>
          <w:rFonts w:hint="eastAsia" w:ascii="宋体" w:hAnsi="宋体" w:cs="宋体"/>
          <w:lang w:val="en-US" w:eastAsia="zh-CN"/>
        </w:rPr>
        <w:t>附件8  群塔作业防碰撞方案</w:t>
      </w:r>
      <w:bookmarkEnd w:id="247"/>
    </w:p>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MT">
    <w:altName w:val="Times New Roman"/>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7F" w:usb3="00000000" w:csb0="203F01FF" w:csb1="DFFF0000"/>
  </w:font>
  <w:font w:name="新宋体">
    <w:panose1 w:val="02010609030101010101"/>
    <w:charset w:val="86"/>
    <w:family w:val="auto"/>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å®‹ä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1C19F">
    <w:pPr>
      <w:pStyle w:val="19"/>
      <w:spacing w:line="240" w:lineRule="auto"/>
      <w:rPr>
        <w:rFonts w:eastAsia="宋体"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2C927">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14:paraId="63A2C927">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865B8">
    <w:pPr>
      <w:pStyle w:val="20"/>
      <w:spacing w:line="240" w:lineRule="auto"/>
      <w:jc w:val="both"/>
      <w:rPr>
        <w:rFonts w:eastAsia="宋体" w:cs="Times New Roman"/>
        <w:sz w:val="21"/>
        <w:szCs w:val="21"/>
      </w:rPr>
    </w:pPr>
    <w:r>
      <w:rPr>
        <w:rFonts w:hint="eastAsia" w:eastAsia="宋体" w:cs="Times New Roman"/>
        <w:sz w:val="21"/>
        <w:szCs w:val="21"/>
        <w:lang w:eastAsia="zh-CN"/>
      </w:rPr>
      <w:t>渠江风洞子航运工程</w:t>
    </w:r>
    <w:r>
      <w:rPr>
        <w:rFonts w:hint="eastAsia" w:eastAsia="宋体" w:cs="Times New Roman"/>
        <w:sz w:val="21"/>
        <w:szCs w:val="21"/>
      </w:rPr>
      <w:tab/>
    </w:r>
    <w:r>
      <w:rPr>
        <w:rFonts w:hint="eastAsia" w:eastAsia="宋体" w:cs="Times New Roman"/>
        <w:sz w:val="21"/>
        <w:szCs w:val="21"/>
      </w:rPr>
      <w:tab/>
    </w:r>
    <w:r>
      <w:rPr>
        <w:rFonts w:eastAsia="宋体" w:cs="Times New Roman"/>
        <w:sz w:val="21"/>
        <w:szCs w:val="21"/>
      </w:rPr>
      <w:t>塔机</w:t>
    </w:r>
    <w:r>
      <w:rPr>
        <w:rFonts w:hint="eastAsia" w:eastAsia="宋体" w:cs="Times New Roman"/>
        <w:sz w:val="21"/>
        <w:szCs w:val="21"/>
        <w:lang w:eastAsia="zh-CN"/>
      </w:rPr>
      <w:t>XGT6515-10S</w:t>
    </w:r>
    <w:r>
      <w:rPr>
        <w:rFonts w:hint="eastAsia" w:eastAsia="宋体" w:cs="Times New Roman"/>
        <w:sz w:val="21"/>
        <w:szCs w:val="21"/>
        <w:lang w:val="en-US" w:eastAsia="zh-CN"/>
      </w:rPr>
      <w:t>安拆</w:t>
    </w:r>
    <w:r>
      <w:rPr>
        <w:rFonts w:eastAsia="宋体" w:cs="Times New Roman"/>
        <w:sz w:val="21"/>
        <w:szCs w:val="21"/>
      </w:rPr>
      <w:t>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FBA8D"/>
    <w:multiLevelType w:val="singleLevel"/>
    <w:tmpl w:val="820FBA8D"/>
    <w:lvl w:ilvl="0" w:tentative="0">
      <w:start w:val="1"/>
      <w:numFmt w:val="decimal"/>
      <w:suff w:val="nothing"/>
      <w:lvlText w:val="11.%1"/>
      <w:lvlJc w:val="left"/>
      <w:pPr>
        <w:ind w:left="425" w:leftChars="0" w:hanging="425" w:firstLineChars="0"/>
      </w:pPr>
      <w:rPr>
        <w:rFonts w:hint="default"/>
      </w:rPr>
    </w:lvl>
  </w:abstractNum>
  <w:abstractNum w:abstractNumId="1">
    <w:nsid w:val="89A8F4B7"/>
    <w:multiLevelType w:val="multilevel"/>
    <w:tmpl w:val="89A8F4B7"/>
    <w:lvl w:ilvl="0" w:tentative="0">
      <w:start w:val="1"/>
      <w:numFmt w:val="decimalEnclosedCircle"/>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
    <w:nsid w:val="8A91BE11"/>
    <w:multiLevelType w:val="multilevel"/>
    <w:tmpl w:val="8A91BE11"/>
    <w:lvl w:ilvl="0" w:tentative="0">
      <w:start w:val="1"/>
      <w:numFmt w:val="decimalEnclosedCircle"/>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
    <w:nsid w:val="8BBBDAAC"/>
    <w:multiLevelType w:val="singleLevel"/>
    <w:tmpl w:val="8BBBDAAC"/>
    <w:lvl w:ilvl="0" w:tentative="0">
      <w:start w:val="1"/>
      <w:numFmt w:val="decimal"/>
      <w:suff w:val="nothing"/>
      <w:lvlText w:val="7.8.%1"/>
      <w:lvlJc w:val="left"/>
      <w:pPr>
        <w:ind w:left="425" w:leftChars="0" w:hanging="425" w:firstLineChars="0"/>
      </w:pPr>
      <w:rPr>
        <w:rFonts w:hint="default"/>
      </w:rPr>
    </w:lvl>
  </w:abstractNum>
  <w:abstractNum w:abstractNumId="4">
    <w:nsid w:val="939E0607"/>
    <w:multiLevelType w:val="singleLevel"/>
    <w:tmpl w:val="939E0607"/>
    <w:lvl w:ilvl="0" w:tentative="0">
      <w:start w:val="1"/>
      <w:numFmt w:val="decimal"/>
      <w:suff w:val="nothing"/>
      <w:lvlText w:val="9.%1"/>
      <w:lvlJc w:val="left"/>
      <w:pPr>
        <w:ind w:left="0" w:firstLine="0"/>
      </w:pPr>
      <w:rPr>
        <w:rFonts w:hint="default"/>
      </w:rPr>
    </w:lvl>
  </w:abstractNum>
  <w:abstractNum w:abstractNumId="5">
    <w:nsid w:val="9F97A52B"/>
    <w:multiLevelType w:val="singleLevel"/>
    <w:tmpl w:val="9F97A52B"/>
    <w:lvl w:ilvl="0" w:tentative="0">
      <w:start w:val="1"/>
      <w:numFmt w:val="decimalEnclosedCircleChinese"/>
      <w:suff w:val="nothing"/>
      <w:lvlText w:val="%1"/>
      <w:lvlJc w:val="left"/>
      <w:pPr>
        <w:tabs>
          <w:tab w:val="left" w:pos="0"/>
        </w:tabs>
        <w:ind w:left="0" w:firstLine="400"/>
      </w:pPr>
      <w:rPr>
        <w:rFonts w:hint="eastAsia"/>
      </w:rPr>
    </w:lvl>
  </w:abstractNum>
  <w:abstractNum w:abstractNumId="6">
    <w:nsid w:val="A905087F"/>
    <w:multiLevelType w:val="singleLevel"/>
    <w:tmpl w:val="A905087F"/>
    <w:lvl w:ilvl="0" w:tentative="0">
      <w:start w:val="1"/>
      <w:numFmt w:val="decimalEnclosedCircleChinese"/>
      <w:suff w:val="nothing"/>
      <w:lvlText w:val="%1"/>
      <w:lvlJc w:val="left"/>
      <w:pPr>
        <w:ind w:left="0" w:firstLine="403"/>
      </w:pPr>
      <w:rPr>
        <w:rFonts w:hint="eastAsia"/>
      </w:rPr>
    </w:lvl>
  </w:abstractNum>
  <w:abstractNum w:abstractNumId="7">
    <w:nsid w:val="AAE58B8F"/>
    <w:multiLevelType w:val="singleLevel"/>
    <w:tmpl w:val="AAE58B8F"/>
    <w:lvl w:ilvl="0" w:tentative="0">
      <w:start w:val="1"/>
      <w:numFmt w:val="decimal"/>
      <w:lvlText w:val="12.3.%1"/>
      <w:lvlJc w:val="left"/>
      <w:pPr>
        <w:tabs>
          <w:tab w:val="left" w:pos="420"/>
        </w:tabs>
        <w:ind w:left="425" w:leftChars="0" w:hanging="425" w:firstLineChars="0"/>
      </w:pPr>
      <w:rPr>
        <w:rFonts w:hint="default"/>
      </w:rPr>
    </w:lvl>
  </w:abstractNum>
  <w:abstractNum w:abstractNumId="8">
    <w:nsid w:val="B2F2856D"/>
    <w:multiLevelType w:val="singleLevel"/>
    <w:tmpl w:val="B2F2856D"/>
    <w:lvl w:ilvl="0" w:tentative="0">
      <w:start w:val="1"/>
      <w:numFmt w:val="upperLetter"/>
      <w:suff w:val="nothing"/>
      <w:lvlText w:val="%1."/>
      <w:lvlJc w:val="left"/>
      <w:pPr>
        <w:ind w:left="425" w:hanging="425"/>
      </w:pPr>
      <w:rPr>
        <w:rFonts w:hint="default"/>
      </w:rPr>
    </w:lvl>
  </w:abstractNum>
  <w:abstractNum w:abstractNumId="9">
    <w:nsid w:val="B49CC93B"/>
    <w:multiLevelType w:val="singleLevel"/>
    <w:tmpl w:val="B49CC93B"/>
    <w:lvl w:ilvl="0" w:tentative="0">
      <w:start w:val="1"/>
      <w:numFmt w:val="decimalEnclosedCircleChinese"/>
      <w:suff w:val="nothing"/>
      <w:lvlText w:val="%1"/>
      <w:lvlJc w:val="left"/>
      <w:pPr>
        <w:ind w:left="0" w:firstLine="403"/>
      </w:pPr>
      <w:rPr>
        <w:rFonts w:hint="eastAsia"/>
      </w:rPr>
    </w:lvl>
  </w:abstractNum>
  <w:abstractNum w:abstractNumId="10">
    <w:nsid w:val="B86F29D6"/>
    <w:multiLevelType w:val="singleLevel"/>
    <w:tmpl w:val="B86F29D6"/>
    <w:lvl w:ilvl="0" w:tentative="0">
      <w:start w:val="1"/>
      <w:numFmt w:val="chineseCounting"/>
      <w:suff w:val="nothing"/>
      <w:lvlText w:val="（%1）"/>
      <w:lvlJc w:val="left"/>
      <w:pPr>
        <w:ind w:left="0" w:firstLine="420"/>
      </w:pPr>
      <w:rPr>
        <w:rFonts w:hint="eastAsia"/>
      </w:rPr>
    </w:lvl>
  </w:abstractNum>
  <w:abstractNum w:abstractNumId="11">
    <w:nsid w:val="BAFDC191"/>
    <w:multiLevelType w:val="singleLevel"/>
    <w:tmpl w:val="BAFDC191"/>
    <w:lvl w:ilvl="0" w:tentative="0">
      <w:start w:val="1"/>
      <w:numFmt w:val="decimal"/>
      <w:suff w:val="nothing"/>
      <w:lvlText w:val="(%1)"/>
      <w:lvlJc w:val="left"/>
      <w:pPr>
        <w:ind w:left="425" w:hanging="425"/>
      </w:pPr>
      <w:rPr>
        <w:rFonts w:hint="default"/>
      </w:rPr>
    </w:lvl>
  </w:abstractNum>
  <w:abstractNum w:abstractNumId="12">
    <w:nsid w:val="CD84F885"/>
    <w:multiLevelType w:val="multilevel"/>
    <w:tmpl w:val="CD84F885"/>
    <w:lvl w:ilvl="0" w:tentative="0">
      <w:start w:val="1"/>
      <w:numFmt w:val="decimal"/>
      <w:suff w:val="nothing"/>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13">
    <w:nsid w:val="CE6669EA"/>
    <w:multiLevelType w:val="singleLevel"/>
    <w:tmpl w:val="CE6669EA"/>
    <w:lvl w:ilvl="0" w:tentative="0">
      <w:start w:val="1"/>
      <w:numFmt w:val="decimalEnclosedCircleChinese"/>
      <w:suff w:val="nothing"/>
      <w:lvlText w:val="%1"/>
      <w:lvlJc w:val="left"/>
      <w:pPr>
        <w:ind w:left="0" w:firstLine="403"/>
      </w:pPr>
      <w:rPr>
        <w:rFonts w:hint="eastAsia"/>
      </w:rPr>
    </w:lvl>
  </w:abstractNum>
  <w:abstractNum w:abstractNumId="14">
    <w:nsid w:val="D07092FB"/>
    <w:multiLevelType w:val="singleLevel"/>
    <w:tmpl w:val="D07092FB"/>
    <w:lvl w:ilvl="0" w:tentative="0">
      <w:start w:val="1"/>
      <w:numFmt w:val="decimal"/>
      <w:suff w:val="nothing"/>
      <w:lvlText w:val="%1）"/>
      <w:lvlJc w:val="left"/>
    </w:lvl>
  </w:abstractNum>
  <w:abstractNum w:abstractNumId="15">
    <w:nsid w:val="DBE06C9C"/>
    <w:multiLevelType w:val="singleLevel"/>
    <w:tmpl w:val="DBE06C9C"/>
    <w:lvl w:ilvl="0" w:tentative="0">
      <w:start w:val="1"/>
      <w:numFmt w:val="decimal"/>
      <w:suff w:val="nothing"/>
      <w:lvlText w:val="（%1）"/>
      <w:lvlJc w:val="left"/>
    </w:lvl>
  </w:abstractNum>
  <w:abstractNum w:abstractNumId="16">
    <w:nsid w:val="DEDF7EF5"/>
    <w:multiLevelType w:val="multilevel"/>
    <w:tmpl w:val="DEDF7EF5"/>
    <w:lvl w:ilvl="0" w:tentative="0">
      <w:start w:val="1"/>
      <w:numFmt w:val="decimal"/>
      <w:suff w:val="nothing"/>
      <w:lvlText w:val="%1"/>
      <w:lvlJc w:val="center"/>
      <w:pPr>
        <w:ind w:left="0" w:leftChars="0" w:firstLine="0" w:firstLineChars="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E14F9C3D"/>
    <w:multiLevelType w:val="singleLevel"/>
    <w:tmpl w:val="E14F9C3D"/>
    <w:lvl w:ilvl="0" w:tentative="0">
      <w:start w:val="1"/>
      <w:numFmt w:val="decimal"/>
      <w:suff w:val="nothing"/>
      <w:lvlText w:val="12.4.%1"/>
      <w:lvlJc w:val="left"/>
      <w:pPr>
        <w:ind w:left="0" w:firstLine="403"/>
      </w:pPr>
      <w:rPr>
        <w:rFonts w:hint="default"/>
      </w:rPr>
    </w:lvl>
  </w:abstractNum>
  <w:abstractNum w:abstractNumId="18">
    <w:nsid w:val="E58F2910"/>
    <w:multiLevelType w:val="multilevel"/>
    <w:tmpl w:val="E58F2910"/>
    <w:lvl w:ilvl="0" w:tentative="0">
      <w:start w:val="1"/>
      <w:numFmt w:val="decimal"/>
      <w:suff w:val="nothing"/>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19">
    <w:nsid w:val="ECB2F4C7"/>
    <w:multiLevelType w:val="singleLevel"/>
    <w:tmpl w:val="ECB2F4C7"/>
    <w:lvl w:ilvl="0" w:tentative="0">
      <w:start w:val="1"/>
      <w:numFmt w:val="decimalEnclosedCircleChinese"/>
      <w:suff w:val="nothing"/>
      <w:lvlText w:val="%1"/>
      <w:lvlJc w:val="left"/>
      <w:pPr>
        <w:ind w:left="0" w:firstLine="403"/>
      </w:pPr>
      <w:rPr>
        <w:rFonts w:hint="eastAsia"/>
      </w:rPr>
    </w:lvl>
  </w:abstractNum>
  <w:abstractNum w:abstractNumId="20">
    <w:nsid w:val="EF1B5DDA"/>
    <w:multiLevelType w:val="singleLevel"/>
    <w:tmpl w:val="EF1B5DDA"/>
    <w:lvl w:ilvl="0" w:tentative="0">
      <w:start w:val="1"/>
      <w:numFmt w:val="decimal"/>
      <w:suff w:val="nothing"/>
      <w:lvlText w:val="（%1）"/>
      <w:lvlJc w:val="left"/>
    </w:lvl>
  </w:abstractNum>
  <w:abstractNum w:abstractNumId="21">
    <w:nsid w:val="F01B5AF5"/>
    <w:multiLevelType w:val="singleLevel"/>
    <w:tmpl w:val="F01B5AF5"/>
    <w:lvl w:ilvl="0" w:tentative="0">
      <w:start w:val="1"/>
      <w:numFmt w:val="decimalEnclosedCircleChinese"/>
      <w:suff w:val="nothing"/>
      <w:lvlText w:val="%1"/>
      <w:lvlJc w:val="left"/>
      <w:pPr>
        <w:tabs>
          <w:tab w:val="left" w:pos="0"/>
        </w:tabs>
        <w:ind w:left="0" w:firstLine="400"/>
      </w:pPr>
      <w:rPr>
        <w:rFonts w:hint="eastAsia"/>
      </w:rPr>
    </w:lvl>
  </w:abstractNum>
  <w:abstractNum w:abstractNumId="22">
    <w:nsid w:val="F057A9F8"/>
    <w:multiLevelType w:val="singleLevel"/>
    <w:tmpl w:val="F057A9F8"/>
    <w:lvl w:ilvl="0" w:tentative="0">
      <w:start w:val="1"/>
      <w:numFmt w:val="decimal"/>
      <w:suff w:val="nothing"/>
      <w:lvlText w:val="8.4.%1"/>
      <w:lvlJc w:val="left"/>
      <w:pPr>
        <w:ind w:left="0" w:firstLine="403"/>
      </w:pPr>
      <w:rPr>
        <w:rFonts w:hint="default"/>
      </w:rPr>
    </w:lvl>
  </w:abstractNum>
  <w:abstractNum w:abstractNumId="23">
    <w:nsid w:val="F08A73DA"/>
    <w:multiLevelType w:val="singleLevel"/>
    <w:tmpl w:val="F08A73DA"/>
    <w:lvl w:ilvl="0" w:tentative="0">
      <w:start w:val="1"/>
      <w:numFmt w:val="decimal"/>
      <w:lvlText w:val="10.1.%1"/>
      <w:lvlJc w:val="left"/>
      <w:pPr>
        <w:tabs>
          <w:tab w:val="left" w:pos="420"/>
        </w:tabs>
        <w:ind w:left="425" w:leftChars="0" w:hanging="425" w:firstLineChars="0"/>
      </w:pPr>
      <w:rPr>
        <w:rFonts w:hint="default"/>
      </w:rPr>
    </w:lvl>
  </w:abstractNum>
  <w:abstractNum w:abstractNumId="24">
    <w:nsid w:val="F1DEE813"/>
    <w:multiLevelType w:val="singleLevel"/>
    <w:tmpl w:val="F1DEE813"/>
    <w:lvl w:ilvl="0" w:tentative="0">
      <w:start w:val="1"/>
      <w:numFmt w:val="decimal"/>
      <w:suff w:val="nothing"/>
      <w:lvlText w:val="12.%1"/>
      <w:lvlJc w:val="left"/>
      <w:pPr>
        <w:ind w:left="425" w:leftChars="0" w:hanging="425" w:firstLineChars="0"/>
      </w:pPr>
      <w:rPr>
        <w:rFonts w:hint="default"/>
      </w:rPr>
    </w:lvl>
  </w:abstractNum>
  <w:abstractNum w:abstractNumId="25">
    <w:nsid w:val="00000002"/>
    <w:multiLevelType w:val="multilevel"/>
    <w:tmpl w:val="00000002"/>
    <w:lvl w:ilvl="0" w:tentative="0">
      <w:start w:val="1"/>
      <w:numFmt w:val="chineseCountingThousand"/>
      <w:suff w:val="nothing"/>
      <w:lvlText w:val="第%1章  "/>
      <w:lvlJc w:val="left"/>
      <w:pPr>
        <w:ind w:left="0" w:firstLine="0"/>
      </w:pPr>
      <w:rPr>
        <w:rFonts w:hint="default" w:ascii="Times New Roman" w:hAnsi="Times New Roman" w:eastAsia="宋体"/>
        <w:b/>
        <w:i w:val="0"/>
        <w:iCs w:val="0"/>
        <w:caps w:val="0"/>
        <w:vanish w:val="0"/>
        <w:spacing w:val="0"/>
        <w:position w:val="0"/>
        <w:u w:val="none"/>
        <w:vertAlign w:val="baseline"/>
        <w14:shadow w14:blurRad="0" w14:dist="0" w14:dir="0" w14:sx="100000" w14:sy="100000" w14:kx="0" w14:ky="0" w14:algn="none">
          <w14:srgbClr w14:val="808080"/>
        </w14:shadow>
        <w14:ligatures w14:val="none"/>
        <w14:numForm w14:val="default"/>
        <w14:numSpacing w14:val="default"/>
      </w:rPr>
    </w:lvl>
    <w:lvl w:ilvl="1" w:tentative="0">
      <w:start w:val="1"/>
      <w:numFmt w:val="decimal"/>
      <w:suff w:val="nothing"/>
      <w:lvlText w:val="%2. "/>
      <w:lvlJc w:val="left"/>
      <w:pPr>
        <w:ind w:left="0" w:firstLine="0"/>
      </w:pPr>
      <w:rPr>
        <w:rFonts w:hint="default" w:ascii="Times New Roman" w:hAnsi="Times New Roman" w:eastAsia="宋体"/>
        <w:b/>
        <w:i w:val="0"/>
      </w:rPr>
    </w:lvl>
    <w:lvl w:ilvl="2" w:tentative="0">
      <w:start w:val="1"/>
      <w:numFmt w:val="decimal"/>
      <w:suff w:val="nothing"/>
      <w:lvlText w:val="%2.%3  "/>
      <w:lvlJc w:val="left"/>
      <w:pPr>
        <w:ind w:left="0" w:firstLine="0"/>
      </w:pPr>
      <w:rPr>
        <w:rFonts w:hint="default" w:ascii="Times New Roman" w:hAnsi="Times New Roman" w:eastAsia="宋体"/>
        <w:b/>
        <w:i w:val="0"/>
      </w:rPr>
    </w:lvl>
    <w:lvl w:ilvl="3" w:tentative="0">
      <w:start w:val="1"/>
      <w:numFmt w:val="decimal"/>
      <w:isLgl/>
      <w:suff w:val="nothing"/>
      <w:lvlText w:val="%2.%3.%4  "/>
      <w:lvlJc w:val="left"/>
      <w:pPr>
        <w:ind w:left="0" w:firstLine="0"/>
      </w:pPr>
      <w:rPr>
        <w:rFonts w:hint="default" w:ascii="Times New Roman" w:hAnsi="Times New Roman" w:eastAsia="宋体"/>
        <w:b/>
        <w:i w:val="0"/>
      </w:rPr>
    </w:lvl>
    <w:lvl w:ilvl="4" w:tentative="0">
      <w:start w:val="1"/>
      <w:numFmt w:val="decimal"/>
      <w:pStyle w:val="7"/>
      <w:suff w:val="nothing"/>
      <w:lvlText w:val="%2.%3.%4.%5  "/>
      <w:lvlJc w:val="left"/>
      <w:pPr>
        <w:ind w:left="0" w:firstLine="0"/>
      </w:pPr>
      <w:rPr>
        <w:rFonts w:hint="default" w:ascii="Times New Roman" w:hAnsi="Times New Roman" w:eastAsia="宋体"/>
        <w:b/>
        <w:i w:val="0"/>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0D476B83"/>
    <w:multiLevelType w:val="singleLevel"/>
    <w:tmpl w:val="0D476B83"/>
    <w:lvl w:ilvl="0" w:tentative="0">
      <w:start w:val="1"/>
      <w:numFmt w:val="decimal"/>
      <w:suff w:val="nothing"/>
      <w:lvlText w:val="%1、"/>
      <w:lvlJc w:val="left"/>
    </w:lvl>
  </w:abstractNum>
  <w:abstractNum w:abstractNumId="27">
    <w:nsid w:val="0E202695"/>
    <w:multiLevelType w:val="singleLevel"/>
    <w:tmpl w:val="0E202695"/>
    <w:lvl w:ilvl="0" w:tentative="0">
      <w:start w:val="1"/>
      <w:numFmt w:val="decimal"/>
      <w:suff w:val="nothing"/>
      <w:lvlText w:val="7.4.%1"/>
      <w:lvlJc w:val="left"/>
      <w:pPr>
        <w:ind w:left="0" w:firstLine="403"/>
      </w:pPr>
      <w:rPr>
        <w:rFonts w:hint="default"/>
      </w:rPr>
    </w:lvl>
  </w:abstractNum>
  <w:abstractNum w:abstractNumId="28">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1005667A"/>
    <w:multiLevelType w:val="singleLevel"/>
    <w:tmpl w:val="1005667A"/>
    <w:lvl w:ilvl="0" w:tentative="0">
      <w:start w:val="1"/>
      <w:numFmt w:val="decimalEnclosedCircleChinese"/>
      <w:suff w:val="nothing"/>
      <w:lvlText w:val="%1"/>
      <w:lvlJc w:val="left"/>
      <w:pPr>
        <w:ind w:left="0" w:firstLine="403"/>
      </w:pPr>
      <w:rPr>
        <w:rFonts w:hint="eastAsia"/>
      </w:rPr>
    </w:lvl>
  </w:abstractNum>
  <w:abstractNum w:abstractNumId="30">
    <w:nsid w:val="128DB148"/>
    <w:multiLevelType w:val="singleLevel"/>
    <w:tmpl w:val="128DB148"/>
    <w:lvl w:ilvl="0" w:tentative="0">
      <w:start w:val="1"/>
      <w:numFmt w:val="decimal"/>
      <w:suff w:val="nothing"/>
      <w:lvlText w:val="(%1)"/>
      <w:lvlJc w:val="left"/>
      <w:pPr>
        <w:ind w:left="425" w:hanging="425"/>
      </w:pPr>
      <w:rPr>
        <w:rFonts w:hint="default"/>
      </w:rPr>
    </w:lvl>
  </w:abstractNum>
  <w:abstractNum w:abstractNumId="31">
    <w:nsid w:val="12978C4B"/>
    <w:multiLevelType w:val="singleLevel"/>
    <w:tmpl w:val="12978C4B"/>
    <w:lvl w:ilvl="0" w:tentative="0">
      <w:start w:val="1"/>
      <w:numFmt w:val="decimal"/>
      <w:suff w:val="nothing"/>
      <w:lvlText w:val="10.%1"/>
      <w:lvlJc w:val="left"/>
      <w:pPr>
        <w:ind w:left="425" w:leftChars="0" w:hanging="425" w:firstLineChars="0"/>
      </w:pPr>
      <w:rPr>
        <w:rFonts w:hint="default"/>
      </w:rPr>
    </w:lvl>
  </w:abstractNum>
  <w:abstractNum w:abstractNumId="32">
    <w:nsid w:val="1432DFA2"/>
    <w:multiLevelType w:val="singleLevel"/>
    <w:tmpl w:val="1432DFA2"/>
    <w:lvl w:ilvl="0" w:tentative="0">
      <w:start w:val="1"/>
      <w:numFmt w:val="decimal"/>
      <w:suff w:val="nothing"/>
      <w:lvlText w:val="%1．"/>
      <w:lvlJc w:val="left"/>
      <w:pPr>
        <w:ind w:left="0" w:firstLine="400"/>
      </w:pPr>
      <w:rPr>
        <w:rFonts w:hint="default"/>
      </w:rPr>
    </w:lvl>
  </w:abstractNum>
  <w:abstractNum w:abstractNumId="33">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34">
    <w:nsid w:val="1697659B"/>
    <w:multiLevelType w:val="multilevel"/>
    <w:tmpl w:val="1697659B"/>
    <w:lvl w:ilvl="0" w:tentative="0">
      <w:start w:val="1"/>
      <w:numFmt w:val="decimal"/>
      <w:lvlText w:val="5.%1"/>
      <w:lvlJc w:val="left"/>
      <w:pPr>
        <w:ind w:left="420" w:hanging="420"/>
      </w:pPr>
      <w:rPr>
        <w:rFonts w:hint="default" w:ascii="Times New Roman" w:hAnsi="Times New Roman" w:cs="Times New Roman"/>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765D05E"/>
    <w:multiLevelType w:val="multilevel"/>
    <w:tmpl w:val="1765D05E"/>
    <w:lvl w:ilvl="0" w:tentative="0">
      <w:start w:val="1"/>
      <w:numFmt w:val="decimal"/>
      <w:suff w:val="nothing"/>
      <w:lvlText w:val="%1)"/>
      <w:lvlJc w:val="left"/>
      <w:pPr>
        <w:ind w:left="703" w:hanging="420"/>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36">
    <w:nsid w:val="195226B3"/>
    <w:multiLevelType w:val="multilevel"/>
    <w:tmpl w:val="195226B3"/>
    <w:lvl w:ilvl="0" w:tentative="0">
      <w:start w:val="1"/>
      <w:numFmt w:val="decimal"/>
      <w:lvlText w:val="1.%1"/>
      <w:lvlJc w:val="left"/>
      <w:pPr>
        <w:ind w:left="540" w:hanging="420"/>
      </w:pPr>
      <w:rPr>
        <w:rFonts w:hint="eastAsia"/>
        <w:b/>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abstractNum w:abstractNumId="37">
    <w:nsid w:val="19873FB8"/>
    <w:multiLevelType w:val="multilevel"/>
    <w:tmpl w:val="19873FB8"/>
    <w:lvl w:ilvl="0" w:tentative="0">
      <w:start w:val="1"/>
      <w:numFmt w:val="decimal"/>
      <w:suff w:val="nothing"/>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1FC6B92C"/>
    <w:multiLevelType w:val="singleLevel"/>
    <w:tmpl w:val="1FC6B92C"/>
    <w:lvl w:ilvl="0" w:tentative="0">
      <w:start w:val="1"/>
      <w:numFmt w:val="decimal"/>
      <w:suff w:val="nothing"/>
      <w:lvlText w:val="（%1）"/>
      <w:lvlJc w:val="left"/>
    </w:lvl>
  </w:abstractNum>
  <w:abstractNum w:abstractNumId="40">
    <w:nsid w:val="229C3CF1"/>
    <w:multiLevelType w:val="singleLevel"/>
    <w:tmpl w:val="229C3CF1"/>
    <w:lvl w:ilvl="0" w:tentative="0">
      <w:start w:val="1"/>
      <w:numFmt w:val="decimal"/>
      <w:suff w:val="nothing"/>
      <w:lvlText w:val="7.%1"/>
      <w:lvlJc w:val="left"/>
      <w:pPr>
        <w:ind w:left="425" w:leftChars="0" w:hanging="425" w:firstLineChars="0"/>
      </w:pPr>
      <w:rPr>
        <w:rFonts w:hint="default"/>
      </w:rPr>
    </w:lvl>
  </w:abstractNum>
  <w:abstractNum w:abstractNumId="41">
    <w:nsid w:val="29596342"/>
    <w:multiLevelType w:val="singleLevel"/>
    <w:tmpl w:val="29596342"/>
    <w:lvl w:ilvl="0" w:tentative="0">
      <w:start w:val="1"/>
      <w:numFmt w:val="decimal"/>
      <w:suff w:val="nothing"/>
      <w:lvlText w:val="(%1)"/>
      <w:lvlJc w:val="left"/>
      <w:pPr>
        <w:ind w:left="425" w:hanging="425"/>
      </w:pPr>
      <w:rPr>
        <w:rFonts w:hint="default"/>
      </w:rPr>
    </w:lvl>
  </w:abstractNum>
  <w:abstractNum w:abstractNumId="42">
    <w:nsid w:val="310EBF34"/>
    <w:multiLevelType w:val="singleLevel"/>
    <w:tmpl w:val="310EBF34"/>
    <w:lvl w:ilvl="0" w:tentative="0">
      <w:start w:val="1"/>
      <w:numFmt w:val="decimalEnclosedCircleChinese"/>
      <w:suff w:val="nothing"/>
      <w:lvlText w:val="%1"/>
      <w:lvlJc w:val="left"/>
      <w:pPr>
        <w:ind w:left="0" w:firstLine="403"/>
      </w:pPr>
      <w:rPr>
        <w:rFonts w:hint="eastAsia"/>
      </w:rPr>
    </w:lvl>
  </w:abstractNum>
  <w:abstractNum w:abstractNumId="43">
    <w:nsid w:val="3921891B"/>
    <w:multiLevelType w:val="singleLevel"/>
    <w:tmpl w:val="3921891B"/>
    <w:lvl w:ilvl="0" w:tentative="0">
      <w:start w:val="1"/>
      <w:numFmt w:val="decimalEnclosedCircleChinese"/>
      <w:suff w:val="nothing"/>
      <w:lvlText w:val="%1"/>
      <w:lvlJc w:val="left"/>
      <w:pPr>
        <w:ind w:left="0" w:firstLine="403"/>
      </w:pPr>
      <w:rPr>
        <w:rFonts w:hint="eastAsia"/>
      </w:rPr>
    </w:lvl>
  </w:abstractNum>
  <w:abstractNum w:abstractNumId="44">
    <w:nsid w:val="3EAC03E0"/>
    <w:multiLevelType w:val="multilevel"/>
    <w:tmpl w:val="3EAC03E0"/>
    <w:lvl w:ilvl="0" w:tentative="0">
      <w:start w:val="1"/>
      <w:numFmt w:val="decimalEnclosedCircle"/>
      <w:suff w:val="nothing"/>
      <w:lvlText w:val="%1"/>
      <w:lvlJc w:val="left"/>
      <w:pPr>
        <w:ind w:left="840" w:hanging="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5">
    <w:nsid w:val="41EA16CB"/>
    <w:multiLevelType w:val="multilevel"/>
    <w:tmpl w:val="41EA16CB"/>
    <w:lvl w:ilvl="0" w:tentative="0">
      <w:start w:val="1"/>
      <w:numFmt w:val="decimal"/>
      <w:suff w:val="nothing"/>
      <w:lvlText w:val="%1)"/>
      <w:lvlJc w:val="left"/>
      <w:pPr>
        <w:ind w:left="420" w:hanging="420"/>
      </w:pPr>
      <w:rPr>
        <w:rFonts w:hint="default" w:ascii="Times New Roman" w:hAnsi="Times New Roman"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44AD06D9"/>
    <w:multiLevelType w:val="singleLevel"/>
    <w:tmpl w:val="44AD06D9"/>
    <w:lvl w:ilvl="0" w:tentative="0">
      <w:start w:val="1"/>
      <w:numFmt w:val="decimal"/>
      <w:suff w:val="nothing"/>
      <w:lvlText w:val="(%1)"/>
      <w:lvlJc w:val="left"/>
      <w:pPr>
        <w:ind w:left="425" w:hanging="425"/>
      </w:pPr>
      <w:rPr>
        <w:rFonts w:hint="default"/>
      </w:rPr>
    </w:lvl>
  </w:abstractNum>
  <w:abstractNum w:abstractNumId="47">
    <w:nsid w:val="47CE6450"/>
    <w:multiLevelType w:val="singleLevel"/>
    <w:tmpl w:val="47CE6450"/>
    <w:lvl w:ilvl="0" w:tentative="0">
      <w:start w:val="1"/>
      <w:numFmt w:val="decimal"/>
      <w:suff w:val="nothing"/>
      <w:lvlText w:val="(%1)"/>
      <w:lvlJc w:val="left"/>
      <w:pPr>
        <w:ind w:left="425" w:hanging="425"/>
      </w:pPr>
      <w:rPr>
        <w:rFonts w:hint="default"/>
      </w:rPr>
    </w:lvl>
  </w:abstractNum>
  <w:abstractNum w:abstractNumId="48">
    <w:nsid w:val="57354BDD"/>
    <w:multiLevelType w:val="multilevel"/>
    <w:tmpl w:val="57354BDD"/>
    <w:lvl w:ilvl="0" w:tentative="0">
      <w:start w:val="1"/>
      <w:numFmt w:val="decimal"/>
      <w:pStyle w:val="3"/>
      <w:lvlText w:val="%1"/>
      <w:lvlJc w:val="left"/>
      <w:pPr>
        <w:ind w:left="420" w:hanging="420"/>
      </w:pPr>
      <w:rPr>
        <w:rFonts w:hint="default" w:ascii="Times New Roman" w:hAnsi="Times New Roman" w:eastAsia="宋体" w:cs="Arial"/>
        <w:b/>
        <w:i w:val="0"/>
        <w:sz w:val="32"/>
        <w:szCs w:val="24"/>
      </w:rPr>
    </w:lvl>
    <w:lvl w:ilvl="1" w:tentative="0">
      <w:start w:val="1"/>
      <w:numFmt w:val="decimal"/>
      <w:isLgl/>
      <w:lvlText w:val="%1.%2"/>
      <w:lvlJc w:val="left"/>
      <w:pPr>
        <w:ind w:left="490" w:hanging="49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49">
    <w:nsid w:val="58C78704"/>
    <w:multiLevelType w:val="singleLevel"/>
    <w:tmpl w:val="58C78704"/>
    <w:lvl w:ilvl="0" w:tentative="0">
      <w:start w:val="1"/>
      <w:numFmt w:val="decimalEnclosedCircleChinese"/>
      <w:suff w:val="nothing"/>
      <w:lvlText w:val="%1"/>
      <w:lvlJc w:val="left"/>
      <w:pPr>
        <w:ind w:left="0" w:firstLine="403"/>
      </w:pPr>
      <w:rPr>
        <w:rFonts w:hint="eastAsia"/>
      </w:rPr>
    </w:lvl>
  </w:abstractNum>
  <w:abstractNum w:abstractNumId="50">
    <w:nsid w:val="5B310B75"/>
    <w:multiLevelType w:val="singleLevel"/>
    <w:tmpl w:val="5B310B75"/>
    <w:lvl w:ilvl="0" w:tentative="0">
      <w:start w:val="1"/>
      <w:numFmt w:val="decimalEnclosedCircleChinese"/>
      <w:suff w:val="nothing"/>
      <w:lvlText w:val="%1"/>
      <w:lvlJc w:val="left"/>
      <w:pPr>
        <w:ind w:left="0" w:firstLine="403"/>
      </w:pPr>
      <w:rPr>
        <w:rFonts w:hint="eastAsia"/>
      </w:rPr>
    </w:lvl>
  </w:abstractNum>
  <w:abstractNum w:abstractNumId="51">
    <w:nsid w:val="637E6ACC"/>
    <w:multiLevelType w:val="singleLevel"/>
    <w:tmpl w:val="637E6ACC"/>
    <w:lvl w:ilvl="0" w:tentative="0">
      <w:start w:val="1"/>
      <w:numFmt w:val="decimalEnclosedCircleChinese"/>
      <w:suff w:val="nothing"/>
      <w:lvlText w:val="%1"/>
      <w:lvlJc w:val="left"/>
      <w:pPr>
        <w:ind w:left="0" w:firstLine="403"/>
      </w:pPr>
      <w:rPr>
        <w:rFonts w:hint="eastAsia"/>
      </w:rPr>
    </w:lvl>
  </w:abstractNum>
  <w:abstractNum w:abstractNumId="52">
    <w:nsid w:val="64E30754"/>
    <w:multiLevelType w:val="multilevel"/>
    <w:tmpl w:val="64E3075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A6FCDC5"/>
    <w:multiLevelType w:val="multilevel"/>
    <w:tmpl w:val="6A6FCDC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6D1914EC"/>
    <w:multiLevelType w:val="singleLevel"/>
    <w:tmpl w:val="6D1914EC"/>
    <w:lvl w:ilvl="0" w:tentative="0">
      <w:start w:val="1"/>
      <w:numFmt w:val="decimalEnclosedCircleChinese"/>
      <w:suff w:val="nothing"/>
      <w:lvlText w:val="%1"/>
      <w:lvlJc w:val="left"/>
      <w:pPr>
        <w:tabs>
          <w:tab w:val="left" w:pos="0"/>
        </w:tabs>
        <w:ind w:left="0" w:firstLine="400"/>
      </w:pPr>
      <w:rPr>
        <w:rFonts w:hint="eastAsia"/>
      </w:rPr>
    </w:lvl>
  </w:abstractNum>
  <w:num w:numId="1">
    <w:abstractNumId w:val="48"/>
  </w:num>
  <w:num w:numId="2">
    <w:abstractNumId w:val="25"/>
  </w:num>
  <w:num w:numId="3">
    <w:abstractNumId w:val="36"/>
  </w:num>
  <w:num w:numId="4">
    <w:abstractNumId w:val="52"/>
  </w:num>
  <w:num w:numId="5">
    <w:abstractNumId w:val="53"/>
  </w:num>
  <w:num w:numId="6">
    <w:abstractNumId w:val="34"/>
  </w:num>
  <w:num w:numId="7">
    <w:abstractNumId w:val="40"/>
  </w:num>
  <w:num w:numId="8">
    <w:abstractNumId w:val="16"/>
  </w:num>
  <w:num w:numId="9">
    <w:abstractNumId w:val="27"/>
  </w:num>
  <w:num w:numId="10">
    <w:abstractNumId w:val="47"/>
  </w:num>
  <w:num w:numId="11">
    <w:abstractNumId w:val="21"/>
  </w:num>
  <w:num w:numId="12">
    <w:abstractNumId w:val="55"/>
  </w:num>
  <w:num w:numId="13">
    <w:abstractNumId w:val="5"/>
  </w:num>
  <w:num w:numId="14">
    <w:abstractNumId w:val="30"/>
  </w:num>
  <w:num w:numId="15">
    <w:abstractNumId w:val="42"/>
  </w:num>
  <w:num w:numId="16">
    <w:abstractNumId w:val="6"/>
  </w:num>
  <w:num w:numId="17">
    <w:abstractNumId w:val="19"/>
  </w:num>
  <w:num w:numId="18">
    <w:abstractNumId w:val="11"/>
  </w:num>
  <w:num w:numId="19">
    <w:abstractNumId w:val="54"/>
  </w:num>
  <w:num w:numId="20">
    <w:abstractNumId w:val="38"/>
  </w:num>
  <w:num w:numId="21">
    <w:abstractNumId w:val="28"/>
  </w:num>
  <w:num w:numId="22">
    <w:abstractNumId w:val="3"/>
  </w:num>
  <w:num w:numId="23">
    <w:abstractNumId w:val="49"/>
  </w:num>
  <w:num w:numId="24">
    <w:abstractNumId w:val="13"/>
  </w:num>
  <w:num w:numId="25">
    <w:abstractNumId w:val="46"/>
  </w:num>
  <w:num w:numId="26">
    <w:abstractNumId w:val="51"/>
  </w:num>
  <w:num w:numId="27">
    <w:abstractNumId w:val="29"/>
  </w:num>
  <w:num w:numId="28">
    <w:abstractNumId w:val="41"/>
  </w:num>
  <w:num w:numId="29">
    <w:abstractNumId w:val="43"/>
  </w:num>
  <w:num w:numId="30">
    <w:abstractNumId w:val="9"/>
  </w:num>
  <w:num w:numId="31">
    <w:abstractNumId w:val="50"/>
  </w:num>
  <w:num w:numId="32">
    <w:abstractNumId w:val="44"/>
  </w:num>
  <w:num w:numId="33">
    <w:abstractNumId w:val="2"/>
  </w:num>
  <w:num w:numId="34">
    <w:abstractNumId w:val="26"/>
  </w:num>
  <w:num w:numId="35">
    <w:abstractNumId w:val="1"/>
  </w:num>
  <w:num w:numId="36">
    <w:abstractNumId w:val="22"/>
  </w:num>
  <w:num w:numId="37">
    <w:abstractNumId w:val="10"/>
  </w:num>
  <w:num w:numId="38">
    <w:abstractNumId w:val="39"/>
  </w:num>
  <w:num w:numId="39">
    <w:abstractNumId w:val="20"/>
  </w:num>
  <w:num w:numId="40">
    <w:abstractNumId w:val="8"/>
  </w:num>
  <w:num w:numId="41">
    <w:abstractNumId w:val="14"/>
  </w:num>
  <w:num w:numId="42">
    <w:abstractNumId w:val="4"/>
  </w:num>
  <w:num w:numId="43">
    <w:abstractNumId w:val="45"/>
  </w:num>
  <w:num w:numId="44">
    <w:abstractNumId w:val="37"/>
  </w:num>
  <w:num w:numId="45">
    <w:abstractNumId w:val="32"/>
  </w:num>
  <w:num w:numId="46">
    <w:abstractNumId w:val="15"/>
  </w:num>
  <w:num w:numId="47">
    <w:abstractNumId w:val="31"/>
  </w:num>
  <w:num w:numId="48">
    <w:abstractNumId w:val="23"/>
  </w:num>
  <w:num w:numId="49">
    <w:abstractNumId w:val="33"/>
  </w:num>
  <w:num w:numId="50">
    <w:abstractNumId w:val="0"/>
  </w:num>
  <w:num w:numId="51">
    <w:abstractNumId w:val="24"/>
  </w:num>
  <w:num w:numId="52">
    <w:abstractNumId w:val="7"/>
  </w:num>
  <w:num w:numId="53">
    <w:abstractNumId w:val="18"/>
  </w:num>
  <w:num w:numId="54">
    <w:abstractNumId w:val="12"/>
  </w:num>
  <w:num w:numId="55">
    <w:abstractNumId w:val="35"/>
  </w:num>
  <w:num w:numId="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AF4"/>
    <w:rsid w:val="000066B3"/>
    <w:rsid w:val="00010879"/>
    <w:rsid w:val="00010E75"/>
    <w:rsid w:val="00011231"/>
    <w:rsid w:val="0001575A"/>
    <w:rsid w:val="00020994"/>
    <w:rsid w:val="00022CD7"/>
    <w:rsid w:val="00024563"/>
    <w:rsid w:val="000251F6"/>
    <w:rsid w:val="000266A4"/>
    <w:rsid w:val="0003486B"/>
    <w:rsid w:val="00043CDB"/>
    <w:rsid w:val="0005080A"/>
    <w:rsid w:val="000643E3"/>
    <w:rsid w:val="00064AA4"/>
    <w:rsid w:val="000653A1"/>
    <w:rsid w:val="00066BAF"/>
    <w:rsid w:val="000772FC"/>
    <w:rsid w:val="00084E2A"/>
    <w:rsid w:val="00086A88"/>
    <w:rsid w:val="00086C59"/>
    <w:rsid w:val="0008733F"/>
    <w:rsid w:val="0008775B"/>
    <w:rsid w:val="000915B9"/>
    <w:rsid w:val="00094008"/>
    <w:rsid w:val="00094934"/>
    <w:rsid w:val="00095908"/>
    <w:rsid w:val="0009710D"/>
    <w:rsid w:val="000A0505"/>
    <w:rsid w:val="000B3852"/>
    <w:rsid w:val="000B553D"/>
    <w:rsid w:val="000B7C20"/>
    <w:rsid w:val="000C1632"/>
    <w:rsid w:val="000C2492"/>
    <w:rsid w:val="000C6C1C"/>
    <w:rsid w:val="000D0CE1"/>
    <w:rsid w:val="000D3D0E"/>
    <w:rsid w:val="000D567E"/>
    <w:rsid w:val="000E095B"/>
    <w:rsid w:val="000E2DB7"/>
    <w:rsid w:val="000E4DA5"/>
    <w:rsid w:val="000E747D"/>
    <w:rsid w:val="000E7B04"/>
    <w:rsid w:val="000F3EFA"/>
    <w:rsid w:val="000F478B"/>
    <w:rsid w:val="000F4E0D"/>
    <w:rsid w:val="0010002A"/>
    <w:rsid w:val="00106A11"/>
    <w:rsid w:val="00111083"/>
    <w:rsid w:val="00113068"/>
    <w:rsid w:val="00116680"/>
    <w:rsid w:val="00120D1C"/>
    <w:rsid w:val="00121979"/>
    <w:rsid w:val="0012438F"/>
    <w:rsid w:val="00126573"/>
    <w:rsid w:val="001269DA"/>
    <w:rsid w:val="00131C5E"/>
    <w:rsid w:val="00146742"/>
    <w:rsid w:val="00152DD6"/>
    <w:rsid w:val="001535DE"/>
    <w:rsid w:val="00155F0A"/>
    <w:rsid w:val="00156333"/>
    <w:rsid w:val="00156EF2"/>
    <w:rsid w:val="00160321"/>
    <w:rsid w:val="00160B54"/>
    <w:rsid w:val="00160BAC"/>
    <w:rsid w:val="001631BC"/>
    <w:rsid w:val="00171BC7"/>
    <w:rsid w:val="00172999"/>
    <w:rsid w:val="00177D06"/>
    <w:rsid w:val="00180A3E"/>
    <w:rsid w:val="00186C01"/>
    <w:rsid w:val="0019581C"/>
    <w:rsid w:val="00197228"/>
    <w:rsid w:val="001A36EC"/>
    <w:rsid w:val="001A456A"/>
    <w:rsid w:val="001A7308"/>
    <w:rsid w:val="001B255A"/>
    <w:rsid w:val="001B2A7B"/>
    <w:rsid w:val="001B5B48"/>
    <w:rsid w:val="001B766B"/>
    <w:rsid w:val="001C1B1A"/>
    <w:rsid w:val="001C6A2A"/>
    <w:rsid w:val="001D134A"/>
    <w:rsid w:val="001D1D38"/>
    <w:rsid w:val="001D21F9"/>
    <w:rsid w:val="001D26EA"/>
    <w:rsid w:val="001E6FCF"/>
    <w:rsid w:val="001F4914"/>
    <w:rsid w:val="001F4D7F"/>
    <w:rsid w:val="001F648D"/>
    <w:rsid w:val="001F68E8"/>
    <w:rsid w:val="0020509D"/>
    <w:rsid w:val="0021159E"/>
    <w:rsid w:val="002125A9"/>
    <w:rsid w:val="002137BB"/>
    <w:rsid w:val="00213854"/>
    <w:rsid w:val="0021439C"/>
    <w:rsid w:val="002158E1"/>
    <w:rsid w:val="00216CA4"/>
    <w:rsid w:val="00223568"/>
    <w:rsid w:val="00223E99"/>
    <w:rsid w:val="00230472"/>
    <w:rsid w:val="00242120"/>
    <w:rsid w:val="00243E51"/>
    <w:rsid w:val="0025041D"/>
    <w:rsid w:val="00251808"/>
    <w:rsid w:val="002539A8"/>
    <w:rsid w:val="00255236"/>
    <w:rsid w:val="00255753"/>
    <w:rsid w:val="00255E1C"/>
    <w:rsid w:val="00256D91"/>
    <w:rsid w:val="002572DC"/>
    <w:rsid w:val="00262BA0"/>
    <w:rsid w:val="0026512C"/>
    <w:rsid w:val="002651DD"/>
    <w:rsid w:val="0027001C"/>
    <w:rsid w:val="00271C1C"/>
    <w:rsid w:val="00276635"/>
    <w:rsid w:val="00276CFA"/>
    <w:rsid w:val="0028311D"/>
    <w:rsid w:val="0028641F"/>
    <w:rsid w:val="00287DEB"/>
    <w:rsid w:val="002902FC"/>
    <w:rsid w:val="002A1426"/>
    <w:rsid w:val="002A2AFC"/>
    <w:rsid w:val="002A561F"/>
    <w:rsid w:val="002B0B2D"/>
    <w:rsid w:val="002B2DCD"/>
    <w:rsid w:val="002B3B3C"/>
    <w:rsid w:val="002C0EBD"/>
    <w:rsid w:val="002C59D9"/>
    <w:rsid w:val="002E324A"/>
    <w:rsid w:val="002E5864"/>
    <w:rsid w:val="002F3C4B"/>
    <w:rsid w:val="0030091A"/>
    <w:rsid w:val="00305B72"/>
    <w:rsid w:val="00311B4F"/>
    <w:rsid w:val="00312C68"/>
    <w:rsid w:val="00327555"/>
    <w:rsid w:val="003317F2"/>
    <w:rsid w:val="0033465F"/>
    <w:rsid w:val="003412C7"/>
    <w:rsid w:val="00344BC1"/>
    <w:rsid w:val="00344E56"/>
    <w:rsid w:val="00347CF0"/>
    <w:rsid w:val="003548F4"/>
    <w:rsid w:val="00355EA1"/>
    <w:rsid w:val="0036430F"/>
    <w:rsid w:val="00364BDF"/>
    <w:rsid w:val="00365B92"/>
    <w:rsid w:val="00367602"/>
    <w:rsid w:val="00367F1C"/>
    <w:rsid w:val="0037040D"/>
    <w:rsid w:val="00370643"/>
    <w:rsid w:val="00374CE5"/>
    <w:rsid w:val="003752AC"/>
    <w:rsid w:val="003805EF"/>
    <w:rsid w:val="00381CD0"/>
    <w:rsid w:val="00386BB8"/>
    <w:rsid w:val="00391610"/>
    <w:rsid w:val="003A1BDD"/>
    <w:rsid w:val="003A7ECF"/>
    <w:rsid w:val="003B4B48"/>
    <w:rsid w:val="003B565D"/>
    <w:rsid w:val="003B78BF"/>
    <w:rsid w:val="003C3FB5"/>
    <w:rsid w:val="003D61F7"/>
    <w:rsid w:val="003D695F"/>
    <w:rsid w:val="003D72DE"/>
    <w:rsid w:val="003E2B19"/>
    <w:rsid w:val="003E6752"/>
    <w:rsid w:val="003F0263"/>
    <w:rsid w:val="003F3389"/>
    <w:rsid w:val="00400885"/>
    <w:rsid w:val="00400CA1"/>
    <w:rsid w:val="00401077"/>
    <w:rsid w:val="00403F00"/>
    <w:rsid w:val="004179BD"/>
    <w:rsid w:val="004179EF"/>
    <w:rsid w:val="00420A97"/>
    <w:rsid w:val="004220D6"/>
    <w:rsid w:val="004246EB"/>
    <w:rsid w:val="004320F6"/>
    <w:rsid w:val="004332DA"/>
    <w:rsid w:val="0043575C"/>
    <w:rsid w:val="004357B4"/>
    <w:rsid w:val="00443EB8"/>
    <w:rsid w:val="00443FC4"/>
    <w:rsid w:val="004453D1"/>
    <w:rsid w:val="004453E2"/>
    <w:rsid w:val="00447A3E"/>
    <w:rsid w:val="00451E1E"/>
    <w:rsid w:val="00454B15"/>
    <w:rsid w:val="004563A3"/>
    <w:rsid w:val="00462FD5"/>
    <w:rsid w:val="00463C34"/>
    <w:rsid w:val="00481959"/>
    <w:rsid w:val="00485E70"/>
    <w:rsid w:val="004920C6"/>
    <w:rsid w:val="004942E5"/>
    <w:rsid w:val="00496ADC"/>
    <w:rsid w:val="004A3D48"/>
    <w:rsid w:val="004B2BF6"/>
    <w:rsid w:val="004B2EF9"/>
    <w:rsid w:val="004B6027"/>
    <w:rsid w:val="004B6A74"/>
    <w:rsid w:val="004C089B"/>
    <w:rsid w:val="004C2AC6"/>
    <w:rsid w:val="004C3066"/>
    <w:rsid w:val="004C3B28"/>
    <w:rsid w:val="004C5FE2"/>
    <w:rsid w:val="004C7EDF"/>
    <w:rsid w:val="004D2A6F"/>
    <w:rsid w:val="004D3EF1"/>
    <w:rsid w:val="004E0794"/>
    <w:rsid w:val="004E3CCF"/>
    <w:rsid w:val="004E620B"/>
    <w:rsid w:val="004E6B54"/>
    <w:rsid w:val="004F41D5"/>
    <w:rsid w:val="00500440"/>
    <w:rsid w:val="00501C12"/>
    <w:rsid w:val="0050256A"/>
    <w:rsid w:val="005033CF"/>
    <w:rsid w:val="005051AE"/>
    <w:rsid w:val="00505447"/>
    <w:rsid w:val="00511735"/>
    <w:rsid w:val="00512434"/>
    <w:rsid w:val="005137C0"/>
    <w:rsid w:val="00513E3E"/>
    <w:rsid w:val="00520CA9"/>
    <w:rsid w:val="00530232"/>
    <w:rsid w:val="0053237F"/>
    <w:rsid w:val="0053262F"/>
    <w:rsid w:val="0054561C"/>
    <w:rsid w:val="00546568"/>
    <w:rsid w:val="00546FDA"/>
    <w:rsid w:val="00557D22"/>
    <w:rsid w:val="00567FDA"/>
    <w:rsid w:val="005847B4"/>
    <w:rsid w:val="00586180"/>
    <w:rsid w:val="00593E33"/>
    <w:rsid w:val="005A0EAD"/>
    <w:rsid w:val="005A22DA"/>
    <w:rsid w:val="005A41DF"/>
    <w:rsid w:val="005A4520"/>
    <w:rsid w:val="005A65E2"/>
    <w:rsid w:val="005B5992"/>
    <w:rsid w:val="005B62FB"/>
    <w:rsid w:val="005C2843"/>
    <w:rsid w:val="005D0E75"/>
    <w:rsid w:val="005D6269"/>
    <w:rsid w:val="005D739A"/>
    <w:rsid w:val="005F01A7"/>
    <w:rsid w:val="005F035D"/>
    <w:rsid w:val="005F5531"/>
    <w:rsid w:val="00605D70"/>
    <w:rsid w:val="006126A5"/>
    <w:rsid w:val="00615068"/>
    <w:rsid w:val="00625DE7"/>
    <w:rsid w:val="00626060"/>
    <w:rsid w:val="00626CE7"/>
    <w:rsid w:val="00632874"/>
    <w:rsid w:val="00633900"/>
    <w:rsid w:val="006342CE"/>
    <w:rsid w:val="006344DB"/>
    <w:rsid w:val="0063698C"/>
    <w:rsid w:val="0064371C"/>
    <w:rsid w:val="006471A2"/>
    <w:rsid w:val="00655D40"/>
    <w:rsid w:val="006608A7"/>
    <w:rsid w:val="00663113"/>
    <w:rsid w:val="00663984"/>
    <w:rsid w:val="00673970"/>
    <w:rsid w:val="00675011"/>
    <w:rsid w:val="006838DB"/>
    <w:rsid w:val="00686723"/>
    <w:rsid w:val="00690277"/>
    <w:rsid w:val="00690395"/>
    <w:rsid w:val="006A0048"/>
    <w:rsid w:val="006A1869"/>
    <w:rsid w:val="006A58B6"/>
    <w:rsid w:val="006B07BC"/>
    <w:rsid w:val="006B3888"/>
    <w:rsid w:val="006B58BC"/>
    <w:rsid w:val="006C0FF0"/>
    <w:rsid w:val="006C549A"/>
    <w:rsid w:val="006D19C9"/>
    <w:rsid w:val="006D2A42"/>
    <w:rsid w:val="006D4885"/>
    <w:rsid w:val="006D5947"/>
    <w:rsid w:val="007237C6"/>
    <w:rsid w:val="0073232D"/>
    <w:rsid w:val="007335B1"/>
    <w:rsid w:val="00735FCA"/>
    <w:rsid w:val="00740E2A"/>
    <w:rsid w:val="00744972"/>
    <w:rsid w:val="00746115"/>
    <w:rsid w:val="007505B7"/>
    <w:rsid w:val="00753702"/>
    <w:rsid w:val="00761FFF"/>
    <w:rsid w:val="00763DCA"/>
    <w:rsid w:val="00764C05"/>
    <w:rsid w:val="00767AD2"/>
    <w:rsid w:val="00774236"/>
    <w:rsid w:val="00774418"/>
    <w:rsid w:val="0077466A"/>
    <w:rsid w:val="00774E10"/>
    <w:rsid w:val="007754FE"/>
    <w:rsid w:val="00780723"/>
    <w:rsid w:val="0078300F"/>
    <w:rsid w:val="007870AC"/>
    <w:rsid w:val="00790A49"/>
    <w:rsid w:val="00794450"/>
    <w:rsid w:val="00795C4C"/>
    <w:rsid w:val="007A01CA"/>
    <w:rsid w:val="007A2A77"/>
    <w:rsid w:val="007A2D8A"/>
    <w:rsid w:val="007B0CF1"/>
    <w:rsid w:val="007B1666"/>
    <w:rsid w:val="007B61A5"/>
    <w:rsid w:val="007B7D54"/>
    <w:rsid w:val="007C1C82"/>
    <w:rsid w:val="007C2DC1"/>
    <w:rsid w:val="007C551B"/>
    <w:rsid w:val="007C7E13"/>
    <w:rsid w:val="007D18A0"/>
    <w:rsid w:val="007D4D49"/>
    <w:rsid w:val="007E55A0"/>
    <w:rsid w:val="007F04B7"/>
    <w:rsid w:val="0080031B"/>
    <w:rsid w:val="00811C05"/>
    <w:rsid w:val="008135A4"/>
    <w:rsid w:val="008148A8"/>
    <w:rsid w:val="00814D9F"/>
    <w:rsid w:val="00826500"/>
    <w:rsid w:val="008438DA"/>
    <w:rsid w:val="00845635"/>
    <w:rsid w:val="00847851"/>
    <w:rsid w:val="00855E41"/>
    <w:rsid w:val="00864D3C"/>
    <w:rsid w:val="00866B6D"/>
    <w:rsid w:val="00867C83"/>
    <w:rsid w:val="008719ED"/>
    <w:rsid w:val="008719FB"/>
    <w:rsid w:val="008722D5"/>
    <w:rsid w:val="008745A2"/>
    <w:rsid w:val="00875EBB"/>
    <w:rsid w:val="00880E09"/>
    <w:rsid w:val="00881D39"/>
    <w:rsid w:val="00882445"/>
    <w:rsid w:val="00883BCA"/>
    <w:rsid w:val="00885EA6"/>
    <w:rsid w:val="00894AEF"/>
    <w:rsid w:val="0089673C"/>
    <w:rsid w:val="008B2700"/>
    <w:rsid w:val="008B2F31"/>
    <w:rsid w:val="008B5201"/>
    <w:rsid w:val="008C33AA"/>
    <w:rsid w:val="008D6EBC"/>
    <w:rsid w:val="008D7FFB"/>
    <w:rsid w:val="008E5403"/>
    <w:rsid w:val="008E5AB3"/>
    <w:rsid w:val="008F09E5"/>
    <w:rsid w:val="008F4B11"/>
    <w:rsid w:val="008F74CD"/>
    <w:rsid w:val="00900564"/>
    <w:rsid w:val="009010DF"/>
    <w:rsid w:val="009214E8"/>
    <w:rsid w:val="00930CA0"/>
    <w:rsid w:val="0093236D"/>
    <w:rsid w:val="00932769"/>
    <w:rsid w:val="00941663"/>
    <w:rsid w:val="009446A0"/>
    <w:rsid w:val="0094548E"/>
    <w:rsid w:val="00946160"/>
    <w:rsid w:val="0094645F"/>
    <w:rsid w:val="00947026"/>
    <w:rsid w:val="00950BA4"/>
    <w:rsid w:val="00955784"/>
    <w:rsid w:val="00962F16"/>
    <w:rsid w:val="00963168"/>
    <w:rsid w:val="00964D8B"/>
    <w:rsid w:val="00966963"/>
    <w:rsid w:val="00967828"/>
    <w:rsid w:val="00971C5F"/>
    <w:rsid w:val="00973BD9"/>
    <w:rsid w:val="00973E79"/>
    <w:rsid w:val="00975321"/>
    <w:rsid w:val="00976B58"/>
    <w:rsid w:val="009771B5"/>
    <w:rsid w:val="009771E4"/>
    <w:rsid w:val="00986DB8"/>
    <w:rsid w:val="00986DE8"/>
    <w:rsid w:val="00990E6B"/>
    <w:rsid w:val="00993B14"/>
    <w:rsid w:val="009945DE"/>
    <w:rsid w:val="009954AC"/>
    <w:rsid w:val="00997FDE"/>
    <w:rsid w:val="009A2B53"/>
    <w:rsid w:val="009A4888"/>
    <w:rsid w:val="009A4CC9"/>
    <w:rsid w:val="009A5B0D"/>
    <w:rsid w:val="009A626F"/>
    <w:rsid w:val="009A6403"/>
    <w:rsid w:val="009B3D8C"/>
    <w:rsid w:val="009B64B4"/>
    <w:rsid w:val="009C101E"/>
    <w:rsid w:val="009C10E4"/>
    <w:rsid w:val="009C22D2"/>
    <w:rsid w:val="009C4AB4"/>
    <w:rsid w:val="009C5AE6"/>
    <w:rsid w:val="009C78F0"/>
    <w:rsid w:val="009D5B94"/>
    <w:rsid w:val="009D6709"/>
    <w:rsid w:val="00A04334"/>
    <w:rsid w:val="00A13CB8"/>
    <w:rsid w:val="00A219EA"/>
    <w:rsid w:val="00A224D6"/>
    <w:rsid w:val="00A22CA6"/>
    <w:rsid w:val="00A31011"/>
    <w:rsid w:val="00A34BD3"/>
    <w:rsid w:val="00A41539"/>
    <w:rsid w:val="00A46B31"/>
    <w:rsid w:val="00A52F0B"/>
    <w:rsid w:val="00A562DD"/>
    <w:rsid w:val="00A606C8"/>
    <w:rsid w:val="00A644B1"/>
    <w:rsid w:val="00A659DF"/>
    <w:rsid w:val="00A67197"/>
    <w:rsid w:val="00A713C8"/>
    <w:rsid w:val="00A75219"/>
    <w:rsid w:val="00A77A19"/>
    <w:rsid w:val="00A8221F"/>
    <w:rsid w:val="00A82359"/>
    <w:rsid w:val="00A84CA2"/>
    <w:rsid w:val="00A85433"/>
    <w:rsid w:val="00A963D2"/>
    <w:rsid w:val="00AA0DD8"/>
    <w:rsid w:val="00AA35F3"/>
    <w:rsid w:val="00AA5B6C"/>
    <w:rsid w:val="00AB0869"/>
    <w:rsid w:val="00AB14A4"/>
    <w:rsid w:val="00AC0D70"/>
    <w:rsid w:val="00AC1EB1"/>
    <w:rsid w:val="00AC2BA5"/>
    <w:rsid w:val="00AC520A"/>
    <w:rsid w:val="00AD209C"/>
    <w:rsid w:val="00AD581B"/>
    <w:rsid w:val="00AD5F03"/>
    <w:rsid w:val="00AE004B"/>
    <w:rsid w:val="00AE10B0"/>
    <w:rsid w:val="00AE1FCD"/>
    <w:rsid w:val="00AE32BE"/>
    <w:rsid w:val="00AE5EB1"/>
    <w:rsid w:val="00AF007D"/>
    <w:rsid w:val="00AF015A"/>
    <w:rsid w:val="00AF049D"/>
    <w:rsid w:val="00AF0967"/>
    <w:rsid w:val="00AF278D"/>
    <w:rsid w:val="00B032CE"/>
    <w:rsid w:val="00B10C4A"/>
    <w:rsid w:val="00B129FA"/>
    <w:rsid w:val="00B21703"/>
    <w:rsid w:val="00B25A17"/>
    <w:rsid w:val="00B25F25"/>
    <w:rsid w:val="00B27457"/>
    <w:rsid w:val="00B3087E"/>
    <w:rsid w:val="00B30DA5"/>
    <w:rsid w:val="00B334FB"/>
    <w:rsid w:val="00B34796"/>
    <w:rsid w:val="00B3778B"/>
    <w:rsid w:val="00B42479"/>
    <w:rsid w:val="00B43320"/>
    <w:rsid w:val="00B455B3"/>
    <w:rsid w:val="00B51E0E"/>
    <w:rsid w:val="00B549B9"/>
    <w:rsid w:val="00B61659"/>
    <w:rsid w:val="00B650F9"/>
    <w:rsid w:val="00B67C56"/>
    <w:rsid w:val="00B70585"/>
    <w:rsid w:val="00B7128E"/>
    <w:rsid w:val="00B72324"/>
    <w:rsid w:val="00B73335"/>
    <w:rsid w:val="00B74D8B"/>
    <w:rsid w:val="00B8184D"/>
    <w:rsid w:val="00B83B99"/>
    <w:rsid w:val="00B86382"/>
    <w:rsid w:val="00B91227"/>
    <w:rsid w:val="00B94600"/>
    <w:rsid w:val="00BA0E5C"/>
    <w:rsid w:val="00BA49D4"/>
    <w:rsid w:val="00BA52E3"/>
    <w:rsid w:val="00BA68B6"/>
    <w:rsid w:val="00BB1A1C"/>
    <w:rsid w:val="00BC4DBA"/>
    <w:rsid w:val="00BC7873"/>
    <w:rsid w:val="00BC79EC"/>
    <w:rsid w:val="00BD2146"/>
    <w:rsid w:val="00BD3895"/>
    <w:rsid w:val="00BD4855"/>
    <w:rsid w:val="00BD4D61"/>
    <w:rsid w:val="00BD759D"/>
    <w:rsid w:val="00BD7E02"/>
    <w:rsid w:val="00BE3360"/>
    <w:rsid w:val="00BF2C5D"/>
    <w:rsid w:val="00BF7528"/>
    <w:rsid w:val="00BF7BCD"/>
    <w:rsid w:val="00C041A9"/>
    <w:rsid w:val="00C047FE"/>
    <w:rsid w:val="00C052CF"/>
    <w:rsid w:val="00C264F6"/>
    <w:rsid w:val="00C31580"/>
    <w:rsid w:val="00C33D89"/>
    <w:rsid w:val="00C4752D"/>
    <w:rsid w:val="00C54253"/>
    <w:rsid w:val="00C55642"/>
    <w:rsid w:val="00C5583E"/>
    <w:rsid w:val="00C607EF"/>
    <w:rsid w:val="00C659B1"/>
    <w:rsid w:val="00C71579"/>
    <w:rsid w:val="00C73848"/>
    <w:rsid w:val="00C74530"/>
    <w:rsid w:val="00C861B8"/>
    <w:rsid w:val="00CA0183"/>
    <w:rsid w:val="00CA7BFD"/>
    <w:rsid w:val="00CB3ED8"/>
    <w:rsid w:val="00CB6C68"/>
    <w:rsid w:val="00CC2845"/>
    <w:rsid w:val="00CC3FF6"/>
    <w:rsid w:val="00CC4B90"/>
    <w:rsid w:val="00CD1BE6"/>
    <w:rsid w:val="00CD31E2"/>
    <w:rsid w:val="00CD384B"/>
    <w:rsid w:val="00CD4B55"/>
    <w:rsid w:val="00CF21CE"/>
    <w:rsid w:val="00CF433A"/>
    <w:rsid w:val="00CF4B67"/>
    <w:rsid w:val="00CF7BC9"/>
    <w:rsid w:val="00D027FA"/>
    <w:rsid w:val="00D03E40"/>
    <w:rsid w:val="00D074ED"/>
    <w:rsid w:val="00D10F71"/>
    <w:rsid w:val="00D11636"/>
    <w:rsid w:val="00D12B20"/>
    <w:rsid w:val="00D164A8"/>
    <w:rsid w:val="00D21672"/>
    <w:rsid w:val="00D21CC2"/>
    <w:rsid w:val="00D23075"/>
    <w:rsid w:val="00D23571"/>
    <w:rsid w:val="00D2555D"/>
    <w:rsid w:val="00D4240E"/>
    <w:rsid w:val="00D437AA"/>
    <w:rsid w:val="00D443A1"/>
    <w:rsid w:val="00D648DB"/>
    <w:rsid w:val="00D70EC9"/>
    <w:rsid w:val="00D7389F"/>
    <w:rsid w:val="00D77EAB"/>
    <w:rsid w:val="00D956FC"/>
    <w:rsid w:val="00D957BC"/>
    <w:rsid w:val="00D9661F"/>
    <w:rsid w:val="00DA157F"/>
    <w:rsid w:val="00DA25D8"/>
    <w:rsid w:val="00DB5C59"/>
    <w:rsid w:val="00DB5C82"/>
    <w:rsid w:val="00DB5EC3"/>
    <w:rsid w:val="00DB7F2D"/>
    <w:rsid w:val="00DC7E5D"/>
    <w:rsid w:val="00DE0B62"/>
    <w:rsid w:val="00DE2526"/>
    <w:rsid w:val="00DF399E"/>
    <w:rsid w:val="00DF7C9E"/>
    <w:rsid w:val="00E01616"/>
    <w:rsid w:val="00E01D16"/>
    <w:rsid w:val="00E05E73"/>
    <w:rsid w:val="00E1555F"/>
    <w:rsid w:val="00E20447"/>
    <w:rsid w:val="00E26301"/>
    <w:rsid w:val="00E27F27"/>
    <w:rsid w:val="00E376C2"/>
    <w:rsid w:val="00E37E88"/>
    <w:rsid w:val="00E50535"/>
    <w:rsid w:val="00E53D84"/>
    <w:rsid w:val="00E5473F"/>
    <w:rsid w:val="00E562AC"/>
    <w:rsid w:val="00E67559"/>
    <w:rsid w:val="00E72D2D"/>
    <w:rsid w:val="00E75642"/>
    <w:rsid w:val="00E86557"/>
    <w:rsid w:val="00E924B7"/>
    <w:rsid w:val="00E93336"/>
    <w:rsid w:val="00E93822"/>
    <w:rsid w:val="00E95B22"/>
    <w:rsid w:val="00E96390"/>
    <w:rsid w:val="00E97D52"/>
    <w:rsid w:val="00EA6D4F"/>
    <w:rsid w:val="00EC6A36"/>
    <w:rsid w:val="00ED2F5B"/>
    <w:rsid w:val="00ED5340"/>
    <w:rsid w:val="00ED6595"/>
    <w:rsid w:val="00EE0F9A"/>
    <w:rsid w:val="00EE7FE2"/>
    <w:rsid w:val="00EF1614"/>
    <w:rsid w:val="00EF7A96"/>
    <w:rsid w:val="00F00700"/>
    <w:rsid w:val="00F02ED4"/>
    <w:rsid w:val="00F15FEB"/>
    <w:rsid w:val="00F2087C"/>
    <w:rsid w:val="00F2291F"/>
    <w:rsid w:val="00F316B6"/>
    <w:rsid w:val="00F33BDE"/>
    <w:rsid w:val="00F34219"/>
    <w:rsid w:val="00F34375"/>
    <w:rsid w:val="00F34E24"/>
    <w:rsid w:val="00F4532D"/>
    <w:rsid w:val="00F56081"/>
    <w:rsid w:val="00F627F6"/>
    <w:rsid w:val="00F6457E"/>
    <w:rsid w:val="00F66060"/>
    <w:rsid w:val="00F80464"/>
    <w:rsid w:val="00F84E0E"/>
    <w:rsid w:val="00F858D3"/>
    <w:rsid w:val="00F87272"/>
    <w:rsid w:val="00F90107"/>
    <w:rsid w:val="00F93D70"/>
    <w:rsid w:val="00F94B8B"/>
    <w:rsid w:val="00FA174F"/>
    <w:rsid w:val="00FA586B"/>
    <w:rsid w:val="00FB3778"/>
    <w:rsid w:val="00FB44A7"/>
    <w:rsid w:val="00FC2FF6"/>
    <w:rsid w:val="00FC3710"/>
    <w:rsid w:val="00FC7465"/>
    <w:rsid w:val="00FD18F5"/>
    <w:rsid w:val="00FD7183"/>
    <w:rsid w:val="00FE0EB7"/>
    <w:rsid w:val="00FE6F21"/>
    <w:rsid w:val="00FF01AF"/>
    <w:rsid w:val="00FF0FD0"/>
    <w:rsid w:val="00FF2500"/>
    <w:rsid w:val="00FF6045"/>
    <w:rsid w:val="00FF6283"/>
    <w:rsid w:val="00FF68B0"/>
    <w:rsid w:val="04021749"/>
    <w:rsid w:val="05C04C0D"/>
    <w:rsid w:val="06E77A13"/>
    <w:rsid w:val="0B0624B2"/>
    <w:rsid w:val="0BDE6F3F"/>
    <w:rsid w:val="0FB51D65"/>
    <w:rsid w:val="100C1860"/>
    <w:rsid w:val="13EA3464"/>
    <w:rsid w:val="155D772E"/>
    <w:rsid w:val="15B97E7D"/>
    <w:rsid w:val="172C28F2"/>
    <w:rsid w:val="17CE5037"/>
    <w:rsid w:val="17D7460F"/>
    <w:rsid w:val="1B6D5119"/>
    <w:rsid w:val="1CC6189F"/>
    <w:rsid w:val="1DC67250"/>
    <w:rsid w:val="1F21368F"/>
    <w:rsid w:val="208D38F4"/>
    <w:rsid w:val="22423DCF"/>
    <w:rsid w:val="22D93B65"/>
    <w:rsid w:val="26755484"/>
    <w:rsid w:val="278C7E70"/>
    <w:rsid w:val="27B72F1E"/>
    <w:rsid w:val="28CA4610"/>
    <w:rsid w:val="29EA5157"/>
    <w:rsid w:val="2C252AFD"/>
    <w:rsid w:val="2C846EA1"/>
    <w:rsid w:val="2CE6743B"/>
    <w:rsid w:val="2D0C3234"/>
    <w:rsid w:val="2D7E3C87"/>
    <w:rsid w:val="2E3B154F"/>
    <w:rsid w:val="2EE54723"/>
    <w:rsid w:val="2F961DF9"/>
    <w:rsid w:val="2FC260AC"/>
    <w:rsid w:val="301E282B"/>
    <w:rsid w:val="325F4836"/>
    <w:rsid w:val="32786F81"/>
    <w:rsid w:val="33A17FD5"/>
    <w:rsid w:val="34234796"/>
    <w:rsid w:val="37670900"/>
    <w:rsid w:val="37A66221"/>
    <w:rsid w:val="3BD323FC"/>
    <w:rsid w:val="3D1719C5"/>
    <w:rsid w:val="3ECF3815"/>
    <w:rsid w:val="3F0377ED"/>
    <w:rsid w:val="401D5615"/>
    <w:rsid w:val="406F1081"/>
    <w:rsid w:val="43087E22"/>
    <w:rsid w:val="439C2C34"/>
    <w:rsid w:val="44AA6E95"/>
    <w:rsid w:val="45104AFC"/>
    <w:rsid w:val="4636634B"/>
    <w:rsid w:val="47400072"/>
    <w:rsid w:val="47596E9F"/>
    <w:rsid w:val="47937AFD"/>
    <w:rsid w:val="47C813C7"/>
    <w:rsid w:val="48082673"/>
    <w:rsid w:val="4A2C0041"/>
    <w:rsid w:val="4AEF7837"/>
    <w:rsid w:val="4B484DF9"/>
    <w:rsid w:val="4C290407"/>
    <w:rsid w:val="4CA97B7A"/>
    <w:rsid w:val="4CB85F71"/>
    <w:rsid w:val="50CA5E06"/>
    <w:rsid w:val="50F66D60"/>
    <w:rsid w:val="559F4616"/>
    <w:rsid w:val="56821842"/>
    <w:rsid w:val="58390F0E"/>
    <w:rsid w:val="58392E86"/>
    <w:rsid w:val="58E42340"/>
    <w:rsid w:val="5B521908"/>
    <w:rsid w:val="5BC17C0F"/>
    <w:rsid w:val="5C4E7251"/>
    <w:rsid w:val="5CBD35D4"/>
    <w:rsid w:val="5CC02604"/>
    <w:rsid w:val="60750A5E"/>
    <w:rsid w:val="61C86CA3"/>
    <w:rsid w:val="62220FD4"/>
    <w:rsid w:val="623C0461"/>
    <w:rsid w:val="633B33D8"/>
    <w:rsid w:val="64696C1E"/>
    <w:rsid w:val="651B31AD"/>
    <w:rsid w:val="69D175D6"/>
    <w:rsid w:val="6AAD1694"/>
    <w:rsid w:val="6BBA15B3"/>
    <w:rsid w:val="6C130EF8"/>
    <w:rsid w:val="6D3F0009"/>
    <w:rsid w:val="6DEE1E53"/>
    <w:rsid w:val="6F06705D"/>
    <w:rsid w:val="6F076D26"/>
    <w:rsid w:val="73A75487"/>
    <w:rsid w:val="743E08C9"/>
    <w:rsid w:val="74493B34"/>
    <w:rsid w:val="76931A1A"/>
    <w:rsid w:val="798A4EA5"/>
    <w:rsid w:val="7BB87E93"/>
    <w:rsid w:val="7C4D00B6"/>
    <w:rsid w:val="7DF7383C"/>
    <w:rsid w:val="7E3D1A2B"/>
    <w:rsid w:val="7E933D06"/>
    <w:rsid w:val="7F0F1D84"/>
    <w:rsid w:val="7F2C1966"/>
    <w:rsid w:val="7F631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Theme="minorEastAsia" w:cstheme="minorBidi"/>
      <w:kern w:val="2"/>
      <w:sz w:val="24"/>
      <w:szCs w:val="22"/>
      <w:lang w:val="en-US" w:eastAsia="zh-CN" w:bidi="ar-SA"/>
    </w:rPr>
  </w:style>
  <w:style w:type="paragraph" w:styleId="3">
    <w:name w:val="heading 1"/>
    <w:basedOn w:val="4"/>
    <w:next w:val="1"/>
    <w:link w:val="40"/>
    <w:qFormat/>
    <w:uiPriority w:val="9"/>
    <w:pPr>
      <w:keepNext/>
      <w:numPr>
        <w:ilvl w:val="0"/>
        <w:numId w:val="1"/>
      </w:numPr>
      <w:ind w:left="0" w:hanging="175" w:hangingChars="175"/>
      <w:jc w:val="center"/>
      <w:outlineLvl w:val="0"/>
    </w:pPr>
    <w:rPr>
      <w:b/>
      <w:bCs/>
      <w:kern w:val="44"/>
      <w:sz w:val="32"/>
      <w:szCs w:val="44"/>
    </w:rPr>
  </w:style>
  <w:style w:type="paragraph" w:styleId="5">
    <w:name w:val="heading 2"/>
    <w:basedOn w:val="1"/>
    <w:next w:val="1"/>
    <w:link w:val="41"/>
    <w:semiHidden/>
    <w:unhideWhenUsed/>
    <w:qFormat/>
    <w:uiPriority w:val="9"/>
    <w:pPr>
      <w:keepNext/>
      <w:keepLines/>
      <w:outlineLvl w:val="1"/>
    </w:pPr>
    <w:rPr>
      <w:rFonts w:eastAsiaTheme="majorEastAsia" w:cstheme="majorBidi"/>
      <w:b/>
      <w:bCs/>
      <w:sz w:val="28"/>
      <w:szCs w:val="32"/>
    </w:rPr>
  </w:style>
  <w:style w:type="paragraph" w:styleId="6">
    <w:name w:val="heading 3"/>
    <w:basedOn w:val="5"/>
    <w:next w:val="1"/>
    <w:link w:val="48"/>
    <w:unhideWhenUsed/>
    <w:qFormat/>
    <w:uiPriority w:val="9"/>
    <w:pPr>
      <w:keepNext/>
      <w:keepLines/>
      <w:outlineLvl w:val="2"/>
    </w:pPr>
    <w:rPr>
      <w:szCs w:val="32"/>
    </w:rPr>
  </w:style>
  <w:style w:type="paragraph" w:styleId="2">
    <w:name w:val="heading 4"/>
    <w:basedOn w:val="1"/>
    <w:next w:val="1"/>
    <w:link w:val="54"/>
    <w:semiHidden/>
    <w:unhideWhenUsed/>
    <w:qFormat/>
    <w:uiPriority w:val="9"/>
    <w:pPr>
      <w:keepNext/>
      <w:keepLines/>
      <w:outlineLvl w:val="3"/>
    </w:pPr>
    <w:rPr>
      <w:rFonts w:eastAsiaTheme="majorEastAsia" w:cstheme="majorBidi"/>
      <w:bCs/>
      <w:szCs w:val="28"/>
    </w:rPr>
  </w:style>
  <w:style w:type="paragraph" w:styleId="7">
    <w:name w:val="heading 5"/>
    <w:basedOn w:val="1"/>
    <w:next w:val="1"/>
    <w:semiHidden/>
    <w:unhideWhenUsed/>
    <w:qFormat/>
    <w:uiPriority w:val="9"/>
    <w:pPr>
      <w:numPr>
        <w:ilvl w:val="4"/>
        <w:numId w:val="2"/>
      </w:numPr>
      <w:ind w:firstLineChars="0"/>
      <w:outlineLvl w:val="4"/>
    </w:pPr>
    <w:rPr>
      <w:b/>
      <w:bCs/>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4">
    <w:name w:val="基准样式（生物城）"/>
    <w:basedOn w:val="1"/>
    <w:next w:val="1"/>
    <w:qFormat/>
    <w:uiPriority w:val="0"/>
  </w:style>
  <w:style w:type="paragraph" w:styleId="8">
    <w:name w:val="Normal Indent"/>
    <w:basedOn w:val="1"/>
    <w:next w:val="9"/>
    <w:semiHidden/>
    <w:unhideWhenUsed/>
    <w:qFormat/>
    <w:uiPriority w:val="99"/>
    <w:pPr>
      <w:ind w:firstLine="442"/>
    </w:pPr>
    <w:rPr>
      <w:rFonts w:ascii="宋体"/>
    </w:rPr>
  </w:style>
  <w:style w:type="paragraph" w:styleId="9">
    <w:name w:val="Body Text First Indent"/>
    <w:basedOn w:val="10"/>
    <w:next w:val="1"/>
    <w:semiHidden/>
    <w:unhideWhenUsed/>
    <w:qFormat/>
    <w:uiPriority w:val="99"/>
    <w:pPr>
      <w:adjustRightInd w:val="0"/>
      <w:spacing w:line="312" w:lineRule="atLeast"/>
      <w:ind w:firstLine="420" w:firstLineChars="100"/>
      <w:textAlignment w:val="baseline"/>
    </w:pPr>
    <w:rPr>
      <w:kern w:val="0"/>
      <w:szCs w:val="20"/>
    </w:rPr>
  </w:style>
  <w:style w:type="paragraph" w:styleId="10">
    <w:name w:val="Body Text"/>
    <w:basedOn w:val="1"/>
    <w:semiHidden/>
    <w:unhideWhenUsed/>
    <w:qFormat/>
    <w:uiPriority w:val="99"/>
    <w:pPr>
      <w:spacing w:after="120" w:afterLines="0"/>
    </w:pPr>
    <w:rPr>
      <w:kern w:val="0"/>
      <w:sz w:val="20"/>
    </w:rPr>
  </w:style>
  <w:style w:type="paragraph" w:styleId="11">
    <w:name w:val="caption"/>
    <w:basedOn w:val="1"/>
    <w:next w:val="1"/>
    <w:semiHidden/>
    <w:unhideWhenUsed/>
    <w:qFormat/>
    <w:uiPriority w:val="35"/>
    <w:pPr>
      <w:spacing w:line="240" w:lineRule="auto"/>
      <w:jc w:val="center"/>
    </w:pPr>
    <w:rPr>
      <w:rFonts w:ascii="Arial" w:hAnsi="Arial"/>
      <w:b/>
      <w:sz w:val="21"/>
    </w:rPr>
  </w:style>
  <w:style w:type="paragraph" w:styleId="12">
    <w:name w:val="Document Map"/>
    <w:basedOn w:val="1"/>
    <w:link w:val="46"/>
    <w:semiHidden/>
    <w:unhideWhenUsed/>
    <w:qFormat/>
    <w:uiPriority w:val="99"/>
    <w:rPr>
      <w:rFonts w:ascii="宋体" w:eastAsia="宋体"/>
      <w:sz w:val="18"/>
      <w:szCs w:val="18"/>
    </w:rPr>
  </w:style>
  <w:style w:type="paragraph" w:styleId="13">
    <w:name w:val="annotation text"/>
    <w:basedOn w:val="1"/>
    <w:link w:val="66"/>
    <w:semiHidden/>
    <w:unhideWhenUsed/>
    <w:qFormat/>
    <w:uiPriority w:val="99"/>
  </w:style>
  <w:style w:type="paragraph" w:styleId="14">
    <w:name w:val="Body Text Indent"/>
    <w:basedOn w:val="1"/>
    <w:next w:val="15"/>
    <w:semiHidden/>
    <w:unhideWhenUsed/>
    <w:qFormat/>
    <w:uiPriority w:val="99"/>
    <w:pPr>
      <w:ind w:firstLine="538" w:firstLineChars="192"/>
    </w:pPr>
    <w:rPr>
      <w:kern w:val="0"/>
      <w:sz w:val="28"/>
    </w:rPr>
  </w:style>
  <w:style w:type="paragraph" w:customStyle="1" w:styleId="15">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6">
    <w:name w:val="toc 3"/>
    <w:basedOn w:val="1"/>
    <w:next w:val="1"/>
    <w:semiHidden/>
    <w:unhideWhenUsed/>
    <w:qFormat/>
    <w:uiPriority w:val="39"/>
    <w:pPr>
      <w:ind w:left="840" w:leftChars="400"/>
    </w:pPr>
  </w:style>
  <w:style w:type="paragraph" w:styleId="17">
    <w:name w:val="Plain Text"/>
    <w:basedOn w:val="1"/>
    <w:next w:val="6"/>
    <w:link w:val="59"/>
    <w:semiHidden/>
    <w:unhideWhenUsed/>
    <w:qFormat/>
    <w:uiPriority w:val="99"/>
    <w:pPr>
      <w:spacing w:line="240" w:lineRule="auto"/>
      <w:jc w:val="both"/>
    </w:pPr>
    <w:rPr>
      <w:rFonts w:ascii="宋体" w:hAnsi="Courier New" w:eastAsia="宋体" w:cs="Times New Roman"/>
      <w:sz w:val="21"/>
      <w:szCs w:val="20"/>
    </w:rPr>
  </w:style>
  <w:style w:type="paragraph" w:styleId="18">
    <w:name w:val="Balloon Text"/>
    <w:basedOn w:val="1"/>
    <w:link w:val="44"/>
    <w:semiHidden/>
    <w:unhideWhenUsed/>
    <w:qFormat/>
    <w:uiPriority w:val="99"/>
    <w:pPr>
      <w:spacing w:line="240" w:lineRule="auto"/>
    </w:pPr>
    <w:rPr>
      <w:sz w:val="18"/>
      <w:szCs w:val="18"/>
    </w:rPr>
  </w:style>
  <w:style w:type="paragraph" w:styleId="19">
    <w:name w:val="footer"/>
    <w:basedOn w:val="1"/>
    <w:link w:val="39"/>
    <w:semiHidden/>
    <w:unhideWhenUsed/>
    <w:qFormat/>
    <w:uiPriority w:val="99"/>
    <w:pPr>
      <w:tabs>
        <w:tab w:val="center" w:pos="4153"/>
        <w:tab w:val="right" w:pos="8306"/>
      </w:tabs>
      <w:snapToGrid w:val="0"/>
    </w:pPr>
    <w:rPr>
      <w:sz w:val="18"/>
      <w:szCs w:val="18"/>
    </w:rPr>
  </w:style>
  <w:style w:type="paragraph" w:styleId="20">
    <w:name w:val="header"/>
    <w:basedOn w:val="1"/>
    <w:link w:val="3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unhideWhenUsed/>
    <w:qFormat/>
    <w:uiPriority w:val="39"/>
    <w:pPr>
      <w:tabs>
        <w:tab w:val="left" w:pos="426"/>
        <w:tab w:val="right" w:leader="dot" w:pos="8296"/>
      </w:tabs>
      <w:jc w:val="both"/>
    </w:pPr>
  </w:style>
  <w:style w:type="paragraph" w:styleId="22">
    <w:name w:val="Subtitle"/>
    <w:basedOn w:val="1"/>
    <w:next w:val="1"/>
    <w:link w:val="43"/>
    <w:qFormat/>
    <w:uiPriority w:val="11"/>
    <w:pPr>
      <w:outlineLvl w:val="3"/>
    </w:pPr>
    <w:rPr>
      <w:rFonts w:cstheme="majorBidi"/>
      <w:bCs/>
      <w:kern w:val="28"/>
      <w:szCs w:val="32"/>
    </w:rPr>
  </w:style>
  <w:style w:type="paragraph" w:styleId="23">
    <w:name w:val="toc 2"/>
    <w:basedOn w:val="1"/>
    <w:next w:val="1"/>
    <w:semiHidden/>
    <w:unhideWhenUsed/>
    <w:qFormat/>
    <w:uiPriority w:val="39"/>
    <w:pPr>
      <w:ind w:left="200" w:leftChars="200"/>
      <w:jc w:val="both"/>
    </w:pPr>
  </w:style>
  <w:style w:type="paragraph" w:styleId="24">
    <w:name w:val="Body Text 2"/>
    <w:basedOn w:val="1"/>
    <w:semiHidden/>
    <w:unhideWhenUsed/>
    <w:qFormat/>
    <w:uiPriority w:val="99"/>
    <w:pPr>
      <w:spacing w:after="120" w:afterLines="0" w:line="480" w:lineRule="auto"/>
    </w:pPr>
    <w:rPr>
      <w:kern w:val="0"/>
      <w:sz w:val="20"/>
    </w:rPr>
  </w:style>
  <w:style w:type="paragraph" w:styleId="25">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next w:val="1"/>
    <w:link w:val="42"/>
    <w:qFormat/>
    <w:uiPriority w:val="10"/>
    <w:pPr>
      <w:outlineLvl w:val="2"/>
    </w:pPr>
    <w:rPr>
      <w:rFonts w:cstheme="majorBidi"/>
      <w:b/>
      <w:bCs/>
      <w:szCs w:val="32"/>
    </w:rPr>
  </w:style>
  <w:style w:type="paragraph" w:styleId="28">
    <w:name w:val="annotation subject"/>
    <w:basedOn w:val="13"/>
    <w:next w:val="13"/>
    <w:link w:val="67"/>
    <w:semiHidden/>
    <w:unhideWhenUsed/>
    <w:qFormat/>
    <w:uiPriority w:val="99"/>
    <w:rPr>
      <w:b/>
      <w:bCs/>
    </w:rPr>
  </w:style>
  <w:style w:type="paragraph" w:styleId="29">
    <w:name w:val="Body Text First Indent 2"/>
    <w:basedOn w:val="14"/>
    <w:next w:val="1"/>
    <w:semiHidden/>
    <w:unhideWhenUsed/>
    <w:qFormat/>
    <w:uiPriority w:val="99"/>
    <w:pPr>
      <w:adjustRightInd w:val="0"/>
      <w:ind w:left="48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Hyperlink"/>
    <w:basedOn w:val="32"/>
    <w:semiHidden/>
    <w:unhideWhenUsed/>
    <w:qFormat/>
    <w:uiPriority w:val="99"/>
    <w:rPr>
      <w:color w:val="0000FF" w:themeColor="hyperlink"/>
      <w:u w:val="single"/>
      <w14:textFill>
        <w14:solidFill>
          <w14:schemeClr w14:val="hlink"/>
        </w14:solidFill>
      </w14:textFill>
    </w:rPr>
  </w:style>
  <w:style w:type="character" w:styleId="34">
    <w:name w:val="annotation reference"/>
    <w:basedOn w:val="32"/>
    <w:semiHidden/>
    <w:unhideWhenUsed/>
    <w:qFormat/>
    <w:uiPriority w:val="99"/>
    <w:rPr>
      <w:sz w:val="21"/>
      <w:szCs w:val="21"/>
    </w:rPr>
  </w:style>
  <w:style w:type="paragraph" w:customStyle="1" w:styleId="35">
    <w:name w:val="表内文字"/>
    <w:basedOn w:val="36"/>
    <w:next w:val="1"/>
    <w:autoRedefine/>
    <w:qFormat/>
    <w:uiPriority w:val="0"/>
    <w:pPr>
      <w:spacing w:line="240" w:lineRule="auto"/>
      <w:ind w:firstLine="0" w:firstLineChars="0"/>
      <w:jc w:val="center"/>
    </w:pPr>
    <w:rPr>
      <w:sz w:val="21"/>
    </w:rPr>
  </w:style>
  <w:style w:type="paragraph" w:customStyle="1" w:styleId="36">
    <w:name w:val="图表名称"/>
    <w:basedOn w:val="1"/>
    <w:next w:val="1"/>
    <w:qFormat/>
    <w:uiPriority w:val="0"/>
    <w:pPr>
      <w:ind w:firstLine="480"/>
      <w:jc w:val="center"/>
    </w:pPr>
    <w:rPr>
      <w:b/>
      <w:sz w:val="21"/>
    </w:rPr>
  </w:style>
  <w:style w:type="paragraph" w:styleId="37">
    <w:name w:val="List Paragraph"/>
    <w:basedOn w:val="1"/>
    <w:qFormat/>
    <w:uiPriority w:val="34"/>
    <w:pPr>
      <w:spacing w:line="240" w:lineRule="auto"/>
      <w:ind w:firstLine="420" w:firstLineChars="200"/>
      <w:jc w:val="both"/>
    </w:pPr>
    <w:rPr>
      <w:rFonts w:asciiTheme="minorHAnsi" w:hAnsiTheme="minorHAnsi"/>
      <w:sz w:val="21"/>
    </w:rPr>
  </w:style>
  <w:style w:type="character" w:customStyle="1" w:styleId="38">
    <w:name w:val="页眉 Char"/>
    <w:basedOn w:val="32"/>
    <w:link w:val="20"/>
    <w:semiHidden/>
    <w:qFormat/>
    <w:uiPriority w:val="99"/>
    <w:rPr>
      <w:sz w:val="18"/>
      <w:szCs w:val="18"/>
    </w:rPr>
  </w:style>
  <w:style w:type="character" w:customStyle="1" w:styleId="39">
    <w:name w:val="页脚 Char"/>
    <w:basedOn w:val="32"/>
    <w:link w:val="19"/>
    <w:qFormat/>
    <w:uiPriority w:val="99"/>
    <w:rPr>
      <w:sz w:val="18"/>
      <w:szCs w:val="18"/>
    </w:rPr>
  </w:style>
  <w:style w:type="character" w:customStyle="1" w:styleId="40">
    <w:name w:val="标题 1 Char"/>
    <w:basedOn w:val="32"/>
    <w:link w:val="3"/>
    <w:qFormat/>
    <w:uiPriority w:val="9"/>
    <w:rPr>
      <w:rFonts w:ascii="Times New Roman" w:hAnsi="Times New Roman"/>
      <w:b/>
      <w:bCs/>
      <w:kern w:val="44"/>
      <w:sz w:val="32"/>
      <w:szCs w:val="44"/>
    </w:rPr>
  </w:style>
  <w:style w:type="character" w:customStyle="1" w:styleId="41">
    <w:name w:val="标题 2 Char"/>
    <w:basedOn w:val="32"/>
    <w:link w:val="5"/>
    <w:qFormat/>
    <w:uiPriority w:val="9"/>
    <w:rPr>
      <w:rFonts w:ascii="Times New Roman" w:hAnsi="Times New Roman" w:eastAsiaTheme="majorEastAsia" w:cstheme="majorBidi"/>
      <w:b/>
      <w:bCs/>
      <w:sz w:val="28"/>
      <w:szCs w:val="32"/>
    </w:rPr>
  </w:style>
  <w:style w:type="character" w:customStyle="1" w:styleId="42">
    <w:name w:val="标题 Char"/>
    <w:basedOn w:val="32"/>
    <w:link w:val="27"/>
    <w:qFormat/>
    <w:uiPriority w:val="10"/>
    <w:rPr>
      <w:rFonts w:ascii="Times New Roman" w:hAnsi="Times New Roman" w:eastAsia="宋体" w:cstheme="majorBidi"/>
      <w:b/>
      <w:bCs/>
      <w:sz w:val="24"/>
      <w:szCs w:val="32"/>
    </w:rPr>
  </w:style>
  <w:style w:type="character" w:customStyle="1" w:styleId="43">
    <w:name w:val="副标题 Char"/>
    <w:basedOn w:val="32"/>
    <w:link w:val="22"/>
    <w:qFormat/>
    <w:uiPriority w:val="11"/>
    <w:rPr>
      <w:rFonts w:ascii="Times New Roman" w:hAnsi="Times New Roman" w:eastAsia="宋体" w:cstheme="majorBidi"/>
      <w:bCs/>
      <w:kern w:val="28"/>
      <w:sz w:val="24"/>
      <w:szCs w:val="32"/>
    </w:rPr>
  </w:style>
  <w:style w:type="character" w:customStyle="1" w:styleId="44">
    <w:name w:val="批注框文本 Char"/>
    <w:basedOn w:val="32"/>
    <w:link w:val="18"/>
    <w:semiHidden/>
    <w:qFormat/>
    <w:uiPriority w:val="99"/>
    <w:rPr>
      <w:rFonts w:ascii="Times New Roman" w:hAnsi="Times New Roman"/>
      <w:sz w:val="18"/>
      <w:szCs w:val="18"/>
    </w:rPr>
  </w:style>
  <w:style w:type="paragraph" w:customStyle="1" w:styleId="45">
    <w:name w:val="TOC 标题1"/>
    <w:basedOn w:val="3"/>
    <w:next w:val="1"/>
    <w:semiHidden/>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6">
    <w:name w:val="文档结构图 Char"/>
    <w:basedOn w:val="32"/>
    <w:link w:val="12"/>
    <w:semiHidden/>
    <w:qFormat/>
    <w:uiPriority w:val="99"/>
    <w:rPr>
      <w:rFonts w:ascii="宋体" w:hAnsi="Times New Roman" w:eastAsia="宋体"/>
      <w:sz w:val="18"/>
      <w:szCs w:val="18"/>
    </w:rPr>
  </w:style>
  <w:style w:type="paragraph" w:customStyle="1" w:styleId="47">
    <w:name w:val="样式 仿宋_GB2312 居中 首行缩进:  1.27 厘米 行距: 固定值 27 磅"/>
    <w:basedOn w:val="1"/>
    <w:qFormat/>
    <w:uiPriority w:val="0"/>
    <w:pPr>
      <w:widowControl/>
      <w:adjustRightInd w:val="0"/>
      <w:ind w:firstLine="198"/>
      <w:jc w:val="center"/>
    </w:pPr>
    <w:rPr>
      <w:rFonts w:ascii="仿宋_GB2312" w:eastAsia="仿宋_GB2312" w:cs="宋体"/>
      <w:spacing w:val="20"/>
      <w:kern w:val="0"/>
      <w:szCs w:val="20"/>
    </w:rPr>
  </w:style>
  <w:style w:type="character" w:customStyle="1" w:styleId="48">
    <w:name w:val="标题 3 Char"/>
    <w:basedOn w:val="32"/>
    <w:link w:val="6"/>
    <w:qFormat/>
    <w:uiPriority w:val="9"/>
    <w:rPr>
      <w:rFonts w:ascii="Times New Roman" w:hAnsi="Times New Roman"/>
      <w:b/>
      <w:bCs/>
      <w:sz w:val="24"/>
      <w:szCs w:val="32"/>
    </w:rPr>
  </w:style>
  <w:style w:type="character" w:customStyle="1" w:styleId="49">
    <w:name w:val="fontstyle01"/>
    <w:basedOn w:val="32"/>
    <w:qFormat/>
    <w:uiPriority w:val="0"/>
    <w:rPr>
      <w:rFonts w:hint="eastAsia" w:ascii="仿宋_GB2312" w:eastAsia="仿宋_GB2312"/>
      <w:color w:val="000000"/>
      <w:sz w:val="24"/>
      <w:szCs w:val="24"/>
    </w:rPr>
  </w:style>
  <w:style w:type="character" w:customStyle="1" w:styleId="50">
    <w:name w:val="fontstyle11"/>
    <w:basedOn w:val="32"/>
    <w:qFormat/>
    <w:uiPriority w:val="0"/>
    <w:rPr>
      <w:rFonts w:hint="default" w:ascii="ArialMT" w:hAnsi="ArialMT"/>
      <w:color w:val="000000"/>
      <w:sz w:val="24"/>
      <w:szCs w:val="24"/>
    </w:rPr>
  </w:style>
  <w:style w:type="character" w:customStyle="1" w:styleId="51">
    <w:name w:val="fontstyle21"/>
    <w:basedOn w:val="32"/>
    <w:qFormat/>
    <w:uiPriority w:val="0"/>
    <w:rPr>
      <w:rFonts w:hint="default" w:ascii="ArialMT" w:hAnsi="ArialMT"/>
      <w:color w:val="000000"/>
      <w:sz w:val="24"/>
      <w:szCs w:val="24"/>
    </w:rPr>
  </w:style>
  <w:style w:type="paragraph" w:customStyle="1" w:styleId="52">
    <w:name w:val="编号-图"/>
    <w:basedOn w:val="1"/>
    <w:next w:val="1"/>
    <w:qFormat/>
    <w:uiPriority w:val="0"/>
    <w:pPr>
      <w:tabs>
        <w:tab w:val="left" w:pos="567"/>
      </w:tabs>
      <w:ind w:left="420" w:hanging="420"/>
      <w:jc w:val="center"/>
    </w:pPr>
    <w:rPr>
      <w:rFonts w:eastAsia="宋体" w:cs="Times New Roman"/>
      <w:b/>
    </w:rPr>
  </w:style>
  <w:style w:type="paragraph" w:customStyle="1" w:styleId="53">
    <w:name w:val="表"/>
    <w:basedOn w:val="1"/>
    <w:qFormat/>
    <w:uiPriority w:val="0"/>
    <w:pPr>
      <w:tabs>
        <w:tab w:val="left" w:pos="567"/>
      </w:tabs>
      <w:jc w:val="center"/>
    </w:pPr>
    <w:rPr>
      <w:b/>
    </w:rPr>
  </w:style>
  <w:style w:type="character" w:customStyle="1" w:styleId="54">
    <w:name w:val="标题 4 Char"/>
    <w:basedOn w:val="32"/>
    <w:link w:val="2"/>
    <w:qFormat/>
    <w:uiPriority w:val="9"/>
    <w:rPr>
      <w:rFonts w:ascii="Times New Roman" w:hAnsi="Times New Roman" w:eastAsiaTheme="majorEastAsia" w:cstheme="majorBidi"/>
      <w:bCs/>
      <w:sz w:val="24"/>
      <w:szCs w:val="28"/>
    </w:rPr>
  </w:style>
  <w:style w:type="paragraph" w:customStyle="1" w:styleId="55">
    <w:name w:val="正文 黑色"/>
    <w:basedOn w:val="1"/>
    <w:link w:val="56"/>
    <w:qFormat/>
    <w:uiPriority w:val="0"/>
    <w:pPr>
      <w:ind w:firstLine="480" w:firstLineChars="200"/>
      <w:jc w:val="both"/>
    </w:pPr>
    <w:rPr>
      <w:rFonts w:ascii="宋体" w:hAnsi="宋体" w:eastAsia="宋体" w:cs="Times New Roman"/>
      <w:szCs w:val="20"/>
    </w:rPr>
  </w:style>
  <w:style w:type="character" w:customStyle="1" w:styleId="56">
    <w:name w:val="正文 黑色 Char"/>
    <w:link w:val="55"/>
    <w:qFormat/>
    <w:uiPriority w:val="0"/>
    <w:rPr>
      <w:rFonts w:ascii="宋体" w:hAnsi="宋体" w:eastAsia="宋体" w:cs="Times New Roman"/>
      <w:sz w:val="24"/>
      <w:szCs w:val="20"/>
    </w:rPr>
  </w:style>
  <w:style w:type="paragraph" w:customStyle="1" w:styleId="57">
    <w:name w:val="列出段落1"/>
    <w:basedOn w:val="1"/>
    <w:qFormat/>
    <w:uiPriority w:val="34"/>
    <w:pPr>
      <w:ind w:firstLine="200" w:firstLineChars="200"/>
      <w:jc w:val="both"/>
    </w:pPr>
  </w:style>
  <w:style w:type="paragraph" w:customStyle="1" w:styleId="58">
    <w:name w:val="xl29"/>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Arial Unicode MS"/>
      <w:kern w:val="0"/>
      <w:szCs w:val="24"/>
    </w:rPr>
  </w:style>
  <w:style w:type="character" w:customStyle="1" w:styleId="59">
    <w:name w:val="纯文本 Char"/>
    <w:basedOn w:val="32"/>
    <w:link w:val="17"/>
    <w:qFormat/>
    <w:uiPriority w:val="0"/>
    <w:rPr>
      <w:rFonts w:ascii="宋体" w:hAnsi="Courier New" w:eastAsia="宋体" w:cs="Times New Roman"/>
      <w:szCs w:val="20"/>
    </w:rPr>
  </w:style>
  <w:style w:type="paragraph" w:customStyle="1" w:styleId="60">
    <w:name w:val="BIAO1"/>
    <w:basedOn w:val="3"/>
    <w:qFormat/>
    <w:uiPriority w:val="0"/>
    <w:pPr>
      <w:numPr>
        <w:numId w:val="0"/>
      </w:numPr>
      <w:spacing w:before="62" w:after="62" w:line="240" w:lineRule="auto"/>
      <w:jc w:val="both"/>
    </w:pPr>
    <w:rPr>
      <w:rFonts w:ascii="黑体" w:eastAsia="黑体" w:cs="宋体"/>
      <w:b w:val="0"/>
      <w:bCs w:val="0"/>
      <w:sz w:val="24"/>
      <w:szCs w:val="20"/>
    </w:rPr>
  </w:style>
  <w:style w:type="character" w:customStyle="1" w:styleId="61">
    <w:name w:val="apple-converted-space"/>
    <w:basedOn w:val="32"/>
    <w:qFormat/>
    <w:uiPriority w:val="0"/>
  </w:style>
  <w:style w:type="paragraph" w:customStyle="1" w:styleId="62">
    <w:name w:val="编号-表"/>
    <w:basedOn w:val="1"/>
    <w:next w:val="1"/>
    <w:qFormat/>
    <w:uiPriority w:val="0"/>
    <w:pPr>
      <w:tabs>
        <w:tab w:val="left" w:pos="558"/>
      </w:tabs>
      <w:ind w:left="-9"/>
      <w:jc w:val="center"/>
    </w:pPr>
  </w:style>
  <w:style w:type="paragraph" w:customStyle="1" w:styleId="63">
    <w:name w:val="表格内容+居中"/>
    <w:basedOn w:val="1"/>
    <w:link w:val="64"/>
    <w:qFormat/>
    <w:uiPriority w:val="0"/>
    <w:pPr>
      <w:spacing w:line="340" w:lineRule="exact"/>
      <w:jc w:val="center"/>
    </w:pPr>
    <w:rPr>
      <w:rFonts w:ascii="宋体" w:hAnsi="宋体" w:eastAsia="宋体" w:cs="Times New Roman"/>
      <w:sz w:val="21"/>
      <w:szCs w:val="20"/>
    </w:rPr>
  </w:style>
  <w:style w:type="character" w:customStyle="1" w:styleId="64">
    <w:name w:val="表格内容+居中 Char"/>
    <w:link w:val="63"/>
    <w:qFormat/>
    <w:uiPriority w:val="0"/>
    <w:rPr>
      <w:rFonts w:ascii="宋体" w:hAnsi="宋体" w:eastAsia="宋体" w:cs="Times New Roman"/>
      <w:szCs w:val="20"/>
    </w:rPr>
  </w:style>
  <w:style w:type="paragraph" w:customStyle="1" w:styleId="65">
    <w:name w:val="列出段落11"/>
    <w:basedOn w:val="1"/>
    <w:qFormat/>
    <w:uiPriority w:val="34"/>
    <w:pPr>
      <w:ind w:firstLine="420" w:firstLineChars="200"/>
    </w:pPr>
  </w:style>
  <w:style w:type="character" w:customStyle="1" w:styleId="66">
    <w:name w:val="批注文字 Char"/>
    <w:basedOn w:val="32"/>
    <w:link w:val="13"/>
    <w:semiHidden/>
    <w:qFormat/>
    <w:uiPriority w:val="99"/>
    <w:rPr>
      <w:rFonts w:ascii="Times New Roman" w:hAnsi="Times New Roman" w:eastAsiaTheme="minorEastAsia" w:cstheme="minorBidi"/>
      <w:kern w:val="2"/>
      <w:sz w:val="24"/>
      <w:szCs w:val="22"/>
    </w:rPr>
  </w:style>
  <w:style w:type="character" w:customStyle="1" w:styleId="67">
    <w:name w:val="批注主题 Char"/>
    <w:basedOn w:val="66"/>
    <w:link w:val="28"/>
    <w:semiHidden/>
    <w:qFormat/>
    <w:uiPriority w:val="99"/>
    <w:rPr>
      <w:rFonts w:ascii="Times New Roman" w:hAnsi="Times New Roman" w:eastAsiaTheme="minorEastAsia" w:cstheme="minorBidi"/>
      <w:b/>
      <w:bCs/>
      <w:kern w:val="2"/>
      <w:sz w:val="24"/>
      <w:szCs w:val="22"/>
    </w:rPr>
  </w:style>
  <w:style w:type="paragraph" w:customStyle="1" w:styleId="68">
    <w:name w:val="表格--居中"/>
    <w:qFormat/>
    <w:uiPriority w:val="0"/>
    <w:pPr>
      <w:adjustRightInd w:val="0"/>
      <w:snapToGrid w:val="0"/>
      <w:spacing w:before="156" w:beforeLines="50" w:after="156" w:afterLines="50"/>
      <w:jc w:val="center"/>
    </w:pPr>
    <w:rPr>
      <w:rFonts w:ascii="宋体" w:hAnsi="宋体" w:eastAsiaTheme="minorEastAsia" w:cstheme="minorBidi"/>
      <w:bCs/>
      <w:kern w:val="2"/>
      <w:sz w:val="21"/>
      <w:szCs w:val="24"/>
      <w:lang w:val="en-US" w:eastAsia="zh-CN" w:bidi="ar-SA"/>
    </w:rPr>
  </w:style>
  <w:style w:type="paragraph" w:customStyle="1" w:styleId="69">
    <w:name w:val="余杭图表"/>
    <w:autoRedefine/>
    <w:qFormat/>
    <w:uiPriority w:val="6"/>
    <w:pPr>
      <w:snapToGrid w:val="0"/>
      <w:spacing w:before="113" w:beforeAutospacing="0" w:afterAutospacing="0"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70">
    <w:name w:val="表格内文字"/>
    <w:autoRedefine/>
    <w:qFormat/>
    <w:uiPriority w:val="0"/>
    <w:rPr>
      <w:rFonts w:ascii="Times New Roman" w:hAnsi="Times New Roman" w:eastAsia="宋体"/>
      <w:color w:val="auto"/>
      <w:sz w:val="21"/>
    </w:rPr>
  </w:style>
  <w:style w:type="paragraph" w:customStyle="1" w:styleId="71">
    <w:name w:val="表格内容"/>
    <w:basedOn w:val="1"/>
    <w:autoRedefine/>
    <w:qFormat/>
    <w:uiPriority w:val="0"/>
    <w:pPr>
      <w:widowControl/>
      <w:snapToGrid w:val="0"/>
      <w:spacing w:before="20" w:beforeLines="20" w:after="20" w:afterLines="20" w:line="240" w:lineRule="auto"/>
      <w:ind w:firstLine="0" w:firstLineChars="0"/>
      <w:jc w:val="center"/>
    </w:pPr>
    <w:rPr>
      <w:bCs/>
      <w:color w:val="000000"/>
      <w:sz w:val="21"/>
    </w:rPr>
  </w:style>
  <w:style w:type="paragraph" w:customStyle="1" w:styleId="72">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3">
    <w:name w:val="方案正文"/>
    <w:basedOn w:val="10"/>
    <w:qFormat/>
    <w:uiPriority w:val="99"/>
    <w:pPr>
      <w:ind w:firstLine="200"/>
      <w:jc w:val="left"/>
    </w:pPr>
    <w:rPr>
      <w:rFonts w:hAnsi="宋体"/>
    </w:rPr>
  </w:style>
  <w:style w:type="character" w:customStyle="1" w:styleId="74">
    <w:name w:val="font31"/>
    <w:basedOn w:val="32"/>
    <w:qFormat/>
    <w:uiPriority w:val="0"/>
    <w:rPr>
      <w:rFonts w:ascii="新宋体" w:hAnsi="新宋体" w:eastAsia="新宋体" w:cs="新宋体"/>
      <w:color w:val="000000"/>
      <w:sz w:val="20"/>
      <w:szCs w:val="20"/>
      <w:u w:val="none"/>
    </w:rPr>
  </w:style>
  <w:style w:type="character" w:customStyle="1" w:styleId="75">
    <w:name w:val="font11"/>
    <w:basedOn w:val="32"/>
    <w:qFormat/>
    <w:uiPriority w:val="0"/>
    <w:rPr>
      <w:rFonts w:hint="default" w:ascii="Times New Roman" w:hAnsi="Times New Roman" w:cs="Times New Roman"/>
      <w:color w:val="000000"/>
      <w:sz w:val="20"/>
      <w:szCs w:val="20"/>
      <w:u w:val="none"/>
    </w:rPr>
  </w:style>
  <w:style w:type="paragraph" w:customStyle="1" w:styleId="76">
    <w:name w:val="JYB正文"/>
    <w:qFormat/>
    <w:uiPriority w:val="0"/>
    <w:pPr>
      <w:widowControl w:val="0"/>
      <w:spacing w:line="360" w:lineRule="auto"/>
      <w:ind w:firstLine="480" w:firstLineChars="200"/>
    </w:pPr>
    <w:rPr>
      <w:rFonts w:ascii="宋体" w:hAnsi="宋体" w:eastAsia="宋体" w:cs="宋体"/>
      <w:bCs/>
      <w:color w:val="000000"/>
      <w:sz w:val="24"/>
      <w:szCs w:val="16"/>
      <w:lang w:val="zh-CN" w:eastAsia="zh-CN" w:bidi="ar-SA"/>
    </w:rPr>
  </w:style>
  <w:style w:type="character" w:customStyle="1" w:styleId="77">
    <w:name w:val="font21"/>
    <w:basedOn w:val="32"/>
    <w:qFormat/>
    <w:uiPriority w:val="0"/>
    <w:rPr>
      <w:rFonts w:ascii="新宋体" w:hAnsi="新宋体" w:eastAsia="新宋体" w:cs="新宋体"/>
      <w:color w:val="000000"/>
      <w:sz w:val="18"/>
      <w:szCs w:val="18"/>
      <w:u w:val="none"/>
    </w:rPr>
  </w:style>
  <w:style w:type="paragraph" w:customStyle="1" w:styleId="78">
    <w:name w:val="正文C"/>
    <w:basedOn w:val="1"/>
    <w:autoRedefine/>
    <w:qFormat/>
    <w:uiPriority w:val="0"/>
    <w:pPr>
      <w:adjustRightInd w:val="0"/>
      <w:snapToGrid w:val="0"/>
      <w:spacing w:beforeAutospacing="0" w:afterAutospacing="0" w:line="360" w:lineRule="auto"/>
      <w:ind w:firstLine="200" w:firstLineChars="200"/>
      <w:jc w:val="left"/>
    </w:pPr>
    <w:rPr>
      <w:rFonts w:ascii="宋体" w:hAnsi="宋体" w:eastAsia="宋体" w:cs="宋体"/>
      <w:color w:val="4F6228" w:themeColor="accent3" w:themeShade="80"/>
      <w:kern w:val="0"/>
      <w:sz w:val="24"/>
      <w:szCs w:val="24"/>
    </w:rPr>
  </w:style>
  <w:style w:type="table" w:customStyle="1" w:styleId="79">
    <w:name w:val="网格型1"/>
    <w:basedOn w:val="30"/>
    <w:qFormat/>
    <w:uiPriority w:val="0"/>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图表标题"/>
    <w:basedOn w:val="81"/>
    <w:autoRedefine/>
    <w:qFormat/>
    <w:uiPriority w:val="0"/>
    <w:pPr>
      <w:adjustRightInd w:val="0"/>
      <w:snapToGrid w:val="0"/>
      <w:jc w:val="center"/>
    </w:pPr>
    <w:rPr>
      <w:rFonts w:eastAsia="黑体" w:asciiTheme="minorHAnsi" w:hAnsiTheme="minorHAnsi"/>
      <w:color w:val="0000FF"/>
      <w:sz w:val="21"/>
    </w:rPr>
  </w:style>
  <w:style w:type="paragraph" w:customStyle="1" w:styleId="81">
    <w:name w:val="正文部分"/>
    <w:basedOn w:val="1"/>
    <w:qFormat/>
    <w:uiPriority w:val="0"/>
    <w:rPr>
      <w:rFonts w:eastAsia="仿宋_GB2312"/>
      <w:szCs w:val="22"/>
    </w:rPr>
  </w:style>
  <w:style w:type="table" w:customStyle="1" w:styleId="82">
    <w:name w:val="方案表格"/>
    <w:basedOn w:val="3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83">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paragraph" w:customStyle="1" w:styleId="84">
    <w:name w:val="分类号"/>
    <w:basedOn w:val="1"/>
    <w:qFormat/>
    <w:uiPriority w:val="0"/>
    <w:pPr>
      <w:spacing w:line="240" w:lineRule="auto"/>
      <w:jc w:val="both"/>
    </w:pPr>
    <w:rPr>
      <w:rFonts w:ascii="仿宋_GB2312" w:hAnsi="Times New Roman" w:eastAsia="仿宋_GB2312" w:cs="Times New Roman"/>
      <w:sz w:val="28"/>
      <w:szCs w:val="28"/>
    </w:rPr>
  </w:style>
  <w:style w:type="paragraph" w:customStyle="1" w:styleId="85">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86">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87">
    <w:name w:val="硕士学位论文"/>
    <w:basedOn w:val="1"/>
    <w:qFormat/>
    <w:uiPriority w:val="0"/>
    <w:pPr>
      <w:spacing w:before="240" w:line="240" w:lineRule="auto"/>
      <w:jc w:val="center"/>
    </w:pPr>
    <w:rPr>
      <w:rFonts w:ascii="Times New Roman" w:hAnsi="Times New Roman" w:eastAsia="宋体" w:cs="Times New Roman"/>
      <w:sz w:val="44"/>
      <w:szCs w:val="44"/>
    </w:rPr>
  </w:style>
  <w:style w:type="paragraph" w:customStyle="1" w:styleId="88">
    <w:name w:val="研究生姓名"/>
    <w:basedOn w:val="1"/>
    <w:qFormat/>
    <w:uiPriority w:val="0"/>
    <w:pPr>
      <w:spacing w:line="240" w:lineRule="auto"/>
      <w:ind w:firstLine="700" w:firstLineChars="700"/>
      <w:jc w:val="both"/>
    </w:pPr>
    <w:rPr>
      <w:rFonts w:ascii="Times New Roman" w:hAnsi="Times New Roman" w:eastAsia="宋体" w:cs="Times New Roman"/>
      <w:sz w:val="28"/>
      <w:szCs w:val="28"/>
    </w:rPr>
  </w:style>
  <w:style w:type="paragraph" w:customStyle="1" w:styleId="89">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90">
    <w:name w:val="s13"/>
    <w:basedOn w:val="32"/>
    <w:qFormat/>
    <w:uiPriority w:val="0"/>
  </w:style>
  <w:style w:type="character" w:customStyle="1" w:styleId="91">
    <w:name w:val="s7"/>
    <w:basedOn w:val="32"/>
    <w:qFormat/>
    <w:uiPriority w:val="0"/>
  </w:style>
  <w:style w:type="table" w:customStyle="1" w:styleId="92">
    <w:name w:val="表格标准13"/>
    <w:basedOn w:val="30"/>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style>
  <w:style w:type="paragraph" w:customStyle="1" w:styleId="93">
    <w:name w:val="图表文字"/>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paragraph" w:customStyle="1" w:styleId="94">
    <w:name w:val="题注—图片"/>
    <w:basedOn w:val="11"/>
    <w:next w:val="1"/>
    <w:autoRedefine/>
    <w:qFormat/>
    <w:uiPriority w:val="0"/>
    <w:pPr>
      <w:keepNext w:val="0"/>
    </w:p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jpe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jpe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"/>
    </extobj>
  </extobj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4CC34-356E-43E5-9F0D-C95D9A99D2DF}">
  <ds:schemaRefs/>
</ds:datastoreItem>
</file>

<file path=docProps/app.xml><?xml version="1.0" encoding="utf-8"?>
<Properties xmlns="http://schemas.openxmlformats.org/officeDocument/2006/extended-properties" xmlns:vt="http://schemas.openxmlformats.org/officeDocument/2006/docPropsVTypes">
  <Template>Normal</Template>
  <Manager>19950215781</Manager>
  <Company>成都恒塔机械技术服务有限公司</Company>
  <Pages>113</Pages>
  <Words>4925</Words>
  <Characters>7131</Characters>
  <Lines>142</Lines>
  <Paragraphs>40</Paragraphs>
  <TotalTime>4</TotalTime>
  <ScaleCrop>false</ScaleCrop>
  <LinksUpToDate>false</LinksUpToDate>
  <CharactersWithSpaces>7724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2020-03-30T03:21:00Z</dcterms:created>
  <dc:creator>19950215781</dc:creator>
  <dc:description>成都恒塔机械技术服务有限公司</dc:description>
  <cp:lastModifiedBy>杭州渝港机械施工有限公司</cp:lastModifiedBy>
  <cp:lastPrinted>2018-11-15T05:58:00Z</cp:lastPrinted>
  <dcterms:modified xsi:type="dcterms:W3CDTF">2025-12-26T08:26:17Z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eyJoZGlkIjoiYjNhNmFhNjMwYzJiZmY0YzA5ZjEwOTY2YWYzYjdmYTAiLCJ1c2VySWQiOiIyMDEyMTQ5OSJ9</vt:lpwstr>
  </property>
  <property fmtid="{D5CDD505-2E9C-101B-9397-08002B2CF9AE}" pid="4" name="ICV">
    <vt:lpwstr>75287E2F341D411D9C56D5839A449274_13</vt:lpwstr>
  </property>
</Properties>
</file>