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dp" ContentType="image/vnd.ms-photo"/>
  <Default Extension="gif" ContentType="image/gi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pPr>
      <w:bookmarkStart w:id="0" w:name="_Toc40778426"/>
      <w:bookmarkStart w:id="1" w:name="_Toc102481185"/>
      <w:bookmarkStart w:id="2" w:name="_Toc26437"/>
      <w:bookmarkStart w:id="3" w:name="_Toc102825360"/>
      <w:bookmarkStart w:id="4" w:name="_Toc102481236"/>
    </w:p>
    <w:p>
      <w:pPr>
        <w:pStyle w:val="13"/>
      </w:pPr>
    </w:p>
    <w:p>
      <w:pPr>
        <w:ind w:firstLine="480"/>
        <w:jc w:val="center"/>
      </w:pPr>
    </w:p>
    <w:p>
      <w:pPr>
        <w:adjustRightInd w:val="0"/>
        <w:snapToGrid w:val="0"/>
        <w:spacing w:line="360" w:lineRule="auto"/>
        <w:ind w:firstLine="720"/>
        <w:jc w:val="center"/>
        <w:rPr>
          <w:rFonts w:hint="eastAsia" w:cs="宋体"/>
          <w:color w:val="000000"/>
          <w:sz w:val="36"/>
          <w:szCs w:val="36"/>
          <w:u w:val="none"/>
          <w:lang w:eastAsia="zh-CN"/>
        </w:rPr>
      </w:pPr>
      <w:r>
        <w:rPr>
          <w:rFonts w:hint="eastAsia" w:cs="宋体"/>
          <w:bCs/>
          <w:color w:val="000000"/>
          <w:sz w:val="36"/>
          <w:szCs w:val="36"/>
          <w:u w:val="none"/>
          <w:lang w:eastAsia="zh-CN"/>
        </w:rPr>
        <w:t>G9221杭甬高速宁波段三期工程威海路至柴桥段SG02 标跨港区及甬江特大桥P60墩</w:t>
      </w:r>
      <w:r>
        <w:rPr>
          <w:rFonts w:hint="eastAsia" w:cs="宋体"/>
          <w:color w:val="000000"/>
          <w:sz w:val="36"/>
          <w:szCs w:val="36"/>
          <w:u w:val="none"/>
          <w:lang w:eastAsia="zh-CN"/>
        </w:rPr>
        <w:t>XGT660-32S</w:t>
      </w:r>
    </w:p>
    <w:p>
      <w:pPr>
        <w:spacing w:line="360" w:lineRule="auto"/>
        <w:ind w:firstLine="480"/>
        <w:jc w:val="center"/>
        <w:rPr>
          <w:rFonts w:hint="eastAsia" w:ascii="宋体" w:hAnsi="宋体" w:eastAsia="宋体" w:cs="宋体"/>
          <w:u w:val="none"/>
        </w:rPr>
      </w:pPr>
      <w:r>
        <w:rPr>
          <w:rFonts w:hint="eastAsia" w:ascii="宋体" w:hAnsi="宋体" w:eastAsia="宋体" w:cs="宋体"/>
          <w:color w:val="000000"/>
          <w:sz w:val="36"/>
          <w:szCs w:val="36"/>
          <w:u w:val="none"/>
        </w:rPr>
        <w:t>塔式起重机</w:t>
      </w:r>
      <w:r>
        <w:rPr>
          <w:rFonts w:hint="eastAsia" w:cs="宋体"/>
          <w:color w:val="000000"/>
          <w:sz w:val="36"/>
          <w:szCs w:val="36"/>
          <w:u w:val="none"/>
          <w:lang w:eastAsia="zh-CN"/>
        </w:rPr>
        <w:t>拆卸</w:t>
      </w:r>
      <w:r>
        <w:rPr>
          <w:rFonts w:hint="eastAsia" w:ascii="宋体" w:hAnsi="宋体" w:eastAsia="宋体" w:cs="宋体"/>
          <w:color w:val="000000"/>
          <w:sz w:val="36"/>
          <w:szCs w:val="36"/>
          <w:u w:val="none"/>
        </w:rPr>
        <w:t>（专项）</w:t>
      </w:r>
      <w:r>
        <w:rPr>
          <w:rFonts w:hint="eastAsia" w:ascii="宋体" w:hAnsi="宋体" w:eastAsia="宋体" w:cs="宋体"/>
          <w:bCs/>
          <w:color w:val="000000"/>
          <w:sz w:val="36"/>
          <w:u w:val="none"/>
        </w:rPr>
        <w:t>施工方案</w:t>
      </w:r>
    </w:p>
    <w:p>
      <w:pPr>
        <w:ind w:firstLine="480"/>
      </w:pPr>
    </w:p>
    <w:p>
      <w:pPr>
        <w:ind w:firstLine="480"/>
      </w:pPr>
    </w:p>
    <w:p>
      <w:pPr>
        <w:ind w:firstLine="480"/>
      </w:pPr>
    </w:p>
    <w:p>
      <w:pPr>
        <w:ind w:firstLine="480"/>
      </w:pPr>
    </w:p>
    <w:p>
      <w:pPr>
        <w:ind w:firstLine="480"/>
      </w:pPr>
    </w:p>
    <w:p>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p>
    <w:p>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p>
    <w:p>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p>
    <w:p>
      <w:pPr>
        <w:ind w:firstLine="480"/>
      </w:pPr>
    </w:p>
    <w:p>
      <w:pPr>
        <w:ind w:firstLine="480"/>
      </w:pPr>
    </w:p>
    <w:p>
      <w:pPr>
        <w:ind w:firstLine="480"/>
      </w:pPr>
    </w:p>
    <w:p>
      <w:pPr>
        <w:widowControl w:val="0"/>
        <w:spacing w:line="360" w:lineRule="auto"/>
        <w:ind w:firstLine="0" w:firstLineChars="0"/>
        <w:jc w:val="center"/>
        <w:rPr>
          <w:rFonts w:ascii="Times New Roman" w:hAnsi="Times New Roman" w:eastAsia="宋体" w:cs="Times New Roman"/>
          <w:b/>
          <w:kern w:val="2"/>
          <w:sz w:val="28"/>
          <w:szCs w:val="21"/>
          <w:lang w:val="en-US" w:eastAsia="zh-CN" w:bidi="ar-SA"/>
        </w:rPr>
      </w:pPr>
      <w:r>
        <w:rPr>
          <w:rFonts w:hint="eastAsia" w:ascii="Times New Roman" w:hAnsi="Times New Roman" w:eastAsia="宋体" w:cs="Times New Roman"/>
          <w:b/>
          <w:kern w:val="2"/>
          <w:sz w:val="28"/>
          <w:szCs w:val="21"/>
          <w:lang w:val="en-US" w:eastAsia="zh-CN" w:bidi="ar-SA"/>
        </w:rPr>
        <w:t>（盖章）</w:t>
      </w:r>
    </w:p>
    <w:p>
      <w:pPr>
        <w:rPr>
          <w:rFonts w:hint="eastAsia"/>
          <w:b/>
          <w:bCs/>
          <w:sz w:val="32"/>
          <w:szCs w:val="32"/>
        </w:rPr>
      </w:pPr>
    </w:p>
    <w:p>
      <w:pPr>
        <w:rPr>
          <w:rFonts w:hint="eastAsia"/>
          <w:b/>
          <w:bCs/>
          <w:sz w:val="32"/>
          <w:szCs w:val="32"/>
        </w:rPr>
      </w:pPr>
      <w:r>
        <w:rPr>
          <w:rFonts w:hint="eastAsia"/>
          <w:b/>
          <w:bCs/>
          <w:sz w:val="32"/>
          <w:szCs w:val="32"/>
        </w:rPr>
        <w:br w:type="page"/>
      </w:r>
    </w:p>
    <w:p>
      <w:pPr>
        <w:ind w:firstLine="0" w:firstLineChars="0"/>
        <w:jc w:val="center"/>
        <w:rPr>
          <w:sz w:val="28"/>
          <w:szCs w:val="28"/>
        </w:rPr>
      </w:pPr>
      <w:r>
        <w:rPr>
          <w:rFonts w:hint="eastAsia"/>
          <w:b/>
          <w:bCs/>
          <w:sz w:val="28"/>
          <w:szCs w:val="28"/>
        </w:rPr>
        <w:t xml:space="preserve">目 </w:t>
      </w:r>
      <w:r>
        <w:rPr>
          <w:b/>
          <w:bCs/>
          <w:sz w:val="28"/>
          <w:szCs w:val="28"/>
        </w:rPr>
        <w:t xml:space="preserve">   </w:t>
      </w:r>
      <w:r>
        <w:rPr>
          <w:rFonts w:hint="eastAsia"/>
          <w:b/>
          <w:bCs/>
          <w:sz w:val="28"/>
          <w:szCs w:val="28"/>
        </w:rPr>
        <w:t>录</w:t>
      </w:r>
    </w:p>
    <w:p>
      <w:pPr>
        <w:pStyle w:val="30"/>
        <w:tabs>
          <w:tab w:val="right" w:leader="dot" w:pos="9639"/>
        </w:tabs>
      </w:pPr>
      <w:r>
        <w:rPr>
          <w:rFonts w:ascii="宋体" w:hAnsi="宋体"/>
          <w:b/>
          <w:bCs w:val="0"/>
          <w:caps w:val="0"/>
          <w:smallCaps w:val="0"/>
          <w:sz w:val="28"/>
          <w:szCs w:val="28"/>
        </w:rPr>
        <w:fldChar w:fldCharType="begin"/>
      </w:r>
      <w:r>
        <w:rPr>
          <w:rFonts w:ascii="宋体" w:hAnsi="宋体"/>
          <w:b/>
          <w:bCs w:val="0"/>
          <w:caps w:val="0"/>
          <w:smallCaps w:val="0"/>
          <w:sz w:val="28"/>
          <w:szCs w:val="28"/>
        </w:rPr>
        <w:instrText xml:space="preserve"> TOC \o "1-2" \h \z \u </w:instrText>
      </w:r>
      <w:r>
        <w:rPr>
          <w:rFonts w:ascii="宋体" w:hAnsi="宋体"/>
          <w:b/>
          <w:bCs w:val="0"/>
          <w:caps w:val="0"/>
          <w:smallCaps w:val="0"/>
          <w:sz w:val="28"/>
          <w:szCs w:val="28"/>
        </w:rPr>
        <w:fldChar w:fldCharType="separate"/>
      </w:r>
      <w:r>
        <w:rPr>
          <w:rFonts w:ascii="宋体" w:hAnsi="宋体"/>
          <w:bCs w:val="0"/>
          <w:caps w:val="0"/>
          <w:smallCaps w:val="0"/>
          <w:szCs w:val="28"/>
        </w:rPr>
        <w:fldChar w:fldCharType="begin"/>
      </w:r>
      <w:r>
        <w:rPr>
          <w:rFonts w:ascii="宋体" w:hAnsi="宋体"/>
          <w:bCs w:val="0"/>
          <w:caps w:val="0"/>
          <w:smallCaps w:val="0"/>
          <w:szCs w:val="28"/>
        </w:rPr>
        <w:instrText xml:space="preserve"> HYPERLINK \l _Toc15308 </w:instrText>
      </w:r>
      <w:r>
        <w:rPr>
          <w:rFonts w:ascii="宋体" w:hAnsi="宋体"/>
          <w:bCs w:val="0"/>
          <w:caps w:val="0"/>
          <w:smallCaps w:val="0"/>
          <w:szCs w:val="28"/>
        </w:rPr>
        <w:fldChar w:fldCharType="separate"/>
      </w:r>
      <w:r>
        <w:rPr>
          <w:rFonts w:hint="default" w:ascii="宋体" w:hAnsi="宋体" w:eastAsia="宋体" w:cs="宋体"/>
          <w:szCs w:val="24"/>
        </w:rPr>
        <w:t xml:space="preserve">1. </w:t>
      </w:r>
      <w:r>
        <w:rPr>
          <w:rFonts w:hint="eastAsia" w:ascii="宋体" w:hAnsi="宋体" w:eastAsia="宋体" w:cs="宋体"/>
          <w:szCs w:val="24"/>
        </w:rPr>
        <w:t>编制说明</w:t>
      </w:r>
      <w:r>
        <w:tab/>
      </w:r>
      <w:r>
        <w:fldChar w:fldCharType="begin"/>
      </w:r>
      <w:r>
        <w:instrText xml:space="preserve"> PAGEREF _Toc15308 \h </w:instrText>
      </w:r>
      <w:r>
        <w:fldChar w:fldCharType="separate"/>
      </w:r>
      <w:r>
        <w:t>1</w:t>
      </w:r>
      <w:r>
        <w:fldChar w:fldCharType="end"/>
      </w:r>
      <w:r>
        <w:rPr>
          <w:rFonts w:ascii="宋体" w:hAnsi="宋体"/>
          <w:bCs w:val="0"/>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_Toc7443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1.1 </w:t>
      </w:r>
      <w:r>
        <w:rPr>
          <w:rFonts w:hint="eastAsia" w:ascii="宋体" w:hAnsi="宋体" w:eastAsia="宋体" w:cs="宋体"/>
          <w:szCs w:val="24"/>
        </w:rPr>
        <w:t>编制说明</w:t>
      </w:r>
      <w:r>
        <w:tab/>
      </w:r>
      <w:r>
        <w:fldChar w:fldCharType="begin"/>
      </w:r>
      <w:r>
        <w:instrText xml:space="preserve"> PAGEREF _Toc7443 \h </w:instrText>
      </w:r>
      <w:r>
        <w:fldChar w:fldCharType="separate"/>
      </w:r>
      <w:r>
        <w:t>1</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_Toc32524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1.2 </w:t>
      </w:r>
      <w:r>
        <w:rPr>
          <w:rFonts w:hint="eastAsia" w:ascii="宋体" w:hAnsi="宋体" w:eastAsia="宋体" w:cs="宋体"/>
          <w:szCs w:val="24"/>
        </w:rPr>
        <w:t>引用文件</w:t>
      </w:r>
      <w:r>
        <w:tab/>
      </w:r>
      <w:r>
        <w:fldChar w:fldCharType="begin"/>
      </w:r>
      <w:r>
        <w:instrText xml:space="preserve"> PAGEREF _Toc32524 \h </w:instrText>
      </w:r>
      <w:r>
        <w:fldChar w:fldCharType="separate"/>
      </w:r>
      <w:r>
        <w:t>1</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_Toc3941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1.3 </w:t>
      </w:r>
      <w:r>
        <w:rPr>
          <w:rFonts w:hint="eastAsia" w:ascii="宋体" w:hAnsi="宋体" w:eastAsia="宋体" w:cs="宋体"/>
          <w:szCs w:val="24"/>
        </w:rPr>
        <w:t>编制原则</w:t>
      </w:r>
      <w:r>
        <w:tab/>
      </w:r>
      <w:r>
        <w:fldChar w:fldCharType="begin"/>
      </w:r>
      <w:r>
        <w:instrText xml:space="preserve"> PAGEREF _Toc3941 \h </w:instrText>
      </w:r>
      <w:r>
        <w:fldChar w:fldCharType="separate"/>
      </w:r>
      <w:r>
        <w:t>2</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_Toc9338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1.4 </w:t>
      </w:r>
      <w:r>
        <w:rPr>
          <w:rFonts w:hint="eastAsia" w:ascii="宋体" w:hAnsi="宋体" w:eastAsia="宋体" w:cs="宋体"/>
          <w:szCs w:val="24"/>
        </w:rPr>
        <w:t>适用范围</w:t>
      </w:r>
      <w:r>
        <w:tab/>
      </w:r>
      <w:r>
        <w:fldChar w:fldCharType="begin"/>
      </w:r>
      <w:r>
        <w:instrText xml:space="preserve"> PAGEREF _Toc9338 \h </w:instrText>
      </w:r>
      <w:r>
        <w:fldChar w:fldCharType="separate"/>
      </w:r>
      <w:r>
        <w:t>2</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_Toc6158 </w:instrText>
      </w:r>
      <w:r>
        <w:rPr>
          <w:rFonts w:ascii="宋体" w:hAnsi="宋体" w:cstheme="minorHAnsi"/>
          <w:bCs/>
          <w:caps w:val="0"/>
          <w:smallCaps w:val="0"/>
          <w:szCs w:val="28"/>
        </w:rPr>
        <w:fldChar w:fldCharType="separate"/>
      </w:r>
      <w:r>
        <w:rPr>
          <w:rFonts w:hint="default" w:ascii="宋体" w:hAnsi="宋体" w:eastAsia="宋体" w:cs="宋体"/>
          <w:lang w:val="en-US" w:eastAsia="zh-CN"/>
        </w:rPr>
        <w:t xml:space="preserve">1.5 </w:t>
      </w:r>
      <w:r>
        <w:rPr>
          <w:rFonts w:hint="eastAsia" w:ascii="宋体" w:hAnsi="宋体" w:eastAsia="宋体" w:cs="宋体"/>
          <w:lang w:val="en-US" w:eastAsia="zh-CN"/>
        </w:rPr>
        <w:t>隶属关系</w:t>
      </w:r>
      <w:r>
        <w:tab/>
      </w:r>
      <w:r>
        <w:fldChar w:fldCharType="begin"/>
      </w:r>
      <w:r>
        <w:instrText xml:space="preserve"> PAGEREF _Toc6158 \h </w:instrText>
      </w:r>
      <w:r>
        <w:fldChar w:fldCharType="separate"/>
      </w:r>
      <w:r>
        <w:t>2</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_Toc21837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 </w:t>
      </w:r>
      <w:r>
        <w:rPr>
          <w:rFonts w:hint="eastAsia" w:ascii="宋体" w:hAnsi="宋体" w:eastAsia="宋体" w:cs="宋体"/>
          <w:szCs w:val="24"/>
        </w:rPr>
        <w:t>工程概况</w:t>
      </w:r>
      <w:r>
        <w:tab/>
      </w:r>
      <w:r>
        <w:fldChar w:fldCharType="begin"/>
      </w:r>
      <w:r>
        <w:instrText xml:space="preserve"> PAGEREF _Toc21837 \h </w:instrText>
      </w:r>
      <w:r>
        <w:fldChar w:fldCharType="separate"/>
      </w:r>
      <w:r>
        <w:t>2</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_Toc1099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2.1 </w:t>
      </w:r>
      <w:r>
        <w:rPr>
          <w:rFonts w:hint="eastAsia" w:ascii="宋体" w:hAnsi="宋体" w:eastAsia="宋体" w:cs="宋体"/>
          <w:szCs w:val="24"/>
        </w:rPr>
        <w:t>工程概况</w:t>
      </w:r>
      <w:r>
        <w:tab/>
      </w:r>
      <w:r>
        <w:fldChar w:fldCharType="begin"/>
      </w:r>
      <w:r>
        <w:instrText xml:space="preserve"> PAGEREF _Toc1099 \h </w:instrText>
      </w:r>
      <w:r>
        <w:fldChar w:fldCharType="separate"/>
      </w:r>
      <w:r>
        <w:t>2</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_Toc30478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2.2 </w:t>
      </w:r>
      <w:r>
        <w:rPr>
          <w:rFonts w:hint="eastAsia" w:cs="宋体"/>
          <w:szCs w:val="24"/>
          <w:lang w:eastAsia="zh-CN"/>
        </w:rPr>
        <w:t>拆卸</w:t>
      </w:r>
      <w:r>
        <w:rPr>
          <w:rFonts w:hint="eastAsia" w:ascii="宋体" w:hAnsi="宋体" w:eastAsia="宋体" w:cs="宋体"/>
          <w:szCs w:val="24"/>
        </w:rPr>
        <w:t>现场工作环境及条件</w:t>
      </w:r>
      <w:r>
        <w:tab/>
      </w:r>
      <w:r>
        <w:fldChar w:fldCharType="begin"/>
      </w:r>
      <w:r>
        <w:instrText xml:space="preserve"> PAGEREF _Toc30478 \h </w:instrText>
      </w:r>
      <w:r>
        <w:fldChar w:fldCharType="separate"/>
      </w:r>
      <w:r>
        <w:t>8</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_Toc17346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2.3 </w:t>
      </w:r>
      <w:r>
        <w:rPr>
          <w:rFonts w:hint="eastAsia" w:ascii="宋体" w:hAnsi="宋体" w:eastAsia="宋体" w:cs="宋体"/>
          <w:szCs w:val="24"/>
        </w:rPr>
        <w:t>塔式起重机概况</w:t>
      </w:r>
      <w:r>
        <w:tab/>
      </w:r>
      <w:r>
        <w:fldChar w:fldCharType="begin"/>
      </w:r>
      <w:r>
        <w:instrText xml:space="preserve"> PAGEREF _Toc17346 \h </w:instrText>
      </w:r>
      <w:r>
        <w:fldChar w:fldCharType="separate"/>
      </w:r>
      <w:r>
        <w:t>9</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_Toc16925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2.4 </w:t>
      </w:r>
      <w:r>
        <w:rPr>
          <w:rFonts w:hint="eastAsia" w:ascii="宋体" w:hAnsi="宋体" w:eastAsia="宋体" w:cs="宋体"/>
          <w:szCs w:val="24"/>
        </w:rPr>
        <w:t>施工要求和技术保证条件</w:t>
      </w:r>
      <w:r>
        <w:tab/>
      </w:r>
      <w:r>
        <w:fldChar w:fldCharType="begin"/>
      </w:r>
      <w:r>
        <w:instrText xml:space="preserve"> PAGEREF _Toc16925 \h </w:instrText>
      </w:r>
      <w:r>
        <w:fldChar w:fldCharType="separate"/>
      </w:r>
      <w:r>
        <w:t>13</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_Toc24410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 </w:t>
      </w:r>
      <w:r>
        <w:rPr>
          <w:rFonts w:hint="eastAsia" w:ascii="宋体" w:hAnsi="宋体" w:eastAsia="宋体" w:cs="宋体"/>
          <w:szCs w:val="24"/>
        </w:rPr>
        <w:t>施工计划</w:t>
      </w:r>
      <w:r>
        <w:tab/>
      </w:r>
      <w:r>
        <w:fldChar w:fldCharType="begin"/>
      </w:r>
      <w:r>
        <w:instrText xml:space="preserve"> PAGEREF _Toc24410 \h </w:instrText>
      </w:r>
      <w:r>
        <w:fldChar w:fldCharType="separate"/>
      </w:r>
      <w:r>
        <w:t>14</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_Toc11687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3.1 </w:t>
      </w:r>
      <w:r>
        <w:rPr>
          <w:rFonts w:hint="eastAsia" w:ascii="宋体" w:hAnsi="宋体" w:eastAsia="宋体" w:cs="宋体"/>
          <w:szCs w:val="24"/>
        </w:rPr>
        <w:t>工程总体目标</w:t>
      </w:r>
      <w:r>
        <w:tab/>
      </w:r>
      <w:r>
        <w:fldChar w:fldCharType="begin"/>
      </w:r>
      <w:r>
        <w:instrText xml:space="preserve"> PAGEREF _Toc11687 \h </w:instrText>
      </w:r>
      <w:r>
        <w:fldChar w:fldCharType="separate"/>
      </w:r>
      <w:r>
        <w:t>14</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_Toc17383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3.2 </w:t>
      </w:r>
      <w:r>
        <w:rPr>
          <w:rFonts w:hint="eastAsia" w:ascii="宋体" w:hAnsi="宋体" w:eastAsia="宋体" w:cs="宋体"/>
          <w:szCs w:val="24"/>
        </w:rPr>
        <w:t>施工进度计划</w:t>
      </w:r>
      <w:r>
        <w:tab/>
      </w:r>
      <w:r>
        <w:fldChar w:fldCharType="begin"/>
      </w:r>
      <w:r>
        <w:instrText xml:space="preserve"> PAGEREF _Toc17383 \h </w:instrText>
      </w:r>
      <w:r>
        <w:fldChar w:fldCharType="separate"/>
      </w:r>
      <w:r>
        <w:t>15</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_Toc25635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3.3 </w:t>
      </w:r>
      <w:r>
        <w:rPr>
          <w:rFonts w:hint="eastAsia" w:ascii="宋体" w:hAnsi="宋体" w:eastAsia="宋体" w:cs="宋体"/>
          <w:szCs w:val="24"/>
        </w:rPr>
        <w:t>材料及设备计划</w:t>
      </w:r>
      <w:r>
        <w:tab/>
      </w:r>
      <w:r>
        <w:fldChar w:fldCharType="begin"/>
      </w:r>
      <w:r>
        <w:instrText xml:space="preserve"> PAGEREF _Toc25635 \h </w:instrText>
      </w:r>
      <w:r>
        <w:fldChar w:fldCharType="separate"/>
      </w:r>
      <w:r>
        <w:t>16</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_Toc26412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 </w:t>
      </w:r>
      <w:r>
        <w:rPr>
          <w:rFonts w:hint="eastAsia" w:ascii="宋体" w:hAnsi="宋体" w:eastAsia="宋体" w:cs="宋体"/>
          <w:szCs w:val="24"/>
        </w:rPr>
        <w:t>施工工艺</w:t>
      </w:r>
      <w:r>
        <w:tab/>
      </w:r>
      <w:r>
        <w:fldChar w:fldCharType="begin"/>
      </w:r>
      <w:r>
        <w:instrText xml:space="preserve"> PAGEREF _Toc26412 \h </w:instrText>
      </w:r>
      <w:r>
        <w:fldChar w:fldCharType="separate"/>
      </w:r>
      <w:r>
        <w:t>17</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_Toc19654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4.1 </w:t>
      </w:r>
      <w:r>
        <w:rPr>
          <w:rFonts w:hint="eastAsia" w:ascii="宋体" w:hAnsi="宋体" w:eastAsia="宋体" w:cs="宋体"/>
          <w:szCs w:val="24"/>
        </w:rPr>
        <w:t>塔吊</w:t>
      </w:r>
      <w:r>
        <w:rPr>
          <w:rFonts w:hint="eastAsia" w:cs="宋体"/>
          <w:szCs w:val="24"/>
          <w:lang w:eastAsia="zh-CN"/>
        </w:rPr>
        <w:t>拆卸</w:t>
      </w:r>
      <w:r>
        <w:rPr>
          <w:rFonts w:hint="eastAsia" w:ascii="宋体" w:hAnsi="宋体" w:eastAsia="宋体" w:cs="宋体"/>
          <w:szCs w:val="24"/>
        </w:rPr>
        <w:t>施工工艺流程</w:t>
      </w:r>
      <w:r>
        <w:tab/>
      </w:r>
      <w:r>
        <w:fldChar w:fldCharType="begin"/>
      </w:r>
      <w:r>
        <w:instrText xml:space="preserve"> PAGEREF _Toc19654 \h </w:instrText>
      </w:r>
      <w:r>
        <w:fldChar w:fldCharType="separate"/>
      </w:r>
      <w:r>
        <w:t>17</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_Toc16901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4.2 </w:t>
      </w:r>
      <w:r>
        <w:rPr>
          <w:rFonts w:hint="eastAsia" w:ascii="宋体" w:hAnsi="宋体" w:eastAsia="宋体" w:cs="宋体"/>
          <w:szCs w:val="24"/>
        </w:rPr>
        <w:t>主要设备选型</w:t>
      </w:r>
      <w:r>
        <w:tab/>
      </w:r>
      <w:r>
        <w:fldChar w:fldCharType="begin"/>
      </w:r>
      <w:r>
        <w:instrText xml:space="preserve"> PAGEREF _Toc16901 \h </w:instrText>
      </w:r>
      <w:r>
        <w:fldChar w:fldCharType="separate"/>
      </w:r>
      <w:r>
        <w:t>18</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_Toc22933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4.3 </w:t>
      </w:r>
      <w:r>
        <w:rPr>
          <w:rFonts w:hint="eastAsia" w:ascii="宋体" w:hAnsi="宋体" w:eastAsia="宋体" w:cs="宋体"/>
          <w:szCs w:val="24"/>
        </w:rPr>
        <w:t>塔吊</w:t>
      </w:r>
      <w:r>
        <w:rPr>
          <w:rFonts w:hint="eastAsia" w:cs="宋体"/>
          <w:szCs w:val="24"/>
          <w:lang w:eastAsia="zh-CN"/>
        </w:rPr>
        <w:t>拆卸</w:t>
      </w:r>
      <w:r>
        <w:rPr>
          <w:rFonts w:hint="eastAsia" w:ascii="宋体" w:hAnsi="宋体" w:eastAsia="宋体" w:cs="宋体"/>
          <w:szCs w:val="24"/>
        </w:rPr>
        <w:t>前施工准备</w:t>
      </w:r>
      <w:r>
        <w:tab/>
      </w:r>
      <w:r>
        <w:fldChar w:fldCharType="begin"/>
      </w:r>
      <w:r>
        <w:instrText xml:space="preserve"> PAGEREF _Toc22933 \h </w:instrText>
      </w:r>
      <w:r>
        <w:fldChar w:fldCharType="separate"/>
      </w:r>
      <w:r>
        <w:t>21</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_Toc12463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4.4 </w:t>
      </w:r>
      <w:r>
        <w:rPr>
          <w:rFonts w:hint="eastAsia" w:ascii="宋体" w:hAnsi="宋体" w:eastAsia="宋体" w:cs="宋体"/>
          <w:szCs w:val="24"/>
        </w:rPr>
        <w:t>塔吊</w:t>
      </w:r>
      <w:r>
        <w:rPr>
          <w:rFonts w:hint="eastAsia" w:cs="宋体"/>
          <w:szCs w:val="24"/>
          <w:lang w:eastAsia="zh-CN"/>
        </w:rPr>
        <w:t>拆卸</w:t>
      </w:r>
      <w:r>
        <w:rPr>
          <w:rFonts w:hint="eastAsia" w:ascii="宋体" w:hAnsi="宋体" w:eastAsia="宋体" w:cs="宋体"/>
          <w:szCs w:val="24"/>
        </w:rPr>
        <w:t>具体步骤</w:t>
      </w:r>
      <w:r>
        <w:tab/>
      </w:r>
      <w:r>
        <w:fldChar w:fldCharType="begin"/>
      </w:r>
      <w:r>
        <w:instrText xml:space="preserve"> PAGEREF _Toc12463 \h </w:instrText>
      </w:r>
      <w:r>
        <w:fldChar w:fldCharType="separate"/>
      </w:r>
      <w:r>
        <w:t>22</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_Toc1783 </w:instrText>
      </w:r>
      <w:r>
        <w:rPr>
          <w:rFonts w:ascii="宋体" w:hAnsi="宋体" w:cstheme="minorHAnsi"/>
          <w:bCs/>
          <w:caps w:val="0"/>
          <w:smallCaps w:val="0"/>
          <w:szCs w:val="28"/>
        </w:rPr>
        <w:fldChar w:fldCharType="separate"/>
      </w:r>
      <w:r>
        <w:rPr>
          <w:rFonts w:hint="default"/>
        </w:rPr>
        <w:t xml:space="preserve">5. </w:t>
      </w:r>
      <w:r>
        <w:rPr>
          <w:rFonts w:hint="eastAsia"/>
        </w:rPr>
        <w:t>质量控制措施</w:t>
      </w:r>
      <w:r>
        <w:tab/>
      </w:r>
      <w:r>
        <w:fldChar w:fldCharType="begin"/>
      </w:r>
      <w:r>
        <w:instrText xml:space="preserve"> PAGEREF _Toc1783 \h </w:instrText>
      </w:r>
      <w:r>
        <w:fldChar w:fldCharType="separate"/>
      </w:r>
      <w:r>
        <w:t>45</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_Toc4746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5.1 </w:t>
      </w:r>
      <w:r>
        <w:rPr>
          <w:rFonts w:hint="eastAsia" w:ascii="宋体" w:hAnsi="宋体" w:eastAsia="宋体" w:cs="宋体"/>
          <w:szCs w:val="24"/>
        </w:rPr>
        <w:t>质量通病及质量通病预防</w:t>
      </w:r>
      <w:r>
        <w:tab/>
      </w:r>
      <w:r>
        <w:fldChar w:fldCharType="begin"/>
      </w:r>
      <w:r>
        <w:instrText xml:space="preserve"> PAGEREF _Toc4746 \h </w:instrText>
      </w:r>
      <w:r>
        <w:fldChar w:fldCharType="separate"/>
      </w:r>
      <w:r>
        <w:t>45</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_Toc8445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5.2 </w:t>
      </w:r>
      <w:r>
        <w:rPr>
          <w:rFonts w:hint="eastAsia" w:ascii="宋体" w:hAnsi="宋体" w:eastAsia="宋体" w:cs="宋体"/>
          <w:szCs w:val="24"/>
        </w:rPr>
        <w:t>质量保证措施</w:t>
      </w:r>
      <w:r>
        <w:tab/>
      </w:r>
      <w:r>
        <w:fldChar w:fldCharType="begin"/>
      </w:r>
      <w:r>
        <w:instrText xml:space="preserve"> PAGEREF _Toc8445 \h </w:instrText>
      </w:r>
      <w:r>
        <w:fldChar w:fldCharType="separate"/>
      </w:r>
      <w:r>
        <w:t>45</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_Toc3283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5.3 </w:t>
      </w:r>
      <w:r>
        <w:rPr>
          <w:rFonts w:hint="eastAsia" w:ascii="宋体" w:hAnsi="宋体" w:eastAsia="宋体" w:cs="宋体"/>
          <w:szCs w:val="24"/>
        </w:rPr>
        <w:t>作业过程中控制点的设置</w:t>
      </w:r>
      <w:r>
        <w:tab/>
      </w:r>
      <w:r>
        <w:fldChar w:fldCharType="begin"/>
      </w:r>
      <w:r>
        <w:instrText xml:space="preserve"> PAGEREF _Toc3283 \h </w:instrText>
      </w:r>
      <w:r>
        <w:fldChar w:fldCharType="separate"/>
      </w:r>
      <w:r>
        <w:t>46</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_Toc17332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6. </w:t>
      </w:r>
      <w:r>
        <w:rPr>
          <w:rFonts w:hint="eastAsia" w:ascii="宋体" w:hAnsi="宋体" w:eastAsia="宋体" w:cs="宋体"/>
          <w:szCs w:val="24"/>
        </w:rPr>
        <w:t>施工安全保障措施</w:t>
      </w:r>
      <w:r>
        <w:tab/>
      </w:r>
      <w:r>
        <w:fldChar w:fldCharType="begin"/>
      </w:r>
      <w:r>
        <w:instrText xml:space="preserve"> PAGEREF _Toc17332 \h </w:instrText>
      </w:r>
      <w:r>
        <w:fldChar w:fldCharType="separate"/>
      </w:r>
      <w:r>
        <w:t>46</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_Toc12314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6.1 </w:t>
      </w:r>
      <w:r>
        <w:rPr>
          <w:rFonts w:hint="eastAsia" w:ascii="宋体" w:hAnsi="宋体" w:eastAsia="宋体" w:cs="宋体"/>
          <w:szCs w:val="24"/>
        </w:rPr>
        <w:t>组织保障措施</w:t>
      </w:r>
      <w:r>
        <w:tab/>
      </w:r>
      <w:r>
        <w:fldChar w:fldCharType="begin"/>
      </w:r>
      <w:r>
        <w:instrText xml:space="preserve"> PAGEREF _Toc12314 \h </w:instrText>
      </w:r>
      <w:r>
        <w:fldChar w:fldCharType="separate"/>
      </w:r>
      <w:r>
        <w:t>46</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_Toc30525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6.2 </w:t>
      </w:r>
      <w:r>
        <w:rPr>
          <w:rFonts w:hint="eastAsia" w:ascii="宋体" w:hAnsi="宋体" w:eastAsia="宋体" w:cs="宋体"/>
          <w:szCs w:val="24"/>
        </w:rPr>
        <w:t>施工安全技术措施</w:t>
      </w:r>
      <w:r>
        <w:tab/>
      </w:r>
      <w:r>
        <w:fldChar w:fldCharType="begin"/>
      </w:r>
      <w:r>
        <w:instrText xml:space="preserve"> PAGEREF _Toc30525 \h </w:instrText>
      </w:r>
      <w:r>
        <w:fldChar w:fldCharType="separate"/>
      </w:r>
      <w:r>
        <w:t>47</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_Toc32389 </w:instrText>
      </w:r>
      <w:r>
        <w:rPr>
          <w:rFonts w:ascii="宋体" w:hAnsi="宋体" w:cstheme="minorHAnsi"/>
          <w:bCs/>
          <w:caps w:val="0"/>
          <w:smallCaps w:val="0"/>
          <w:szCs w:val="28"/>
        </w:rPr>
        <w:fldChar w:fldCharType="separate"/>
      </w:r>
      <w:r>
        <w:rPr>
          <w:rFonts w:hint="default" w:ascii="宋体" w:hAnsi="宋体" w:eastAsia="宋体" w:cs="宋体"/>
          <w:szCs w:val="24"/>
        </w:rPr>
        <w:t xml:space="preserve">7. </w:t>
      </w:r>
      <w:r>
        <w:rPr>
          <w:rFonts w:hint="eastAsia" w:ascii="宋体" w:hAnsi="宋体" w:eastAsia="宋体" w:cs="宋体"/>
          <w:szCs w:val="24"/>
        </w:rPr>
        <w:t>施工管理及作业人员配备和分工</w:t>
      </w:r>
      <w:r>
        <w:tab/>
      </w:r>
      <w:r>
        <w:fldChar w:fldCharType="begin"/>
      </w:r>
      <w:r>
        <w:instrText xml:space="preserve"> PAGEREF _Toc32389 \h </w:instrText>
      </w:r>
      <w:r>
        <w:fldChar w:fldCharType="separate"/>
      </w:r>
      <w:r>
        <w:t>58</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_Toc3462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7.1 </w:t>
      </w:r>
      <w:r>
        <w:rPr>
          <w:rFonts w:hint="eastAsia" w:ascii="宋体" w:hAnsi="宋体" w:eastAsia="宋体" w:cs="宋体"/>
          <w:szCs w:val="24"/>
        </w:rPr>
        <w:t>施工管理人员配备和分工</w:t>
      </w:r>
      <w:r>
        <w:tab/>
      </w:r>
      <w:r>
        <w:fldChar w:fldCharType="begin"/>
      </w:r>
      <w:r>
        <w:instrText xml:space="preserve"> PAGEREF _Toc3462 \h </w:instrText>
      </w:r>
      <w:r>
        <w:fldChar w:fldCharType="separate"/>
      </w:r>
      <w:r>
        <w:t>58</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_Toc294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7.2 </w:t>
      </w:r>
      <w:r>
        <w:rPr>
          <w:rFonts w:hint="eastAsia" w:ascii="宋体" w:hAnsi="宋体" w:eastAsia="宋体" w:cs="宋体"/>
          <w:szCs w:val="24"/>
        </w:rPr>
        <w:t>专职安全生产管理人员配备和分工</w:t>
      </w:r>
      <w:r>
        <w:tab/>
      </w:r>
      <w:r>
        <w:fldChar w:fldCharType="begin"/>
      </w:r>
      <w:r>
        <w:instrText xml:space="preserve"> PAGEREF _Toc294 \h </w:instrText>
      </w:r>
      <w:r>
        <w:fldChar w:fldCharType="separate"/>
      </w:r>
      <w:r>
        <w:t>59</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_Toc22224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 </w:t>
      </w:r>
      <w:r>
        <w:rPr>
          <w:rFonts w:hint="eastAsia" w:ascii="宋体" w:hAnsi="宋体" w:eastAsia="宋体" w:cs="宋体"/>
          <w:szCs w:val="24"/>
        </w:rPr>
        <w:t>验收要求</w:t>
      </w:r>
      <w:r>
        <w:tab/>
      </w:r>
      <w:r>
        <w:fldChar w:fldCharType="begin"/>
      </w:r>
      <w:r>
        <w:instrText xml:space="preserve"> PAGEREF _Toc22224 \h </w:instrText>
      </w:r>
      <w:r>
        <w:fldChar w:fldCharType="separate"/>
      </w:r>
      <w:r>
        <w:t>59</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_Toc19681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8.1 </w:t>
      </w:r>
      <w:r>
        <w:rPr>
          <w:rFonts w:hint="eastAsia" w:ascii="宋体" w:hAnsi="宋体" w:eastAsia="宋体" w:cs="宋体"/>
          <w:szCs w:val="24"/>
        </w:rPr>
        <w:t>验收标准</w:t>
      </w:r>
      <w:r>
        <w:tab/>
      </w:r>
      <w:r>
        <w:fldChar w:fldCharType="begin"/>
      </w:r>
      <w:r>
        <w:instrText xml:space="preserve"> PAGEREF _Toc19681 \h </w:instrText>
      </w:r>
      <w:r>
        <w:fldChar w:fldCharType="separate"/>
      </w:r>
      <w:r>
        <w:t>59</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_Toc11117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8.2 </w:t>
      </w:r>
      <w:r>
        <w:rPr>
          <w:rFonts w:hint="eastAsia" w:ascii="宋体" w:hAnsi="宋体" w:eastAsia="宋体" w:cs="宋体"/>
          <w:szCs w:val="24"/>
        </w:rPr>
        <w:t>验收程序和使用登记程序</w:t>
      </w:r>
      <w:r>
        <w:tab/>
      </w:r>
      <w:r>
        <w:fldChar w:fldCharType="begin"/>
      </w:r>
      <w:r>
        <w:instrText xml:space="preserve"> PAGEREF _Toc11117 \h </w:instrText>
      </w:r>
      <w:r>
        <w:fldChar w:fldCharType="separate"/>
      </w:r>
      <w:r>
        <w:t>60</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_Toc7104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8.3 </w:t>
      </w:r>
      <w:r>
        <w:rPr>
          <w:rFonts w:hint="eastAsia" w:ascii="宋体" w:hAnsi="宋体" w:eastAsia="宋体" w:cs="宋体"/>
          <w:szCs w:val="24"/>
        </w:rPr>
        <w:t>验收内容</w:t>
      </w:r>
      <w:r>
        <w:tab/>
      </w:r>
      <w:r>
        <w:fldChar w:fldCharType="begin"/>
      </w:r>
      <w:r>
        <w:instrText xml:space="preserve"> PAGEREF _Toc7104 \h </w:instrText>
      </w:r>
      <w:r>
        <w:fldChar w:fldCharType="separate"/>
      </w:r>
      <w:r>
        <w:t>60</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_Toc31828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 </w:t>
      </w:r>
      <w:r>
        <w:rPr>
          <w:rFonts w:hint="eastAsia" w:ascii="宋体" w:hAnsi="宋体" w:eastAsia="宋体" w:cs="宋体"/>
          <w:szCs w:val="24"/>
        </w:rPr>
        <w:t>应急处置措施</w:t>
      </w:r>
      <w:r>
        <w:tab/>
      </w:r>
      <w:r>
        <w:fldChar w:fldCharType="begin"/>
      </w:r>
      <w:r>
        <w:instrText xml:space="preserve"> PAGEREF _Toc31828 \h </w:instrText>
      </w:r>
      <w:r>
        <w:fldChar w:fldCharType="separate"/>
      </w:r>
      <w:r>
        <w:t>67</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_Toc1443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9.1 </w:t>
      </w:r>
      <w:r>
        <w:rPr>
          <w:rFonts w:hint="eastAsia" w:ascii="宋体" w:hAnsi="宋体" w:eastAsia="宋体" w:cs="宋体"/>
          <w:szCs w:val="24"/>
        </w:rPr>
        <w:t>风险源辨识及分析</w:t>
      </w:r>
      <w:r>
        <w:tab/>
      </w:r>
      <w:r>
        <w:fldChar w:fldCharType="begin"/>
      </w:r>
      <w:r>
        <w:instrText xml:space="preserve"> PAGEREF _Toc1443 \h </w:instrText>
      </w:r>
      <w:r>
        <w:fldChar w:fldCharType="separate"/>
      </w:r>
      <w:r>
        <w:t>67</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_Toc27010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9.2 </w:t>
      </w:r>
      <w:r>
        <w:rPr>
          <w:rFonts w:hint="eastAsia" w:ascii="宋体" w:hAnsi="宋体" w:eastAsia="宋体" w:cs="宋体"/>
          <w:szCs w:val="24"/>
        </w:rPr>
        <w:t>组织机构</w:t>
      </w:r>
      <w:r>
        <w:tab/>
      </w:r>
      <w:r>
        <w:fldChar w:fldCharType="begin"/>
      </w:r>
      <w:r>
        <w:instrText xml:space="preserve"> PAGEREF _Toc27010 \h </w:instrText>
      </w:r>
      <w:r>
        <w:fldChar w:fldCharType="separate"/>
      </w:r>
      <w:r>
        <w:t>76</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_Toc31661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9.3 </w:t>
      </w:r>
      <w:r>
        <w:rPr>
          <w:rFonts w:hint="eastAsia" w:ascii="宋体" w:hAnsi="宋体" w:eastAsia="宋体" w:cs="宋体"/>
          <w:szCs w:val="24"/>
        </w:rPr>
        <w:t>处置流程</w:t>
      </w:r>
      <w:r>
        <w:tab/>
      </w:r>
      <w:r>
        <w:fldChar w:fldCharType="begin"/>
      </w:r>
      <w:r>
        <w:instrText xml:space="preserve"> PAGEREF _Toc31661 \h </w:instrText>
      </w:r>
      <w:r>
        <w:fldChar w:fldCharType="separate"/>
      </w:r>
      <w:r>
        <w:t>77</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_Toc5189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9.4 </w:t>
      </w:r>
      <w:r>
        <w:rPr>
          <w:rFonts w:hint="eastAsia" w:ascii="宋体" w:hAnsi="宋体" w:eastAsia="宋体" w:cs="宋体"/>
          <w:szCs w:val="24"/>
        </w:rPr>
        <w:t>应急处置措施</w:t>
      </w:r>
      <w:r>
        <w:tab/>
      </w:r>
      <w:r>
        <w:fldChar w:fldCharType="begin"/>
      </w:r>
      <w:r>
        <w:instrText xml:space="preserve"> PAGEREF _Toc5189 \h </w:instrText>
      </w:r>
      <w:r>
        <w:fldChar w:fldCharType="separate"/>
      </w:r>
      <w:r>
        <w:t>79</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_Toc991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9.5 </w:t>
      </w:r>
      <w:r>
        <w:rPr>
          <w:rFonts w:hint="eastAsia" w:ascii="宋体" w:hAnsi="宋体" w:eastAsia="宋体" w:cs="宋体"/>
          <w:szCs w:val="24"/>
        </w:rPr>
        <w:t>应急车辆、物资及设备</w:t>
      </w:r>
      <w:r>
        <w:tab/>
      </w:r>
      <w:r>
        <w:fldChar w:fldCharType="begin"/>
      </w:r>
      <w:r>
        <w:instrText xml:space="preserve"> PAGEREF _Toc991 \h </w:instrText>
      </w:r>
      <w:r>
        <w:fldChar w:fldCharType="separate"/>
      </w:r>
      <w:r>
        <w:t>83</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_Toc21723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9.6 </w:t>
      </w:r>
      <w:r>
        <w:rPr>
          <w:rFonts w:hint="eastAsia" w:ascii="宋体" w:hAnsi="宋体" w:eastAsia="宋体" w:cs="宋体"/>
          <w:szCs w:val="24"/>
        </w:rPr>
        <w:t>应急医院及线路图</w:t>
      </w:r>
      <w:r>
        <w:tab/>
      </w:r>
      <w:r>
        <w:fldChar w:fldCharType="begin"/>
      </w:r>
      <w:r>
        <w:instrText xml:space="preserve"> PAGEREF _Toc21723 \h </w:instrText>
      </w:r>
      <w:r>
        <w:fldChar w:fldCharType="separate"/>
      </w:r>
      <w:r>
        <w:t>84</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_Toc24252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9.7 </w:t>
      </w:r>
      <w:r>
        <w:rPr>
          <w:rFonts w:hint="eastAsia" w:ascii="宋体" w:hAnsi="宋体" w:eastAsia="宋体" w:cs="宋体"/>
          <w:szCs w:val="24"/>
        </w:rPr>
        <w:t>事故善后及恢复生产</w:t>
      </w:r>
      <w:r>
        <w:tab/>
      </w:r>
      <w:r>
        <w:fldChar w:fldCharType="begin"/>
      </w:r>
      <w:r>
        <w:instrText xml:space="preserve"> PAGEREF _Toc24252 \h </w:instrText>
      </w:r>
      <w:r>
        <w:fldChar w:fldCharType="separate"/>
      </w:r>
      <w:r>
        <w:t>85</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_Toc30220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10. </w:t>
      </w:r>
      <w:r>
        <w:rPr>
          <w:rFonts w:hint="eastAsia" w:ascii="宋体" w:hAnsi="宋体" w:eastAsia="宋体" w:cs="宋体"/>
          <w:szCs w:val="24"/>
        </w:rPr>
        <w:t>绿色及文明施工</w:t>
      </w:r>
      <w:r>
        <w:rPr>
          <w:rFonts w:hint="eastAsia" w:ascii="宋体" w:hAnsi="宋体" w:eastAsia="宋体" w:cs="宋体"/>
          <w:szCs w:val="24"/>
          <w:lang w:val="en-US" w:eastAsia="zh-CN"/>
        </w:rPr>
        <w:t>措施</w:t>
      </w:r>
      <w:r>
        <w:tab/>
      </w:r>
      <w:r>
        <w:fldChar w:fldCharType="begin"/>
      </w:r>
      <w:r>
        <w:instrText xml:space="preserve"> PAGEREF _Toc30220 \h </w:instrText>
      </w:r>
      <w:r>
        <w:fldChar w:fldCharType="separate"/>
      </w:r>
      <w:r>
        <w:t>86</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_Toc20211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10.1 </w:t>
      </w:r>
      <w:r>
        <w:rPr>
          <w:rFonts w:hint="eastAsia" w:ascii="宋体" w:hAnsi="宋体" w:eastAsia="宋体" w:cs="宋体"/>
          <w:szCs w:val="24"/>
        </w:rPr>
        <w:t>组织机构</w:t>
      </w:r>
      <w:r>
        <w:tab/>
      </w:r>
      <w:r>
        <w:fldChar w:fldCharType="begin"/>
      </w:r>
      <w:r>
        <w:instrText xml:space="preserve"> PAGEREF _Toc20211 \h </w:instrText>
      </w:r>
      <w:r>
        <w:fldChar w:fldCharType="separate"/>
      </w:r>
      <w:r>
        <w:t>86</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_Toc28335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10.2 </w:t>
      </w:r>
      <w:r>
        <w:rPr>
          <w:rFonts w:hint="eastAsia" w:ascii="宋体" w:hAnsi="宋体" w:eastAsia="宋体" w:cs="宋体"/>
          <w:szCs w:val="24"/>
        </w:rPr>
        <w:t>保证措施</w:t>
      </w:r>
      <w:r>
        <w:tab/>
      </w:r>
      <w:r>
        <w:fldChar w:fldCharType="begin"/>
      </w:r>
      <w:r>
        <w:instrText xml:space="preserve"> PAGEREF _Toc28335 \h </w:instrText>
      </w:r>
      <w:r>
        <w:fldChar w:fldCharType="separate"/>
      </w:r>
      <w:r>
        <w:t>86</w:t>
      </w:r>
      <w:r>
        <w:fldChar w:fldCharType="end"/>
      </w:r>
      <w:r>
        <w:rPr>
          <w:rFonts w:ascii="宋体" w:hAnsi="宋体" w:cstheme="minorHAnsi"/>
          <w:bCs/>
          <w:caps w:val="0"/>
          <w:smallCaps w:val="0"/>
          <w:szCs w:val="28"/>
        </w:rPr>
        <w:fldChar w:fldCharType="end"/>
      </w:r>
    </w:p>
    <w:p>
      <w:pPr>
        <w:pStyle w:val="30"/>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_Toc15191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11. </w:t>
      </w:r>
      <w:r>
        <w:rPr>
          <w:rFonts w:hint="eastAsia" w:ascii="宋体" w:hAnsi="宋体" w:eastAsia="宋体" w:cs="宋体"/>
          <w:szCs w:val="24"/>
        </w:rPr>
        <w:t>计算书</w:t>
      </w:r>
      <w:r>
        <w:tab/>
      </w:r>
      <w:r>
        <w:fldChar w:fldCharType="begin"/>
      </w:r>
      <w:r>
        <w:instrText xml:space="preserve"> PAGEREF _Toc15191 \h </w:instrText>
      </w:r>
      <w:r>
        <w:fldChar w:fldCharType="separate"/>
      </w:r>
      <w:r>
        <w:t>88</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_Toc4152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11.1 </w:t>
      </w:r>
      <w:r>
        <w:rPr>
          <w:rFonts w:hint="eastAsia" w:ascii="宋体" w:hAnsi="宋体" w:eastAsia="宋体" w:cs="宋体"/>
          <w:szCs w:val="24"/>
        </w:rPr>
        <w:t>选用的吊索受力计算</w:t>
      </w:r>
      <w:r>
        <w:tab/>
      </w:r>
      <w:r>
        <w:fldChar w:fldCharType="begin"/>
      </w:r>
      <w:r>
        <w:instrText xml:space="preserve"> PAGEREF _Toc4152 \h </w:instrText>
      </w:r>
      <w:r>
        <w:fldChar w:fldCharType="separate"/>
      </w:r>
      <w:r>
        <w:t>88</w:t>
      </w:r>
      <w:r>
        <w:fldChar w:fldCharType="end"/>
      </w:r>
      <w:r>
        <w:rPr>
          <w:rFonts w:ascii="宋体" w:hAnsi="宋体" w:cstheme="minorHAnsi"/>
          <w:bCs/>
          <w:caps w:val="0"/>
          <w:smallCaps w:val="0"/>
          <w:szCs w:val="28"/>
        </w:rPr>
        <w:fldChar w:fldCharType="end"/>
      </w:r>
    </w:p>
    <w:p>
      <w:pPr>
        <w:pStyle w:val="35"/>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_Toc26041 </w:instrText>
      </w:r>
      <w:r>
        <w:rPr>
          <w:rFonts w:ascii="宋体" w:hAnsi="宋体" w:cstheme="minorHAnsi"/>
          <w:bCs/>
          <w:caps w:val="0"/>
          <w:smallCaps w:val="0"/>
          <w:szCs w:val="28"/>
        </w:rPr>
        <w:fldChar w:fldCharType="separate"/>
      </w:r>
      <w:r>
        <w:rPr>
          <w:rFonts w:hint="default" w:ascii="宋体" w:hAnsi="宋体" w:eastAsia="宋体" w:cs="宋体"/>
          <w:lang w:val="en-US" w:eastAsia="zh-CN"/>
        </w:rPr>
        <w:t xml:space="preserve">11.2 </w:t>
      </w:r>
      <w:r>
        <w:rPr>
          <w:rFonts w:hint="eastAsia"/>
          <w:lang w:val="en-US" w:eastAsia="zh-CN"/>
        </w:rPr>
        <w:t>汽车吊支反力计算</w:t>
      </w:r>
      <w:r>
        <w:tab/>
      </w:r>
      <w:r>
        <w:fldChar w:fldCharType="begin"/>
      </w:r>
      <w:r>
        <w:instrText xml:space="preserve"> PAGEREF _Toc26041 \h </w:instrText>
      </w:r>
      <w:r>
        <w:fldChar w:fldCharType="separate"/>
      </w:r>
      <w:r>
        <w:t>89</w:t>
      </w:r>
      <w:r>
        <w:fldChar w:fldCharType="end"/>
      </w:r>
      <w:r>
        <w:rPr>
          <w:rFonts w:ascii="宋体" w:hAnsi="宋体" w:cstheme="minorHAnsi"/>
          <w:bCs/>
          <w:caps w:val="0"/>
          <w:smallCaps w:val="0"/>
          <w:szCs w:val="28"/>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ascii="宋体" w:hAnsi="宋体" w:cstheme="minorHAnsi"/>
          <w:bCs/>
          <w:caps/>
          <w:szCs w:val="24"/>
        </w:rPr>
        <w:sectPr>
          <w:headerReference r:id="rId5" w:type="default"/>
          <w:footerReference r:id="rId6" w:type="default"/>
          <w:pgSz w:w="11906" w:h="16838"/>
          <w:pgMar w:top="1134" w:right="850" w:bottom="1134" w:left="1417" w:header="851" w:footer="624" w:gutter="0"/>
          <w:pgBorders>
            <w:top w:val="none" w:sz="0" w:space="0"/>
            <w:left w:val="none" w:sz="0" w:space="0"/>
            <w:bottom w:val="none" w:sz="0" w:space="0"/>
            <w:right w:val="none" w:sz="0" w:space="0"/>
          </w:pgBorders>
          <w:pgNumType w:fmt="decimal" w:start="1"/>
          <w:cols w:space="425" w:num="1"/>
          <w:rtlGutter w:val="0"/>
          <w:docGrid w:type="lines" w:linePitch="326" w:charSpace="0"/>
        </w:sectPr>
      </w:pPr>
      <w:r>
        <w:rPr>
          <w:rFonts w:ascii="宋体" w:hAnsi="宋体" w:cstheme="minorHAnsi"/>
          <w:bCs/>
          <w:caps w:val="0"/>
          <w:smallCaps w:val="0"/>
          <w:szCs w:val="28"/>
        </w:rPr>
        <w:fldChar w:fldCharType="end"/>
      </w:r>
    </w:p>
    <w:bookmarkEnd w:id="0"/>
    <w:bookmarkEnd w:id="1"/>
    <w:bookmarkEnd w:id="2"/>
    <w:bookmarkEnd w:id="3"/>
    <w:bookmarkEnd w:id="4"/>
    <w:p>
      <w:pPr>
        <w:pStyle w:val="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5" w:name="_Toc15308"/>
      <w:r>
        <w:rPr>
          <w:rFonts w:hint="eastAsia" w:ascii="宋体" w:hAnsi="宋体" w:eastAsia="宋体" w:cs="宋体"/>
          <w:sz w:val="24"/>
          <w:szCs w:val="24"/>
        </w:rPr>
        <w:t>编制说明</w:t>
      </w:r>
      <w:bookmarkEnd w:id="5"/>
    </w:p>
    <w:p>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6" w:name="_Toc7443"/>
      <w:r>
        <w:rPr>
          <w:rFonts w:hint="eastAsia" w:ascii="宋体" w:hAnsi="宋体" w:eastAsia="宋体" w:cs="宋体"/>
          <w:sz w:val="24"/>
          <w:szCs w:val="24"/>
        </w:rPr>
        <w:t>编制说明</w:t>
      </w:r>
      <w:bookmarkEnd w:id="6"/>
    </w:p>
    <w:p>
      <w:pPr>
        <w:bidi w:val="0"/>
        <w:rPr>
          <w:rFonts w:hint="eastAsia"/>
          <w:lang w:val="en-US" w:eastAsia="zh-CN"/>
        </w:rPr>
      </w:pPr>
      <w:r>
        <w:rPr>
          <w:rFonts w:hint="eastAsia"/>
          <w:lang w:eastAsia="zh-CN"/>
        </w:rPr>
        <w:t>G9221杭甬高速宁波段三期工程威海路至柴桥段SG02 标跨港区及甬江特大桥P60墩</w:t>
      </w:r>
      <w:r>
        <w:rPr>
          <w:rFonts w:hint="eastAsia"/>
        </w:rPr>
        <w:t>需采用1台</w:t>
      </w:r>
      <w:r>
        <w:rPr>
          <w:rFonts w:hint="eastAsia"/>
          <w:lang w:eastAsia="zh-CN"/>
        </w:rPr>
        <w:t>XGT660-32S</w:t>
      </w:r>
      <w:r>
        <w:rPr>
          <w:rFonts w:hint="eastAsia"/>
        </w:rPr>
        <w:t>塔式起重机进行施工吊装作业，为认真、全面、系统地做好起重机的</w:t>
      </w:r>
      <w:r>
        <w:rPr>
          <w:rFonts w:hint="eastAsia"/>
          <w:lang w:eastAsia="zh-CN"/>
        </w:rPr>
        <w:t>拆卸</w:t>
      </w:r>
      <w:r>
        <w:rPr>
          <w:rFonts w:hint="eastAsia"/>
        </w:rPr>
        <w:t>作业，确保过程质量和安全，合理安排施工工期，特</w:t>
      </w:r>
      <w:r>
        <w:rPr>
          <w:rFonts w:hint="eastAsia"/>
          <w:lang w:val="en-US" w:eastAsia="zh-CN"/>
        </w:rPr>
        <w:t>编制本塔式起重机拆卸专项施工方案。</w:t>
      </w:r>
    </w:p>
    <w:p>
      <w:pPr>
        <w:pStyle w:val="3"/>
        <w:keepNext w:val="0"/>
        <w:widowControl w:val="0"/>
        <w:kinsoku/>
        <w:wordWrap/>
        <w:overflowPunct/>
        <w:topLinePunct w:val="0"/>
        <w:autoSpaceDE/>
        <w:autoSpaceDN/>
        <w:bidi w:val="0"/>
        <w:adjustRightInd/>
        <w:snapToGrid/>
        <w:spacing w:line="480" w:lineRule="atLeast"/>
        <w:ind w:left="573" w:hanging="573"/>
        <w:textAlignment w:val="auto"/>
        <w:rPr>
          <w:rFonts w:hint="eastAsia" w:ascii="宋体" w:hAnsi="宋体" w:eastAsia="宋体" w:cs="宋体"/>
          <w:sz w:val="24"/>
          <w:szCs w:val="24"/>
        </w:rPr>
      </w:pPr>
      <w:bookmarkStart w:id="7" w:name="_Toc32524"/>
      <w:r>
        <w:rPr>
          <w:rFonts w:hint="eastAsia" w:ascii="宋体" w:hAnsi="宋体" w:eastAsia="宋体" w:cs="宋体"/>
          <w:sz w:val="24"/>
          <w:szCs w:val="24"/>
        </w:rPr>
        <w:t>引用文件</w:t>
      </w:r>
      <w:bookmarkEnd w:id="7"/>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《中华人民共和国特种设备安全法》（中华人民共和国主席令第12届第4号）</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《特种设备安全监察条例》（中华人民共和国国务院令第549号）</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《特种设备作业人员监督管理办法》（中华人民共和国质检总局令第140号）</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《起重机械安全规程 第1部分：总则》（GB/T6067.1-2010）</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《塔式起重机安全规程》（GB5144-2006）</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《塔式起重机》（GB/T5031-2019）</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《重要用途钢丝绳》（GB/T8918－2006）</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《起重机手势信号》（GB/T 5082-2019）</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《施工现场临时用电安全技术规范》（JGJ46-2005）</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《建筑施工高处作业安全技术规范》（JGJ80-2016）</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《建筑机械使用安全技术规程》(JGJ33-2012)</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《建筑施工塔式起重机安装、使用、拆卸安全技术规程》（JGJ196-2010）</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《特种设备作业人员考核规则》（TSGZ6001-2019）</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《特种设备使用管理规则》（TSG 08-2017）</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《起重机械安装改造重大修理监督检验规则》（TSGQ7016-2016）</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w:t>
      </w:r>
      <w:r>
        <w:rPr>
          <w:rFonts w:hint="eastAsia" w:cs="宋体"/>
          <w:b w:val="0"/>
          <w:bCs w:val="0"/>
          <w:sz w:val="24"/>
          <w:szCs w:val="24"/>
          <w:lang w:eastAsia="zh-CN"/>
        </w:rPr>
        <w:t>XGT660-32S</w:t>
      </w:r>
      <w:r>
        <w:rPr>
          <w:rFonts w:hint="eastAsia" w:ascii="宋体" w:hAnsi="宋体" w:eastAsia="宋体" w:cs="宋体"/>
          <w:b w:val="0"/>
          <w:bCs w:val="0"/>
          <w:sz w:val="24"/>
          <w:szCs w:val="24"/>
        </w:rPr>
        <w:t>附着自升塔式起重机说明书》</w:t>
      </w:r>
      <w:r>
        <w:rPr>
          <w:rFonts w:hint="eastAsia" w:ascii="宋体" w:hAnsi="宋体" w:eastAsia="宋体" w:cs="宋体"/>
          <w:b w:val="0"/>
          <w:bCs w:val="0"/>
          <w:sz w:val="24"/>
          <w:szCs w:val="24"/>
          <w:lang w:val="en-US" w:eastAsia="zh-CN"/>
        </w:rPr>
        <w:t xml:space="preserve"> 徐工徐州建机工程机械有限公司</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《特种作业岗位培训及其证书管理规定》（Q/ZHDB304004-2020）</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《起重机械安全监控管理系统》（GB∕T 28264-2017）</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《建筑施工扣件式钢管脚手架安全技术规范》（JGJ130- 2011）</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配合机械起重性能表</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《起重机械安全技术规程》TSG51-2023</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特种设备生产和充装单位许可规则</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TSG07-2019</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《建筑施工特种作业人员管理规定》(建设部建质[2008]75号)</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建筑施工易发事故防治安全标准</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JGJ/T 429-2018</w:t>
      </w:r>
    </w:p>
    <w:p>
      <w:pPr>
        <w:pStyle w:val="4"/>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w:t>
      </w:r>
      <w:r>
        <w:rPr>
          <w:rFonts w:hint="eastAsia" w:cs="宋体"/>
          <w:color w:val="auto"/>
          <w:lang w:val="en-US" w:eastAsia="zh-CN"/>
        </w:rPr>
        <w:t>平臂吊</w:t>
      </w:r>
      <w:r>
        <w:rPr>
          <w:rFonts w:hint="eastAsia" w:ascii="宋体" w:hAnsi="宋体" w:eastAsia="宋体" w:cs="宋体"/>
          <w:color w:val="auto"/>
          <w:lang w:val="en-US" w:eastAsia="zh-CN"/>
        </w:rPr>
        <w:t>租赁合同》</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eastAsia" w:cs="宋体"/>
          <w:b w:val="0"/>
          <w:bCs w:val="0"/>
          <w:color w:val="auto"/>
          <w:sz w:val="24"/>
          <w:szCs w:val="24"/>
          <w:lang w:val="en-US" w:eastAsia="zh-CN"/>
        </w:rPr>
        <w:t>G9221杭甬高速宁波段三期工程威海路至柴桥段SG02标跨港区及甬江特大桥</w:t>
      </w:r>
      <w:r>
        <w:rPr>
          <w:rFonts w:hint="eastAsia" w:ascii="宋体" w:hAnsi="宋体" w:eastAsia="宋体" w:cs="宋体"/>
          <w:b w:val="0"/>
          <w:bCs w:val="0"/>
          <w:color w:val="auto"/>
          <w:sz w:val="24"/>
          <w:szCs w:val="24"/>
          <w:lang w:val="en-US" w:eastAsia="zh-CN"/>
        </w:rPr>
        <w:t>施工组织设计》</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《起重机钢丝绳保养、维护、检验和报废》</w:t>
      </w:r>
      <w:r>
        <w:rPr>
          <w:rFonts w:hint="eastAsia" w:ascii="宋体" w:hAnsi="宋体" w:eastAsia="宋体" w:cs="宋体"/>
          <w:b w:val="0"/>
          <w:bCs w:val="0"/>
          <w:color w:val="auto"/>
          <w:sz w:val="24"/>
          <w:szCs w:val="24"/>
        </w:rPr>
        <w:t>GB/T 5972</w:t>
      </w:r>
      <w:r>
        <w:rPr>
          <w:rFonts w:hint="eastAsia" w:ascii="宋体" w:hAnsi="宋体" w:eastAsia="宋体" w:cs="宋体"/>
          <w:b w:val="0"/>
          <w:bCs w:val="0"/>
          <w:color w:val="auto"/>
          <w:sz w:val="24"/>
          <w:szCs w:val="24"/>
          <w:lang w:val="en-US" w:eastAsia="zh-CN"/>
        </w:rPr>
        <w:t>-2023</w:t>
      </w:r>
    </w:p>
    <w:p>
      <w:pPr>
        <w:pStyle w:val="4"/>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《塔式起重机设计规范》</w:t>
      </w:r>
      <w:r>
        <w:rPr>
          <w:rFonts w:hint="eastAsia" w:ascii="宋体" w:hAnsi="宋体" w:eastAsia="宋体" w:cs="宋体"/>
          <w:b w:val="0"/>
          <w:bCs w:val="0"/>
          <w:color w:val="auto"/>
          <w:sz w:val="24"/>
          <w:szCs w:val="24"/>
          <w:lang w:val="en-US" w:eastAsia="zh-CN"/>
        </w:rPr>
        <w:fldChar w:fldCharType="begin"/>
      </w:r>
      <w:r>
        <w:rPr>
          <w:rFonts w:hint="eastAsia" w:ascii="宋体" w:hAnsi="宋体" w:eastAsia="宋体" w:cs="宋体"/>
          <w:b w:val="0"/>
          <w:bCs w:val="0"/>
          <w:color w:val="auto"/>
          <w:sz w:val="24"/>
          <w:szCs w:val="24"/>
          <w:lang w:val="en-US" w:eastAsia="zh-CN"/>
        </w:rPr>
        <w:instrText xml:space="preserve"> HYPERLINK "http://www.baidu.com/link?url=kAeVhOsPlhIYHCi9K_rErYzN5x0y_BfFv6soSXaboeq2frgRTX1DiVQLBdoh8wo7EhsSWbOVHMaXgEB6Qq__qmAJlTPyHbVCyBDl8xcpOYR16soQG9ZH9pGdUlXjqBY_IGuO0_bO-BvE4RfUKpibGK" \t "https://www.baidu.com/_blank" </w:instrText>
      </w:r>
      <w:r>
        <w:rPr>
          <w:rFonts w:hint="eastAsia" w:ascii="宋体" w:hAnsi="宋体" w:eastAsia="宋体" w:cs="宋体"/>
          <w:b w:val="0"/>
          <w:bCs w:val="0"/>
          <w:color w:val="auto"/>
          <w:sz w:val="24"/>
          <w:szCs w:val="24"/>
          <w:lang w:val="en-US" w:eastAsia="zh-CN"/>
        </w:rPr>
        <w:fldChar w:fldCharType="separate"/>
      </w:r>
      <w:r>
        <w:rPr>
          <w:rFonts w:hint="eastAsia" w:ascii="宋体" w:hAnsi="宋体" w:eastAsia="宋体" w:cs="宋体"/>
          <w:b w:val="0"/>
          <w:bCs w:val="0"/>
          <w:color w:val="auto"/>
          <w:sz w:val="24"/>
          <w:szCs w:val="24"/>
        </w:rPr>
        <w:t>GB</w:t>
      </w:r>
      <w:r>
        <w:rPr>
          <w:rFonts w:hint="eastAsia" w:cs="宋体"/>
          <w:b w:val="0"/>
          <w:bCs w:val="0"/>
          <w:color w:val="auto"/>
          <w:sz w:val="24"/>
          <w:szCs w:val="24"/>
          <w:lang w:val="en-US" w:eastAsia="zh-CN"/>
        </w:rPr>
        <w:t>/</w:t>
      </w:r>
      <w:r>
        <w:rPr>
          <w:rFonts w:hint="eastAsia" w:ascii="宋体" w:hAnsi="宋体" w:eastAsia="宋体" w:cs="宋体"/>
          <w:b w:val="0"/>
          <w:bCs w:val="0"/>
          <w:color w:val="auto"/>
          <w:sz w:val="24"/>
          <w:szCs w:val="24"/>
        </w:rPr>
        <w:t>T 13752-2016</w:t>
      </w:r>
      <w:r>
        <w:rPr>
          <w:rFonts w:hint="eastAsia" w:ascii="宋体" w:hAnsi="宋体" w:eastAsia="宋体" w:cs="宋体"/>
          <w:b w:val="0"/>
          <w:bCs w:val="0"/>
          <w:color w:val="auto"/>
          <w:sz w:val="24"/>
          <w:szCs w:val="24"/>
          <w:lang w:val="en-US" w:eastAsia="zh-CN"/>
        </w:rPr>
        <w:fldChar w:fldCharType="end"/>
      </w:r>
    </w:p>
    <w:p>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 w:name="_Toc3941"/>
      <w:r>
        <w:rPr>
          <w:rFonts w:hint="eastAsia" w:ascii="宋体" w:hAnsi="宋体" w:eastAsia="宋体" w:cs="宋体"/>
          <w:sz w:val="24"/>
          <w:szCs w:val="24"/>
        </w:rPr>
        <w:t>编制原则</w:t>
      </w:r>
      <w:bookmarkEnd w:id="8"/>
    </w:p>
    <w:p>
      <w:pPr>
        <w:pStyle w:val="4"/>
        <w:bidi w:val="0"/>
        <w:rPr>
          <w:rFonts w:hint="eastAsia" w:ascii="宋体" w:hAnsi="宋体" w:eastAsia="宋体" w:cs="宋体"/>
          <w:sz w:val="24"/>
          <w:szCs w:val="24"/>
        </w:rPr>
      </w:pPr>
      <w:r>
        <w:rPr>
          <w:rFonts w:hint="eastAsia" w:ascii="宋体" w:hAnsi="宋体" w:eastAsia="宋体" w:cs="宋体"/>
          <w:sz w:val="24"/>
          <w:szCs w:val="24"/>
        </w:rPr>
        <w:t>严格贯彻“安全第一”的原则，针对风险细化安全技术措施，预防和杜绝安全事故的发生；</w:t>
      </w:r>
    </w:p>
    <w:p>
      <w:pPr>
        <w:pStyle w:val="4"/>
        <w:bidi w:val="0"/>
        <w:rPr>
          <w:rFonts w:hint="eastAsia" w:ascii="宋体" w:hAnsi="宋体" w:eastAsia="宋体" w:cs="宋体"/>
        </w:rPr>
      </w:pPr>
      <w:r>
        <w:rPr>
          <w:rFonts w:hint="eastAsia" w:ascii="宋体" w:hAnsi="宋体" w:eastAsia="宋体" w:cs="宋体"/>
        </w:rPr>
        <w:t>严格按照ISO9001标准质量体系质量程序控制原则，实施</w:t>
      </w:r>
      <w:r>
        <w:rPr>
          <w:rFonts w:hint="eastAsia" w:cs="宋体"/>
          <w:lang w:eastAsia="zh-CN"/>
        </w:rPr>
        <w:t>拆卸</w:t>
      </w:r>
      <w:r>
        <w:rPr>
          <w:rFonts w:hint="eastAsia" w:ascii="宋体" w:hAnsi="宋体" w:eastAsia="宋体" w:cs="宋体"/>
        </w:rPr>
        <w:t>过程动态管理；</w:t>
      </w:r>
    </w:p>
    <w:p>
      <w:pPr>
        <w:pStyle w:val="4"/>
        <w:bidi w:val="0"/>
        <w:rPr>
          <w:rFonts w:hint="eastAsia" w:ascii="宋体" w:hAnsi="宋体" w:eastAsia="宋体" w:cs="宋体"/>
        </w:rPr>
      </w:pPr>
      <w:r>
        <w:rPr>
          <w:rFonts w:hint="eastAsia" w:ascii="宋体" w:hAnsi="宋体" w:eastAsia="宋体" w:cs="宋体"/>
        </w:rPr>
        <w:t>科学合理制定</w:t>
      </w:r>
      <w:r>
        <w:rPr>
          <w:rFonts w:hint="eastAsia" w:cs="宋体"/>
          <w:lang w:eastAsia="zh-CN"/>
        </w:rPr>
        <w:t>拆卸</w:t>
      </w:r>
      <w:r>
        <w:rPr>
          <w:rFonts w:hint="eastAsia" w:ascii="宋体" w:hAnsi="宋体" w:eastAsia="宋体" w:cs="宋体"/>
        </w:rPr>
        <w:t>计划，提高</w:t>
      </w:r>
      <w:r>
        <w:rPr>
          <w:rFonts w:hint="eastAsia" w:cs="宋体"/>
          <w:lang w:eastAsia="zh-CN"/>
        </w:rPr>
        <w:t>拆卸</w:t>
      </w:r>
      <w:r>
        <w:rPr>
          <w:rFonts w:hint="eastAsia" w:ascii="宋体" w:hAnsi="宋体" w:eastAsia="宋体" w:cs="宋体"/>
        </w:rPr>
        <w:t>功效；</w:t>
      </w:r>
    </w:p>
    <w:p>
      <w:pPr>
        <w:pStyle w:val="4"/>
        <w:bidi w:val="0"/>
        <w:rPr>
          <w:rFonts w:hint="eastAsia" w:ascii="宋体" w:hAnsi="宋体" w:eastAsia="宋体" w:cs="宋体"/>
        </w:rPr>
      </w:pPr>
      <w:r>
        <w:rPr>
          <w:rFonts w:hint="eastAsia" w:ascii="宋体" w:hAnsi="宋体" w:eastAsia="宋体" w:cs="宋体"/>
        </w:rPr>
        <w:t>加强过程管控，合理配置</w:t>
      </w:r>
      <w:r>
        <w:rPr>
          <w:rFonts w:hint="eastAsia" w:cs="宋体"/>
          <w:lang w:eastAsia="zh-CN"/>
        </w:rPr>
        <w:t>拆卸</w:t>
      </w:r>
      <w:r>
        <w:rPr>
          <w:rFonts w:hint="eastAsia" w:ascii="宋体" w:hAnsi="宋体" w:eastAsia="宋体" w:cs="宋体"/>
        </w:rPr>
        <w:t>资源，合理降低</w:t>
      </w:r>
      <w:r>
        <w:rPr>
          <w:rFonts w:hint="eastAsia" w:cs="宋体"/>
          <w:lang w:eastAsia="zh-CN"/>
        </w:rPr>
        <w:t>拆卸</w:t>
      </w:r>
      <w:r>
        <w:rPr>
          <w:rFonts w:hint="eastAsia" w:ascii="宋体" w:hAnsi="宋体" w:eastAsia="宋体" w:cs="宋体"/>
        </w:rPr>
        <w:t>成本。</w:t>
      </w:r>
    </w:p>
    <w:p>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9" w:name="_Toc9338"/>
      <w:r>
        <w:rPr>
          <w:rFonts w:hint="eastAsia" w:ascii="宋体" w:hAnsi="宋体" w:eastAsia="宋体" w:cs="宋体"/>
          <w:sz w:val="24"/>
          <w:szCs w:val="24"/>
        </w:rPr>
        <w:t>适用范围</w:t>
      </w:r>
      <w:bookmarkEnd w:id="9"/>
    </w:p>
    <w:p>
      <w:pPr>
        <w:bidi w:val="0"/>
        <w:rPr>
          <w:rFonts w:hint="eastAsia"/>
          <w:lang w:val="en-US" w:eastAsia="zh-CN"/>
        </w:rPr>
      </w:pPr>
      <w:r>
        <w:rPr>
          <w:rFonts w:hint="eastAsia"/>
        </w:rPr>
        <w:t>本方案仅适用于</w:t>
      </w:r>
      <w:r>
        <w:rPr>
          <w:rFonts w:hint="eastAsia"/>
          <w:lang w:eastAsia="zh-CN"/>
        </w:rPr>
        <w:t>G9221杭甬高速宁波段三期工程威海路至柴桥段SG02 标跨港区及甬江特大桥项目P60墩</w:t>
      </w:r>
      <w:r>
        <w:rPr>
          <w:rFonts w:hint="eastAsia"/>
          <w:lang w:val="en-US" w:eastAsia="zh-CN"/>
        </w:rPr>
        <w:t>1</w:t>
      </w:r>
      <w:r>
        <w:rPr>
          <w:rFonts w:hint="eastAsia"/>
        </w:rPr>
        <w:t>台</w:t>
      </w:r>
      <w:r>
        <w:rPr>
          <w:rFonts w:hint="eastAsia"/>
          <w:lang w:eastAsia="zh-CN"/>
        </w:rPr>
        <w:t>XGT660-32S</w:t>
      </w:r>
      <w:r>
        <w:rPr>
          <w:rFonts w:hint="eastAsia"/>
        </w:rPr>
        <w:t>塔式起重</w:t>
      </w:r>
      <w:r>
        <w:rPr>
          <w:rFonts w:hint="eastAsia"/>
          <w:lang w:val="en-US" w:eastAsia="zh-CN"/>
        </w:rPr>
        <w:t>机拆卸工程。本台塔机由重庆桥渝工程机械租赁有限公司拆卸。</w:t>
      </w:r>
    </w:p>
    <w:p>
      <w:pPr>
        <w:pStyle w:val="3"/>
        <w:bidi w:val="0"/>
        <w:rPr>
          <w:rFonts w:hint="eastAsia" w:ascii="宋体" w:hAnsi="宋体" w:eastAsia="宋体" w:cs="宋体"/>
          <w:lang w:val="en-US" w:eastAsia="zh-CN"/>
        </w:rPr>
      </w:pPr>
      <w:bookmarkStart w:id="10" w:name="_Toc6158"/>
      <w:r>
        <w:rPr>
          <w:rFonts w:hint="eastAsia" w:ascii="宋体" w:hAnsi="宋体" w:eastAsia="宋体" w:cs="宋体"/>
          <w:lang w:val="en-US" w:eastAsia="zh-CN"/>
        </w:rPr>
        <w:t>隶属关系</w:t>
      </w:r>
      <w:bookmarkEnd w:id="10"/>
    </w:p>
    <w:p>
      <w:pPr>
        <w:jc w:val="center"/>
        <w:rPr>
          <w:rFonts w:hint="eastAsia" w:ascii="宋体" w:hAnsi="宋体" w:eastAsia="宋体" w:cs="宋体"/>
          <w:lang w:val="en-US" w:eastAsia="zh-CN"/>
        </w:rPr>
      </w:pPr>
      <w:r>
        <w:rPr>
          <w:rFonts w:hint="eastAsia" w:ascii="宋体" w:hAnsi="宋体" w:eastAsia="宋体" w:cs="宋体"/>
          <w:lang w:val="en-US" w:eastAsia="zh-CN"/>
        </w:rPr>
        <w:t>表1.5-1 项目参建单位概况</w:t>
      </w:r>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676"/>
        <w:gridCol w:w="6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48"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序号</w:t>
            </w:r>
          </w:p>
        </w:tc>
        <w:tc>
          <w:tcPr>
            <w:tcW w:w="2676"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单位类别</w:t>
            </w:r>
          </w:p>
        </w:tc>
        <w:tc>
          <w:tcPr>
            <w:tcW w:w="6131"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单位名称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48"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1</w:t>
            </w:r>
          </w:p>
        </w:tc>
        <w:tc>
          <w:tcPr>
            <w:tcW w:w="2676"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建设单位</w:t>
            </w:r>
          </w:p>
        </w:tc>
        <w:tc>
          <w:tcPr>
            <w:tcW w:w="6131"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48"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2</w:t>
            </w:r>
          </w:p>
        </w:tc>
        <w:tc>
          <w:tcPr>
            <w:tcW w:w="2676"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总承包单位（含设计）</w:t>
            </w:r>
          </w:p>
        </w:tc>
        <w:tc>
          <w:tcPr>
            <w:tcW w:w="6131"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8"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3</w:t>
            </w:r>
          </w:p>
        </w:tc>
        <w:tc>
          <w:tcPr>
            <w:tcW w:w="2676"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监理单位</w:t>
            </w:r>
          </w:p>
        </w:tc>
        <w:tc>
          <w:tcPr>
            <w:tcW w:w="6131"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48"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4</w:t>
            </w:r>
          </w:p>
        </w:tc>
        <w:tc>
          <w:tcPr>
            <w:tcW w:w="2676"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施工单位</w:t>
            </w:r>
          </w:p>
        </w:tc>
        <w:tc>
          <w:tcPr>
            <w:tcW w:w="6131"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Times New Roman" w:eastAsia="宋体"/>
                <w:lang w:val="en-US" w:eastAsia="zh-CN"/>
              </w:rPr>
              <w:t>重庆桥渝工程机械租赁有限公司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48"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5</w:t>
            </w:r>
          </w:p>
        </w:tc>
        <w:tc>
          <w:tcPr>
            <w:tcW w:w="2676"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安装单位</w:t>
            </w:r>
          </w:p>
        </w:tc>
        <w:tc>
          <w:tcPr>
            <w:tcW w:w="6131" w:type="dxa"/>
            <w:tcBorders>
              <w:tl2br w:val="nil"/>
              <w:tr2bl w:val="nil"/>
            </w:tcBorders>
            <w:vAlign w:val="top"/>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Times New Roman" w:eastAsia="宋体"/>
                <w:lang w:val="en-US" w:eastAsia="zh-CN"/>
              </w:rPr>
              <w:t>重庆桥渝工程机械租赁有限公司</w:t>
            </w:r>
          </w:p>
        </w:tc>
      </w:tr>
    </w:tbl>
    <w:p>
      <w:pPr>
        <w:pStyle w:val="2"/>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1" w:name="_Toc21837"/>
      <w:r>
        <w:rPr>
          <w:rFonts w:hint="eastAsia" w:ascii="宋体" w:hAnsi="宋体" w:eastAsia="宋体" w:cs="宋体"/>
          <w:sz w:val="24"/>
          <w:szCs w:val="24"/>
        </w:rPr>
        <w:t>工程概况</w:t>
      </w:r>
      <w:bookmarkEnd w:id="11"/>
    </w:p>
    <w:p>
      <w:pPr>
        <w:pStyle w:val="3"/>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2" w:name="_Toc1099"/>
      <w:r>
        <w:rPr>
          <w:rFonts w:hint="eastAsia" w:ascii="宋体" w:hAnsi="宋体" w:eastAsia="宋体" w:cs="宋体"/>
          <w:sz w:val="24"/>
          <w:szCs w:val="24"/>
        </w:rPr>
        <w:t>工程概况</w:t>
      </w:r>
      <w:bookmarkEnd w:id="12"/>
    </w:p>
    <w:p>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bookmarkStart w:id="13" w:name="_Toc161477937"/>
      <w:bookmarkStart w:id="14" w:name="_Toc103061465"/>
      <w:r>
        <w:rPr>
          <w:rFonts w:hint="eastAsia" w:ascii="宋体" w:hAnsi="宋体" w:eastAsia="宋体" w:cstheme="majorBidi"/>
          <w:bCs/>
          <w:kern w:val="2"/>
          <w:sz w:val="24"/>
          <w:szCs w:val="21"/>
          <w:lang w:val="en-US" w:eastAsia="zh-CN" w:bidi="ar-SA"/>
        </w:rPr>
        <w:t>项目总体概况</w:t>
      </w:r>
      <w:bookmarkEnd w:id="13"/>
    </w:p>
    <w:p>
      <w:pPr>
        <w:bidi w:val="0"/>
        <w:rPr>
          <w:rFonts w:ascii="Times New Roman" w:hAnsi="Times New Roman" w:eastAsia="宋体" w:cs="Times New Roman"/>
          <w:szCs w:val="21"/>
        </w:rPr>
      </w:pPr>
      <w:r>
        <w:rPr>
          <w:rFonts w:hint="eastAsia"/>
        </w:rPr>
        <w:t>本项目路线起于镇海区，接杭甬高速宁波段一期工程威海互通，沿海涂向东经过镇海港区、甬江、小浃江、永祥铸造厂、小港污水处理厂、宁波亚洲浆纸业厂区内堆场、戚家山等地区，止于北仑柴桥附近，接正在施工的六横公路大桥一期工程柴桥枢纽预留节点，路线全长26.15km。全线共设置桥梁23.041km/7座，隧道1.14km/1座，桥隧比为92.47％。设置互通式立交5处（威海互通、戚家山复合枢纽、富春江互通、陈华霞浦复合枢纽、柴桥枢纽），服务区1处（千亩岙服务区）、养护工区1处、路段管理及监控分中心1处、桥隧管理所1处、匝道收费站3处。</w:t>
      </w:r>
    </w:p>
    <w:p>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114300" distR="114300">
            <wp:extent cx="5676900" cy="2990850"/>
            <wp:effectExtent l="0" t="0" r="7620" b="1143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5676900" cy="2990850"/>
                    </a:xfrm>
                    <a:prstGeom prst="rect">
                      <a:avLst/>
                    </a:prstGeom>
                    <a:noFill/>
                    <a:ln>
                      <a:noFill/>
                    </a:ln>
                  </pic:spPr>
                </pic:pic>
              </a:graphicData>
            </a:graphic>
          </wp:inline>
        </w:drawing>
      </w:r>
    </w:p>
    <w:p>
      <w:pPr>
        <w:spacing w:line="360" w:lineRule="auto"/>
        <w:ind w:firstLine="480" w:firstLineChars="200"/>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2.1.1</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w:instrText>
      </w:r>
      <w:r>
        <w:rPr>
          <w:rFonts w:hint="eastAsia" w:ascii="Times New Roman" w:hAnsi="Times New Roman" w:eastAsia="宋体" w:cs="Times New Roman"/>
          <w:sz w:val="24"/>
          <w:szCs w:val="21"/>
        </w:rPr>
        <w:instrText xml:space="preserve">SEQ 图 \* ARABIC \s 2</w:instrText>
      </w:r>
      <w:r>
        <w:rPr>
          <w:rFonts w:ascii="Times New Roman" w:hAnsi="Times New Roman" w:eastAsia="宋体" w:cs="Times New Roman"/>
          <w:sz w:val="24"/>
          <w:szCs w:val="21"/>
        </w:rPr>
        <w:instrText xml:space="preserve">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1</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项目地理位置图</w:t>
      </w:r>
    </w:p>
    <w:p>
      <w:pPr>
        <w:bidi w:val="0"/>
      </w:pPr>
      <w:r>
        <w:rPr>
          <w:rFonts w:hint="eastAsia"/>
        </w:rPr>
        <w:t>SG02标段（K2+740～K5+911.46）起于宁波市镇海港区输煤廊道处海堤，接本项目威海互通及海域桥梁段，路线向东南方向经过甬江至北仑戚家山街道，再经过小浃江、戚家山至终点沈家湾水库，接本项目SG03标段，全长3.17146km。包含跨港区及甬江特大桥（三塔斜拉）一座（K2+740～K4+470，长1730m），小浃江特大桥（5跨刚构-连续梁）及东西侧引桥一座（K4+470～K5+715，长1245m），路基一段（K5+715～K5+911.46，长196.46m）。桥梁标准宽度为33m，主线设计速度为100km/h，计划工期为39个月。</w:t>
      </w:r>
    </w:p>
    <w:bookmarkEnd w:id="14"/>
    <w:p>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跨港区及甬江特大桥概况</w:t>
      </w:r>
    </w:p>
    <w:p>
      <w:pPr>
        <w:pStyle w:val="5"/>
        <w:bidi w:val="0"/>
        <w:ind w:left="864" w:hanging="864"/>
      </w:pPr>
      <w:bookmarkStart w:id="15" w:name="_Toc161477939"/>
      <w:bookmarkStart w:id="16" w:name="_Toc103061466"/>
      <w:r>
        <w:rPr>
          <w:rFonts w:hint="eastAsia"/>
        </w:rPr>
        <w:t>跨港区及甬江特大桥工程概况</w:t>
      </w:r>
      <w:bookmarkEnd w:id="15"/>
      <w:bookmarkEnd w:id="16"/>
    </w:p>
    <w:p>
      <w:pPr>
        <w:bidi w:val="0"/>
      </w:pPr>
      <w:r>
        <w:rPr>
          <w:rFonts w:hint="eastAsia"/>
        </w:rPr>
        <w:t>跨港区及甬江特大桥主桥为双塔双索面钢混组合梁斜拉桥，桥跨布置为5</w:t>
      </w:r>
      <w:r>
        <w:t>0+275+540+570+214+81</w:t>
      </w:r>
      <w:r>
        <w:rPr>
          <w:rFonts w:hint="eastAsia"/>
        </w:rPr>
        <w:t>m，全长</w:t>
      </w:r>
      <w:r>
        <w:t>1730</w:t>
      </w:r>
      <w:r>
        <w:rPr>
          <w:rFonts w:hint="eastAsia"/>
        </w:rPr>
        <w:t>m；小桩号侧边中跨比为0.602，大桩号侧边中跨比为0.518，边跨设置辅助墩。斜拉索采用空间双索面布置，梁端标准间距为12m，中跨跨中局部索间距为10.5m，大桩号侧边跨靠近尾索区部分索间距为8m。</w:t>
      </w:r>
    </w:p>
    <w:p>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114300" distR="114300">
            <wp:extent cx="5731510" cy="1466215"/>
            <wp:effectExtent l="0" t="0" r="13970" b="120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3"/>
                    <a:stretch>
                      <a:fillRect/>
                    </a:stretch>
                  </pic:blipFill>
                  <pic:spPr>
                    <a:xfrm>
                      <a:off x="0" y="0"/>
                      <a:ext cx="5731510" cy="1466215"/>
                    </a:xfrm>
                    <a:prstGeom prst="rect">
                      <a:avLst/>
                    </a:prstGeom>
                    <a:noFill/>
                    <a:ln>
                      <a:noFill/>
                    </a:ln>
                  </pic:spPr>
                </pic:pic>
              </a:graphicData>
            </a:graphic>
          </wp:inline>
        </w:drawing>
      </w:r>
    </w:p>
    <w:p>
      <w:pPr>
        <w:spacing w:line="360" w:lineRule="auto"/>
        <w:ind w:firstLine="480" w:firstLineChars="200"/>
        <w:jc w:val="center"/>
        <w:rPr>
          <w:rFonts w:ascii="Times New Roman" w:hAnsi="Times New Roman" w:eastAsia="宋体" w:cs="Times New Roman"/>
          <w:sz w:val="24"/>
          <w:szCs w:val="21"/>
        </w:rPr>
      </w:pPr>
      <w:r>
        <w:rPr>
          <w:rFonts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2.1.2.1</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SEQ 图 \* ARABIC \s 2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1</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跨甬江特大桥桥型布置图</w:t>
      </w:r>
    </w:p>
    <w:p>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114300" distR="114300">
            <wp:extent cx="5745480" cy="2072640"/>
            <wp:effectExtent l="0" t="0" r="0" b="0"/>
            <wp:docPr id="2074082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82509" name="图片 1"/>
                    <pic:cNvPicPr>
                      <a:picLocks noChangeAspect="1"/>
                    </pic:cNvPicPr>
                  </pic:nvPicPr>
                  <pic:blipFill>
                    <a:blip r:embed="rId14">
                      <a:duotone>
                        <a:srgbClr val="228099">
                          <a:shade val="45000"/>
                          <a:satMod val="135000"/>
                        </a:srgbClr>
                        <a:prstClr val="white"/>
                      </a:duotone>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731510" cy="2063115"/>
                    </a:xfrm>
                    <a:prstGeom prst="rect">
                      <a:avLst/>
                    </a:prstGeom>
                    <a:noFill/>
                    <a:ln>
                      <a:noFill/>
                    </a:ln>
                    <a:effectLst/>
                  </pic:spPr>
                </pic:pic>
              </a:graphicData>
            </a:graphic>
          </wp:inline>
        </w:drawing>
      </w:r>
    </w:p>
    <w:p>
      <w:pPr>
        <w:spacing w:line="360" w:lineRule="auto"/>
        <w:ind w:firstLine="480" w:firstLineChars="200"/>
        <w:jc w:val="center"/>
        <w:rPr>
          <w:rFonts w:ascii="Times New Roman" w:hAnsi="Times New Roman" w:eastAsia="宋体" w:cs="Times New Roman"/>
          <w:sz w:val="24"/>
          <w:szCs w:val="21"/>
        </w:rPr>
      </w:pPr>
      <w:r>
        <w:rPr>
          <w:rFonts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2.1.2.1</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SEQ 图 \* ARABIC \s 2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2</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上部结构标准横断面布置图</w:t>
      </w:r>
    </w:p>
    <w:p>
      <w:pPr>
        <w:pStyle w:val="5"/>
        <w:bidi w:val="0"/>
        <w:ind w:left="864" w:hanging="864"/>
      </w:pPr>
      <w:bookmarkStart w:id="17" w:name="_Toc103061467"/>
      <w:bookmarkStart w:id="18" w:name="_Toc161477940"/>
      <w:r>
        <w:rPr>
          <w:rFonts w:hint="eastAsia"/>
        </w:rPr>
        <w:t>技术标准</w:t>
      </w:r>
      <w:bookmarkEnd w:id="17"/>
      <w:bookmarkEnd w:id="18"/>
    </w:p>
    <w:p>
      <w:pPr>
        <w:bidi w:val="0"/>
      </w:pPr>
      <w:r>
        <w:rPr>
          <w:rFonts w:hint="eastAsia"/>
        </w:rPr>
        <w:t>全线采用双向六车道高速公路标准，设计速度100公里/小时，路基宽度33.5米，桥梁宽度33.0米，桥涵设计汽车荷载采用公路-I级，其他技术指标按照《公路工程技术标准》（JTGB01-2014）执行。主要技术标准如下表所示：</w:t>
      </w:r>
    </w:p>
    <w:p>
      <w:pPr>
        <w:bidi w:val="0"/>
      </w:pPr>
      <w:r>
        <w:rPr>
          <w:rFonts w:hint="eastAsia"/>
        </w:rPr>
        <w:t>（1）公路等级：高速公路；</w:t>
      </w:r>
    </w:p>
    <w:p>
      <w:pPr>
        <w:bidi w:val="0"/>
      </w:pPr>
      <w:r>
        <w:rPr>
          <w:rFonts w:hint="eastAsia"/>
        </w:rPr>
        <w:t>（2）行车道数：双向六车道；</w:t>
      </w:r>
    </w:p>
    <w:p>
      <w:pPr>
        <w:bidi w:val="0"/>
      </w:pPr>
      <w:r>
        <w:rPr>
          <w:rFonts w:hint="eastAsia"/>
        </w:rPr>
        <w:t>（3）设计速度：100km/h；</w:t>
      </w:r>
    </w:p>
    <w:p>
      <w:pPr>
        <w:bidi w:val="0"/>
      </w:pPr>
      <w:r>
        <w:rPr>
          <w:rFonts w:hint="eastAsia"/>
        </w:rPr>
        <w:t>（4）设计使用年限：工程设计基准期为100年；</w:t>
      </w:r>
    </w:p>
    <w:p>
      <w:pPr>
        <w:bidi w:val="0"/>
      </w:pPr>
      <w:r>
        <w:rPr>
          <w:rFonts w:hint="eastAsia"/>
        </w:rPr>
        <w:t>（5）桥梁标准宽度：主桥桥宽40.5m；</w:t>
      </w:r>
    </w:p>
    <w:p>
      <w:pPr>
        <w:bidi w:val="0"/>
      </w:pPr>
      <w:r>
        <w:rPr>
          <w:rFonts w:hint="eastAsia"/>
        </w:rPr>
        <w:t>（6）桥面横坡：-2%～2%；</w:t>
      </w:r>
    </w:p>
    <w:p>
      <w:pPr>
        <w:bidi w:val="0"/>
      </w:pPr>
      <w:r>
        <w:rPr>
          <w:rFonts w:hint="eastAsia"/>
        </w:rPr>
        <w:t>（7）设计洪水频率：特大桥1/300；</w:t>
      </w:r>
    </w:p>
    <w:p>
      <w:pPr>
        <w:bidi w:val="0"/>
      </w:pPr>
      <w:r>
        <w:rPr>
          <w:rFonts w:hint="eastAsia"/>
        </w:rPr>
        <w:t>（8）设计荷载标准：</w:t>
      </w:r>
    </w:p>
    <w:p>
      <w:pPr>
        <w:bidi w:val="0"/>
      </w:pPr>
      <w:r>
        <w:rPr>
          <w:rFonts w:hint="eastAsia"/>
        </w:rPr>
        <w:t>a.设计基准期：100年；</w:t>
      </w:r>
    </w:p>
    <w:p>
      <w:pPr>
        <w:bidi w:val="0"/>
      </w:pPr>
      <w:r>
        <w:rPr>
          <w:rFonts w:hint="eastAsia"/>
        </w:rPr>
        <w:t>b.汽车荷载等级：公路-Ⅰ级；</w:t>
      </w:r>
    </w:p>
    <w:p>
      <w:pPr>
        <w:bidi w:val="0"/>
      </w:pPr>
      <w:r>
        <w:rPr>
          <w:rFonts w:hint="eastAsia"/>
        </w:rPr>
        <w:t>c.风作用：桥梁设计基本风速按Us10=40.44m/s，有车时桥面风速Vd=25.0m/s；运营阶段设计重现期：100年。</w:t>
      </w:r>
    </w:p>
    <w:p>
      <w:pPr>
        <w:bidi w:val="0"/>
      </w:pPr>
      <w:r>
        <w:rPr>
          <w:rFonts w:hint="eastAsia"/>
        </w:rPr>
        <w:t>d.温度作用：整体均匀温度升高：18.6℃，整体均匀温度降低：-21℃。结构高度范围内竖向梯度温度按《公路桥涵设计通用规范》（JTGD60-2015）规定计算。</w:t>
      </w:r>
    </w:p>
    <w:p>
      <w:pPr>
        <w:bidi w:val="0"/>
      </w:pPr>
      <w:r>
        <w:rPr>
          <w:rFonts w:hint="eastAsia"/>
        </w:rPr>
        <w:t>e.地震作用：桥址区地震动峰值加速度为0.10g，设计地震加速度反应谱特征周期为0.35s，对应地震基本烈度为Ⅶ度。其他指标按交通部《公路工程技术标准》（JTGB01-2014）的规定执行。</w:t>
      </w:r>
    </w:p>
    <w:p>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bookmarkStart w:id="19" w:name="_Toc161477941"/>
      <w:r>
        <w:rPr>
          <w:rFonts w:hint="eastAsia" w:ascii="宋体" w:hAnsi="宋体" w:eastAsia="宋体" w:cstheme="majorBidi"/>
          <w:bCs/>
          <w:kern w:val="2"/>
          <w:sz w:val="24"/>
          <w:szCs w:val="21"/>
          <w:lang w:val="en-US" w:eastAsia="zh-CN" w:bidi="ar-SA"/>
        </w:rPr>
        <w:t>跨港区及甬江特大桥北仑侧P60索塔概况</w:t>
      </w:r>
      <w:bookmarkEnd w:id="19"/>
    </w:p>
    <w:p>
      <w:pPr>
        <w:pStyle w:val="5"/>
        <w:bidi w:val="0"/>
        <w:ind w:left="864" w:hanging="864"/>
      </w:pPr>
      <w:r>
        <w:rPr>
          <w:rFonts w:hint="eastAsia"/>
        </w:rPr>
        <w:t>北仑侧P60索塔总体构造</w:t>
      </w:r>
    </w:p>
    <w:p>
      <w:pPr>
        <w:bidi w:val="0"/>
      </w:pPr>
      <w:r>
        <w:rPr>
          <w:rFonts w:hint="eastAsia"/>
        </w:rPr>
        <w:t>索塔采用钻石型塔身，由下塔柱、中塔柱、塔冠和下横梁组成。边、中塔的横桥向轮廓造型基本相同，中塔柱及塔冠高度完全一致，仅下塔柱高度有所区别。北仑侧P60塔塔高217.5m，塔底高程为+1.2m，塔顶高程为+218.7m。索塔各构件均采用C55海工混凝土。</w:t>
      </w:r>
    </w:p>
    <w:p>
      <w:pPr>
        <w:bidi w:val="0"/>
        <w:rPr>
          <w:rFonts w:hint="eastAsia" w:ascii="Times New Roman" w:hAnsi="Times New Roman" w:eastAsia="宋体" w:cs="Times New Roman"/>
          <w:szCs w:val="21"/>
        </w:rPr>
      </w:pPr>
      <w:r>
        <w:rPr>
          <w:rFonts w:hint="eastAsia"/>
        </w:rPr>
        <w:t>北仑侧P60塔承台下设置18 根直径3.2-3.6m 的钻孔灌注桩基础，均按照嵌岩桩设计。索塔承台采用整体式八边形承台。承台外轮廓尺寸为31.6×23.5m（横向×纵向），承台厚度为6.5m，承台顶高程为+1.2m。</w:t>
      </w:r>
    </w:p>
    <w:p>
      <w:pPr>
        <w:widowControl/>
        <w:spacing w:before="100" w:beforeAutospacing="1" w:after="100" w:afterAutospacing="1" w:line="240" w:lineRule="auto"/>
        <w:ind w:firstLine="480" w:firstLineChars="0"/>
        <w:jc w:val="cente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drawing>
          <wp:inline distT="0" distB="0" distL="114300" distR="114300">
            <wp:extent cx="8154670" cy="4482465"/>
            <wp:effectExtent l="0" t="0" r="13335" b="1397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6"/>
                    <a:srcRect l="7190" t="23781" r="3326" b="6638"/>
                    <a:stretch>
                      <a:fillRect/>
                    </a:stretch>
                  </pic:blipFill>
                  <pic:spPr>
                    <a:xfrm rot="5400000">
                      <a:off x="0" y="0"/>
                      <a:ext cx="8154670" cy="4482465"/>
                    </a:xfrm>
                    <a:prstGeom prst="rect">
                      <a:avLst/>
                    </a:prstGeom>
                    <a:noFill/>
                    <a:ln>
                      <a:noFill/>
                    </a:ln>
                  </pic:spPr>
                </pic:pic>
              </a:graphicData>
            </a:graphic>
          </wp:inline>
        </w:drawing>
      </w:r>
    </w:p>
    <w:p>
      <w:pPr>
        <w:spacing w:line="360" w:lineRule="auto"/>
        <w:ind w:firstLine="480" w:firstLineChars="200"/>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2.1.3.1</w:t>
      </w:r>
      <w:r>
        <w:rPr>
          <w:rFonts w:ascii="Times New Roman" w:hAnsi="Times New Roman" w:eastAsia="宋体" w:cs="Times New Roman"/>
          <w:sz w:val="24"/>
          <w:szCs w:val="21"/>
        </w:rPr>
        <w:noBreakHyphen/>
      </w:r>
      <w:r>
        <w:rPr>
          <w:rFonts w:hint="eastAsia" w:ascii="Times New Roman" w:hAnsi="Times New Roman" w:eastAsia="宋体" w:cs="Times New Roman"/>
          <w:sz w:val="24"/>
          <w:szCs w:val="21"/>
          <w:lang w:val="en-US" w:eastAsia="zh-CN"/>
        </w:rPr>
        <w:t>1</w:t>
      </w:r>
      <w:r>
        <w:rPr>
          <w:rFonts w:hint="eastAsia" w:ascii="Times New Roman" w:hAnsi="Times New Roman" w:eastAsia="宋体" w:cs="Times New Roman"/>
          <w:sz w:val="24"/>
          <w:szCs w:val="21"/>
        </w:rPr>
        <w:t>北仑侧索塔构造图（单位cm）</w:t>
      </w:r>
    </w:p>
    <w:p>
      <w:pPr>
        <w:pStyle w:val="5"/>
        <w:bidi w:val="0"/>
        <w:ind w:left="864" w:hanging="864"/>
      </w:pPr>
      <w:r>
        <w:rPr>
          <w:rFonts w:hint="eastAsia"/>
          <w:lang w:val="en-US" w:eastAsia="zh-CN"/>
        </w:rPr>
        <w:t xml:space="preserve"> </w:t>
      </w:r>
      <w:r>
        <w:rPr>
          <w:rFonts w:hint="eastAsia"/>
        </w:rPr>
        <w:t>P60索塔塔柱</w:t>
      </w:r>
    </w:p>
    <w:p>
      <w:pPr>
        <w:bidi w:val="0"/>
      </w:pPr>
      <w:r>
        <w:rPr>
          <w:rFonts w:hint="eastAsia"/>
        </w:rPr>
        <w:t>P60塔顺桥向尺寸塔顶为8m，塔底为14m，侧边斜率采用1/72.5。塔柱断面采用矩形带直倒角空心断面，倒角尺寸为100×100cm。下塔柱断面壁厚1.5m，中塔柱断面壁厚1.2m，上塔柱断面壁厚1.0m。</w:t>
      </w:r>
    </w:p>
    <w:p>
      <w:pPr>
        <w:spacing w:line="360" w:lineRule="auto"/>
        <w:ind w:firstLine="480" w:firstLineChars="200"/>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表</w:t>
      </w:r>
      <w:r>
        <w:rPr>
          <w:rFonts w:hint="eastAsia" w:ascii="Times New Roman" w:hAnsi="Times New Roman" w:eastAsia="宋体" w:cs="Times New Roman"/>
          <w:sz w:val="24"/>
          <w:szCs w:val="21"/>
          <w:lang w:val="en-US" w:eastAsia="zh-CN"/>
        </w:rPr>
        <w:t>2.1.3.2</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w:instrText>
      </w:r>
      <w:r>
        <w:rPr>
          <w:rFonts w:hint="eastAsia" w:ascii="Times New Roman" w:hAnsi="Times New Roman" w:eastAsia="宋体" w:cs="Times New Roman"/>
          <w:sz w:val="24"/>
          <w:szCs w:val="21"/>
        </w:rPr>
        <w:instrText xml:space="preserve">SEQ 表 \* ARABIC \s 2</w:instrText>
      </w:r>
      <w:r>
        <w:rPr>
          <w:rFonts w:ascii="Times New Roman" w:hAnsi="Times New Roman" w:eastAsia="宋体" w:cs="Times New Roman"/>
          <w:sz w:val="24"/>
          <w:szCs w:val="21"/>
        </w:rPr>
        <w:instrText xml:space="preserve">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1</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 xml:space="preserve"> 北仑侧P60塔横向各段尺寸及轮廓特征</w:t>
      </w:r>
    </w:p>
    <w:tbl>
      <w:tblPr>
        <w:tblStyle w:val="393"/>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980"/>
        <w:gridCol w:w="1626"/>
        <w:gridCol w:w="1803"/>
        <w:gridCol w:w="1803"/>
        <w:gridCol w:w="18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3606" w:type="dxa"/>
            <w:gridSpan w:val="2"/>
            <w:tcBorders>
              <w:top w:val="single" w:color="FFFFFF" w:sz="4" w:space="0"/>
              <w:left w:val="single" w:color="FFFFFF" w:sz="4" w:space="0"/>
              <w:right w:val="nil"/>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部位</w:t>
            </w:r>
          </w:p>
        </w:tc>
        <w:tc>
          <w:tcPr>
            <w:tcW w:w="1803" w:type="dxa"/>
            <w:tcBorders>
              <w:top w:val="single" w:color="FFFFFF" w:sz="4" w:space="0"/>
              <w:right w:val="nil"/>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高度</w:t>
            </w:r>
          </w:p>
        </w:tc>
        <w:tc>
          <w:tcPr>
            <w:tcW w:w="1803" w:type="dxa"/>
            <w:tcBorders>
              <w:top w:val="single" w:color="FFFFFF" w:sz="4" w:space="0"/>
              <w:right w:val="nil"/>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横向水平尺寸</w:t>
            </w:r>
          </w:p>
        </w:tc>
        <w:tc>
          <w:tcPr>
            <w:tcW w:w="1804" w:type="dxa"/>
            <w:tcBorders>
              <w:top w:val="single" w:color="FFFFFF" w:sz="4" w:space="0"/>
              <w:right w:val="single" w:color="FFFFFF" w:sz="4" w:space="0"/>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轮廓特征</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3606" w:type="dxa"/>
            <w:gridSpan w:val="2"/>
            <w:tcBorders>
              <w:left w:val="single" w:color="FFFFFF" w:sz="4" w:space="0"/>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下塔柱</w:t>
            </w:r>
          </w:p>
        </w:tc>
        <w:tc>
          <w:tcPr>
            <w:tcW w:w="1803"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5</w:t>
            </w:r>
            <w:r>
              <w:rPr>
                <w:rFonts w:ascii="Times New Roman" w:hAnsi="Times New Roman" w:eastAsia="宋体" w:cs="Times New Roman"/>
                <w:sz w:val="24"/>
                <w:szCs w:val="21"/>
              </w:rPr>
              <w:t>2.5</w:t>
            </w:r>
            <w:r>
              <w:rPr>
                <w:rFonts w:hint="eastAsia" w:ascii="Times New Roman" w:hAnsi="Times New Roman" w:eastAsia="宋体" w:cs="Times New Roman"/>
                <w:sz w:val="24"/>
                <w:szCs w:val="21"/>
              </w:rPr>
              <w:t>（5</w:t>
            </w:r>
            <w:r>
              <w:rPr>
                <w:rFonts w:ascii="Times New Roman" w:hAnsi="Times New Roman" w:eastAsia="宋体" w:cs="Times New Roman"/>
                <w:sz w:val="24"/>
                <w:szCs w:val="21"/>
              </w:rPr>
              <w:t>2</w:t>
            </w:r>
            <w:r>
              <w:rPr>
                <w:rFonts w:hint="eastAsia" w:ascii="Times New Roman" w:hAnsi="Times New Roman" w:eastAsia="宋体" w:cs="Times New Roman"/>
                <w:sz w:val="24"/>
                <w:szCs w:val="21"/>
              </w:rPr>
              <w:t>）</w:t>
            </w:r>
          </w:p>
        </w:tc>
        <w:tc>
          <w:tcPr>
            <w:tcW w:w="1803"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1</w:t>
            </w:r>
            <w:r>
              <w:rPr>
                <w:rFonts w:ascii="Times New Roman" w:hAnsi="Times New Roman" w:eastAsia="宋体" w:cs="Times New Roman"/>
                <w:sz w:val="24"/>
                <w:szCs w:val="21"/>
              </w:rPr>
              <w:t>0</w:t>
            </w:r>
            <w:r>
              <w:rPr>
                <w:rFonts w:hint="eastAsia" w:ascii="Times New Roman" w:hAnsi="Times New Roman" w:eastAsia="宋体" w:cs="Times New Roman"/>
                <w:sz w:val="24"/>
                <w:szCs w:val="21"/>
              </w:rPr>
              <w:t>（9</w:t>
            </w:r>
            <w:r>
              <w:rPr>
                <w:rFonts w:ascii="Times New Roman" w:hAnsi="Times New Roman" w:eastAsia="宋体" w:cs="Times New Roman"/>
                <w:sz w:val="24"/>
                <w:szCs w:val="21"/>
              </w:rPr>
              <w:t>.967</w:t>
            </w:r>
            <w:r>
              <w:rPr>
                <w:rFonts w:hint="eastAsia" w:ascii="Times New Roman" w:hAnsi="Times New Roman" w:eastAsia="宋体" w:cs="Times New Roman"/>
                <w:sz w:val="24"/>
                <w:szCs w:val="21"/>
              </w:rPr>
              <w:t>）～</w:t>
            </w:r>
            <w:r>
              <w:rPr>
                <w:rFonts w:ascii="Times New Roman" w:hAnsi="Times New Roman" w:eastAsia="宋体" w:cs="Times New Roman"/>
                <w:sz w:val="24"/>
                <w:szCs w:val="21"/>
              </w:rPr>
              <w:t>6.5</w:t>
            </w:r>
          </w:p>
        </w:tc>
        <w:tc>
          <w:tcPr>
            <w:tcW w:w="1804"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斜率1</w:t>
            </w:r>
            <w:r>
              <w:rPr>
                <w:rFonts w:ascii="Times New Roman" w:hAnsi="Times New Roman" w:eastAsia="宋体" w:cs="Times New Roman"/>
                <w:sz w:val="24"/>
                <w:szCs w:val="21"/>
              </w:rPr>
              <w:t>/4.2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3606" w:type="dxa"/>
            <w:gridSpan w:val="2"/>
            <w:tcBorders>
              <w:left w:val="single" w:color="FFFFFF" w:sz="4" w:space="0"/>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横梁段塔柱</w:t>
            </w:r>
          </w:p>
        </w:tc>
        <w:tc>
          <w:tcPr>
            <w:tcW w:w="1803" w:type="dxa"/>
            <w:shd w:val="clear" w:color="auto" w:fill="D9E2F3"/>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9</w:t>
            </w:r>
          </w:p>
        </w:tc>
        <w:tc>
          <w:tcPr>
            <w:tcW w:w="1803" w:type="dxa"/>
            <w:shd w:val="clear" w:color="auto" w:fill="D9E2F3"/>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6</w:t>
            </w:r>
            <w:r>
              <w:rPr>
                <w:rFonts w:ascii="Times New Roman" w:hAnsi="Times New Roman" w:eastAsia="宋体" w:cs="Times New Roman"/>
                <w:sz w:val="24"/>
                <w:szCs w:val="21"/>
              </w:rPr>
              <w:t>.767～6.5</w:t>
            </w:r>
          </w:p>
        </w:tc>
        <w:tc>
          <w:tcPr>
            <w:tcW w:w="1804" w:type="dxa"/>
            <w:shd w:val="clear" w:color="auto" w:fill="D9E2F3"/>
            <w:noWrap w:val="0"/>
            <w:vAlign w:val="center"/>
          </w:tcPr>
          <w:p>
            <w:pPr>
              <w:spacing w:line="360" w:lineRule="auto"/>
              <w:ind w:firstLine="480" w:firstLineChars="200"/>
              <w:rPr>
                <w:rFonts w:ascii="Times New Roman" w:hAnsi="Times New Roman" w:eastAsia="宋体" w:cs="Times New Roman"/>
                <w:sz w:val="24"/>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3606" w:type="dxa"/>
            <w:gridSpan w:val="2"/>
            <w:tcBorders>
              <w:left w:val="single" w:color="FFFFFF" w:sz="4" w:space="0"/>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中塔柱</w:t>
            </w:r>
          </w:p>
        </w:tc>
        <w:tc>
          <w:tcPr>
            <w:tcW w:w="1803"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8</w:t>
            </w:r>
            <w:r>
              <w:rPr>
                <w:rFonts w:ascii="Times New Roman" w:hAnsi="Times New Roman" w:eastAsia="宋体" w:cs="Times New Roman"/>
                <w:sz w:val="24"/>
                <w:szCs w:val="21"/>
              </w:rPr>
              <w:t>5.5</w:t>
            </w:r>
          </w:p>
        </w:tc>
        <w:tc>
          <w:tcPr>
            <w:tcW w:w="1803"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6</w:t>
            </w:r>
            <w:r>
              <w:rPr>
                <w:rFonts w:ascii="Times New Roman" w:hAnsi="Times New Roman" w:eastAsia="宋体" w:cs="Times New Roman"/>
                <w:sz w:val="24"/>
                <w:szCs w:val="21"/>
              </w:rPr>
              <w:t>.5</w:t>
            </w:r>
          </w:p>
        </w:tc>
        <w:tc>
          <w:tcPr>
            <w:tcW w:w="1804" w:type="dxa"/>
            <w:vMerge w:val="restart"/>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斜率1</w:t>
            </w:r>
            <w:r>
              <w:rPr>
                <w:rFonts w:ascii="Times New Roman" w:hAnsi="Times New Roman" w:eastAsia="宋体" w:cs="Times New Roman"/>
                <w:sz w:val="24"/>
                <w:szCs w:val="21"/>
              </w:rPr>
              <w:t>/7.67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980" w:type="dxa"/>
            <w:vMerge w:val="restart"/>
            <w:tcBorders>
              <w:left w:val="single" w:color="FFFFFF" w:sz="4" w:space="0"/>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r>
              <w:rPr>
                <w:rFonts w:hint="eastAsia" w:ascii="Times New Roman" w:hAnsi="Times New Roman" w:eastAsia="宋体" w:cs="Times New Roman"/>
                <w:b/>
                <w:bCs/>
                <w:color w:val="FFFFFF"/>
                <w:sz w:val="24"/>
                <w:szCs w:val="21"/>
              </w:rPr>
              <w:t>上塔柱</w:t>
            </w:r>
          </w:p>
        </w:tc>
        <w:tc>
          <w:tcPr>
            <w:tcW w:w="1626" w:type="dxa"/>
            <w:shd w:val="clear" w:color="auto" w:fill="D9E2F3"/>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上塔柱</w:t>
            </w:r>
          </w:p>
        </w:tc>
        <w:tc>
          <w:tcPr>
            <w:tcW w:w="1803" w:type="dxa"/>
            <w:shd w:val="clear" w:color="auto" w:fill="D9E2F3"/>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5</w:t>
            </w:r>
            <w:r>
              <w:rPr>
                <w:rFonts w:ascii="Times New Roman" w:hAnsi="Times New Roman" w:eastAsia="宋体" w:cs="Times New Roman"/>
                <w:sz w:val="24"/>
                <w:szCs w:val="21"/>
              </w:rPr>
              <w:t>1.5</w:t>
            </w:r>
          </w:p>
        </w:tc>
        <w:tc>
          <w:tcPr>
            <w:tcW w:w="1803" w:type="dxa"/>
            <w:shd w:val="clear" w:color="auto" w:fill="D9E2F3"/>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6</w:t>
            </w:r>
            <w:r>
              <w:rPr>
                <w:rFonts w:ascii="Times New Roman" w:hAnsi="Times New Roman" w:eastAsia="宋体" w:cs="Times New Roman"/>
                <w:sz w:val="24"/>
                <w:szCs w:val="21"/>
              </w:rPr>
              <w:t>.5</w:t>
            </w:r>
          </w:p>
        </w:tc>
        <w:tc>
          <w:tcPr>
            <w:tcW w:w="1804" w:type="dxa"/>
            <w:vMerge w:val="continue"/>
            <w:shd w:val="clear" w:color="auto" w:fill="D9E2F3"/>
            <w:noWrap w:val="0"/>
            <w:vAlign w:val="center"/>
          </w:tcPr>
          <w:p>
            <w:pPr>
              <w:spacing w:line="360" w:lineRule="auto"/>
              <w:ind w:firstLine="480" w:firstLineChars="200"/>
              <w:rPr>
                <w:rFonts w:ascii="Times New Roman" w:hAnsi="Times New Roman" w:eastAsia="宋体" w:cs="Times New Roman"/>
                <w:sz w:val="24"/>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980" w:type="dxa"/>
            <w:vMerge w:val="continue"/>
            <w:tcBorders>
              <w:left w:val="single" w:color="FFFFFF" w:sz="4" w:space="0"/>
              <w:bottom w:val="single" w:color="FFFFFF" w:sz="4" w:space="0"/>
            </w:tcBorders>
            <w:shd w:val="clear" w:color="auto" w:fill="4472C4"/>
            <w:noWrap w:val="0"/>
            <w:vAlign w:val="center"/>
          </w:tcPr>
          <w:p>
            <w:pPr>
              <w:spacing w:line="360" w:lineRule="auto"/>
              <w:ind w:firstLine="482" w:firstLineChars="200"/>
              <w:rPr>
                <w:rFonts w:ascii="Times New Roman" w:hAnsi="Times New Roman" w:eastAsia="宋体" w:cs="Times New Roman"/>
                <w:b/>
                <w:bCs/>
                <w:color w:val="FFFFFF"/>
                <w:sz w:val="24"/>
                <w:szCs w:val="21"/>
              </w:rPr>
            </w:pPr>
          </w:p>
        </w:tc>
        <w:tc>
          <w:tcPr>
            <w:tcW w:w="1626"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塔冠</w:t>
            </w:r>
          </w:p>
        </w:tc>
        <w:tc>
          <w:tcPr>
            <w:tcW w:w="1803"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2</w:t>
            </w:r>
            <w:r>
              <w:rPr>
                <w:rFonts w:ascii="Times New Roman" w:hAnsi="Times New Roman" w:eastAsia="宋体" w:cs="Times New Roman"/>
                <w:sz w:val="24"/>
                <w:szCs w:val="21"/>
              </w:rPr>
              <w:t>8</w:t>
            </w:r>
          </w:p>
        </w:tc>
        <w:tc>
          <w:tcPr>
            <w:tcW w:w="1803" w:type="dxa"/>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1</w:t>
            </w:r>
            <w:r>
              <w:rPr>
                <w:rFonts w:ascii="Times New Roman" w:hAnsi="Times New Roman" w:eastAsia="宋体" w:cs="Times New Roman"/>
                <w:sz w:val="24"/>
                <w:szCs w:val="21"/>
              </w:rPr>
              <w:t>5.297～8</w:t>
            </w:r>
          </w:p>
        </w:tc>
        <w:tc>
          <w:tcPr>
            <w:tcW w:w="1804" w:type="dxa"/>
            <w:vMerge w:val="continue"/>
            <w:shd w:val="clear" w:color="auto" w:fill="B4C6E7"/>
            <w:noWrap w:val="0"/>
            <w:vAlign w:val="center"/>
          </w:tcPr>
          <w:p>
            <w:pPr>
              <w:spacing w:line="360" w:lineRule="auto"/>
              <w:ind w:firstLine="480" w:firstLineChars="200"/>
              <w:rPr>
                <w:rFonts w:ascii="Times New Roman" w:hAnsi="Times New Roman" w:eastAsia="宋体" w:cs="Times New Roman"/>
                <w:sz w:val="24"/>
                <w:szCs w:val="21"/>
              </w:rPr>
            </w:pPr>
          </w:p>
        </w:tc>
      </w:tr>
    </w:tbl>
    <w:p>
      <w:pPr>
        <w:bidi w:val="0"/>
      </w:pPr>
      <w:r>
        <w:rPr>
          <w:rFonts w:hint="eastAsia"/>
        </w:rPr>
        <w:t>在塔柱上设置主梁横向抗风支座，与抗风支座对应塔柱内位置处设置一道1.5m厚的横隔板加劲，横隔板上设置竖向人孔；塔柱内在下横梁顶板、底板对应位置分别设置一道1.2m厚的横隔板，横隔板上设置竖向人孔。杭州侧边塔和中塔底部设置4m高的实心段，以利于索塔、承台之间的刚度过渡，北仑侧边塔考虑船撞作用，索塔底部实心段加高至4.5m。</w:t>
      </w:r>
    </w:p>
    <w:p>
      <w:pPr>
        <w:bidi w:val="0"/>
      </w:pPr>
      <w:r>
        <w:rPr>
          <w:rFonts w:hint="eastAsia"/>
        </w:rPr>
        <w:t>塔柱在塔顶横隔板、下横梁顶面、横桥向内侧对应桥面高度位置设置人孔，可实现索塔与桥面、下横梁的联通，便于维护检修。</w:t>
      </w:r>
    </w:p>
    <w:p>
      <w:pPr>
        <w:bidi w:val="0"/>
      </w:pPr>
      <w:r>
        <w:rPr>
          <w:rFonts w:hint="eastAsia"/>
        </w:rPr>
        <w:t>下、中塔柱横桥向外侧塔壁沿中线设置通风孔，通风采用φ100×6.2mm的PVC管，间距5m布置。所有通风管由内朝外向下3°设置，通风管若与钢筋及预应力管道发生干扰，其位置可适当调整。</w:t>
      </w:r>
    </w:p>
    <w:p>
      <w:pPr>
        <w:bidi w:val="0"/>
      </w:pPr>
      <w:r>
        <w:rPr>
          <w:rFonts w:hint="eastAsia"/>
        </w:rPr>
        <w:t>塔底两塔柱之间实心段顶面横桥向设置1%的双向坡，以利于排水。下塔柱底部外侧面及塔底装饰板最低点均设置排水孔。所有排水管均采用φ100×6.2mm的PVC管。</w:t>
      </w:r>
    </w:p>
    <w:p>
      <w:pPr>
        <w:pStyle w:val="5"/>
        <w:bidi w:val="0"/>
        <w:ind w:left="864" w:hanging="864"/>
      </w:pPr>
      <w:r>
        <w:rPr>
          <w:rFonts w:hint="eastAsia"/>
        </w:rPr>
        <w:t>下横梁</w:t>
      </w:r>
    </w:p>
    <w:p>
      <w:pPr>
        <w:bidi w:val="0"/>
      </w:pPr>
      <w:r>
        <w:rPr>
          <w:rFonts w:hint="eastAsia"/>
        </w:rPr>
        <w:t>索塔下横梁设置在主梁下方，下横梁顶标高+56.7m，。下横梁采用箱型断面，高度为7m，考虑装饰板后中心高度为7.5m。塔下横梁顶面宽度11.869m，底面宽12.159m。下横梁腹板壁厚1.5m，顶、底板壁厚1.2m。在主梁永久支座位置处设一道壁厚1m的竖向隔板。</w:t>
      </w:r>
    </w:p>
    <w:p>
      <w:pPr>
        <w:bidi w:val="0"/>
      </w:pPr>
      <w:r>
        <w:rPr>
          <w:rFonts w:hint="eastAsia"/>
        </w:rPr>
        <w:t>索塔下横梁采用预应力构件设计。杭州侧边塔下横梁布置60束15-25钢绞线，上缘布置24根，下缘布置36根；北仑侧边塔下横梁布置68束15-25钢绞线，上缘布置24根，下缘布置44根；中塔下横梁布置64根钢绞线，上缘布置20根，下缘布置40根。钢绞线锚下张拉控制应力采用1395MPa，每束张拉力为4882kN，两端张拉，所有预应力锚固点均设在塔柱外侧，采用深埋锚工艺，预应力管道采用塑料波纹管，真空压浆工艺。</w:t>
      </w:r>
    </w:p>
    <w:p>
      <w:pPr>
        <w:bidi w:val="0"/>
      </w:pPr>
      <w:r>
        <w:rPr>
          <w:rFonts w:hint="eastAsia"/>
        </w:rPr>
        <w:t>下横梁两道腹板侧壁设置通风孔，通风管采用φ100×6.2mm的PVC管，每侧腹板上设置7个通风孔，间距4m。所有通风管由内朝外向下倾斜3°设置，通风管若与钢筋或预应力管道发生干扰，其位置可适当调整。横梁各箱式底板最低位置设置排水孔，排水管采用φ160×6.2mm的PVC管。</w:t>
      </w:r>
    </w:p>
    <w:p>
      <w:pPr>
        <w:bidi w:val="0"/>
        <w:rPr>
          <w:rFonts w:hint="eastAsia" w:ascii="Times New Roman" w:hAnsi="Times New Roman" w:eastAsia="宋体" w:cs="Times New Roman"/>
          <w:szCs w:val="21"/>
        </w:rPr>
      </w:pPr>
      <w:r>
        <w:rPr>
          <w:rFonts w:hint="eastAsia"/>
        </w:rPr>
        <w:t>下横梁顶面设置支座垫石、阻尼装置锚块及主梁安装所需要的临时锚固装置等等。</w:t>
      </w:r>
    </w:p>
    <w:p>
      <w:pPr>
        <w:pStyle w:val="3"/>
        <w:keepNext w:val="0"/>
        <w:widowControl w:val="0"/>
        <w:kinsoku/>
        <w:wordWrap/>
        <w:overflowPunct/>
        <w:topLinePunct w:val="0"/>
        <w:autoSpaceDE/>
        <w:autoSpaceDN/>
        <w:bidi w:val="0"/>
        <w:adjustRightInd/>
        <w:snapToGrid/>
        <w:spacing w:line="480" w:lineRule="atLeast"/>
        <w:ind w:left="573" w:hanging="573"/>
        <w:textAlignment w:val="auto"/>
        <w:rPr>
          <w:rFonts w:hint="eastAsia" w:ascii="宋体" w:hAnsi="宋体" w:eastAsia="宋体" w:cs="宋体"/>
          <w:color w:val="000000" w:themeColor="text1"/>
          <w:sz w:val="24"/>
          <w:szCs w:val="24"/>
          <w14:textFill>
            <w14:solidFill>
              <w14:schemeClr w14:val="tx1"/>
            </w14:solidFill>
          </w14:textFill>
        </w:rPr>
      </w:pPr>
      <w:bookmarkStart w:id="20" w:name="_Toc30478"/>
      <w:r>
        <w:rPr>
          <w:rFonts w:hint="eastAsia" w:cs="宋体"/>
          <w:color w:val="000000" w:themeColor="text1"/>
          <w:sz w:val="24"/>
          <w:szCs w:val="24"/>
          <w:lang w:eastAsia="zh-CN"/>
          <w14:textFill>
            <w14:solidFill>
              <w14:schemeClr w14:val="tx1"/>
            </w14:solidFill>
          </w14:textFill>
        </w:rPr>
        <w:t>拆卸</w:t>
      </w:r>
      <w:r>
        <w:rPr>
          <w:rFonts w:hint="eastAsia" w:ascii="宋体" w:hAnsi="宋体" w:eastAsia="宋体" w:cs="宋体"/>
          <w:color w:val="000000" w:themeColor="text1"/>
          <w:sz w:val="24"/>
          <w:szCs w:val="24"/>
          <w14:textFill>
            <w14:solidFill>
              <w14:schemeClr w14:val="tx1"/>
            </w14:solidFill>
          </w14:textFill>
        </w:rPr>
        <w:t>现场工作环境及条件</w:t>
      </w:r>
      <w:bookmarkEnd w:id="20"/>
    </w:p>
    <w:p>
      <w:pPr>
        <w:bidi w:val="0"/>
        <w:rPr>
          <w:rFonts w:hint="eastAsia"/>
          <w:color w:val="auto"/>
          <w:highlight w:val="none"/>
        </w:rPr>
      </w:pPr>
      <w:r>
        <w:rPr>
          <w:rFonts w:hint="eastAsia"/>
        </w:rPr>
        <w:t>根据本工程及周边环境情况，综合考虑施工效率、现场材料吊重要求、施工合同要求等，我公司现场在</w:t>
      </w:r>
      <w:r>
        <w:rPr>
          <w:rFonts w:hint="eastAsia"/>
          <w:lang w:eastAsia="zh-CN"/>
        </w:rPr>
        <w:t>主墩</w:t>
      </w:r>
      <w:r>
        <w:rPr>
          <w:rFonts w:hint="eastAsia"/>
        </w:rPr>
        <w:t>区域拟</w:t>
      </w:r>
      <w:r>
        <w:rPr>
          <w:rFonts w:hint="eastAsia"/>
          <w:lang w:eastAsia="zh-CN"/>
        </w:rPr>
        <w:t>拆卸</w:t>
      </w:r>
      <w:r>
        <w:rPr>
          <w:rFonts w:hint="eastAsia"/>
        </w:rPr>
        <w:t>1台徐工</w:t>
      </w:r>
      <w:r>
        <w:rPr>
          <w:rFonts w:hint="eastAsia"/>
          <w:lang w:eastAsia="zh-CN"/>
        </w:rPr>
        <w:t>XGT660-32S</w:t>
      </w:r>
      <w:r>
        <w:rPr>
          <w:rFonts w:hint="eastAsia"/>
        </w:rPr>
        <w:t>塔式起重机。，塔机概况如</w:t>
      </w:r>
      <w:r>
        <w:rPr>
          <w:rFonts w:hint="eastAsia"/>
        </w:rPr>
        <w:fldChar w:fldCharType="begin"/>
      </w:r>
      <w:r>
        <w:rPr>
          <w:rFonts w:hint="eastAsia"/>
        </w:rPr>
        <w:instrText xml:space="preserve"> REF _Ref123064453 \h  \* MERGEFORMAT </w:instrText>
      </w:r>
      <w:r>
        <w:rPr>
          <w:rFonts w:hint="eastAsia"/>
        </w:rPr>
        <w:fldChar w:fldCharType="separate"/>
      </w:r>
      <w:r>
        <w:rPr>
          <w:rFonts w:hint="eastAsia"/>
        </w:rPr>
        <w:t>表2.2</w:t>
      </w:r>
      <w:r>
        <w:rPr>
          <w:rFonts w:hint="eastAsia"/>
          <w:lang w:eastAsia="zh-CN"/>
        </w:rPr>
        <w:t>-</w:t>
      </w:r>
      <w:r>
        <w:rPr>
          <w:rFonts w:hint="eastAsia"/>
        </w:rPr>
        <w:t>1</w:t>
      </w:r>
      <w:r>
        <w:rPr>
          <w:rFonts w:hint="eastAsia"/>
        </w:rPr>
        <w:fldChar w:fldCharType="end"/>
      </w:r>
      <w:r>
        <w:rPr>
          <w:rFonts w:hint="eastAsia"/>
        </w:rPr>
        <w:t>。</w:t>
      </w:r>
      <w:r>
        <w:rPr>
          <w:rFonts w:hint="eastAsia"/>
          <w:color w:val="auto"/>
          <w:highlight w:val="none"/>
          <w:lang w:val="en-US" w:eastAsia="zh-CN"/>
        </w:rPr>
        <w:t>本台塔机由重庆桥渝工程机械租赁有限公司拆卸。</w:t>
      </w:r>
    </w:p>
    <w:p>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rPr>
      </w:pPr>
      <w:bookmarkStart w:id="21" w:name="_Ref123064453"/>
      <w:r>
        <w:rPr>
          <w:rFonts w:hint="eastAsia" w:ascii="宋体" w:hAnsi="宋体" w:eastAsia="宋体" w:cs="宋体"/>
          <w:color w:val="auto"/>
          <w:sz w:val="24"/>
          <w:szCs w:val="24"/>
          <w:highlight w:val="none"/>
        </w:rPr>
        <w:t xml:space="preserve">表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STYLEREF 3 \s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表 \* ARABIC \s 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bookmarkEnd w:id="21"/>
      <w:r>
        <w:rPr>
          <w:rFonts w:hint="eastAsia" w:ascii="宋体" w:hAnsi="宋体" w:eastAsia="宋体" w:cs="宋体"/>
          <w:color w:val="auto"/>
          <w:sz w:val="24"/>
          <w:szCs w:val="24"/>
          <w:highlight w:val="none"/>
        </w:rPr>
        <w:t>塔机概况表</w:t>
      </w:r>
    </w:p>
    <w:tbl>
      <w:tblPr>
        <w:tblStyle w:val="43"/>
        <w:tblW w:w="9599"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1070"/>
        <w:gridCol w:w="1623"/>
        <w:gridCol w:w="1064"/>
        <w:gridCol w:w="1341"/>
        <w:gridCol w:w="1012"/>
        <w:gridCol w:w="1256"/>
        <w:gridCol w:w="223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504" w:hRule="atLeast"/>
          <w:jc w:val="center"/>
        </w:trPr>
        <w:tc>
          <w:tcPr>
            <w:tcW w:w="1070"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塔机编号</w:t>
            </w:r>
          </w:p>
        </w:tc>
        <w:tc>
          <w:tcPr>
            <w:tcW w:w="1623"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塔机型号</w:t>
            </w:r>
          </w:p>
        </w:tc>
        <w:tc>
          <w:tcPr>
            <w:tcW w:w="1064"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安装高度</w:t>
            </w:r>
          </w:p>
        </w:tc>
        <w:tc>
          <w:tcPr>
            <w:tcW w:w="1341"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预埋形式</w:t>
            </w:r>
          </w:p>
        </w:tc>
        <w:tc>
          <w:tcPr>
            <w:tcW w:w="1012"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起重臂长度m</w:t>
            </w:r>
          </w:p>
        </w:tc>
        <w:tc>
          <w:tcPr>
            <w:tcW w:w="1256"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起重臂</w:t>
            </w:r>
          </w:p>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顶升方向</w:t>
            </w:r>
          </w:p>
        </w:tc>
        <w:tc>
          <w:tcPr>
            <w:tcW w:w="2233"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基础顶标高</w:t>
            </w: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24" w:hRule="atLeast"/>
          <w:jc w:val="center"/>
        </w:trPr>
        <w:tc>
          <w:tcPr>
            <w:tcW w:w="1070"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塔机</w:t>
            </w:r>
          </w:p>
        </w:tc>
        <w:tc>
          <w:tcPr>
            <w:tcW w:w="1623" w:type="dxa"/>
            <w:tcBorders>
              <w:tl2br w:val="nil"/>
              <w:tr2bl w:val="nil"/>
            </w:tcBorders>
            <w:vAlign w:val="center"/>
          </w:tcPr>
          <w:p>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XGT660-32S</w:t>
            </w:r>
          </w:p>
        </w:tc>
        <w:tc>
          <w:tcPr>
            <w:tcW w:w="1064" w:type="dxa"/>
            <w:tcBorders>
              <w:tl2br w:val="nil"/>
              <w:tr2bl w:val="nil"/>
            </w:tcBorders>
            <w:vAlign w:val="center"/>
          </w:tcPr>
          <w:p>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lang w:val="en-US" w:eastAsia="zh-CN"/>
              </w:rPr>
              <w:t>217.48</w:t>
            </w:r>
            <w:r>
              <w:rPr>
                <w:rFonts w:hint="eastAsia" w:cs="宋体"/>
                <w:bCs/>
                <w:color w:val="auto"/>
                <w:sz w:val="21"/>
                <w:szCs w:val="21"/>
                <w:highlight w:val="none"/>
                <w:lang w:val="en-US" w:eastAsia="zh-CN"/>
              </w:rPr>
              <w:t>m</w:t>
            </w:r>
          </w:p>
        </w:tc>
        <w:tc>
          <w:tcPr>
            <w:tcW w:w="1341" w:type="dxa"/>
            <w:tcBorders>
              <w:tl2br w:val="nil"/>
              <w:tr2bl w:val="nil"/>
            </w:tcBorders>
            <w:vAlign w:val="center"/>
          </w:tcPr>
          <w:p>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钢平台基础</w:t>
            </w:r>
          </w:p>
        </w:tc>
        <w:tc>
          <w:tcPr>
            <w:tcW w:w="1012" w:type="dxa"/>
            <w:tcBorders>
              <w:tl2br w:val="nil"/>
              <w:tr2bl w:val="nil"/>
            </w:tcBorders>
            <w:vAlign w:val="center"/>
          </w:tcPr>
          <w:p>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30</w:t>
            </w:r>
          </w:p>
        </w:tc>
        <w:tc>
          <w:tcPr>
            <w:tcW w:w="1256" w:type="dxa"/>
            <w:tcBorders>
              <w:tl2br w:val="nil"/>
              <w:tr2bl w:val="nil"/>
            </w:tcBorders>
            <w:vAlign w:val="center"/>
          </w:tcPr>
          <w:p>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西北</w:t>
            </w:r>
          </w:p>
        </w:tc>
        <w:tc>
          <w:tcPr>
            <w:tcW w:w="2233" w:type="dxa"/>
            <w:tcBorders>
              <w:tl2br w:val="nil"/>
              <w:tr2bl w:val="nil"/>
            </w:tcBorders>
            <w:vAlign w:val="center"/>
          </w:tcPr>
          <w:p>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+4.64m</w:t>
            </w:r>
          </w:p>
        </w:tc>
      </w:tr>
    </w:tbl>
    <w:p>
      <w:pPr>
        <w:pStyle w:val="15"/>
        <w:kinsoku/>
        <w:overflowPunct/>
        <w:topLinePunct w:val="0"/>
        <w:bidi w:val="0"/>
        <w:spacing w:line="360" w:lineRule="atLeast"/>
        <w:rPr>
          <w:rFonts w:hint="eastAsia" w:ascii="宋体" w:hAnsi="宋体" w:eastAsia="宋体" w:cs="宋体"/>
        </w:rPr>
      </w:pPr>
      <w:r>
        <w:drawing>
          <wp:inline distT="0" distB="0" distL="114300" distR="114300">
            <wp:extent cx="5046980" cy="2734310"/>
            <wp:effectExtent l="0" t="0" r="1270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046980" cy="2734310"/>
                    </a:xfrm>
                    <a:prstGeom prst="rect">
                      <a:avLst/>
                    </a:prstGeom>
                    <a:noFill/>
                    <a:ln>
                      <a:noFill/>
                    </a:ln>
                  </pic:spPr>
                </pic:pic>
              </a:graphicData>
            </a:graphic>
          </wp:inline>
        </w:drawing>
      </w:r>
    </w:p>
    <w:p>
      <w:pPr>
        <w:pStyle w:val="15"/>
        <w:kinsoku/>
        <w:overflowPunct/>
        <w:topLinePunct w:val="0"/>
        <w:bidi w:val="0"/>
        <w:spacing w:line="360" w:lineRule="atLeast"/>
        <w:rPr>
          <w:rFonts w:hint="eastAsia" w:ascii="宋体" w:hAnsi="宋体" w:eastAsia="宋体" w:cs="宋体"/>
          <w:color w:val="auto"/>
          <w:sz w:val="24"/>
          <w:szCs w:val="24"/>
        </w:rPr>
      </w:pPr>
      <w:r>
        <w:rPr>
          <w:rFonts w:hint="eastAsia" w:ascii="宋体" w:hAnsi="宋体" w:eastAsia="宋体" w:cs="宋体"/>
          <w:color w:val="auto"/>
          <w:sz w:val="24"/>
          <w:szCs w:val="24"/>
        </w:rPr>
        <w:t>图</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STYLEREF 3 \s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2.2</w:t>
      </w:r>
      <w:r>
        <w:rPr>
          <w:rFonts w:hint="eastAsia" w:ascii="宋体" w:hAnsi="宋体" w:eastAsia="宋体" w:cs="宋体"/>
          <w:color w:val="auto"/>
          <w:sz w:val="24"/>
          <w:szCs w:val="24"/>
        </w:rPr>
        <w:fldChar w:fldCharType="end"/>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SEQ 图 \* ARABIC \s 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塔吊</w:t>
      </w:r>
      <w:r>
        <w:rPr>
          <w:rFonts w:hint="eastAsia" w:ascii="宋体" w:hAnsi="宋体" w:eastAsia="宋体" w:cs="宋体"/>
          <w:color w:val="auto"/>
          <w:sz w:val="24"/>
          <w:szCs w:val="24"/>
          <w:lang w:val="en-US" w:eastAsia="zh-CN"/>
        </w:rPr>
        <w:t>中心定位</w:t>
      </w:r>
      <w:r>
        <w:rPr>
          <w:rFonts w:hint="eastAsia" w:ascii="宋体" w:hAnsi="宋体" w:eastAsia="宋体" w:cs="宋体"/>
          <w:color w:val="auto"/>
          <w:sz w:val="24"/>
          <w:szCs w:val="24"/>
        </w:rPr>
        <w:t>图</w:t>
      </w:r>
    </w:p>
    <w:p>
      <w:pPr>
        <w:kinsoku/>
        <w:overflowPunct/>
        <w:topLinePunct w:val="0"/>
        <w:bidi w:val="0"/>
        <w:spacing w:line="360" w:lineRule="atLeast"/>
        <w:ind w:firstLine="480"/>
        <w:jc w:val="center"/>
        <w:rPr>
          <w:rFonts w:hint="eastAsia" w:ascii="宋体" w:hAnsi="宋体" w:eastAsia="宋体" w:cs="宋体"/>
          <w:sz w:val="21"/>
          <w:szCs w:val="21"/>
        </w:rPr>
      </w:pPr>
      <w:r>
        <w:drawing>
          <wp:inline distT="0" distB="0" distL="114300" distR="114300">
            <wp:extent cx="5583555" cy="2835275"/>
            <wp:effectExtent l="0" t="0" r="9525" b="1460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8"/>
                    <a:stretch>
                      <a:fillRect/>
                    </a:stretch>
                  </pic:blipFill>
                  <pic:spPr>
                    <a:xfrm>
                      <a:off x="0" y="0"/>
                      <a:ext cx="5583555" cy="2835275"/>
                    </a:xfrm>
                    <a:prstGeom prst="rect">
                      <a:avLst/>
                    </a:prstGeom>
                    <a:noFill/>
                    <a:ln>
                      <a:noFill/>
                    </a:ln>
                  </pic:spPr>
                </pic:pic>
              </a:graphicData>
            </a:graphic>
          </wp:inline>
        </w:drawing>
      </w:r>
    </w:p>
    <w:p>
      <w:pPr>
        <w:pStyle w:val="15"/>
        <w:kinsoku/>
        <w:overflowPunct/>
        <w:topLinePunct w:val="0"/>
        <w:bidi w:val="0"/>
        <w:spacing w:line="360" w:lineRule="atLeast"/>
        <w:rPr>
          <w:rFonts w:hint="eastAsia" w:ascii="宋体" w:hAnsi="宋体" w:eastAsia="宋体" w:cs="宋体"/>
          <w:color w:val="auto"/>
          <w:sz w:val="24"/>
          <w:szCs w:val="24"/>
        </w:rPr>
      </w:pPr>
      <w:r>
        <w:rPr>
          <w:rFonts w:hint="eastAsia" w:ascii="宋体" w:hAnsi="宋体" w:eastAsia="宋体" w:cs="宋体"/>
          <w:color w:val="auto"/>
          <w:sz w:val="24"/>
          <w:szCs w:val="24"/>
        </w:rPr>
        <w:t>图</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STYLEREF 3 \s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2.2</w:t>
      </w:r>
      <w:r>
        <w:rPr>
          <w:rFonts w:hint="eastAsia" w:ascii="宋体" w:hAnsi="宋体" w:eastAsia="宋体" w:cs="宋体"/>
          <w:color w:val="auto"/>
          <w:sz w:val="24"/>
          <w:szCs w:val="24"/>
        </w:rPr>
        <w:fldChar w:fldCharType="end"/>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塔吊平面布置图</w:t>
      </w:r>
    </w:p>
    <w:p>
      <w:pPr>
        <w:pStyle w:val="12"/>
        <w:kinsoku/>
        <w:overflowPunct/>
        <w:topLinePunct w:val="0"/>
        <w:bidi w:val="0"/>
        <w:spacing w:line="360" w:lineRule="atLeast"/>
        <w:ind w:firstLine="480"/>
        <w:jc w:val="center"/>
        <w:rPr>
          <w:rFonts w:hint="eastAsia" w:ascii="宋体" w:hAnsi="宋体" w:eastAsia="宋体" w:cs="宋体"/>
          <w:sz w:val="21"/>
          <w:szCs w:val="21"/>
        </w:rPr>
      </w:pPr>
      <w:r>
        <w:drawing>
          <wp:inline distT="0" distB="0" distL="114300" distR="114300">
            <wp:extent cx="2649855" cy="4736465"/>
            <wp:effectExtent l="0" t="0" r="1905" b="31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2649855" cy="4736465"/>
                    </a:xfrm>
                    <a:prstGeom prst="rect">
                      <a:avLst/>
                    </a:prstGeom>
                    <a:noFill/>
                    <a:ln>
                      <a:noFill/>
                    </a:ln>
                  </pic:spPr>
                </pic:pic>
              </a:graphicData>
            </a:graphic>
          </wp:inline>
        </w:drawing>
      </w:r>
    </w:p>
    <w:p>
      <w:pPr>
        <w:pStyle w:val="15"/>
        <w:kinsoku/>
        <w:overflowPunct/>
        <w:topLinePunct w:val="0"/>
        <w:bidi w:val="0"/>
        <w:spacing w:line="360" w:lineRule="atLeast"/>
        <w:ind w:firstLine="480"/>
        <w:rPr>
          <w:rFonts w:hint="eastAsia" w:ascii="宋体" w:hAnsi="宋体" w:eastAsia="宋体" w:cs="宋体"/>
          <w:sz w:val="21"/>
          <w:szCs w:val="21"/>
        </w:rPr>
      </w:pPr>
      <w:r>
        <w:rPr>
          <w:rFonts w:hint="eastAsia" w:ascii="宋体" w:hAnsi="宋体" w:eastAsia="宋体" w:cs="宋体"/>
          <w:sz w:val="21"/>
          <w:szCs w:val="21"/>
        </w:rPr>
        <w:t>图</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STYLEREF 3 \s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eastAsia="宋体" w:cs="宋体"/>
          <w:sz w:val="21"/>
          <w:szCs w:val="21"/>
        </w:rPr>
        <w:t>塔吊立面图</w:t>
      </w:r>
    </w:p>
    <w:p>
      <w:pPr>
        <w:pStyle w:val="3"/>
        <w:keepNext w:val="0"/>
        <w:keepLines/>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22" w:name="_Toc17346"/>
      <w:r>
        <w:rPr>
          <w:rFonts w:hint="eastAsia" w:ascii="宋体" w:hAnsi="宋体" w:eastAsia="宋体" w:cs="宋体"/>
          <w:sz w:val="24"/>
          <w:szCs w:val="24"/>
        </w:rPr>
        <w:t>塔式起重机概况</w:t>
      </w:r>
      <w:bookmarkEnd w:id="22"/>
    </w:p>
    <w:p>
      <w:pPr>
        <w:pStyle w:val="4"/>
        <w:keepNext w:val="0"/>
        <w:keepLines/>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1"/>
          <w:szCs w:val="21"/>
        </w:rPr>
      </w:pPr>
      <w:r>
        <w:rPr>
          <w:rFonts w:hint="eastAsia" w:ascii="宋体" w:hAnsi="宋体" w:eastAsia="宋体" w:cs="宋体"/>
          <w:sz w:val="24"/>
          <w:szCs w:val="24"/>
        </w:rPr>
        <w:t>徐工</w:t>
      </w:r>
      <w:r>
        <w:rPr>
          <w:rFonts w:hint="eastAsia" w:cs="宋体"/>
          <w:sz w:val="24"/>
          <w:szCs w:val="24"/>
          <w:lang w:eastAsia="zh-CN"/>
        </w:rPr>
        <w:t>XGT660-32S</w:t>
      </w:r>
      <w:r>
        <w:rPr>
          <w:rFonts w:hint="eastAsia" w:ascii="宋体" w:hAnsi="宋体" w:eastAsia="宋体" w:cs="宋体"/>
          <w:sz w:val="24"/>
          <w:szCs w:val="24"/>
        </w:rPr>
        <w:t>塔机基本性能参数表</w:t>
      </w:r>
    </w:p>
    <w:p>
      <w:pPr>
        <w:pStyle w:val="15"/>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2.3.1</w:t>
      </w:r>
      <w:r>
        <w:rPr>
          <w:rFonts w:hint="eastAsia" w:ascii="宋体" w:hAnsi="宋体" w:eastAsia="宋体" w:cs="宋体"/>
          <w:sz w:val="24"/>
          <w:szCs w:val="24"/>
        </w:rPr>
        <w:fldChar w:fldCharType="end"/>
      </w:r>
      <w:r>
        <w:rPr>
          <w:rFonts w:hint="eastAsia" w:ascii="宋体" w:hAnsi="宋体" w:cs="宋体"/>
          <w:sz w:val="24"/>
          <w:szCs w:val="24"/>
          <w:lang w:val="en-US"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表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徐工</w:t>
      </w:r>
      <w:r>
        <w:rPr>
          <w:rFonts w:hint="eastAsia" w:ascii="宋体" w:hAnsi="宋体" w:cs="宋体"/>
          <w:sz w:val="24"/>
          <w:szCs w:val="24"/>
          <w:lang w:eastAsia="zh-CN"/>
        </w:rPr>
        <w:t>XGT660-32S</w:t>
      </w:r>
      <w:r>
        <w:rPr>
          <w:rFonts w:hint="eastAsia" w:ascii="宋体" w:hAnsi="宋体" w:eastAsia="宋体" w:cs="宋体"/>
          <w:sz w:val="24"/>
          <w:szCs w:val="24"/>
        </w:rPr>
        <w:t>塔吊主要技术性能参数表</w:t>
      </w:r>
    </w:p>
    <w:p>
      <w:pPr>
        <w:pStyle w:val="15"/>
        <w:kinsoku/>
        <w:overflowPunct/>
        <w:topLinePunct w:val="0"/>
        <w:bidi w:val="0"/>
        <w:spacing w:line="360" w:lineRule="atLeast"/>
        <w:rPr>
          <w:rFonts w:hint="eastAsia" w:ascii="宋体" w:hAnsi="宋体" w:eastAsia="宋体" w:cs="宋体"/>
          <w:sz w:val="21"/>
          <w:szCs w:val="21"/>
        </w:rPr>
      </w:pPr>
      <w:r>
        <w:drawing>
          <wp:inline distT="0" distB="0" distL="114300" distR="114300">
            <wp:extent cx="4411980" cy="5562600"/>
            <wp:effectExtent l="0" t="0" r="762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0"/>
                    <a:stretch>
                      <a:fillRect/>
                    </a:stretch>
                  </pic:blipFill>
                  <pic:spPr>
                    <a:xfrm>
                      <a:off x="0" y="0"/>
                      <a:ext cx="4411980" cy="5562600"/>
                    </a:xfrm>
                    <a:prstGeom prst="rect">
                      <a:avLst/>
                    </a:prstGeom>
                    <a:noFill/>
                    <a:ln>
                      <a:noFill/>
                    </a:ln>
                  </pic:spPr>
                </pic:pic>
              </a:graphicData>
            </a:graphic>
          </wp:inline>
        </w:drawing>
      </w:r>
    </w:p>
    <w:p>
      <w:pPr>
        <w:pStyle w:val="15"/>
        <w:kinsoku/>
        <w:overflowPunct/>
        <w:topLinePunct w:val="0"/>
        <w:bidi w:val="0"/>
        <w:spacing w:line="360" w:lineRule="atLeast"/>
        <w:rPr>
          <w:rFonts w:hint="eastAsia" w:ascii="宋体" w:hAnsi="宋体" w:eastAsia="宋体" w:cs="宋体"/>
          <w:sz w:val="21"/>
          <w:szCs w:val="21"/>
        </w:rPr>
      </w:pPr>
    </w:p>
    <w:p>
      <w:pPr>
        <w:kinsoku/>
        <w:overflowPunct/>
        <w:topLinePunct w:val="0"/>
        <w:bidi w:val="0"/>
        <w:spacing w:line="360" w:lineRule="atLeast"/>
        <w:ind w:firstLine="480"/>
        <w:rPr>
          <w:rFonts w:hint="eastAsia" w:ascii="宋体" w:hAnsi="宋体" w:eastAsia="宋体" w:cs="宋体"/>
          <w:sz w:val="21"/>
          <w:szCs w:val="21"/>
        </w:rPr>
      </w:pPr>
    </w:p>
    <w:p>
      <w:pPr>
        <w:kinsoku/>
        <w:overflowPunct/>
        <w:topLinePunct w:val="0"/>
        <w:bidi w:val="0"/>
        <w:spacing w:line="360" w:lineRule="atLeast"/>
        <w:ind w:firstLine="480"/>
        <w:rPr>
          <w:rFonts w:hint="eastAsia" w:ascii="宋体" w:hAnsi="宋体" w:eastAsia="宋体" w:cs="宋体"/>
          <w:sz w:val="21"/>
          <w:szCs w:val="21"/>
        </w:rPr>
      </w:pPr>
      <w:r>
        <w:rPr>
          <w:rFonts w:hint="eastAsia" w:ascii="宋体" w:hAnsi="宋体" w:eastAsia="宋体" w:cs="宋体"/>
          <w:sz w:val="21"/>
          <w:szCs w:val="21"/>
        </w:rPr>
        <w:br w:type="page"/>
      </w:r>
    </w:p>
    <w:p>
      <w:pPr>
        <w:pStyle w:val="15"/>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表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t>徐工</w:t>
      </w:r>
      <w:r>
        <w:rPr>
          <w:rFonts w:hint="eastAsia" w:ascii="宋体" w:hAnsi="宋体" w:cs="宋体"/>
          <w:sz w:val="24"/>
          <w:szCs w:val="24"/>
          <w:lang w:eastAsia="zh-CN"/>
        </w:rPr>
        <w:t>XGT660-32S</w:t>
      </w:r>
      <w:r>
        <w:rPr>
          <w:rFonts w:hint="eastAsia" w:ascii="宋体" w:hAnsi="宋体" w:eastAsia="宋体" w:cs="宋体"/>
          <w:sz w:val="24"/>
          <w:szCs w:val="24"/>
        </w:rPr>
        <w:t>起重性能表</w:t>
      </w:r>
    </w:p>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sz w:val="21"/>
        </w:rPr>
        <mc:AlternateContent>
          <mc:Choice Requires="wps">
            <w:drawing>
              <wp:anchor distT="0" distB="0" distL="114300" distR="114300" simplePos="0" relativeHeight="251665408" behindDoc="0" locked="0" layoutInCell="1" allowOverlap="1">
                <wp:simplePos x="0" y="0"/>
                <wp:positionH relativeFrom="column">
                  <wp:posOffset>247650</wp:posOffset>
                </wp:positionH>
                <wp:positionV relativeFrom="paragraph">
                  <wp:posOffset>3740150</wp:posOffset>
                </wp:positionV>
                <wp:extent cx="3586480" cy="472440"/>
                <wp:effectExtent l="13970" t="13970" r="26670" b="16510"/>
                <wp:wrapNone/>
                <wp:docPr id="30" name="矩形 30"/>
                <wp:cNvGraphicFramePr/>
                <a:graphic xmlns:a="http://schemas.openxmlformats.org/drawingml/2006/main">
                  <a:graphicData uri="http://schemas.microsoft.com/office/word/2010/wordprocessingShape">
                    <wps:wsp>
                      <wps:cNvSpPr/>
                      <wps:spPr>
                        <a:xfrm>
                          <a:off x="967740" y="4868545"/>
                          <a:ext cx="3586480" cy="472440"/>
                        </a:xfrm>
                        <a:prstGeom prst="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294.5pt;height:37.2pt;width:282.4pt;z-index:251665408;v-text-anchor:middle;mso-width-relative:page;mso-height-relative:page;" filled="f" stroked="t" coordsize="21600,21600" o:gfxdata="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u2VqtgAAAAKAQAADwAAAAAAAAABACAAAAAiAAAAZHJzL2Rvd25yZXYueG1s&#10;UEsBAhQAFAAAAAgAh07iQN62QXpqAgAAwQQAAA4AAAAAAAAAAQAgAAAAJwEAAGRycy9lMm9Eb2Mu&#10;eG1sUEsFBgAAAAAGAAYAWQEAAAMGAAAAAA==&#10;">
                <v:fill on="f" focussize="0,0"/>
                <v:stroke weight="2.25pt" color="#FF0000 [2404]" joinstyle="round"/>
                <v:imagedata o:title=""/>
                <o:lock v:ext="edit" aspectratio="f"/>
              </v:rect>
            </w:pict>
          </mc:Fallback>
        </mc:AlternateContent>
      </w:r>
      <w:r>
        <w:rPr>
          <w:rFonts w:ascii="Times New Roman" w:hAnsi="Times New Roman" w:eastAsia="宋体" w:cs="Times New Roman"/>
          <w:kern w:val="2"/>
          <w:sz w:val="21"/>
          <w:szCs w:val="21"/>
          <w:lang w:val="en-US" w:eastAsia="zh-CN" w:bidi="ar-SA"/>
        </w:rPr>
        <w:drawing>
          <wp:inline distT="0" distB="0" distL="114300" distR="114300">
            <wp:extent cx="5372735" cy="4299585"/>
            <wp:effectExtent l="0" t="0" r="6985" b="1333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1"/>
                    <a:stretch>
                      <a:fillRect/>
                    </a:stretch>
                  </pic:blipFill>
                  <pic:spPr>
                    <a:xfrm>
                      <a:off x="0" y="0"/>
                      <a:ext cx="5372735" cy="4299585"/>
                    </a:xfrm>
                    <a:prstGeom prst="rect">
                      <a:avLst/>
                    </a:prstGeom>
                    <a:noFill/>
                    <a:ln>
                      <a:noFill/>
                    </a:ln>
                  </pic:spPr>
                </pic:pic>
              </a:graphicData>
            </a:graphic>
          </wp:inline>
        </w:drawing>
      </w:r>
    </w:p>
    <w:p>
      <w:pPr>
        <w:pStyle w:val="15"/>
        <w:kinsoku/>
        <w:overflowPunct/>
        <w:topLinePunct w:val="0"/>
        <w:bidi w:val="0"/>
        <w:spacing w:line="360" w:lineRule="atLeast"/>
        <w:rPr>
          <w:rFonts w:hint="eastAsia" w:ascii="宋体" w:hAnsi="宋体" w:eastAsia="宋体" w:cs="宋体"/>
          <w:sz w:val="21"/>
          <w:szCs w:val="21"/>
        </w:rPr>
      </w:pPr>
    </w:p>
    <w:p>
      <w:pPr>
        <w:pStyle w:val="4"/>
        <w:keepNext w:val="0"/>
        <w:kinsoku/>
        <w:overflowPunct/>
        <w:topLinePunct w:val="0"/>
        <w:bidi w:val="0"/>
        <w:spacing w:line="360" w:lineRule="atLeast"/>
        <w:ind w:left="0" w:firstLine="0"/>
        <w:rPr>
          <w:rFonts w:hint="eastAsia" w:ascii="宋体" w:hAnsi="宋体" w:eastAsia="宋体" w:cs="宋体"/>
          <w:sz w:val="24"/>
          <w:szCs w:val="24"/>
        </w:rPr>
      </w:pPr>
      <w:bookmarkStart w:id="23" w:name="_Toc10409776"/>
      <w:bookmarkStart w:id="24" w:name="_Toc16276"/>
      <w:bookmarkStart w:id="25" w:name="_Toc15331"/>
      <w:r>
        <w:rPr>
          <w:rFonts w:hint="eastAsia" w:ascii="宋体" w:hAnsi="宋体" w:eastAsia="宋体" w:cs="宋体"/>
          <w:sz w:val="24"/>
          <w:szCs w:val="24"/>
        </w:rPr>
        <w:t>塔式起重机主要部件</w:t>
      </w:r>
      <w:bookmarkEnd w:id="23"/>
      <w:bookmarkEnd w:id="24"/>
      <w:bookmarkEnd w:id="25"/>
    </w:p>
    <w:p>
      <w:pPr>
        <w:pStyle w:val="15"/>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050280" cy="7253605"/>
            <wp:effectExtent l="0" t="0" r="0" b="63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6050280" cy="7253605"/>
                    </a:xfrm>
                    <a:prstGeom prst="rect">
                      <a:avLst/>
                    </a:prstGeom>
                    <a:noFill/>
                    <a:ln>
                      <a:noFill/>
                    </a:ln>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徐工</w:t>
      </w:r>
      <w:r>
        <w:rPr>
          <w:rFonts w:hint="eastAsia" w:ascii="宋体" w:hAnsi="宋体" w:cs="宋体"/>
          <w:sz w:val="24"/>
          <w:szCs w:val="24"/>
          <w:lang w:eastAsia="zh-CN"/>
        </w:rPr>
        <w:t>XGT660-32S</w:t>
      </w:r>
      <w:r>
        <w:rPr>
          <w:rFonts w:hint="eastAsia" w:ascii="宋体" w:hAnsi="宋体" w:eastAsia="宋体" w:cs="宋体"/>
          <w:sz w:val="24"/>
          <w:szCs w:val="24"/>
        </w:rPr>
        <w:t>塔吊结构图</w:t>
      </w:r>
    </w:p>
    <w:p>
      <w:pPr>
        <w:pStyle w:val="15"/>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 xml:space="preserve">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表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单个徐工</w:t>
      </w:r>
      <w:r>
        <w:rPr>
          <w:rFonts w:hint="eastAsia" w:ascii="宋体" w:hAnsi="宋体" w:cs="宋体"/>
          <w:sz w:val="24"/>
          <w:szCs w:val="24"/>
          <w:lang w:eastAsia="zh-CN"/>
        </w:rPr>
        <w:t>XGT660-32S</w:t>
      </w:r>
      <w:r>
        <w:rPr>
          <w:rFonts w:hint="eastAsia" w:ascii="宋体" w:hAnsi="宋体" w:eastAsia="宋体" w:cs="宋体"/>
          <w:sz w:val="24"/>
          <w:szCs w:val="24"/>
        </w:rPr>
        <w:t>塔吊主要结构尺寸参数表</w:t>
      </w:r>
    </w:p>
    <w:tbl>
      <w:tblPr>
        <w:tblStyle w:val="42"/>
        <w:tblW w:w="5000" w:type="pct"/>
        <w:jc w:val="center"/>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Layout w:type="autofit"/>
        <w:tblCellMar>
          <w:top w:w="0" w:type="dxa"/>
          <w:left w:w="108" w:type="dxa"/>
          <w:bottom w:w="0" w:type="dxa"/>
          <w:right w:w="108" w:type="dxa"/>
        </w:tblCellMar>
      </w:tblPr>
      <w:tblGrid>
        <w:gridCol w:w="797"/>
        <w:gridCol w:w="2840"/>
        <w:gridCol w:w="1248"/>
        <w:gridCol w:w="2570"/>
        <w:gridCol w:w="1603"/>
        <w:gridCol w:w="797"/>
      </w:tblGrid>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bookmarkStart w:id="26" w:name="_Toc6722"/>
            <w:bookmarkStart w:id="27" w:name="_Toc13906"/>
            <w:r>
              <w:rPr>
                <w:rFonts w:hint="eastAsia" w:ascii="宋体" w:hAnsi="宋体" w:eastAsia="宋体" w:cs="宋体"/>
                <w:b w:val="0"/>
                <w:bCs w:val="0"/>
                <w:kern w:val="2"/>
                <w:sz w:val="24"/>
                <w:szCs w:val="24"/>
                <w:lang w:val="en-US" w:eastAsia="zh-CN" w:bidi="ar-SA"/>
              </w:rPr>
              <w:t>序号</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吊装单元名称</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数量</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外形尺寸（m）</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重量（kg）</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备注</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基础节</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2.5×2.5×5.9</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5654</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1025"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标准节</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N</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2.5×2.5×5.9</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4935</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根据高度</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爬升架</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3.36×3.36×11.57</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13390</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回转总成（含司机室）</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7.26×2.8×3.115</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11670</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平衡臂1</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r>
              <w:rPr>
                <w:rFonts w:hint="eastAsia" w:cs="宋体"/>
                <w:b w:val="0"/>
                <w:bCs w:val="0"/>
                <w:kern w:val="2"/>
                <w:sz w:val="24"/>
                <w:szCs w:val="24"/>
                <w:lang w:val="en-US" w:eastAsia="zh-CN" w:bidi="ar-SA"/>
              </w:rPr>
              <w:t>1</w:t>
            </w:r>
            <w:r>
              <w:rPr>
                <w:rFonts w:hint="eastAsia" w:ascii="宋体" w:hAnsi="宋体" w:eastAsia="宋体" w:cs="宋体"/>
                <w:b w:val="0"/>
                <w:bCs w:val="0"/>
                <w:kern w:val="2"/>
                <w:sz w:val="24"/>
                <w:szCs w:val="24"/>
                <w:lang w:val="en-US" w:eastAsia="zh-CN" w:bidi="ar-SA"/>
              </w:rPr>
              <w:t>.2×2×2.36</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8556</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6</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平衡臂节3</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11.9×2×0.67</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10539</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7</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第一块平衡重</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1.95×0.33×4.28</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4750</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845"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8</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5</w:t>
            </w:r>
            <w:r>
              <w:rPr>
                <w:rFonts w:hint="eastAsia" w:cs="宋体"/>
                <w:b w:val="0"/>
                <w:bCs w:val="0"/>
                <w:kern w:val="2"/>
                <w:sz w:val="24"/>
                <w:szCs w:val="24"/>
                <w:highlight w:val="none"/>
                <w:lang w:val="en-US" w:eastAsia="zh-CN" w:bidi="ar-SA"/>
              </w:rPr>
              <w:t>0</w:t>
            </w:r>
            <w:r>
              <w:rPr>
                <w:rFonts w:hint="eastAsia" w:ascii="宋体" w:hAnsi="宋体" w:eastAsia="宋体" w:cs="宋体"/>
                <w:b w:val="0"/>
                <w:bCs w:val="0"/>
                <w:kern w:val="2"/>
                <w:sz w:val="24"/>
                <w:szCs w:val="24"/>
                <w:highlight w:val="none"/>
                <w:lang w:val="en-US" w:eastAsia="zh-CN" w:bidi="ar-SA"/>
              </w:rPr>
              <w:t>m起重臂总成</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7</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5</w:t>
            </w:r>
            <w:r>
              <w:rPr>
                <w:rFonts w:hint="eastAsia" w:cs="宋体"/>
                <w:b w:val="0"/>
                <w:bCs w:val="0"/>
                <w:kern w:val="2"/>
                <w:sz w:val="24"/>
                <w:szCs w:val="24"/>
                <w:highlight w:val="none"/>
                <w:lang w:val="en-US" w:eastAsia="zh-CN" w:bidi="ar-SA"/>
              </w:rPr>
              <w:t>0</w:t>
            </w:r>
            <w:r>
              <w:rPr>
                <w:rFonts w:hint="eastAsia" w:ascii="宋体" w:hAnsi="宋体" w:eastAsia="宋体" w:cs="宋体"/>
                <w:b w:val="0"/>
                <w:bCs w:val="0"/>
                <w:kern w:val="2"/>
                <w:sz w:val="24"/>
                <w:szCs w:val="24"/>
                <w:highlight w:val="none"/>
                <w:lang w:val="en-US" w:eastAsia="zh-CN" w:bidi="ar-SA"/>
              </w:rPr>
              <w:t>×1.45×2.32</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15.026</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可分段</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9</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30</w:t>
            </w:r>
            <w:r>
              <w:rPr>
                <w:rFonts w:hint="eastAsia" w:ascii="宋体" w:hAnsi="宋体" w:eastAsia="宋体" w:cs="宋体"/>
                <w:b w:val="0"/>
                <w:bCs w:val="0"/>
                <w:kern w:val="2"/>
                <w:sz w:val="24"/>
                <w:szCs w:val="24"/>
                <w:highlight w:val="none"/>
                <w:lang w:val="en-US" w:eastAsia="zh-CN" w:bidi="ar-SA"/>
              </w:rPr>
              <w:t>m起重臂总成</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4</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30</w:t>
            </w:r>
            <w:r>
              <w:rPr>
                <w:rFonts w:hint="eastAsia" w:ascii="宋体" w:hAnsi="宋体" w:eastAsia="宋体" w:cs="宋体"/>
                <w:b w:val="0"/>
                <w:bCs w:val="0"/>
                <w:kern w:val="2"/>
                <w:sz w:val="24"/>
                <w:szCs w:val="24"/>
                <w:highlight w:val="none"/>
                <w:lang w:val="en-US" w:eastAsia="zh-CN" w:bidi="ar-SA"/>
              </w:rPr>
              <w:t>×1.45×2.32</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8.814</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10</w:t>
            </w:r>
          </w:p>
        </w:tc>
        <w:tc>
          <w:tcPr>
            <w:tcW w:w="1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剩余平衡重</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1.4×3.34×0.357</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1.4×2.084×0.357</w:t>
            </w:r>
          </w:p>
        </w:tc>
        <w:tc>
          <w:tcPr>
            <w:tcW w:w="8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4750/3230</w:t>
            </w:r>
          </w:p>
        </w:tc>
        <w:tc>
          <w:tcPr>
            <w:tcW w:w="4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p>
        </w:tc>
      </w:tr>
    </w:tbl>
    <w:p>
      <w:pPr>
        <w:pStyle w:val="4"/>
        <w:keepNext w:val="0"/>
        <w:kinsoku/>
        <w:overflowPunct/>
        <w:topLinePunct w:val="0"/>
        <w:bidi w:val="0"/>
        <w:spacing w:line="360" w:lineRule="atLeast"/>
        <w:ind w:left="0" w:firstLine="0"/>
        <w:jc w:val="left"/>
        <w:rPr>
          <w:rFonts w:hint="eastAsia" w:ascii="宋体" w:hAnsi="宋体" w:eastAsia="宋体" w:cs="宋体"/>
          <w:sz w:val="24"/>
          <w:szCs w:val="24"/>
        </w:rPr>
      </w:pPr>
      <w:r>
        <w:rPr>
          <w:rFonts w:hint="eastAsia" w:ascii="宋体" w:hAnsi="宋体" w:eastAsia="宋体" w:cs="宋体"/>
          <w:sz w:val="24"/>
          <w:szCs w:val="24"/>
        </w:rPr>
        <w:t>基础设置</w:t>
      </w:r>
      <w:bookmarkEnd w:id="26"/>
      <w:bookmarkEnd w:id="27"/>
    </w:p>
    <w:p>
      <w:pPr>
        <w:kinsoku/>
        <w:overflowPunct/>
        <w:topLinePunct w:val="0"/>
        <w:bidi w:val="0"/>
        <w:spacing w:after="120" w:line="360" w:lineRule="atLeast"/>
        <w:ind w:firstLine="480"/>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塔吊及基础的基本情况见</w:t>
      </w:r>
      <w:r>
        <w:rPr>
          <w:rFonts w:hint="eastAsia" w:ascii="宋体" w:hAnsi="宋体" w:eastAsia="宋体" w:cs="宋体"/>
          <w:sz w:val="24"/>
          <w:szCs w:val="24"/>
        </w:rPr>
        <w:t>表</w:t>
      </w:r>
      <w:r>
        <w:rPr>
          <w:rFonts w:hint="eastAsia" w:ascii="宋体" w:hAnsi="宋体" w:eastAsia="宋体" w:cs="宋体"/>
          <w:sz w:val="24"/>
          <w:szCs w:val="24"/>
          <w:lang w:val="en-US" w:eastAsia="zh-CN"/>
        </w:rPr>
        <w:t>2.3.3</w:t>
      </w:r>
      <w:r>
        <w:rPr>
          <w:rFonts w:hint="eastAsia" w:ascii="宋体" w:hAnsi="宋体" w:eastAsia="宋体" w:cs="宋体"/>
          <w:sz w:val="24"/>
          <w:szCs w:val="24"/>
        </w:rPr>
        <w:t>-1</w:t>
      </w:r>
      <w:r>
        <w:rPr>
          <w:rFonts w:hint="eastAsia" w:ascii="宋体" w:hAnsi="宋体" w:eastAsia="宋体" w:cs="宋体"/>
          <w:bCs/>
          <w:color w:val="000000" w:themeColor="text1"/>
          <w:sz w:val="24"/>
          <w:szCs w:val="24"/>
          <w14:textFill>
            <w14:solidFill>
              <w14:schemeClr w14:val="tx1"/>
            </w14:solidFill>
          </w14:textFill>
        </w:rPr>
        <w:t>。</w:t>
      </w:r>
    </w:p>
    <w:p>
      <w:pPr>
        <w:pStyle w:val="15"/>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val="en-US" w:eastAsia="zh-CN"/>
        </w:rPr>
        <w:t>2.3.3</w:t>
      </w:r>
      <w:r>
        <w:rPr>
          <w:rFonts w:hint="eastAsia" w:ascii="宋体" w:hAnsi="宋体" w:eastAsia="宋体" w:cs="宋体"/>
          <w:sz w:val="24"/>
          <w:szCs w:val="24"/>
        </w:rPr>
        <w:t>-1塔吊基础基本信息</w:t>
      </w:r>
    </w:p>
    <w:tbl>
      <w:tblPr>
        <w:tblStyle w:val="42"/>
        <w:tblW w:w="78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27"/>
        <w:gridCol w:w="1311"/>
        <w:gridCol w:w="1264"/>
        <w:gridCol w:w="1688"/>
        <w:gridCol w:w="1197"/>
        <w:gridCol w:w="10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27"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编号</w:t>
            </w:r>
          </w:p>
        </w:tc>
        <w:tc>
          <w:tcPr>
            <w:tcW w:w="1311"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型号</w:t>
            </w:r>
          </w:p>
        </w:tc>
        <w:tc>
          <w:tcPr>
            <w:tcW w:w="1264"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基础形式</w:t>
            </w:r>
          </w:p>
        </w:tc>
        <w:tc>
          <w:tcPr>
            <w:tcW w:w="1688"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基础顶标高</w:t>
            </w:r>
          </w:p>
        </w:tc>
        <w:tc>
          <w:tcPr>
            <w:tcW w:w="1197"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起重臂工作半径</w:t>
            </w:r>
          </w:p>
        </w:tc>
        <w:tc>
          <w:tcPr>
            <w:tcW w:w="1091"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安装高度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327"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塔机</w:t>
            </w:r>
          </w:p>
        </w:tc>
        <w:tc>
          <w:tcPr>
            <w:tcW w:w="1311"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eastAsia="zh-CN"/>
                <w14:textFill>
                  <w14:solidFill>
                    <w14:schemeClr w14:val="tx1"/>
                  </w14:solidFill>
                </w14:textFill>
              </w:rPr>
            </w:pPr>
            <w:r>
              <w:rPr>
                <w:rFonts w:hint="eastAsia" w:cs="宋体"/>
                <w:sz w:val="21"/>
                <w:szCs w:val="21"/>
                <w:lang w:eastAsia="zh-CN"/>
              </w:rPr>
              <w:t>XGT660-32S</w:t>
            </w:r>
          </w:p>
        </w:tc>
        <w:tc>
          <w:tcPr>
            <w:tcW w:w="1264" w:type="dxa"/>
            <w:tcBorders>
              <w:tl2br w:val="nil"/>
              <w:tr2bl w:val="nil"/>
            </w:tcBorders>
            <w:vAlign w:val="center"/>
          </w:tcPr>
          <w:p>
            <w:pPr>
              <w:kinsoku/>
              <w:overflowPunct/>
              <w:topLinePunct w:val="0"/>
              <w:bidi w:val="0"/>
              <w:spacing w:line="360" w:lineRule="atLeast"/>
              <w:ind w:firstLine="0" w:firstLineChars="0"/>
              <w:jc w:val="center"/>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钢平台基础</w:t>
            </w:r>
          </w:p>
        </w:tc>
        <w:tc>
          <w:tcPr>
            <w:tcW w:w="1688"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eastAsia="zh-CN"/>
                <w14:textFill>
                  <w14:solidFill>
                    <w14:schemeClr w14:val="tx1"/>
                  </w14:solidFill>
                </w14:textFill>
              </w:rPr>
            </w:pPr>
            <w:r>
              <w:rPr>
                <w:rFonts w:hint="eastAsia" w:cs="宋体"/>
                <w:bCs/>
                <w:sz w:val="21"/>
                <w:szCs w:val="21"/>
                <w:lang w:val="en-US" w:eastAsia="zh-CN"/>
              </w:rPr>
              <w:t>+4.64</w:t>
            </w:r>
            <w:r>
              <w:rPr>
                <w:rFonts w:hint="eastAsia" w:ascii="宋体" w:hAnsi="宋体" w:eastAsia="宋体" w:cs="宋体"/>
                <w:bCs/>
                <w:sz w:val="21"/>
                <w:szCs w:val="21"/>
                <w:lang w:eastAsia="zh-CN"/>
              </w:rPr>
              <w:t>m</w:t>
            </w:r>
          </w:p>
        </w:tc>
        <w:tc>
          <w:tcPr>
            <w:tcW w:w="1197" w:type="dxa"/>
            <w:tcBorders>
              <w:tl2br w:val="nil"/>
              <w:tr2bl w:val="nil"/>
            </w:tcBorders>
            <w:vAlign w:val="center"/>
          </w:tcPr>
          <w:p>
            <w:pPr>
              <w:kinsoku/>
              <w:overflowPunct/>
              <w:topLinePunct w:val="0"/>
              <w:bidi w:val="0"/>
              <w:spacing w:line="360" w:lineRule="atLeast"/>
              <w:ind w:firstLine="0" w:firstLineChars="0"/>
              <w:jc w:val="center"/>
              <w:rPr>
                <w:rFonts w:hint="default" w:ascii="宋体" w:hAnsi="宋体" w:eastAsia="宋体" w:cs="宋体"/>
                <w:bCs/>
                <w:color w:val="000000" w:themeColor="text1"/>
                <w:sz w:val="21"/>
                <w:szCs w:val="21"/>
                <w:lang w:val="en-US"/>
                <w14:textFill>
                  <w14:solidFill>
                    <w14:schemeClr w14:val="tx1"/>
                  </w14:solidFill>
                </w14:textFill>
              </w:rPr>
            </w:pPr>
            <w:r>
              <w:rPr>
                <w:rFonts w:hint="eastAsia" w:cs="宋体"/>
                <w:bCs/>
                <w:sz w:val="21"/>
                <w:szCs w:val="21"/>
                <w:lang w:val="en-US" w:eastAsia="zh-CN"/>
              </w:rPr>
              <w:t>30</w:t>
            </w:r>
          </w:p>
        </w:tc>
        <w:tc>
          <w:tcPr>
            <w:tcW w:w="1091" w:type="dxa"/>
            <w:tcBorders>
              <w:tl2br w:val="nil"/>
              <w:tr2bl w:val="nil"/>
            </w:tcBorders>
            <w:vAlign w:val="center"/>
          </w:tcPr>
          <w:p>
            <w:pPr>
              <w:kinsoku/>
              <w:overflowPunct/>
              <w:topLinePunct w:val="0"/>
              <w:bidi w:val="0"/>
              <w:spacing w:line="360" w:lineRule="atLeast"/>
              <w:ind w:firstLine="0" w:firstLineChars="0"/>
              <w:jc w:val="center"/>
              <w:rPr>
                <w:rFonts w:hint="eastAsia" w:ascii="宋体" w:hAnsi="宋体" w:eastAsia="宋体" w:cs="宋体"/>
                <w:bCs/>
                <w:sz w:val="21"/>
                <w:szCs w:val="21"/>
                <w:highlight w:val="yellow"/>
              </w:rPr>
            </w:pPr>
            <w:r>
              <w:rPr>
                <w:rFonts w:hint="eastAsia" w:cs="宋体"/>
                <w:bCs/>
                <w:color w:val="000000" w:themeColor="text1"/>
                <w:sz w:val="21"/>
                <w:szCs w:val="21"/>
                <w:lang w:val="en-US" w:eastAsia="zh-CN"/>
                <w14:textFill>
                  <w14:solidFill>
                    <w14:schemeClr w14:val="tx1"/>
                  </w14:solidFill>
                </w14:textFill>
              </w:rPr>
              <w:t>217.48</w:t>
            </w:r>
            <w:r>
              <w:rPr>
                <w:rFonts w:hint="eastAsia" w:ascii="宋体" w:hAnsi="宋体" w:eastAsia="宋体" w:cs="宋体"/>
                <w:bCs/>
                <w:color w:val="000000" w:themeColor="text1"/>
                <w:sz w:val="21"/>
                <w:szCs w:val="21"/>
                <w14:textFill>
                  <w14:solidFill>
                    <w14:schemeClr w14:val="tx1"/>
                  </w14:solidFill>
                </w14:textFill>
              </w:rPr>
              <w:t>m</w:t>
            </w:r>
          </w:p>
        </w:tc>
      </w:tr>
    </w:tbl>
    <w:p>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28" w:name="_Toc16925"/>
      <w:r>
        <w:rPr>
          <w:rFonts w:hint="eastAsia" w:ascii="宋体" w:hAnsi="宋体" w:eastAsia="宋体" w:cs="宋体"/>
          <w:sz w:val="24"/>
          <w:szCs w:val="24"/>
        </w:rPr>
        <w:t>施工要求和技术保证条件</w:t>
      </w:r>
      <w:bookmarkEnd w:id="28"/>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cs="宋体"/>
          <w:sz w:val="24"/>
          <w:szCs w:val="24"/>
          <w:lang w:eastAsia="zh-CN"/>
        </w:rPr>
        <w:t>拆卸</w:t>
      </w:r>
      <w:r>
        <w:rPr>
          <w:rFonts w:hint="eastAsia" w:ascii="宋体" w:hAnsi="宋体" w:eastAsia="宋体" w:cs="宋体"/>
          <w:sz w:val="24"/>
          <w:szCs w:val="24"/>
        </w:rPr>
        <w:t>的重点及难点</w:t>
      </w:r>
    </w:p>
    <w:p>
      <w:pPr>
        <w:pStyle w:val="5"/>
        <w:bidi w:val="0"/>
        <w:rPr>
          <w:rFonts w:hint="eastAsia" w:ascii="宋体" w:hAnsi="宋体" w:eastAsia="宋体" w:cs="宋体"/>
        </w:rPr>
      </w:pPr>
      <w:r>
        <w:rPr>
          <w:rFonts w:hint="eastAsia" w:ascii="宋体" w:hAnsi="宋体" w:eastAsia="宋体" w:cs="宋体"/>
        </w:rPr>
        <w:t>塔吊的</w:t>
      </w:r>
      <w:r>
        <w:rPr>
          <w:rFonts w:hint="eastAsia" w:cs="宋体"/>
          <w:lang w:eastAsia="zh-CN"/>
        </w:rPr>
        <w:t>拆卸</w:t>
      </w:r>
      <w:r>
        <w:rPr>
          <w:rFonts w:hint="eastAsia" w:ascii="宋体" w:hAnsi="宋体" w:eastAsia="宋体" w:cs="宋体"/>
        </w:rPr>
        <w:t>涉及大量的高处作业，最高作业高度达</w:t>
      </w:r>
      <w:r>
        <w:rPr>
          <w:rFonts w:hint="eastAsia" w:cs="宋体"/>
          <w:lang w:val="en-US" w:eastAsia="zh-CN"/>
        </w:rPr>
        <w:t>217.48</w:t>
      </w:r>
      <w:r>
        <w:rPr>
          <w:rFonts w:hint="eastAsia" w:ascii="宋体" w:hAnsi="宋体" w:eastAsia="宋体" w:cs="宋体"/>
        </w:rPr>
        <w:t>m，施工安全风险高。</w:t>
      </w:r>
    </w:p>
    <w:p>
      <w:pPr>
        <w:pStyle w:val="5"/>
        <w:bidi w:val="0"/>
        <w:rPr>
          <w:rFonts w:hint="eastAsia" w:ascii="宋体" w:hAnsi="宋体" w:eastAsia="宋体" w:cs="宋体"/>
        </w:rPr>
      </w:pPr>
      <w:r>
        <w:rPr>
          <w:rFonts w:hint="eastAsia" w:ascii="宋体" w:hAnsi="宋体" w:eastAsia="宋体" w:cs="宋体"/>
        </w:rPr>
        <w:t>塔吊构件最大吊装为</w:t>
      </w:r>
      <w:r>
        <w:rPr>
          <w:rFonts w:hint="eastAsia" w:cs="宋体"/>
          <w:lang w:val="en-US" w:eastAsia="zh-CN"/>
        </w:rPr>
        <w:t>套架</w:t>
      </w:r>
      <w:r>
        <w:rPr>
          <w:rFonts w:hint="eastAsia" w:ascii="宋体" w:hAnsi="宋体" w:eastAsia="宋体" w:cs="宋体"/>
        </w:rPr>
        <w:t>，其重量为</w:t>
      </w:r>
      <w:r>
        <w:rPr>
          <w:rFonts w:hint="eastAsia" w:cs="宋体"/>
          <w:lang w:val="en-US" w:eastAsia="zh-CN"/>
        </w:rPr>
        <w:t>13.39</w:t>
      </w:r>
      <w:r>
        <w:rPr>
          <w:rFonts w:hint="eastAsia" w:ascii="宋体" w:hAnsi="宋体" w:eastAsia="宋体" w:cs="宋体"/>
        </w:rPr>
        <w:t>t，在</w:t>
      </w:r>
      <w:r>
        <w:rPr>
          <w:rFonts w:hint="eastAsia" w:cs="宋体"/>
          <w:lang w:eastAsia="zh-CN"/>
        </w:rPr>
        <w:t>拆卸</w:t>
      </w:r>
      <w:r>
        <w:rPr>
          <w:rFonts w:hint="eastAsia" w:ascii="宋体" w:hAnsi="宋体" w:eastAsia="宋体" w:cs="宋体"/>
        </w:rPr>
        <w:t>时最大起升高度为</w:t>
      </w:r>
      <w:r>
        <w:rPr>
          <w:rFonts w:hint="eastAsia" w:cs="宋体"/>
          <w:lang w:val="en-US" w:eastAsia="zh-CN"/>
        </w:rPr>
        <w:t>30</w:t>
      </w:r>
      <w:r>
        <w:rPr>
          <w:rFonts w:hint="eastAsia" w:ascii="宋体" w:hAnsi="宋体" w:eastAsia="宋体" w:cs="宋体"/>
        </w:rPr>
        <w:t>m，起重作业安全风险高。</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作业场地狭小。</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运输及进场要求</w:t>
      </w:r>
    </w:p>
    <w:p>
      <w:pPr>
        <w:bidi w:val="0"/>
        <w:rPr>
          <w:rFonts w:hint="eastAsia"/>
        </w:rPr>
      </w:pPr>
      <w:r>
        <w:rPr>
          <w:rFonts w:hint="eastAsia"/>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pPr>
        <w:bidi w:val="0"/>
        <w:rPr>
          <w:rFonts w:hint="eastAsia"/>
        </w:rPr>
      </w:pPr>
      <w:r>
        <w:rPr>
          <w:rFonts w:hint="eastAsia"/>
        </w:rPr>
        <w:t>发货时要根据现场拼装步骤按基础节、套架、回转总成、平衡臂、塔帽、起重机臂、配重及标准节等顺序。前后协调，统筹配发，以免现场造成堆压和不必要的周转拨运。</w:t>
      </w:r>
    </w:p>
    <w:p>
      <w:pPr>
        <w:bidi w:val="0"/>
        <w:rPr>
          <w:rFonts w:hint="eastAsia"/>
          <w:color w:val="auto"/>
        </w:rPr>
      </w:pPr>
      <w:r>
        <w:rPr>
          <w:rFonts w:hint="eastAsia"/>
          <w:color w:val="auto"/>
        </w:rPr>
        <w:t>装卸车时，</w:t>
      </w:r>
      <w:r>
        <w:rPr>
          <w:rFonts w:hint="eastAsia"/>
          <w:color w:val="auto"/>
          <w:lang w:val="en-US" w:eastAsia="zh-CN"/>
        </w:rPr>
        <w:t>须</w:t>
      </w:r>
      <w:r>
        <w:rPr>
          <w:rFonts w:hint="eastAsia"/>
          <w:color w:val="auto"/>
        </w:rPr>
        <w:t>确保吊</w:t>
      </w:r>
      <w:r>
        <w:rPr>
          <w:rFonts w:hint="eastAsia"/>
          <w:color w:val="auto"/>
          <w:lang w:val="en-US" w:eastAsia="zh-CN"/>
        </w:rPr>
        <w:t>装过程</w:t>
      </w:r>
      <w:r>
        <w:rPr>
          <w:rFonts w:hint="eastAsia"/>
          <w:color w:val="auto"/>
        </w:rPr>
        <w:t>安全</w:t>
      </w:r>
      <w:r>
        <w:rPr>
          <w:rFonts w:hint="eastAsia"/>
          <w:color w:val="auto"/>
          <w:lang w:val="en-US" w:eastAsia="zh-CN"/>
        </w:rPr>
        <w:t>可靠</w:t>
      </w:r>
      <w:r>
        <w:rPr>
          <w:rFonts w:hint="eastAsia"/>
          <w:color w:val="auto"/>
        </w:rPr>
        <w:t>，特别是</w:t>
      </w:r>
      <w:r>
        <w:rPr>
          <w:rFonts w:hint="eastAsia"/>
          <w:color w:val="auto"/>
          <w:lang w:val="en-US" w:eastAsia="zh-CN"/>
        </w:rPr>
        <w:t>各</w:t>
      </w:r>
      <w:r>
        <w:rPr>
          <w:rFonts w:hint="eastAsia"/>
          <w:color w:val="auto"/>
        </w:rPr>
        <w:t>大</w:t>
      </w:r>
      <w:r>
        <w:rPr>
          <w:rFonts w:hint="eastAsia"/>
          <w:color w:val="auto"/>
          <w:lang w:val="en-US" w:eastAsia="zh-CN"/>
        </w:rPr>
        <w:t>型部件</w:t>
      </w:r>
      <w:r>
        <w:rPr>
          <w:rFonts w:hint="eastAsia"/>
          <w:color w:val="auto"/>
        </w:rPr>
        <w:t>，要利用所设专用吊耳，临时存放时，大件下要支垫枕木，并进行固定绑扎，防止倾倒。</w:t>
      </w:r>
    </w:p>
    <w:p>
      <w:pPr>
        <w:bidi w:val="0"/>
        <w:rPr>
          <w:rFonts w:hint="eastAsia"/>
          <w:color w:val="auto"/>
        </w:rPr>
      </w:pPr>
      <w:r>
        <w:rPr>
          <w:rFonts w:hint="eastAsia"/>
          <w:color w:val="auto"/>
        </w:rPr>
        <w:t>电气及电机设备的吊装时注意不能倒置，不得以大压小，运输及存放时要有防雨防潮措施。</w:t>
      </w:r>
    </w:p>
    <w:p>
      <w:pPr>
        <w:bidi w:val="0"/>
        <w:rPr>
          <w:rFonts w:hint="eastAsia"/>
          <w:color w:val="auto"/>
        </w:rPr>
      </w:pPr>
      <w:r>
        <w:rPr>
          <w:rFonts w:hint="eastAsia"/>
          <w:color w:val="auto"/>
        </w:rPr>
        <w:t>在设备装卸期间，</w:t>
      </w:r>
      <w:r>
        <w:rPr>
          <w:rFonts w:hint="eastAsia"/>
          <w:color w:val="auto"/>
          <w:lang w:val="en-US" w:eastAsia="zh-CN"/>
        </w:rPr>
        <w:t>辅助吊车司机须始终听从起重工的指挥</w:t>
      </w:r>
      <w:r>
        <w:rPr>
          <w:rFonts w:hint="eastAsia"/>
          <w:color w:val="auto"/>
        </w:rPr>
        <w:t>。</w:t>
      </w:r>
    </w:p>
    <w:p>
      <w:pPr>
        <w:bidi w:val="0"/>
        <w:rPr>
          <w:rFonts w:hint="eastAsia"/>
          <w:color w:val="auto"/>
        </w:rPr>
      </w:pPr>
      <w:r>
        <w:rPr>
          <w:rFonts w:hint="eastAsia"/>
          <w:color w:val="auto"/>
        </w:rPr>
        <w:t>在装卸设备之前，检查起升设备和相关物品中（绳索、手拉葫芦等）是否满足所吊负载和适当的稳定性的要求。</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技术保证条件</w:t>
      </w:r>
    </w:p>
    <w:p>
      <w:pPr>
        <w:pStyle w:val="5"/>
        <w:bidi w:val="0"/>
        <w:rPr>
          <w:rFonts w:hint="eastAsia" w:ascii="宋体" w:hAnsi="宋体" w:eastAsia="宋体" w:cs="宋体"/>
          <w:color w:val="auto"/>
          <w:sz w:val="24"/>
          <w:szCs w:val="24"/>
        </w:rPr>
      </w:pPr>
      <w:r>
        <w:rPr>
          <w:rFonts w:hint="eastAsia" w:ascii="宋体" w:hAnsi="宋体" w:eastAsia="宋体" w:cs="宋体"/>
          <w:color w:val="auto"/>
          <w:sz w:val="24"/>
          <w:szCs w:val="24"/>
        </w:rPr>
        <w:t>加强技术交底，确保作业过程安全；</w:t>
      </w:r>
    </w:p>
    <w:p>
      <w:pPr>
        <w:pStyle w:val="5"/>
        <w:bidi w:val="0"/>
        <w:rPr>
          <w:rFonts w:hint="eastAsia" w:ascii="宋体" w:hAnsi="宋体" w:eastAsia="宋体" w:cs="宋体"/>
          <w:color w:val="auto"/>
        </w:rPr>
      </w:pPr>
      <w:r>
        <w:rPr>
          <w:rFonts w:hint="eastAsia" w:ascii="宋体" w:hAnsi="宋体" w:eastAsia="宋体" w:cs="宋体"/>
          <w:color w:val="auto"/>
        </w:rPr>
        <w:t>模拟现场的实际作业情况，保证</w:t>
      </w:r>
      <w:r>
        <w:rPr>
          <w:rFonts w:hint="eastAsia" w:cs="宋体"/>
          <w:color w:val="auto"/>
          <w:lang w:eastAsia="zh-CN"/>
        </w:rPr>
        <w:t>拆卸</w:t>
      </w:r>
      <w:r>
        <w:rPr>
          <w:rFonts w:hint="eastAsia" w:ascii="宋体" w:hAnsi="宋体" w:eastAsia="宋体" w:cs="宋体"/>
          <w:color w:val="auto"/>
        </w:rPr>
        <w:t>场地空间足够，避免吊装过程中的干涉；</w:t>
      </w:r>
    </w:p>
    <w:p>
      <w:pPr>
        <w:pStyle w:val="5"/>
        <w:bidi w:val="0"/>
        <w:rPr>
          <w:rFonts w:hint="eastAsia" w:ascii="宋体" w:hAnsi="宋体" w:eastAsia="宋体" w:cs="宋体"/>
          <w:color w:val="auto"/>
        </w:rPr>
      </w:pPr>
      <w:r>
        <w:rPr>
          <w:rFonts w:hint="eastAsia" w:ascii="宋体" w:hAnsi="宋体" w:eastAsia="宋体" w:cs="宋体"/>
          <w:color w:val="auto"/>
        </w:rPr>
        <w:t>对</w:t>
      </w:r>
      <w:r>
        <w:rPr>
          <w:rFonts w:hint="eastAsia" w:cs="宋体"/>
          <w:color w:val="auto"/>
          <w:lang w:eastAsia="zh-CN"/>
        </w:rPr>
        <w:t>拆卸</w:t>
      </w:r>
      <w:r>
        <w:rPr>
          <w:rFonts w:hint="eastAsia" w:ascii="宋体" w:hAnsi="宋体" w:eastAsia="宋体" w:cs="宋体"/>
          <w:color w:val="auto"/>
        </w:rPr>
        <w:t>的起吊构件的重量、幅度进行详细的核算；</w:t>
      </w:r>
    </w:p>
    <w:p>
      <w:pPr>
        <w:pStyle w:val="5"/>
        <w:bidi w:val="0"/>
        <w:rPr>
          <w:rFonts w:hint="eastAsia" w:ascii="宋体" w:hAnsi="宋体" w:eastAsia="宋体" w:cs="宋体"/>
          <w:color w:val="auto"/>
        </w:rPr>
      </w:pPr>
      <w:r>
        <w:rPr>
          <w:rFonts w:hint="eastAsia" w:ascii="宋体" w:hAnsi="宋体" w:eastAsia="宋体" w:cs="宋体"/>
          <w:color w:val="auto"/>
        </w:rPr>
        <w:t>对进场设备进行进场检验，对地基进行验收，确保设备性能及施工条件可靠；</w:t>
      </w:r>
    </w:p>
    <w:p>
      <w:pPr>
        <w:pStyle w:val="5"/>
        <w:bidi w:val="0"/>
        <w:rPr>
          <w:rFonts w:hint="eastAsia" w:ascii="宋体" w:hAnsi="宋体" w:eastAsia="宋体" w:cs="宋体"/>
          <w:color w:val="auto"/>
        </w:rPr>
      </w:pPr>
      <w:r>
        <w:rPr>
          <w:rFonts w:hint="eastAsia" w:ascii="宋体" w:hAnsi="宋体" w:eastAsia="宋体" w:cs="宋体"/>
          <w:color w:val="auto"/>
        </w:rPr>
        <w:t>合理安排</w:t>
      </w:r>
      <w:r>
        <w:rPr>
          <w:rFonts w:hint="eastAsia" w:cs="宋体"/>
          <w:color w:val="auto"/>
          <w:lang w:eastAsia="zh-CN"/>
        </w:rPr>
        <w:t>拆卸</w:t>
      </w:r>
      <w:r>
        <w:rPr>
          <w:rFonts w:hint="eastAsia" w:ascii="宋体" w:hAnsi="宋体" w:eastAsia="宋体" w:cs="宋体"/>
          <w:color w:val="auto"/>
        </w:rPr>
        <w:t>工序，协调好场地堆放及构件倒运顺序。</w:t>
      </w:r>
    </w:p>
    <w:p>
      <w:pPr>
        <w:pStyle w:val="5"/>
        <w:bidi w:val="0"/>
        <w:rPr>
          <w:rFonts w:hint="eastAsia" w:ascii="宋体" w:hAnsi="宋体" w:eastAsia="宋体" w:cs="宋体"/>
          <w:color w:val="auto"/>
          <w:szCs w:val="24"/>
          <w:lang w:eastAsia="zh-CN"/>
        </w:rPr>
      </w:pPr>
      <w:r>
        <w:rPr>
          <w:rFonts w:hint="eastAsia" w:ascii="宋体" w:hAnsi="宋体" w:eastAsia="宋体" w:cs="宋体"/>
          <w:color w:val="auto"/>
          <w:szCs w:val="24"/>
          <w:lang w:val="en-US" w:eastAsia="zh-CN"/>
        </w:rPr>
        <w:t>向当地</w:t>
      </w:r>
      <w:r>
        <w:rPr>
          <w:rFonts w:hint="eastAsia" w:ascii="宋体" w:hAnsi="宋体" w:eastAsia="宋体" w:cs="宋体"/>
          <w:color w:val="auto"/>
          <w:szCs w:val="24"/>
        </w:rPr>
        <w:t>特种设备安全管理机构告知</w:t>
      </w:r>
      <w:r>
        <w:rPr>
          <w:rFonts w:hint="eastAsia" w:ascii="宋体" w:hAnsi="宋体" w:eastAsia="宋体" w:cs="宋体"/>
          <w:color w:val="auto"/>
          <w:szCs w:val="24"/>
          <w:lang w:eastAsia="zh-CN"/>
        </w:rPr>
        <w:t>、</w:t>
      </w:r>
      <w:r>
        <w:rPr>
          <w:rFonts w:hint="eastAsia" w:ascii="宋体" w:hAnsi="宋体" w:eastAsia="宋体" w:cs="宋体"/>
          <w:color w:val="auto"/>
          <w:szCs w:val="24"/>
        </w:rPr>
        <w:t>申请监督检验并</w:t>
      </w:r>
      <w:r>
        <w:rPr>
          <w:rFonts w:hint="eastAsia" w:ascii="宋体" w:hAnsi="宋体" w:eastAsia="宋体" w:cs="宋体"/>
          <w:color w:val="auto"/>
          <w:szCs w:val="24"/>
          <w:lang w:val="en-US" w:eastAsia="zh-CN"/>
        </w:rPr>
        <w:t>已</w:t>
      </w:r>
      <w:r>
        <w:rPr>
          <w:rFonts w:hint="eastAsia" w:ascii="宋体" w:hAnsi="宋体" w:eastAsia="宋体" w:cs="宋体"/>
          <w:color w:val="auto"/>
          <w:szCs w:val="24"/>
        </w:rPr>
        <w:t>受理</w:t>
      </w:r>
      <w:r>
        <w:rPr>
          <w:rFonts w:hint="eastAsia" w:ascii="宋体" w:hAnsi="宋体" w:eastAsia="宋体" w:cs="宋体"/>
          <w:color w:val="auto"/>
          <w:szCs w:val="24"/>
          <w:lang w:eastAsia="zh-CN"/>
        </w:rPr>
        <w:t>。</w:t>
      </w:r>
    </w:p>
    <w:p>
      <w:pPr>
        <w:pStyle w:val="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29" w:name="_Toc24410"/>
      <w:r>
        <w:rPr>
          <w:rFonts w:hint="eastAsia" w:ascii="宋体" w:hAnsi="宋体" w:eastAsia="宋体" w:cs="宋体"/>
          <w:sz w:val="24"/>
          <w:szCs w:val="24"/>
        </w:rPr>
        <w:t>施工计划</w:t>
      </w:r>
      <w:bookmarkEnd w:id="29"/>
    </w:p>
    <w:p>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0" w:name="_Toc11687"/>
      <w:r>
        <w:rPr>
          <w:rFonts w:hint="eastAsia" w:ascii="宋体" w:hAnsi="宋体" w:eastAsia="宋体" w:cs="宋体"/>
          <w:sz w:val="24"/>
          <w:szCs w:val="24"/>
        </w:rPr>
        <w:t>工程总体目标</w:t>
      </w:r>
      <w:bookmarkEnd w:id="30"/>
    </w:p>
    <w:p>
      <w:pPr>
        <w:pStyle w:val="4"/>
        <w:keepNext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安全管理目标</w:t>
      </w:r>
    </w:p>
    <w:p>
      <w:pPr>
        <w:widowControl/>
        <w:snapToGrid w:val="0"/>
        <w:spacing w:line="480" w:lineRule="exact"/>
        <w:ind w:firstLine="0" w:firstLineChars="0"/>
        <w:jc w:val="left"/>
        <w:rPr>
          <w:rFonts w:hint="eastAsia" w:ascii="宋体" w:hAnsi="宋体" w:eastAsia="宋体" w:cs="宋体"/>
          <w:sz w:val="24"/>
          <w:szCs w:val="24"/>
        </w:rPr>
      </w:pPr>
      <w:r>
        <w:rPr>
          <w:rFonts w:hint="eastAsia" w:ascii="宋体" w:hAnsi="宋体" w:eastAsia="宋体" w:cs="宋体"/>
          <w:sz w:val="24"/>
          <w:szCs w:val="24"/>
          <w:lang w:bidi="ar"/>
        </w:rPr>
        <w:t>坚持“零死亡、零事故”安全生产总目标，并控制以下目标：</w:t>
      </w:r>
    </w:p>
    <w:p>
      <w:pPr>
        <w:pStyle w:val="5"/>
        <w:bidi w:val="0"/>
        <w:rPr>
          <w:rFonts w:hint="eastAsia" w:ascii="宋体" w:hAnsi="宋体" w:eastAsia="宋体" w:cs="宋体"/>
        </w:rPr>
      </w:pPr>
      <w:r>
        <w:rPr>
          <w:rFonts w:hint="eastAsia" w:ascii="宋体" w:hAnsi="宋体" w:eastAsia="宋体" w:cs="宋体"/>
        </w:rPr>
        <w:t>不发生人身一类轻伤及以上人身伤害事故；</w:t>
      </w:r>
    </w:p>
    <w:p>
      <w:pPr>
        <w:pStyle w:val="5"/>
        <w:bidi w:val="0"/>
        <w:rPr>
          <w:rFonts w:hint="eastAsia" w:ascii="宋体" w:hAnsi="宋体" w:eastAsia="宋体" w:cs="宋体"/>
        </w:rPr>
      </w:pPr>
      <w:r>
        <w:rPr>
          <w:rFonts w:hint="eastAsia" w:ascii="宋体" w:hAnsi="宋体" w:eastAsia="宋体" w:cs="宋体"/>
        </w:rPr>
        <w:t>不发生一般及以上电力安全事故；</w:t>
      </w:r>
    </w:p>
    <w:p>
      <w:pPr>
        <w:pStyle w:val="5"/>
        <w:bidi w:val="0"/>
        <w:rPr>
          <w:rFonts w:hint="eastAsia" w:ascii="宋体" w:hAnsi="宋体" w:eastAsia="宋体" w:cs="宋体"/>
        </w:rPr>
      </w:pPr>
      <w:r>
        <w:rPr>
          <w:rFonts w:hint="eastAsia" w:ascii="宋体" w:hAnsi="宋体" w:eastAsia="宋体" w:cs="宋体"/>
        </w:rPr>
        <w:t>不发生一般及以上机械事故；</w:t>
      </w:r>
    </w:p>
    <w:p>
      <w:pPr>
        <w:pStyle w:val="5"/>
        <w:bidi w:val="0"/>
        <w:rPr>
          <w:rFonts w:hint="eastAsia" w:ascii="宋体" w:hAnsi="宋体" w:eastAsia="宋体" w:cs="宋体"/>
        </w:rPr>
      </w:pPr>
      <w:r>
        <w:rPr>
          <w:rFonts w:hint="eastAsia" w:ascii="宋体" w:hAnsi="宋体" w:eastAsia="宋体" w:cs="宋体"/>
        </w:rPr>
        <w:t>不发生一般设备事故（直接经济损失50万元以上设备责任事故）；</w:t>
      </w:r>
    </w:p>
    <w:p>
      <w:pPr>
        <w:pStyle w:val="5"/>
        <w:bidi w:val="0"/>
        <w:rPr>
          <w:rFonts w:hint="eastAsia" w:ascii="宋体" w:hAnsi="宋体" w:eastAsia="宋体" w:cs="宋体"/>
        </w:rPr>
      </w:pPr>
      <w:r>
        <w:rPr>
          <w:rFonts w:hint="eastAsia" w:ascii="宋体" w:hAnsi="宋体" w:eastAsia="宋体" w:cs="宋体"/>
        </w:rPr>
        <w:t>不发生负同等以上责任的一般及以上交通事故；</w:t>
      </w:r>
    </w:p>
    <w:p>
      <w:pPr>
        <w:pStyle w:val="5"/>
        <w:bidi w:val="0"/>
        <w:rPr>
          <w:rFonts w:hint="eastAsia" w:ascii="宋体" w:hAnsi="宋体" w:eastAsia="宋体" w:cs="宋体"/>
        </w:rPr>
      </w:pPr>
      <w:r>
        <w:rPr>
          <w:rFonts w:hint="eastAsia" w:ascii="宋体" w:hAnsi="宋体" w:eastAsia="宋体" w:cs="宋体"/>
        </w:rPr>
        <w:t>不发生重大垮（坍）塌事故；</w:t>
      </w:r>
    </w:p>
    <w:p>
      <w:pPr>
        <w:pStyle w:val="4"/>
        <w:bidi w:val="0"/>
        <w:rPr>
          <w:rFonts w:hint="eastAsia" w:ascii="宋体" w:hAnsi="宋体" w:eastAsia="宋体" w:cs="宋体"/>
        </w:rPr>
      </w:pPr>
      <w:r>
        <w:rPr>
          <w:rFonts w:hint="eastAsia" w:ascii="宋体" w:hAnsi="宋体" w:eastAsia="宋体" w:cs="宋体"/>
        </w:rPr>
        <w:t>职业健康目标</w:t>
      </w:r>
    </w:p>
    <w:p>
      <w:pPr>
        <w:pStyle w:val="5"/>
        <w:bidi w:val="0"/>
        <w:rPr>
          <w:rFonts w:hint="eastAsia" w:ascii="宋体" w:hAnsi="宋体" w:eastAsia="宋体" w:cs="宋体"/>
        </w:rPr>
      </w:pPr>
      <w:r>
        <w:rPr>
          <w:rFonts w:hint="eastAsia" w:ascii="宋体" w:hAnsi="宋体" w:eastAsia="宋体" w:cs="宋体"/>
        </w:rPr>
        <w:t>不发生违反《劳动法》有关规定的事件；</w:t>
      </w:r>
    </w:p>
    <w:p>
      <w:pPr>
        <w:pStyle w:val="5"/>
        <w:bidi w:val="0"/>
        <w:rPr>
          <w:rFonts w:hint="eastAsia" w:ascii="宋体" w:hAnsi="宋体" w:eastAsia="宋体" w:cs="宋体"/>
        </w:rPr>
      </w:pPr>
      <w:r>
        <w:rPr>
          <w:rFonts w:hint="eastAsia" w:ascii="宋体" w:hAnsi="宋体" w:eastAsia="宋体" w:cs="宋体"/>
        </w:rPr>
        <w:t>特殊工种持证上岗率100%；</w:t>
      </w:r>
    </w:p>
    <w:p>
      <w:pPr>
        <w:pStyle w:val="5"/>
        <w:bidi w:val="0"/>
        <w:rPr>
          <w:rFonts w:hint="eastAsia" w:ascii="宋体" w:hAnsi="宋体" w:eastAsia="宋体" w:cs="宋体"/>
        </w:rPr>
      </w:pPr>
      <w:r>
        <w:rPr>
          <w:rFonts w:hint="eastAsia" w:ascii="宋体" w:hAnsi="宋体" w:eastAsia="宋体" w:cs="宋体"/>
        </w:rPr>
        <w:t>作业场所环境符合国家有关职业卫生标准；</w:t>
      </w:r>
    </w:p>
    <w:p>
      <w:pPr>
        <w:pStyle w:val="5"/>
        <w:bidi w:val="0"/>
        <w:rPr>
          <w:rFonts w:hint="eastAsia" w:ascii="宋体" w:hAnsi="宋体" w:eastAsia="宋体" w:cs="宋体"/>
        </w:rPr>
      </w:pPr>
      <w:r>
        <w:rPr>
          <w:rFonts w:hint="eastAsia" w:ascii="宋体" w:hAnsi="宋体" w:eastAsia="宋体" w:cs="宋体"/>
        </w:rPr>
        <w:t>劳动防护用品配置符合国家标准；</w:t>
      </w:r>
    </w:p>
    <w:p>
      <w:pPr>
        <w:pStyle w:val="5"/>
        <w:bidi w:val="0"/>
        <w:rPr>
          <w:rFonts w:hint="eastAsia" w:ascii="宋体" w:hAnsi="宋体" w:eastAsia="宋体" w:cs="宋体"/>
        </w:rPr>
      </w:pPr>
      <w:r>
        <w:rPr>
          <w:rFonts w:hint="eastAsia" w:ascii="宋体" w:hAnsi="宋体" w:eastAsia="宋体" w:cs="宋体"/>
        </w:rPr>
        <w:t>员工满意率90%以上；</w:t>
      </w:r>
    </w:p>
    <w:p>
      <w:pPr>
        <w:pStyle w:val="4"/>
        <w:bidi w:val="0"/>
        <w:rPr>
          <w:rFonts w:hint="eastAsia" w:ascii="宋体" w:hAnsi="宋体" w:eastAsia="宋体" w:cs="宋体"/>
        </w:rPr>
      </w:pPr>
      <w:r>
        <w:rPr>
          <w:rFonts w:hint="eastAsia" w:ascii="宋体" w:hAnsi="宋体" w:eastAsia="宋体" w:cs="宋体"/>
        </w:rPr>
        <w:t>1.3.3环境管理目标</w:t>
      </w:r>
    </w:p>
    <w:p>
      <w:pPr>
        <w:pStyle w:val="5"/>
        <w:bidi w:val="0"/>
        <w:rPr>
          <w:rFonts w:hint="eastAsia" w:ascii="宋体" w:hAnsi="宋体" w:eastAsia="宋体" w:cs="宋体"/>
        </w:rPr>
      </w:pPr>
      <w:r>
        <w:rPr>
          <w:rFonts w:hint="eastAsia" w:ascii="宋体" w:hAnsi="宋体" w:eastAsia="宋体" w:cs="宋体"/>
        </w:rPr>
        <w:t>不发生一般及以上环境污染事故，施工期间生活、建筑垃圾集中存放、妥善处理；</w:t>
      </w:r>
    </w:p>
    <w:p>
      <w:pPr>
        <w:pStyle w:val="5"/>
        <w:bidi w:val="0"/>
        <w:rPr>
          <w:rFonts w:hint="eastAsia" w:ascii="宋体" w:hAnsi="宋体" w:eastAsia="宋体" w:cs="宋体"/>
        </w:rPr>
      </w:pPr>
      <w:r>
        <w:rPr>
          <w:rFonts w:hint="eastAsia" w:ascii="宋体" w:hAnsi="宋体" w:eastAsia="宋体" w:cs="宋体"/>
        </w:rPr>
        <w:t>水土保持工作按照批准的水土保持方案和审查意见全部实施；</w:t>
      </w:r>
    </w:p>
    <w:p>
      <w:pPr>
        <w:pStyle w:val="5"/>
        <w:bidi w:val="0"/>
        <w:rPr>
          <w:rFonts w:hint="eastAsia" w:ascii="宋体" w:hAnsi="宋体" w:eastAsia="宋体" w:cs="宋体"/>
        </w:rPr>
      </w:pPr>
      <w:r>
        <w:rPr>
          <w:rFonts w:hint="eastAsia" w:ascii="宋体" w:hAnsi="宋体" w:eastAsia="宋体" w:cs="宋体"/>
        </w:rPr>
        <w:t>厂界噪声符合国家标准；</w:t>
      </w:r>
    </w:p>
    <w:p>
      <w:pPr>
        <w:pStyle w:val="5"/>
        <w:bidi w:val="0"/>
        <w:rPr>
          <w:rFonts w:hint="eastAsia" w:ascii="宋体" w:hAnsi="宋体" w:eastAsia="宋体" w:cs="宋体"/>
        </w:rPr>
      </w:pPr>
      <w:r>
        <w:rPr>
          <w:rFonts w:hint="eastAsia" w:ascii="宋体" w:hAnsi="宋体" w:eastAsia="宋体" w:cs="宋体"/>
        </w:rPr>
        <w:t>实现废水零排放；</w:t>
      </w:r>
    </w:p>
    <w:p>
      <w:pPr>
        <w:pStyle w:val="5"/>
        <w:bidi w:val="0"/>
        <w:rPr>
          <w:rFonts w:hint="eastAsia" w:ascii="宋体" w:hAnsi="宋体" w:eastAsia="宋体" w:cs="宋体"/>
        </w:rPr>
      </w:pPr>
      <w:r>
        <w:rPr>
          <w:rFonts w:hint="eastAsia" w:ascii="宋体" w:hAnsi="宋体" w:eastAsia="宋体" w:cs="宋体"/>
        </w:rPr>
        <w:t>废气排放达到国家规定的工程所在地区的标准（氮氧化物、一氧化碳、烟尘、二氧化硫、汞及化合物）；</w:t>
      </w:r>
    </w:p>
    <w:p>
      <w:pPr>
        <w:pStyle w:val="5"/>
        <w:bidi w:val="0"/>
        <w:rPr>
          <w:rFonts w:hint="eastAsia" w:ascii="宋体" w:hAnsi="宋体" w:eastAsia="宋体" w:cs="宋体"/>
        </w:rPr>
      </w:pPr>
      <w:r>
        <w:rPr>
          <w:rFonts w:hint="eastAsia" w:ascii="宋体" w:hAnsi="宋体" w:eastAsia="宋体" w:cs="宋体"/>
        </w:rPr>
        <w:t>不发生相关方有效投诉事件。</w:t>
      </w:r>
    </w:p>
    <w:p>
      <w:pPr>
        <w:pStyle w:val="5"/>
        <w:bidi w:val="0"/>
        <w:rPr>
          <w:rFonts w:hint="eastAsia" w:ascii="宋体" w:hAnsi="宋体" w:eastAsia="宋体" w:cs="宋体"/>
        </w:rPr>
      </w:pPr>
      <w:r>
        <w:rPr>
          <w:rFonts w:hint="eastAsia" w:ascii="宋体" w:hAnsi="宋体" w:eastAsia="宋体" w:cs="宋体"/>
        </w:rPr>
        <w:t>无相关方重大环境投诉。</w:t>
      </w:r>
    </w:p>
    <w:p>
      <w:pPr>
        <w:pStyle w:val="4"/>
        <w:bidi w:val="0"/>
        <w:rPr>
          <w:rFonts w:hint="eastAsia" w:ascii="宋体" w:hAnsi="宋体" w:eastAsia="宋体" w:cs="宋体"/>
        </w:rPr>
      </w:pPr>
      <w:r>
        <w:rPr>
          <w:rFonts w:hint="eastAsia" w:ascii="宋体" w:hAnsi="宋体" w:eastAsia="宋体" w:cs="宋体"/>
        </w:rPr>
        <w:t>文明施工总体目标</w:t>
      </w:r>
    </w:p>
    <w:p>
      <w:pPr>
        <w:pStyle w:val="5"/>
        <w:bidi w:val="0"/>
        <w:rPr>
          <w:rFonts w:hint="eastAsia" w:ascii="宋体" w:hAnsi="宋体" w:eastAsia="宋体" w:cs="宋体"/>
        </w:rPr>
      </w:pPr>
      <w:r>
        <w:rPr>
          <w:rFonts w:hint="eastAsia" w:ascii="宋体" w:hAnsi="宋体" w:eastAsia="宋体" w:cs="宋体"/>
        </w:rPr>
        <w:t>按《绿色施工导则》规定，“四节一环保”贯穿于项目建设全过程。</w:t>
      </w:r>
    </w:p>
    <w:p>
      <w:pPr>
        <w:pStyle w:val="5"/>
        <w:bidi w:val="0"/>
        <w:rPr>
          <w:rFonts w:hint="eastAsia" w:ascii="宋体" w:hAnsi="宋体" w:eastAsia="宋体" w:cs="宋体"/>
          <w:sz w:val="24"/>
          <w:szCs w:val="24"/>
        </w:rPr>
      </w:pPr>
      <w:r>
        <w:rPr>
          <w:rFonts w:hint="eastAsia" w:ascii="宋体" w:hAnsi="宋体" w:eastAsia="宋体" w:cs="宋体"/>
          <w:color w:val="auto"/>
          <w:sz w:val="24"/>
          <w:szCs w:val="24"/>
        </w:rPr>
        <w:t>施工现场安全生产标准化管理达到《国家电投安全目视化管理指南-火力发电分册》的有关标准和要求。</w:t>
      </w:r>
    </w:p>
    <w:p>
      <w:pPr>
        <w:pStyle w:val="5"/>
        <w:bidi w:val="0"/>
        <w:rPr>
          <w:rFonts w:hint="eastAsia" w:ascii="宋体" w:hAnsi="宋体" w:eastAsia="宋体" w:cs="宋体"/>
        </w:rPr>
      </w:pPr>
      <w:r>
        <w:rPr>
          <w:rFonts w:hint="eastAsia" w:ascii="宋体" w:hAnsi="宋体" w:eastAsia="宋体" w:cs="宋体"/>
        </w:rPr>
        <w:t>文明施工达到“六化”标准：施工总平面模块化、现场设施标准化、工程施工程序化、文明区域责任化、作业行为规范化、环境卫生经常化。</w:t>
      </w:r>
    </w:p>
    <w:p>
      <w:pPr>
        <w:pStyle w:val="5"/>
        <w:bidi w:val="0"/>
        <w:rPr>
          <w:rFonts w:hint="eastAsia" w:ascii="宋体" w:hAnsi="宋体" w:eastAsia="宋体" w:cs="宋体"/>
        </w:rPr>
      </w:pPr>
      <w:r>
        <w:rPr>
          <w:rFonts w:hint="eastAsia" w:ascii="宋体" w:hAnsi="宋体" w:eastAsia="宋体" w:cs="宋体"/>
        </w:rPr>
        <w:t>努力实现“零事故、零伤害、零污染”创建一流安全文明施工现场。</w:t>
      </w:r>
    </w:p>
    <w:p>
      <w:pPr>
        <w:pStyle w:val="4"/>
        <w:keepNext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质量管理目标</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不发生较大及以上质量事故；避免一般质量事故。质量监督检查一次高水平通过。</w:t>
      </w:r>
    </w:p>
    <w:p>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1" w:name="_Toc17383"/>
      <w:r>
        <w:rPr>
          <w:rFonts w:hint="eastAsia" w:ascii="宋体" w:hAnsi="宋体" w:eastAsia="宋体" w:cs="宋体"/>
          <w:sz w:val="24"/>
          <w:szCs w:val="24"/>
        </w:rPr>
        <w:t>施工进度计划</w:t>
      </w:r>
      <w:bookmarkEnd w:id="31"/>
    </w:p>
    <w:p>
      <w:pPr>
        <w:bidi w:val="0"/>
        <w:rPr>
          <w:rFonts w:hint="eastAsia"/>
          <w:color w:val="0000FF"/>
          <w:highlight w:val="yellow"/>
        </w:rPr>
      </w:pPr>
      <w:r>
        <w:rPr>
          <w:rFonts w:hint="eastAsia"/>
        </w:rPr>
        <w:t>塔吊</w:t>
      </w:r>
      <w:r>
        <w:rPr>
          <w:rFonts w:hint="eastAsia"/>
          <w:lang w:eastAsia="zh-CN"/>
        </w:rPr>
        <w:t>拆卸</w:t>
      </w:r>
      <w:r>
        <w:rPr>
          <w:rFonts w:hint="eastAsia"/>
        </w:rPr>
        <w:t>时间</w:t>
      </w:r>
      <w:r>
        <w:rPr>
          <w:rFonts w:hint="eastAsia"/>
          <w:lang w:val="en-US" w:eastAsia="zh-CN"/>
        </w:rPr>
        <w:t>暂定</w:t>
      </w:r>
      <w:r>
        <w:rPr>
          <w:rFonts w:hint="eastAsia"/>
          <w:highlight w:val="yellow"/>
        </w:rPr>
        <w:t>于</w:t>
      </w:r>
      <w:r>
        <w:rPr>
          <w:rFonts w:hint="eastAsia"/>
          <w:color w:val="0000FF"/>
          <w:highlight w:val="yellow"/>
        </w:rPr>
        <w:t>202</w:t>
      </w:r>
      <w:r>
        <w:rPr>
          <w:rFonts w:hint="eastAsia"/>
          <w:color w:val="0000FF"/>
          <w:highlight w:val="yellow"/>
          <w:lang w:val="en-US" w:eastAsia="zh-CN"/>
        </w:rPr>
        <w:t>6</w:t>
      </w:r>
      <w:r>
        <w:rPr>
          <w:rFonts w:hint="eastAsia"/>
          <w:color w:val="0000FF"/>
          <w:highlight w:val="yellow"/>
        </w:rPr>
        <w:t>年</w:t>
      </w:r>
      <w:r>
        <w:rPr>
          <w:rFonts w:hint="eastAsia"/>
          <w:color w:val="0000FF"/>
          <w:highlight w:val="yellow"/>
          <w:lang w:val="en-US" w:eastAsia="zh-CN"/>
        </w:rPr>
        <w:t>5</w:t>
      </w:r>
      <w:r>
        <w:rPr>
          <w:rFonts w:hint="eastAsia"/>
          <w:color w:val="0000FF"/>
          <w:highlight w:val="yellow"/>
        </w:rPr>
        <w:t>月</w:t>
      </w:r>
      <w:r>
        <w:rPr>
          <w:rFonts w:hint="eastAsia"/>
          <w:color w:val="0000FF"/>
          <w:highlight w:val="yellow"/>
          <w:lang w:val="en-US" w:eastAsia="zh-CN"/>
        </w:rPr>
        <w:t>4</w:t>
      </w:r>
      <w:r>
        <w:rPr>
          <w:rFonts w:hint="eastAsia"/>
          <w:color w:val="0000FF"/>
          <w:highlight w:val="yellow"/>
        </w:rPr>
        <w:t>日至202</w:t>
      </w:r>
      <w:r>
        <w:rPr>
          <w:rFonts w:hint="eastAsia"/>
          <w:color w:val="0000FF"/>
          <w:highlight w:val="yellow"/>
          <w:lang w:val="en-US" w:eastAsia="zh-CN"/>
        </w:rPr>
        <w:t>6</w:t>
      </w:r>
      <w:r>
        <w:rPr>
          <w:rFonts w:hint="eastAsia"/>
          <w:color w:val="0000FF"/>
          <w:highlight w:val="yellow"/>
        </w:rPr>
        <w:t>年</w:t>
      </w:r>
      <w:r>
        <w:rPr>
          <w:rFonts w:hint="eastAsia"/>
          <w:color w:val="0000FF"/>
          <w:highlight w:val="yellow"/>
          <w:lang w:val="en-US" w:eastAsia="zh-CN"/>
        </w:rPr>
        <w:t>5</w:t>
      </w:r>
      <w:r>
        <w:rPr>
          <w:rFonts w:hint="eastAsia"/>
          <w:color w:val="0000FF"/>
          <w:highlight w:val="yellow"/>
        </w:rPr>
        <w:t>月</w:t>
      </w:r>
      <w:r>
        <w:rPr>
          <w:rFonts w:hint="eastAsia"/>
          <w:color w:val="0000FF"/>
          <w:highlight w:val="yellow"/>
          <w:lang w:val="en-US" w:eastAsia="zh-CN"/>
        </w:rPr>
        <w:t>12</w:t>
      </w:r>
      <w:r>
        <w:rPr>
          <w:rFonts w:hint="eastAsia"/>
          <w:color w:val="0000FF"/>
          <w:highlight w:val="yellow"/>
        </w:rPr>
        <w:t>日。</w:t>
      </w:r>
    </w:p>
    <w:p>
      <w:pPr>
        <w:bidi w:val="0"/>
        <w:rPr>
          <w:rFonts w:hint="eastAsia"/>
        </w:rPr>
      </w:pPr>
      <w:r>
        <w:rPr>
          <w:rFonts w:hint="eastAsia"/>
        </w:rPr>
        <w:t>单台徐工</w:t>
      </w:r>
      <w:r>
        <w:rPr>
          <w:rFonts w:hint="eastAsia"/>
          <w:lang w:eastAsia="zh-CN"/>
        </w:rPr>
        <w:t>XGT660-32S</w:t>
      </w:r>
      <w:r>
        <w:rPr>
          <w:rFonts w:hint="eastAsia"/>
        </w:rPr>
        <w:t>塔机</w:t>
      </w:r>
      <w:r>
        <w:rPr>
          <w:rFonts w:hint="eastAsia"/>
          <w:lang w:eastAsia="zh-CN"/>
        </w:rPr>
        <w:t>拆卸</w:t>
      </w:r>
      <w:r>
        <w:rPr>
          <w:rFonts w:hint="eastAsia"/>
        </w:rPr>
        <w:t>的施工进度见下表，如遇天气等其他不可控因素，工期顺延。</w:t>
      </w:r>
    </w:p>
    <w:p>
      <w:pPr>
        <w:pStyle w:val="15"/>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表3.2-1</w:t>
      </w:r>
      <w:r>
        <w:rPr>
          <w:rFonts w:hint="eastAsia" w:ascii="宋体" w:hAnsi="宋体" w:cs="宋体"/>
          <w:sz w:val="24"/>
          <w:szCs w:val="24"/>
          <w:lang w:eastAsia="zh-CN"/>
        </w:rPr>
        <w:t>拆卸</w:t>
      </w:r>
      <w:r>
        <w:rPr>
          <w:rFonts w:hint="eastAsia" w:ascii="宋体" w:hAnsi="宋体" w:eastAsia="宋体" w:cs="宋体"/>
          <w:sz w:val="24"/>
          <w:szCs w:val="24"/>
        </w:rPr>
        <w:t>进度计划表</w:t>
      </w:r>
    </w:p>
    <w:tbl>
      <w:tblPr>
        <w:tblStyle w:val="42"/>
        <w:tblW w:w="804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4"/>
        <w:gridCol w:w="3223"/>
        <w:gridCol w:w="1673"/>
        <w:gridCol w:w="932"/>
        <w:gridCol w:w="143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shd w:val="clear" w:color="auto" w:fill="DAE3F3"/>
            <w:noWrap w:val="0"/>
            <w:vAlign w:val="center"/>
          </w:tcPr>
          <w:p>
            <w:pPr>
              <w:spacing w:line="240" w:lineRule="auto"/>
              <w:ind w:firstLine="0" w:firstLineChars="0"/>
              <w:jc w:val="center"/>
              <w:rPr>
                <w:rFonts w:ascii="Times New Roman" w:hAnsi="Times New Roman" w:cs="Times New Roman"/>
                <w:color w:val="auto"/>
                <w:szCs w:val="22"/>
              </w:rPr>
            </w:pPr>
            <w:r>
              <w:rPr>
                <w:rFonts w:hint="eastAsia" w:ascii="Times New Roman" w:hAnsi="Times New Roman" w:cs="Times New Roman"/>
                <w:color w:val="auto"/>
                <w:sz w:val="21"/>
                <w:szCs w:val="22"/>
              </w:rPr>
              <w:t>序号</w:t>
            </w:r>
          </w:p>
        </w:tc>
        <w:tc>
          <w:tcPr>
            <w:tcW w:w="3223" w:type="dxa"/>
            <w:shd w:val="clear" w:color="auto" w:fill="DAE3F3"/>
            <w:noWrap w:val="0"/>
            <w:vAlign w:val="center"/>
          </w:tcPr>
          <w:p>
            <w:pPr>
              <w:spacing w:line="240" w:lineRule="auto"/>
              <w:ind w:firstLine="422"/>
              <w:jc w:val="center"/>
              <w:rPr>
                <w:rFonts w:ascii="Times New Roman" w:hAnsi="Times New Roman" w:cs="Times New Roman"/>
                <w:color w:val="auto"/>
                <w:szCs w:val="22"/>
              </w:rPr>
            </w:pPr>
            <w:r>
              <w:rPr>
                <w:rFonts w:hint="eastAsia" w:ascii="Times New Roman" w:hAnsi="Times New Roman" w:cs="Times New Roman"/>
                <w:color w:val="auto"/>
                <w:sz w:val="21"/>
                <w:szCs w:val="22"/>
              </w:rPr>
              <w:t>拆除内容</w:t>
            </w:r>
          </w:p>
        </w:tc>
        <w:tc>
          <w:tcPr>
            <w:tcW w:w="1673" w:type="dxa"/>
            <w:shd w:val="clear" w:color="auto" w:fill="DAE3F3"/>
            <w:noWrap w:val="0"/>
            <w:vAlign w:val="center"/>
          </w:tcPr>
          <w:p>
            <w:pPr>
              <w:spacing w:line="240" w:lineRule="auto"/>
              <w:ind w:firstLine="0" w:firstLineChars="0"/>
              <w:jc w:val="center"/>
              <w:rPr>
                <w:rFonts w:ascii="Times New Roman" w:hAnsi="Times New Roman" w:cs="Times New Roman"/>
                <w:color w:val="auto"/>
                <w:szCs w:val="22"/>
              </w:rPr>
            </w:pPr>
            <w:r>
              <w:rPr>
                <w:rFonts w:hint="eastAsia" w:ascii="Times New Roman" w:hAnsi="Times New Roman" w:cs="Times New Roman"/>
                <w:color w:val="auto"/>
                <w:sz w:val="21"/>
                <w:szCs w:val="22"/>
              </w:rPr>
              <w:t>关键设备</w:t>
            </w:r>
          </w:p>
        </w:tc>
        <w:tc>
          <w:tcPr>
            <w:tcW w:w="932" w:type="dxa"/>
            <w:shd w:val="clear" w:color="auto" w:fill="DAE3F3"/>
            <w:noWrap w:val="0"/>
            <w:vAlign w:val="center"/>
          </w:tcPr>
          <w:p>
            <w:pPr>
              <w:spacing w:line="240" w:lineRule="auto"/>
              <w:ind w:firstLine="0" w:firstLineChars="0"/>
              <w:jc w:val="center"/>
              <w:rPr>
                <w:rFonts w:ascii="Times New Roman" w:hAnsi="Times New Roman" w:cs="Times New Roman"/>
                <w:color w:val="auto"/>
                <w:szCs w:val="22"/>
              </w:rPr>
            </w:pPr>
            <w:r>
              <w:rPr>
                <w:rFonts w:hint="eastAsia" w:ascii="Times New Roman" w:hAnsi="Times New Roman" w:cs="Times New Roman"/>
                <w:color w:val="auto"/>
                <w:sz w:val="21"/>
                <w:szCs w:val="22"/>
              </w:rPr>
              <w:t>时间</w:t>
            </w:r>
          </w:p>
        </w:tc>
        <w:tc>
          <w:tcPr>
            <w:tcW w:w="1437" w:type="dxa"/>
            <w:shd w:val="clear" w:color="auto" w:fill="DAE3F3"/>
            <w:noWrap w:val="0"/>
            <w:vAlign w:val="center"/>
          </w:tcPr>
          <w:p>
            <w:pPr>
              <w:spacing w:line="240" w:lineRule="auto"/>
              <w:ind w:firstLine="422"/>
              <w:jc w:val="center"/>
              <w:rPr>
                <w:rFonts w:ascii="Times New Roman" w:hAnsi="Times New Roman" w:cs="Times New Roman"/>
                <w:color w:val="auto"/>
                <w:szCs w:val="22"/>
              </w:rPr>
            </w:pPr>
            <w:r>
              <w:rPr>
                <w:rFonts w:hint="eastAsia" w:ascii="Times New Roman" w:hAnsi="Times New Roman" w:cs="Times New Roman"/>
                <w:color w:val="auto"/>
                <w:sz w:val="21"/>
                <w:szCs w:val="22"/>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Fonts w:ascii="Times New Roman" w:hAnsi="Times New Roman" w:cs="Times New Roman"/>
                <w:color w:val="auto"/>
                <w:szCs w:val="22"/>
              </w:rPr>
            </w:pPr>
            <w:r>
              <w:rPr>
                <w:rFonts w:hint="eastAsia" w:ascii="Times New Roman" w:hAnsi="Times New Roman" w:cs="Times New Roman"/>
                <w:color w:val="auto"/>
                <w:sz w:val="21"/>
                <w:szCs w:val="22"/>
              </w:rPr>
              <w:t>1</w:t>
            </w:r>
          </w:p>
        </w:tc>
        <w:tc>
          <w:tcPr>
            <w:tcW w:w="3223" w:type="dxa"/>
            <w:noWrap w:val="0"/>
            <w:vAlign w:val="center"/>
          </w:tcPr>
          <w:p>
            <w:pPr>
              <w:spacing w:line="240" w:lineRule="auto"/>
              <w:ind w:firstLine="420"/>
              <w:jc w:val="center"/>
              <w:rPr>
                <w:rFonts w:hint="default"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塔身降节</w:t>
            </w:r>
          </w:p>
        </w:tc>
        <w:tc>
          <w:tcPr>
            <w:tcW w:w="1673"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w:t>
            </w:r>
          </w:p>
        </w:tc>
        <w:tc>
          <w:tcPr>
            <w:tcW w:w="932" w:type="dxa"/>
            <w:noWrap w:val="0"/>
            <w:vAlign w:val="center"/>
          </w:tcPr>
          <w:p>
            <w:pPr>
              <w:spacing w:line="240" w:lineRule="auto"/>
              <w:ind w:firstLine="420"/>
              <w:jc w:val="center"/>
              <w:rPr>
                <w:rFonts w:hint="default"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5</w:t>
            </w:r>
          </w:p>
        </w:tc>
        <w:tc>
          <w:tcPr>
            <w:tcW w:w="1437" w:type="dxa"/>
            <w:noWrap w:val="0"/>
            <w:vAlign w:val="center"/>
          </w:tcPr>
          <w:p>
            <w:pPr>
              <w:spacing w:line="240" w:lineRule="auto"/>
              <w:ind w:left="0" w:leftChars="0" w:firstLine="0" w:firstLineChars="0"/>
              <w:jc w:val="both"/>
              <w:rPr>
                <w:rFonts w:hint="eastAsia" w:ascii="Times New Roman" w:hAnsi="Times New Roman" w:eastAsia="宋体" w:cs="Times New Roman"/>
                <w:color w:val="auto"/>
                <w:szCs w:val="22"/>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Fonts w:ascii="Times New Roman" w:hAnsi="Times New Roman" w:cs="Times New Roman"/>
                <w:color w:val="auto"/>
                <w:szCs w:val="22"/>
              </w:rPr>
            </w:pPr>
            <w:r>
              <w:rPr>
                <w:rFonts w:ascii="Times New Roman" w:hAnsi="Times New Roman" w:cs="Times New Roman"/>
                <w:color w:val="auto"/>
                <w:sz w:val="21"/>
                <w:szCs w:val="22"/>
              </w:rPr>
              <w:t>2</w:t>
            </w:r>
          </w:p>
        </w:tc>
        <w:tc>
          <w:tcPr>
            <w:tcW w:w="3223"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钢丝绳、配重、电气拆除</w:t>
            </w:r>
          </w:p>
        </w:tc>
        <w:tc>
          <w:tcPr>
            <w:tcW w:w="1673" w:type="dxa"/>
            <w:noWrap w:val="0"/>
            <w:vAlign w:val="center"/>
          </w:tcPr>
          <w:p>
            <w:pPr>
              <w:spacing w:line="240" w:lineRule="auto"/>
              <w:ind w:left="0" w:leftChars="0" w:firstLine="0" w:firstLineChars="0"/>
              <w:jc w:val="both"/>
              <w:rPr>
                <w:rFonts w:hint="default"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100t汽车吊</w:t>
            </w:r>
          </w:p>
        </w:tc>
        <w:tc>
          <w:tcPr>
            <w:tcW w:w="932"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1</w:t>
            </w:r>
          </w:p>
        </w:tc>
        <w:tc>
          <w:tcPr>
            <w:tcW w:w="1437" w:type="dxa"/>
            <w:noWrap w:val="0"/>
            <w:vAlign w:val="center"/>
          </w:tcPr>
          <w:p>
            <w:pPr>
              <w:spacing w:line="240" w:lineRule="auto"/>
              <w:ind w:firstLine="420"/>
              <w:jc w:val="center"/>
              <w:rPr>
                <w:rFonts w:ascii="Times New Roman" w:hAnsi="Times New Roman" w:cs="Times New Roman"/>
                <w:color w:val="auto"/>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Fonts w:ascii="Times New Roman" w:hAnsi="Times New Roman" w:cs="Times New Roman"/>
                <w:color w:val="auto"/>
                <w:szCs w:val="22"/>
              </w:rPr>
            </w:pPr>
            <w:r>
              <w:rPr>
                <w:rFonts w:ascii="Times New Roman" w:hAnsi="Times New Roman" w:cs="Times New Roman"/>
                <w:color w:val="auto"/>
                <w:sz w:val="21"/>
                <w:szCs w:val="22"/>
              </w:rPr>
              <w:t>3</w:t>
            </w:r>
          </w:p>
        </w:tc>
        <w:tc>
          <w:tcPr>
            <w:tcW w:w="3223"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起重臂、平衡臂、塔顶拆除</w:t>
            </w:r>
          </w:p>
        </w:tc>
        <w:tc>
          <w:tcPr>
            <w:tcW w:w="1673" w:type="dxa"/>
            <w:noWrap w:val="0"/>
            <w:vAlign w:val="center"/>
          </w:tcPr>
          <w:p>
            <w:pPr>
              <w:spacing w:line="240" w:lineRule="auto"/>
              <w:ind w:left="0" w:leftChars="0" w:firstLine="0" w:firstLineChars="0"/>
              <w:jc w:val="both"/>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100t汽车吊</w:t>
            </w:r>
          </w:p>
        </w:tc>
        <w:tc>
          <w:tcPr>
            <w:tcW w:w="932"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2</w:t>
            </w:r>
          </w:p>
        </w:tc>
        <w:tc>
          <w:tcPr>
            <w:tcW w:w="1437" w:type="dxa"/>
            <w:noWrap w:val="0"/>
            <w:vAlign w:val="center"/>
          </w:tcPr>
          <w:p>
            <w:pPr>
              <w:spacing w:line="240" w:lineRule="auto"/>
              <w:ind w:firstLine="0" w:firstLineChars="0"/>
              <w:jc w:val="center"/>
              <w:rPr>
                <w:rFonts w:ascii="Times New Roman" w:hAnsi="Times New Roman" w:cs="Times New Roman"/>
                <w:color w:val="auto"/>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Fonts w:ascii="Times New Roman" w:hAnsi="Times New Roman" w:cs="Times New Roman"/>
                <w:color w:val="auto"/>
                <w:szCs w:val="22"/>
              </w:rPr>
            </w:pPr>
            <w:r>
              <w:rPr>
                <w:rFonts w:ascii="Times New Roman" w:hAnsi="Times New Roman" w:cs="Times New Roman"/>
                <w:color w:val="auto"/>
                <w:sz w:val="21"/>
                <w:szCs w:val="22"/>
              </w:rPr>
              <w:t>4</w:t>
            </w:r>
          </w:p>
        </w:tc>
        <w:tc>
          <w:tcPr>
            <w:tcW w:w="3223"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套架、回转总成拆除</w:t>
            </w:r>
          </w:p>
        </w:tc>
        <w:tc>
          <w:tcPr>
            <w:tcW w:w="1673" w:type="dxa"/>
            <w:noWrap w:val="0"/>
            <w:vAlign w:val="center"/>
          </w:tcPr>
          <w:p>
            <w:pPr>
              <w:spacing w:line="240" w:lineRule="auto"/>
              <w:ind w:left="0" w:leftChars="0" w:firstLine="0" w:firstLineChars="0"/>
              <w:jc w:val="both"/>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100t汽车吊</w:t>
            </w:r>
          </w:p>
        </w:tc>
        <w:tc>
          <w:tcPr>
            <w:tcW w:w="932" w:type="dxa"/>
            <w:tcBorders>
              <w:bottom w:val="single" w:color="auto" w:sz="4" w:space="0"/>
            </w:tcBorders>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2</w:t>
            </w:r>
          </w:p>
        </w:tc>
        <w:tc>
          <w:tcPr>
            <w:tcW w:w="1437" w:type="dxa"/>
            <w:tcBorders>
              <w:bottom w:val="single" w:color="auto" w:sz="4" w:space="0"/>
            </w:tcBorders>
            <w:noWrap w:val="0"/>
            <w:vAlign w:val="center"/>
          </w:tcPr>
          <w:p>
            <w:pPr>
              <w:spacing w:line="240" w:lineRule="auto"/>
              <w:ind w:firstLine="420"/>
              <w:jc w:val="center"/>
              <w:rPr>
                <w:rFonts w:ascii="Times New Roman" w:hAnsi="Times New Roman" w:cs="Times New Roman"/>
                <w:color w:val="auto"/>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Fonts w:ascii="Times New Roman" w:hAnsi="Times New Roman" w:cs="Times New Roman"/>
                <w:color w:val="auto"/>
                <w:szCs w:val="22"/>
              </w:rPr>
            </w:pPr>
            <w:r>
              <w:rPr>
                <w:rFonts w:ascii="Times New Roman" w:hAnsi="Times New Roman" w:cs="Times New Roman"/>
                <w:color w:val="auto"/>
                <w:sz w:val="21"/>
                <w:szCs w:val="22"/>
              </w:rPr>
              <w:t>5</w:t>
            </w:r>
          </w:p>
        </w:tc>
        <w:tc>
          <w:tcPr>
            <w:tcW w:w="3223"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基础节、标准节拆除</w:t>
            </w:r>
          </w:p>
        </w:tc>
        <w:tc>
          <w:tcPr>
            <w:tcW w:w="1673" w:type="dxa"/>
            <w:noWrap w:val="0"/>
            <w:vAlign w:val="center"/>
          </w:tcPr>
          <w:p>
            <w:pPr>
              <w:spacing w:line="240" w:lineRule="auto"/>
              <w:ind w:left="0" w:leftChars="0" w:firstLine="0" w:firstLineChars="0"/>
              <w:jc w:val="both"/>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100t汽车吊</w:t>
            </w:r>
          </w:p>
        </w:tc>
        <w:tc>
          <w:tcPr>
            <w:tcW w:w="932" w:type="dxa"/>
            <w:tcBorders>
              <w:top w:val="single" w:color="auto" w:sz="4" w:space="0"/>
            </w:tcBorders>
            <w:noWrap w:val="0"/>
            <w:vAlign w:val="center"/>
          </w:tcPr>
          <w:p>
            <w:pPr>
              <w:spacing w:line="240" w:lineRule="auto"/>
              <w:ind w:firstLine="420"/>
              <w:jc w:val="center"/>
              <w:rPr>
                <w:rFonts w:hint="default"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1</w:t>
            </w:r>
          </w:p>
        </w:tc>
        <w:tc>
          <w:tcPr>
            <w:tcW w:w="1437" w:type="dxa"/>
            <w:tcBorders>
              <w:top w:val="single" w:color="auto" w:sz="4" w:space="0"/>
            </w:tcBorders>
            <w:noWrap w:val="0"/>
            <w:vAlign w:val="center"/>
          </w:tcPr>
          <w:p>
            <w:pPr>
              <w:spacing w:line="240" w:lineRule="auto"/>
              <w:ind w:firstLine="420"/>
              <w:jc w:val="center"/>
              <w:rPr>
                <w:rFonts w:ascii="Times New Roman" w:hAnsi="Times New Roman" w:cs="Times New Roman"/>
                <w:color w:val="auto"/>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Fonts w:hint="eastAsia" w:ascii="Times New Roman" w:hAnsi="Times New Roman" w:eastAsia="宋体" w:cs="Times New Roman"/>
                <w:color w:val="auto"/>
                <w:szCs w:val="22"/>
                <w:lang w:val="en-US" w:eastAsia="zh-CN"/>
              </w:rPr>
            </w:pPr>
            <w:r>
              <w:rPr>
                <w:rFonts w:hint="eastAsia" w:ascii="Times New Roman" w:hAnsi="Times New Roman" w:cs="Times New Roman"/>
                <w:color w:val="auto"/>
                <w:sz w:val="21"/>
                <w:szCs w:val="22"/>
                <w:lang w:val="en-US" w:eastAsia="zh-CN"/>
              </w:rPr>
              <w:t>6</w:t>
            </w:r>
          </w:p>
        </w:tc>
        <w:tc>
          <w:tcPr>
            <w:tcW w:w="3223" w:type="dxa"/>
            <w:noWrap w:val="0"/>
            <w:vAlign w:val="center"/>
          </w:tcPr>
          <w:p>
            <w:pPr>
              <w:spacing w:line="240" w:lineRule="auto"/>
              <w:ind w:firstLine="420"/>
              <w:jc w:val="center"/>
              <w:rPr>
                <w:rFonts w:hint="default"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附着装置拆除</w:t>
            </w:r>
          </w:p>
        </w:tc>
        <w:tc>
          <w:tcPr>
            <w:tcW w:w="1673" w:type="dxa"/>
            <w:noWrap w:val="0"/>
            <w:vAlign w:val="center"/>
          </w:tcPr>
          <w:p>
            <w:pPr>
              <w:spacing w:line="240" w:lineRule="auto"/>
              <w:ind w:left="0" w:leftChars="0" w:firstLine="0" w:firstLineChars="0"/>
              <w:jc w:val="both"/>
              <w:rPr>
                <w:rFonts w:hint="eastAsia" w:ascii="Times New Roman" w:hAnsi="Times New Roman" w:cs="Times New Roman"/>
                <w:color w:val="auto"/>
                <w:sz w:val="21"/>
                <w:szCs w:val="22"/>
                <w:lang w:val="en-US" w:eastAsia="zh-CN"/>
              </w:rPr>
            </w:pPr>
          </w:p>
        </w:tc>
        <w:tc>
          <w:tcPr>
            <w:tcW w:w="932" w:type="dxa"/>
            <w:noWrap w:val="0"/>
            <w:vAlign w:val="center"/>
          </w:tcPr>
          <w:p>
            <w:pPr>
              <w:spacing w:line="240" w:lineRule="auto"/>
              <w:ind w:firstLine="420"/>
              <w:jc w:val="center"/>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3</w:t>
            </w:r>
          </w:p>
        </w:tc>
        <w:tc>
          <w:tcPr>
            <w:tcW w:w="1437" w:type="dxa"/>
            <w:noWrap w:val="0"/>
            <w:vAlign w:val="center"/>
          </w:tcPr>
          <w:p>
            <w:pPr>
              <w:spacing w:line="240" w:lineRule="auto"/>
              <w:ind w:firstLine="420"/>
              <w:jc w:val="center"/>
              <w:rPr>
                <w:rFonts w:ascii="Times New Roman" w:hAnsi="Times New Roman" w:cs="Times New Roman"/>
                <w:color w:val="auto"/>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Fonts w:hint="eastAsia" w:ascii="Times New Roman" w:hAnsi="Times New Roman" w:eastAsia="宋体" w:cs="Times New Roman"/>
                <w:color w:val="auto"/>
                <w:szCs w:val="22"/>
                <w:lang w:val="en-US" w:eastAsia="zh-CN"/>
              </w:rPr>
            </w:pPr>
            <w:r>
              <w:rPr>
                <w:rFonts w:hint="eastAsia" w:ascii="Times New Roman" w:hAnsi="Times New Roman" w:cs="Times New Roman"/>
                <w:color w:val="auto"/>
                <w:sz w:val="21"/>
                <w:szCs w:val="22"/>
                <w:lang w:val="en-US" w:eastAsia="zh-CN"/>
              </w:rPr>
              <w:t>7</w:t>
            </w:r>
          </w:p>
        </w:tc>
        <w:tc>
          <w:tcPr>
            <w:tcW w:w="7265" w:type="dxa"/>
            <w:gridSpan w:val="4"/>
            <w:noWrap w:val="0"/>
            <w:vAlign w:val="center"/>
          </w:tcPr>
          <w:p>
            <w:pPr>
              <w:spacing w:line="240" w:lineRule="auto"/>
              <w:ind w:firstLine="420"/>
              <w:jc w:val="center"/>
              <w:rPr>
                <w:rFonts w:ascii="Times New Roman" w:hAnsi="Times New Roman" w:cs="Times New Roman"/>
                <w:color w:val="auto"/>
                <w:szCs w:val="22"/>
              </w:rPr>
            </w:pPr>
            <w:r>
              <w:rPr>
                <w:rFonts w:hint="eastAsia" w:ascii="Times New Roman" w:hAnsi="Times New Roman" w:cs="Times New Roman"/>
                <w:color w:val="auto"/>
                <w:sz w:val="21"/>
                <w:szCs w:val="22"/>
                <w:lang w:val="en-US" w:eastAsia="zh-CN"/>
              </w:rPr>
              <w:t>说明：低塔拆卸时直接用高塔拆除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80" w:type="dxa"/>
            <w:gridSpan w:val="3"/>
            <w:noWrap w:val="0"/>
            <w:vAlign w:val="center"/>
          </w:tcPr>
          <w:p>
            <w:pPr>
              <w:spacing w:line="240" w:lineRule="auto"/>
              <w:ind w:firstLine="422"/>
              <w:jc w:val="center"/>
              <w:rPr>
                <w:rFonts w:ascii="Times New Roman" w:hAnsi="Times New Roman" w:cs="Times New Roman"/>
                <w:color w:val="auto"/>
                <w:szCs w:val="22"/>
              </w:rPr>
            </w:pPr>
            <w:r>
              <w:rPr>
                <w:rFonts w:hint="eastAsia" w:ascii="Times New Roman" w:hAnsi="Times New Roman" w:cs="Times New Roman"/>
                <w:color w:val="auto"/>
                <w:sz w:val="21"/>
                <w:szCs w:val="22"/>
              </w:rPr>
              <w:t>合计</w:t>
            </w:r>
          </w:p>
        </w:tc>
        <w:tc>
          <w:tcPr>
            <w:tcW w:w="932" w:type="dxa"/>
            <w:noWrap w:val="0"/>
            <w:vAlign w:val="center"/>
          </w:tcPr>
          <w:p>
            <w:pPr>
              <w:spacing w:line="240" w:lineRule="auto"/>
              <w:ind w:firstLine="0" w:firstLineChars="0"/>
              <w:jc w:val="center"/>
              <w:rPr>
                <w:rFonts w:hint="default" w:ascii="Times New Roman" w:hAnsi="Times New Roman" w:eastAsia="宋体" w:cs="Times New Roman"/>
                <w:color w:val="auto"/>
                <w:szCs w:val="22"/>
                <w:lang w:val="en-US" w:eastAsia="zh-CN"/>
              </w:rPr>
            </w:pPr>
            <w:r>
              <w:rPr>
                <w:rFonts w:hint="eastAsia" w:ascii="Times New Roman" w:hAnsi="Times New Roman" w:cs="Times New Roman"/>
                <w:color w:val="auto"/>
                <w:sz w:val="21"/>
                <w:szCs w:val="22"/>
                <w:lang w:val="en-US" w:eastAsia="zh-CN"/>
              </w:rPr>
              <w:t>14</w:t>
            </w:r>
          </w:p>
        </w:tc>
        <w:tc>
          <w:tcPr>
            <w:tcW w:w="1437" w:type="dxa"/>
            <w:noWrap w:val="0"/>
            <w:vAlign w:val="center"/>
          </w:tcPr>
          <w:p>
            <w:pPr>
              <w:spacing w:line="240" w:lineRule="auto"/>
              <w:ind w:firstLine="420"/>
              <w:jc w:val="center"/>
              <w:rPr>
                <w:rFonts w:ascii="Times New Roman" w:hAnsi="Times New Roman" w:cs="Times New Roman"/>
                <w:color w:val="auto"/>
                <w:szCs w:val="22"/>
              </w:rPr>
            </w:pPr>
          </w:p>
        </w:tc>
      </w:tr>
    </w:tbl>
    <w:p>
      <w:pPr>
        <w:pStyle w:val="16"/>
        <w:rPr>
          <w:rFonts w:hint="eastAsia"/>
        </w:rPr>
      </w:pPr>
    </w:p>
    <w:p>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2" w:name="_Toc25635"/>
      <w:r>
        <w:rPr>
          <w:rFonts w:hint="eastAsia" w:ascii="宋体" w:hAnsi="宋体" w:eastAsia="宋体" w:cs="宋体"/>
          <w:sz w:val="24"/>
          <w:szCs w:val="24"/>
        </w:rPr>
        <w:t>材料及设备计划</w:t>
      </w:r>
      <w:bookmarkEnd w:id="32"/>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为保证现场设备</w:t>
      </w:r>
      <w:r>
        <w:rPr>
          <w:rFonts w:hint="eastAsia" w:cs="宋体"/>
          <w:sz w:val="24"/>
          <w:szCs w:val="24"/>
          <w:lang w:eastAsia="zh-CN"/>
        </w:rPr>
        <w:t>拆卸</w:t>
      </w:r>
      <w:r>
        <w:rPr>
          <w:rFonts w:hint="eastAsia" w:ascii="宋体" w:hAnsi="宋体" w:eastAsia="宋体" w:cs="宋体"/>
          <w:sz w:val="24"/>
          <w:szCs w:val="24"/>
        </w:rPr>
        <w:t>，材料及设备计划下表</w:t>
      </w:r>
    </w:p>
    <w:p>
      <w:pPr>
        <w:pStyle w:val="15"/>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材料及设备计划表</w:t>
      </w:r>
    </w:p>
    <w:tbl>
      <w:tblPr>
        <w:tblStyle w:val="124"/>
        <w:tblpPr w:leftFromText="180" w:rightFromText="180" w:vertAnchor="text" w:horzAnchor="margin" w:tblpXSpec="center" w:tblpY="86"/>
        <w:tblW w:w="97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40"/>
        <w:gridCol w:w="2250"/>
        <w:gridCol w:w="2203"/>
        <w:gridCol w:w="1986"/>
        <w:gridCol w:w="21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序号</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名称</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规格</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数量</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eastAsia="zh-CN"/>
              </w:rPr>
            </w:pPr>
            <w:r>
              <w:rPr>
                <w:rFonts w:hint="eastAsia" w:ascii="宋体" w:hAnsi="宋体" w:eastAsia="宋体" w:cs="宋体"/>
                <w:sz w:val="21"/>
                <w:szCs w:val="21"/>
              </w:rPr>
              <w:t>辅助机械</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cs="宋体"/>
                <w:sz w:val="21"/>
                <w:szCs w:val="21"/>
                <w:lang w:eastAsia="zh-CN"/>
              </w:rPr>
              <w:t>100t汽车吊</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1台</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eastAsia="zh-CN"/>
              </w:rPr>
            </w:pPr>
            <w:r>
              <w:rPr>
                <w:rFonts w:hint="eastAsia" w:cs="宋体"/>
                <w:sz w:val="21"/>
                <w:szCs w:val="21"/>
                <w:lang w:eastAsia="zh-CN"/>
              </w:rPr>
              <w:t>XGT660-32S</w:t>
            </w:r>
            <w:r>
              <w:rPr>
                <w:rFonts w:hint="eastAsia" w:ascii="宋体" w:hAnsi="宋体" w:eastAsia="宋体" w:cs="宋体"/>
                <w:sz w:val="21"/>
                <w:szCs w:val="21"/>
              </w:rPr>
              <w:t>塔机</w:t>
            </w:r>
            <w:r>
              <w:rPr>
                <w:rFonts w:hint="eastAsia" w:cs="宋体"/>
                <w:sz w:val="21"/>
                <w:szCs w:val="21"/>
                <w:lang w:eastAsia="zh-CN"/>
              </w:rPr>
              <w:t>拆卸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辅助机械</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eastAsia="zh-CN"/>
              </w:rPr>
            </w:pPr>
            <w:r>
              <w:rPr>
                <w:rFonts w:hint="eastAsia" w:cs="宋体"/>
                <w:sz w:val="21"/>
                <w:szCs w:val="21"/>
                <w:lang w:val="en-US" w:eastAsia="zh-CN"/>
              </w:rPr>
              <w:t>50</w:t>
            </w:r>
            <w:r>
              <w:rPr>
                <w:rFonts w:hint="eastAsia" w:ascii="宋体" w:hAnsi="宋体" w:eastAsia="宋体" w:cs="宋体"/>
                <w:sz w:val="21"/>
                <w:szCs w:val="21"/>
              </w:rPr>
              <w:t>t</w:t>
            </w:r>
            <w:r>
              <w:rPr>
                <w:rFonts w:hint="eastAsia" w:cs="宋体"/>
                <w:sz w:val="21"/>
                <w:szCs w:val="21"/>
                <w:lang w:eastAsia="zh-CN"/>
              </w:rPr>
              <w:t>汽车吊</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1台</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配合</w:t>
            </w:r>
            <w:r>
              <w:rPr>
                <w:rFonts w:hint="eastAsia" w:cs="宋体"/>
                <w:sz w:val="21"/>
                <w:szCs w:val="21"/>
                <w:lang w:eastAsia="zh-CN"/>
              </w:rPr>
              <w:t>拆卸</w:t>
            </w:r>
            <w:r>
              <w:rPr>
                <w:rFonts w:hint="eastAsia" w:ascii="宋体" w:hAnsi="宋体" w:eastAsia="宋体" w:cs="宋体"/>
                <w:sz w:val="21"/>
                <w:szCs w:val="21"/>
              </w:rPr>
              <w:t>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运输设备</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17米半挂车</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若干辆</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每台塔机进场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大锤</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18LB</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4把</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大锤</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22LB</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八角铁锤</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4磅</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手拉葫芦</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1T</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手拉葫芦</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3T</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重型套管</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活动扳手</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300mm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活动扳手</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150mm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内六角扳手</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梅花扳手</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开口扳手</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眼冲子</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钳工常用工具</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撬棍</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30mm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5把</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钢卷尺</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30m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1个</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卸扣</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eastAsia="zh-CN"/>
              </w:rPr>
            </w:pPr>
            <w:r>
              <w:rPr>
                <w:rFonts w:hint="eastAsia" w:ascii="宋体" w:hAnsi="宋体" w:eastAsia="宋体" w:cs="宋体"/>
                <w:sz w:val="21"/>
                <w:szCs w:val="21"/>
              </w:rPr>
              <w:t>1t、2t、5t、8t、</w:t>
            </w:r>
            <w:r>
              <w:rPr>
                <w:rFonts w:hint="eastAsia" w:cs="宋体"/>
                <w:sz w:val="21"/>
                <w:szCs w:val="21"/>
                <w:lang w:eastAsia="zh-CN"/>
              </w:rPr>
              <w:t>20t</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各4个</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34</w:t>
            </w:r>
            <w:r>
              <w:rPr>
                <w:rFonts w:hint="eastAsia" w:ascii="宋体" w:hAnsi="宋体" w:eastAsia="宋体" w:cs="宋体"/>
                <w:sz w:val="21"/>
                <w:szCs w:val="21"/>
              </w:rPr>
              <w:t>-1700，</w:t>
            </w:r>
            <w:r>
              <w:rPr>
                <w:rFonts w:hint="eastAsia" w:cs="宋体"/>
                <w:sz w:val="21"/>
                <w:szCs w:val="21"/>
                <w:lang w:val="en-US" w:eastAsia="zh-CN"/>
              </w:rPr>
              <w:t>1</w:t>
            </w:r>
            <w:r>
              <w:rPr>
                <w:rFonts w:hint="eastAsia" w:ascii="宋体" w:hAnsi="宋体" w:eastAsia="宋体" w:cs="宋体"/>
                <w:sz w:val="21"/>
                <w:szCs w:val="21"/>
              </w:rPr>
              <w:t>8m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34</w:t>
            </w:r>
            <w:r>
              <w:rPr>
                <w:rFonts w:hint="eastAsia" w:ascii="宋体" w:hAnsi="宋体" w:eastAsia="宋体" w:cs="宋体"/>
                <w:sz w:val="21"/>
                <w:szCs w:val="21"/>
              </w:rPr>
              <w:t>-1700，8m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26</w:t>
            </w:r>
            <w:r>
              <w:rPr>
                <w:rFonts w:hint="eastAsia" w:ascii="宋体" w:hAnsi="宋体" w:eastAsia="宋体" w:cs="宋体"/>
                <w:sz w:val="21"/>
                <w:szCs w:val="21"/>
              </w:rPr>
              <w:t>-1700，3m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白棕绳</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φ16mm×50m</w:t>
            </w: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根</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对讲机</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4部</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电工常用工具</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万用表</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钳式电流表</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绝缘摇表</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水平仪、经纬仪</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各1架</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安全带、安全帽</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每人一套</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扭矩扳手</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2把</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试验配重</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总计125t</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2250"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附着部件</w:t>
            </w:r>
          </w:p>
        </w:tc>
        <w:tc>
          <w:tcPr>
            <w:tcW w:w="2203"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p>
        </w:tc>
        <w:tc>
          <w:tcPr>
            <w:tcW w:w="198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8根</w:t>
            </w:r>
          </w:p>
        </w:tc>
        <w:tc>
          <w:tcPr>
            <w:tcW w:w="2126"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sz w:val="21"/>
                <w:szCs w:val="21"/>
              </w:rPr>
            </w:pPr>
          </w:p>
        </w:tc>
      </w:tr>
    </w:tbl>
    <w:p>
      <w:pPr>
        <w:pStyle w:val="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3" w:name="_Toc26412"/>
      <w:r>
        <w:rPr>
          <w:rFonts w:hint="eastAsia" w:ascii="宋体" w:hAnsi="宋体" w:eastAsia="宋体" w:cs="宋体"/>
          <w:sz w:val="24"/>
          <w:szCs w:val="24"/>
        </w:rPr>
        <w:t>施工工艺</w:t>
      </w:r>
      <w:bookmarkEnd w:id="33"/>
    </w:p>
    <w:p>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4" w:name="_Toc19654"/>
      <w:r>
        <w:rPr>
          <w:rFonts w:hint="eastAsia" w:ascii="宋体" w:hAnsi="宋体" w:eastAsia="宋体" w:cs="宋体"/>
          <w:sz w:val="24"/>
          <w:szCs w:val="24"/>
        </w:rPr>
        <w:t>塔吊</w:t>
      </w:r>
      <w:r>
        <w:rPr>
          <w:rFonts w:hint="eastAsia" w:cs="宋体"/>
          <w:sz w:val="24"/>
          <w:szCs w:val="24"/>
          <w:lang w:eastAsia="zh-CN"/>
        </w:rPr>
        <w:t>拆卸</w:t>
      </w:r>
      <w:r>
        <w:rPr>
          <w:rFonts w:hint="eastAsia" w:ascii="宋体" w:hAnsi="宋体" w:eastAsia="宋体" w:cs="宋体"/>
          <w:sz w:val="24"/>
          <w:szCs w:val="24"/>
        </w:rPr>
        <w:t>施工工艺流程</w:t>
      </w:r>
      <w:bookmarkEnd w:id="34"/>
    </w:p>
    <w:p>
      <w:pPr>
        <w:pStyle w:val="15"/>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rPr>
        <mc:AlternateContent>
          <mc:Choice Requires="wps">
            <w:drawing>
              <wp:anchor distT="0" distB="0" distL="114300" distR="114300" simplePos="0" relativeHeight="251664384" behindDoc="0" locked="0" layoutInCell="1" allowOverlap="1">
                <wp:simplePos x="0" y="0"/>
                <wp:positionH relativeFrom="column">
                  <wp:posOffset>1006475</wp:posOffset>
                </wp:positionH>
                <wp:positionV relativeFrom="paragraph">
                  <wp:posOffset>3587115</wp:posOffset>
                </wp:positionV>
                <wp:extent cx="224155" cy="130175"/>
                <wp:effectExtent l="6350" t="6350" r="15875" b="13335"/>
                <wp:wrapNone/>
                <wp:docPr id="78" name="右箭头 78"/>
                <wp:cNvGraphicFramePr/>
                <a:graphic xmlns:a="http://schemas.openxmlformats.org/drawingml/2006/main">
                  <a:graphicData uri="http://schemas.microsoft.com/office/word/2010/wordprocessingShape">
                    <wps:wsp>
                      <wps:cNvSpPr/>
                      <wps:spPr>
                        <a:xfrm rot="5400000">
                          <a:off x="1945005" y="9083675"/>
                          <a:ext cx="224155" cy="130175"/>
                        </a:xfrm>
                        <a:prstGeom prst="rightArrow">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9.25pt;margin-top:282.45pt;height:10.25pt;width:17.65pt;rotation:5898240f;z-index:251664384;v-text-anchor:middle;mso-width-relative:page;mso-height-relative:page;" filled="f" stroked="t" coordsize="21600,21600" o:gfxdata="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Hy4WytoAAAALAQAADwAAAAAAAAABACAAAAAi&#10;AAAAZHJzL2Rvd25yZXYueG1sUEsBAhQAFAAAAAgAh07iQDASDf16AgAA2AQAAA4AAAAAAAAAAQAg&#10;AAAAKQEAAGRycy9lMm9Eb2MueG1sUEsFBgAAAAAGAAYAWQEAABUGAAAAAA==&#10;" adj="15329,5400">
                <v:fill on="f" focussize="0,0"/>
                <v:stroke weight="1pt" color="#000000 [3213]" joinstyle="round"/>
                <v:imagedata o:title=""/>
                <o:lock v:ext="edit" aspectratio="f"/>
              </v:shape>
            </w:pict>
          </mc:Fallback>
        </mc:AlternateContent>
      </w:r>
      <w:r>
        <w:object>
          <v:shape id="_x0000_i1025" o:spt="75" type="#_x0000_t75" style="height:661.3pt;width:142.35pt;" o:ole="t" filled="f" o:preferrelative="t" stroked="f" coordsize="21600,21600">
            <v:path/>
            <v:fill on="f" focussize="0,0"/>
            <v:stroke on="f"/>
            <v:imagedata r:id="rId24" o:title=""/>
            <o:lock v:ext="edit" aspectratio="t"/>
            <w10:wrap type="none"/>
            <w10:anchorlock/>
          </v:shape>
          <o:OLEObject Type="Embed" ProgID="Visio.Drawing.15" ShapeID="_x0000_i1025" DrawAspect="Content" ObjectID="_1468075725" r:id="rId23">
            <o:LockedField>false</o:LockedField>
          </o:OLEObject>
        </w:object>
      </w:r>
    </w:p>
    <w:p>
      <w:pPr>
        <w:pStyle w:val="15"/>
        <w:kinsoku/>
        <w:overflowPunct/>
        <w:topLinePunct w:val="0"/>
        <w:bidi w:val="0"/>
        <w:spacing w:line="360" w:lineRule="atLeast"/>
        <w:rPr>
          <w:rFonts w:hint="eastAsia" w:ascii="宋体" w:hAnsi="宋体" w:eastAsia="宋体" w:cs="宋体"/>
          <w:sz w:val="24"/>
          <w:szCs w:val="24"/>
          <w:lang w:val="en-US" w:eastAsia="zh-CN"/>
        </w:rPr>
      </w:pPr>
      <w:r>
        <w:rPr>
          <w:rFonts w:hint="eastAsia" w:ascii="宋体" w:hAnsi="宋体" w:eastAsia="宋体" w:cs="宋体"/>
          <w:sz w:val="24"/>
          <w:szCs w:val="24"/>
        </w:rPr>
        <w:t>图4.1</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SEQ图\*ARABIC\s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施工</w:t>
      </w:r>
      <w:r>
        <w:rPr>
          <w:rFonts w:hint="eastAsia" w:ascii="宋体" w:hAnsi="宋体" w:cs="宋体"/>
          <w:sz w:val="24"/>
          <w:szCs w:val="24"/>
          <w:lang w:val="en-US" w:eastAsia="zh-CN"/>
        </w:rPr>
        <w:t>顺序</w:t>
      </w:r>
      <w:r>
        <w:rPr>
          <w:rFonts w:hint="eastAsia" w:ascii="宋体" w:hAnsi="宋体" w:eastAsia="宋体" w:cs="宋体"/>
          <w:sz w:val="24"/>
          <w:szCs w:val="24"/>
        </w:rPr>
        <w:t>流程</w:t>
      </w:r>
      <w:r>
        <w:rPr>
          <w:rFonts w:hint="eastAsia" w:ascii="宋体" w:hAnsi="宋体" w:cs="宋体"/>
          <w:sz w:val="24"/>
          <w:szCs w:val="24"/>
          <w:lang w:val="en-US" w:eastAsia="zh-CN"/>
        </w:rPr>
        <w:t>表</w:t>
      </w:r>
    </w:p>
    <w:p>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5" w:name="_Toc16901"/>
      <w:r>
        <w:rPr>
          <w:rFonts w:hint="eastAsia" w:ascii="宋体" w:hAnsi="宋体" w:eastAsia="宋体" w:cs="宋体"/>
          <w:sz w:val="24"/>
          <w:szCs w:val="24"/>
        </w:rPr>
        <w:t>主要设备选型</w:t>
      </w:r>
      <w:bookmarkEnd w:id="35"/>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辅助起重设备选型</w:t>
      </w:r>
    </w:p>
    <w:p>
      <w:pPr>
        <w:bidi w:val="0"/>
        <w:rPr>
          <w:rFonts w:hint="eastAsia"/>
        </w:rPr>
      </w:pPr>
      <w:r>
        <w:rPr>
          <w:rFonts w:hint="eastAsia"/>
          <w:lang w:eastAsia="zh-CN"/>
        </w:rPr>
        <w:t>拆卸</w:t>
      </w:r>
      <w:r>
        <w:rPr>
          <w:rFonts w:hint="eastAsia"/>
        </w:rPr>
        <w:t>时，辅助</w:t>
      </w:r>
      <w:r>
        <w:rPr>
          <w:rFonts w:hint="eastAsia"/>
          <w:lang w:eastAsia="zh-CN"/>
        </w:rPr>
        <w:t>拆卸</w:t>
      </w:r>
      <w:r>
        <w:rPr>
          <w:rFonts w:hint="eastAsia"/>
        </w:rPr>
        <w:t>的起重机可行驶并支设于</w:t>
      </w:r>
      <w:r>
        <w:rPr>
          <w:rFonts w:hint="eastAsia"/>
          <w:lang w:val="en-US" w:eastAsia="zh-CN"/>
        </w:rPr>
        <w:t>桥面</w:t>
      </w:r>
      <w:r>
        <w:rPr>
          <w:rFonts w:hint="eastAsia"/>
        </w:rPr>
        <w:t>上，徐工</w:t>
      </w:r>
      <w:r>
        <w:rPr>
          <w:rFonts w:hint="eastAsia"/>
          <w:lang w:eastAsia="zh-CN"/>
        </w:rPr>
        <w:t>XGT660-32S</w:t>
      </w:r>
      <w:r>
        <w:rPr>
          <w:rFonts w:hint="eastAsia"/>
        </w:rPr>
        <w:t>选用</w:t>
      </w:r>
      <w:r>
        <w:rPr>
          <w:rFonts w:hint="eastAsia"/>
          <w:lang w:eastAsia="zh-CN"/>
        </w:rPr>
        <w:t>100t汽车吊</w:t>
      </w:r>
      <w:r>
        <w:rPr>
          <w:rFonts w:hint="eastAsia"/>
        </w:rPr>
        <w:t>用于</w:t>
      </w:r>
      <w:r>
        <w:rPr>
          <w:rFonts w:hint="eastAsia"/>
          <w:lang w:eastAsia="zh-CN"/>
        </w:rPr>
        <w:t>拆卸，</w:t>
      </w:r>
      <w:r>
        <w:rPr>
          <w:rFonts w:hint="eastAsia"/>
          <w:lang w:val="en-US" w:eastAsia="zh-CN"/>
        </w:rPr>
        <w:t>汽车吊的工况组合为主臂式 m。</w:t>
      </w:r>
      <w:r>
        <w:rPr>
          <w:rFonts w:hint="eastAsia"/>
        </w:rPr>
        <w:t>满足塔机的作业要求。相应计算详见第11章节。</w:t>
      </w:r>
    </w:p>
    <w:p>
      <w:pPr>
        <w:widowControl w:val="0"/>
        <w:kinsoku/>
        <w:overflowPunct/>
        <w:topLinePunct w:val="0"/>
        <w:bidi w:val="0"/>
        <w:spacing w:line="36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表</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4.2.1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w:t>
      </w:r>
      <w:r>
        <w:rPr>
          <w:rFonts w:hint="eastAsia" w:cs="宋体"/>
          <w:kern w:val="2"/>
          <w:sz w:val="24"/>
          <w:szCs w:val="24"/>
          <w:lang w:val="en-US" w:eastAsia="zh-CN" w:bidi="ar-SA"/>
        </w:rPr>
        <w:t>1</w:t>
      </w:r>
      <w:r>
        <w:rPr>
          <w:rFonts w:hint="eastAsia" w:ascii="宋体" w:hAnsi="宋体" w:eastAsia="宋体" w:cs="宋体"/>
          <w:kern w:val="2"/>
          <w:sz w:val="24"/>
          <w:szCs w:val="24"/>
          <w:lang w:val="en-US" w:eastAsia="zh-CN" w:bidi="ar-SA"/>
        </w:rPr>
        <w:t xml:space="preserve"> </w:t>
      </w:r>
      <w:r>
        <w:rPr>
          <w:rFonts w:hint="eastAsia" w:cs="宋体"/>
          <w:kern w:val="2"/>
          <w:sz w:val="24"/>
          <w:szCs w:val="24"/>
          <w:lang w:val="en-US" w:eastAsia="zh-CN" w:bidi="ar-SA"/>
        </w:rPr>
        <w:t>100t汽车吊</w:t>
      </w:r>
      <w:r>
        <w:rPr>
          <w:rFonts w:hint="eastAsia" w:ascii="宋体" w:hAnsi="宋体" w:eastAsia="宋体" w:cs="宋体"/>
          <w:kern w:val="2"/>
          <w:sz w:val="24"/>
          <w:szCs w:val="24"/>
          <w:lang w:val="en-US" w:eastAsia="zh-CN" w:bidi="ar-SA"/>
        </w:rPr>
        <w:t>性能表</w:t>
      </w:r>
    </w:p>
    <w:p>
      <w:pPr>
        <w:pStyle w:val="13"/>
        <w:spacing w:line="240" w:lineRule="auto"/>
        <w:rPr>
          <w:rFonts w:hint="eastAsia"/>
        </w:rPr>
      </w:pPr>
      <w:r>
        <w:rPr>
          <w:sz w:val="24"/>
        </w:rPr>
        <mc:AlternateContent>
          <mc:Choice Requires="wps">
            <w:drawing>
              <wp:anchor distT="0" distB="0" distL="114300" distR="114300" simplePos="0" relativeHeight="251666432" behindDoc="0" locked="0" layoutInCell="1" allowOverlap="1">
                <wp:simplePos x="0" y="0"/>
                <wp:positionH relativeFrom="column">
                  <wp:posOffset>2693670</wp:posOffset>
                </wp:positionH>
                <wp:positionV relativeFrom="paragraph">
                  <wp:posOffset>452755</wp:posOffset>
                </wp:positionV>
                <wp:extent cx="513080" cy="4596765"/>
                <wp:effectExtent l="13970" t="13970" r="21590" b="22225"/>
                <wp:wrapNone/>
                <wp:docPr id="37" name="矩形 37"/>
                <wp:cNvGraphicFramePr/>
                <a:graphic xmlns:a="http://schemas.openxmlformats.org/drawingml/2006/main">
                  <a:graphicData uri="http://schemas.microsoft.com/office/word/2010/wordprocessingShape">
                    <wps:wsp>
                      <wps:cNvSpPr/>
                      <wps:spPr>
                        <a:xfrm>
                          <a:off x="4686935" y="3963035"/>
                          <a:ext cx="513080" cy="4596765"/>
                        </a:xfrm>
                        <a:prstGeom prst="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35.65pt;height:361.95pt;width:40.4pt;z-index:251666432;v-text-anchor:middle;mso-width-relative:page;mso-height-relative:page;" filled="f" stroked="t" coordsize="21600,21600" o:gfxdata="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b3X3tkAAAAKAQAADwAAAAAAAAABACAAAAAiAAAAZHJzL2Rvd25yZXYu&#10;eG1sUEsBAhQAFAAAAAgAh07iQK1J5plsAgAAwgQAAA4AAAAAAAAAAQAgAAAAKAEAAGRycy9lMm9E&#10;b2MueG1sUEsFBgAAAAAGAAYAWQEAAAYGAAAAAA==&#10;">
                <v:fill on="f" focussize="0,0"/>
                <v:stroke weight="2.25pt" color="#FF0000 [2404]" joinstyle="round"/>
                <v:imagedata o:title=""/>
                <o:lock v:ext="edit" aspectratio="f"/>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137160</wp:posOffset>
                </wp:positionH>
                <wp:positionV relativeFrom="paragraph">
                  <wp:posOffset>2571750</wp:posOffset>
                </wp:positionV>
                <wp:extent cx="5159375" cy="405765"/>
                <wp:effectExtent l="13970" t="13970" r="23495" b="22225"/>
                <wp:wrapNone/>
                <wp:docPr id="43" name="矩形 43"/>
                <wp:cNvGraphicFramePr/>
                <a:graphic xmlns:a="http://schemas.openxmlformats.org/drawingml/2006/main">
                  <a:graphicData uri="http://schemas.microsoft.com/office/word/2010/wordprocessingShape">
                    <wps:wsp>
                      <wps:cNvSpPr/>
                      <wps:spPr>
                        <a:xfrm>
                          <a:off x="4686935" y="3963035"/>
                          <a:ext cx="5159375" cy="405765"/>
                        </a:xfrm>
                        <a:prstGeom prst="rect">
                          <a:avLst/>
                        </a:prstGeom>
                        <a:noFill/>
                        <a:ln w="28575" cap="flat" cmpd="sng" algn="ctr">
                          <a:solidFill>
                            <a:srgbClr val="FF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pt;margin-top:202.5pt;height:31.95pt;width:406.25pt;z-index:251667456;v-text-anchor:middle;mso-width-relative:page;mso-height-relative:page;" filled="f" stroked="t" coordsize="21600,21600" o:gfxdata="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BD8r2QAAAAoBAAAPAAAAAAAAAAEAIAAAACIAAABkcnMvZG93&#10;bnJldi54bWxQSwECFAAUAAAACACHTuJAV8NPyXECAADQBAAADgAAAAAAAAABACAAAAAoAQAAZHJz&#10;L2Uyb0RvYy54bWxQSwUGAAAAAAYABgBZAQAACwYAAAAA&#10;">
                <v:fill on="f" focussize="0,0"/>
                <v:stroke weight="2.25pt" color="#FF0000 [2404]" joinstyle="round"/>
                <v:imagedata o:title=""/>
                <o:lock v:ext="edit" aspectratio="f"/>
              </v:rect>
            </w:pict>
          </mc:Fallback>
        </mc:AlternateContent>
      </w:r>
      <w:r>
        <w:drawing>
          <wp:inline distT="0" distB="0" distL="114300" distR="114300">
            <wp:extent cx="5273675" cy="5709920"/>
            <wp:effectExtent l="0" t="0" r="14605" b="508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25"/>
                    <a:srcRect l="3140" t="1184"/>
                    <a:stretch>
                      <a:fillRect/>
                    </a:stretch>
                  </pic:blipFill>
                  <pic:spPr>
                    <a:xfrm>
                      <a:off x="0" y="0"/>
                      <a:ext cx="5274000" cy="5709938"/>
                    </a:xfrm>
                    <a:prstGeom prst="rect">
                      <a:avLst/>
                    </a:prstGeom>
                    <a:noFill/>
                    <a:ln>
                      <a:noFill/>
                    </a:ln>
                  </pic:spPr>
                </pic:pic>
              </a:graphicData>
            </a:graphic>
          </wp:inline>
        </w:drawing>
      </w:r>
    </w:p>
    <w:p>
      <w:pPr>
        <w:pStyle w:val="13"/>
        <w:spacing w:line="240" w:lineRule="auto"/>
        <w:rPr>
          <w:rFonts w:hint="eastAsia"/>
        </w:rPr>
      </w:pPr>
    </w:p>
    <w:p>
      <w:pPr>
        <w:pStyle w:val="13"/>
        <w:spacing w:line="240" w:lineRule="auto"/>
        <w:rPr>
          <w:rFonts w:hint="eastAsia"/>
        </w:rPr>
      </w:pPr>
    </w:p>
    <w:p>
      <w:pPr>
        <w:pStyle w:val="13"/>
        <w:spacing w:line="240" w:lineRule="auto"/>
        <w:rPr>
          <w:rFonts w:hint="eastAsia"/>
        </w:rPr>
      </w:pPr>
    </w:p>
    <w:p>
      <w:pPr>
        <w:pStyle w:val="13"/>
        <w:spacing w:line="240" w:lineRule="auto"/>
        <w:rPr>
          <w:rFonts w:hint="eastAsia"/>
        </w:rPr>
      </w:pPr>
    </w:p>
    <w:p>
      <w:pPr>
        <w:pStyle w:val="13"/>
        <w:spacing w:line="240" w:lineRule="auto"/>
        <w:rPr>
          <w:rFonts w:hint="eastAsia"/>
        </w:rPr>
      </w:pPr>
    </w:p>
    <w:p>
      <w:pPr>
        <w:pStyle w:val="13"/>
        <w:spacing w:line="240" w:lineRule="auto"/>
        <w:rPr>
          <w:rFonts w:hint="eastAsia"/>
        </w:rPr>
      </w:pPr>
    </w:p>
    <w:p>
      <w:pPr>
        <w:pStyle w:val="13"/>
        <w:spacing w:line="240" w:lineRule="auto"/>
        <w:rPr>
          <w:rFonts w:hint="eastAsia"/>
        </w:rPr>
      </w:pPr>
    </w:p>
    <w:p>
      <w:pPr>
        <w:pStyle w:val="15"/>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4.2.1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cs="宋体"/>
          <w:sz w:val="24"/>
          <w:szCs w:val="24"/>
          <w:lang w:val="en-US" w:eastAsia="zh-CN"/>
        </w:rPr>
        <w:t xml:space="preserve">2 </w:t>
      </w:r>
      <w:r>
        <w:rPr>
          <w:rFonts w:hint="eastAsia" w:ascii="宋体" w:hAnsi="宋体" w:cs="宋体"/>
          <w:sz w:val="24"/>
          <w:szCs w:val="24"/>
          <w:lang w:eastAsia="zh-CN"/>
        </w:rPr>
        <w:t>拆卸</w:t>
      </w:r>
      <w:r>
        <w:rPr>
          <w:rFonts w:hint="eastAsia" w:ascii="宋体" w:hAnsi="宋体" w:eastAsia="宋体" w:cs="宋体"/>
          <w:sz w:val="24"/>
          <w:szCs w:val="24"/>
        </w:rPr>
        <w:t>时部件组合对</w:t>
      </w:r>
      <w:r>
        <w:rPr>
          <w:rFonts w:hint="eastAsia" w:ascii="宋体" w:hAnsi="宋体" w:cs="宋体"/>
          <w:sz w:val="24"/>
          <w:szCs w:val="24"/>
          <w:lang w:eastAsia="zh-CN"/>
        </w:rPr>
        <w:t>100t汽车吊</w:t>
      </w:r>
      <w:r>
        <w:rPr>
          <w:rFonts w:hint="eastAsia" w:ascii="宋体" w:hAnsi="宋体" w:eastAsia="宋体" w:cs="宋体"/>
          <w:sz w:val="24"/>
          <w:szCs w:val="24"/>
        </w:rPr>
        <w:t>的负荷率</w:t>
      </w:r>
    </w:p>
    <w:tbl>
      <w:tblPr>
        <w:tblStyle w:val="42"/>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7"/>
        <w:gridCol w:w="1892"/>
        <w:gridCol w:w="1147"/>
        <w:gridCol w:w="1350"/>
        <w:gridCol w:w="1180"/>
        <w:gridCol w:w="1180"/>
        <w:gridCol w:w="1350"/>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Merge w:val="restart"/>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序号</w:t>
            </w:r>
          </w:p>
        </w:tc>
        <w:tc>
          <w:tcPr>
            <w:tcW w:w="5569" w:type="dxa"/>
            <w:gridSpan w:val="4"/>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工况</w:t>
            </w:r>
          </w:p>
        </w:tc>
        <w:tc>
          <w:tcPr>
            <w:tcW w:w="2530" w:type="dxa"/>
            <w:gridSpan w:val="2"/>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cs="宋体"/>
                <w:szCs w:val="24"/>
                <w:highlight w:val="none"/>
                <w:lang w:val="en-US" w:eastAsia="zh-CN"/>
              </w:rPr>
              <w:t>100t</w:t>
            </w:r>
            <w:r>
              <w:rPr>
                <w:rFonts w:hint="eastAsia" w:ascii="宋体" w:hAnsi="宋体" w:eastAsia="宋体" w:cs="宋体"/>
                <w:szCs w:val="24"/>
                <w:highlight w:val="none"/>
                <w:lang w:val="en-US" w:eastAsia="zh-CN"/>
              </w:rPr>
              <w:t>汽车吊起重能力</w:t>
            </w:r>
          </w:p>
        </w:tc>
        <w:tc>
          <w:tcPr>
            <w:tcW w:w="1095" w:type="dxa"/>
            <w:vMerge w:val="restart"/>
            <w:vAlign w:val="top"/>
          </w:tcPr>
          <w:p>
            <w:pPr>
              <w:widowControl/>
              <w:adjustRightInd w:val="0"/>
              <w:snapToGrid w:val="0"/>
              <w:spacing w:line="360" w:lineRule="auto"/>
              <w:ind w:left="0" w:leftChars="0" w:firstLine="0" w:firstLineChars="0"/>
              <w:jc w:val="both"/>
              <w:rPr>
                <w:rFonts w:hint="default" w:ascii="宋体" w:hAnsi="宋体" w:eastAsia="宋体" w:cs="宋体"/>
                <w:szCs w:val="24"/>
                <w:highlight w:val="none"/>
                <w:lang w:val="en-US" w:eastAsia="zh-CN"/>
              </w:rPr>
            </w:pPr>
            <w:r>
              <w:rPr>
                <w:rFonts w:hint="eastAsia" w:ascii="宋体" w:hAnsi="宋体" w:eastAsia="宋体" w:cs="宋体"/>
                <w:szCs w:val="24"/>
                <w:highlight w:val="none"/>
                <w:lang w:val="en-US" w:eastAsia="zh-CN"/>
              </w:rPr>
              <w:t>起吊能力百分比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3" w:hRule="atLeast"/>
        </w:trPr>
        <w:tc>
          <w:tcPr>
            <w:tcW w:w="657" w:type="dxa"/>
            <w:vMerge w:val="continue"/>
            <w:vAlign w:val="top"/>
          </w:tcPr>
          <w:p>
            <w:pPr>
              <w:widowControl/>
              <w:adjustRightInd w:val="0"/>
              <w:snapToGrid w:val="0"/>
              <w:spacing w:line="360" w:lineRule="auto"/>
              <w:ind w:left="0" w:leftChars="0"/>
              <w:jc w:val="both"/>
              <w:rPr>
                <w:rFonts w:hint="eastAsia" w:ascii="宋体" w:hAnsi="宋体" w:eastAsia="宋体" w:cs="宋体"/>
                <w:szCs w:val="24"/>
                <w:highlight w:val="none"/>
                <w:lang w:val="en-US" w:eastAsia="zh-CN"/>
              </w:rPr>
            </w:pPr>
          </w:p>
        </w:tc>
        <w:tc>
          <w:tcPr>
            <w:tcW w:w="1892"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吊装构件</w:t>
            </w:r>
          </w:p>
        </w:tc>
        <w:tc>
          <w:tcPr>
            <w:tcW w:w="1147" w:type="dxa"/>
            <w:vAlign w:val="top"/>
          </w:tcPr>
          <w:p>
            <w:pPr>
              <w:widowControl/>
              <w:adjustRightInd w:val="0"/>
              <w:snapToGrid w:val="0"/>
              <w:spacing w:line="360" w:lineRule="auto"/>
              <w:ind w:left="0" w:left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吊重（kg）</w:t>
            </w:r>
          </w:p>
        </w:tc>
        <w:tc>
          <w:tcPr>
            <w:tcW w:w="1350"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最大吊距（m）</w:t>
            </w:r>
          </w:p>
        </w:tc>
        <w:tc>
          <w:tcPr>
            <w:tcW w:w="1180"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吊装高度（m）</w:t>
            </w:r>
          </w:p>
        </w:tc>
        <w:tc>
          <w:tcPr>
            <w:tcW w:w="1180"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起重量（t）</w:t>
            </w:r>
          </w:p>
        </w:tc>
        <w:tc>
          <w:tcPr>
            <w:tcW w:w="1350"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起升高度（m）</w:t>
            </w:r>
          </w:p>
        </w:tc>
        <w:tc>
          <w:tcPr>
            <w:tcW w:w="1095" w:type="dxa"/>
            <w:vMerge w:val="continue"/>
            <w:vAlign w:val="top"/>
          </w:tcPr>
          <w:p>
            <w:pPr>
              <w:widowControl/>
              <w:adjustRightInd w:val="0"/>
              <w:snapToGrid w:val="0"/>
              <w:spacing w:line="360" w:lineRule="auto"/>
              <w:ind w:left="0" w:leftChars="0"/>
              <w:jc w:val="both"/>
              <w:rPr>
                <w:rFonts w:hint="eastAsia" w:ascii="宋体" w:hAnsi="宋体" w:eastAsia="宋体" w:cs="宋体"/>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w:t>
            </w:r>
          </w:p>
        </w:tc>
        <w:tc>
          <w:tcPr>
            <w:tcW w:w="1892"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highlight w:val="none"/>
                <w:lang w:val="en-US" w:eastAsia="zh-CN" w:bidi="ar-SA"/>
              </w:rPr>
              <w:t>基础节</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5654</w:t>
            </w:r>
          </w:p>
        </w:tc>
        <w:tc>
          <w:tcPr>
            <w:tcW w:w="1350" w:type="dxa"/>
            <w:vAlign w:val="center"/>
          </w:tcPr>
          <w:p>
            <w:pPr>
              <w:widowControl/>
              <w:adjustRightInd w:val="0"/>
              <w:snapToGrid w:val="0"/>
              <w:spacing w:line="360" w:lineRule="auto"/>
              <w:ind w:left="0" w:leftChars="0" w:firstLine="0" w:firstLineChars="0"/>
              <w:jc w:val="both"/>
              <w:rPr>
                <w:rFonts w:hint="default"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15</w:t>
            </w:r>
          </w:p>
        </w:tc>
        <w:tc>
          <w:tcPr>
            <w:tcW w:w="1180" w:type="dxa"/>
            <w:vAlign w:val="center"/>
          </w:tcPr>
          <w:p>
            <w:pPr>
              <w:widowControl/>
              <w:adjustRightInd w:val="0"/>
              <w:snapToGrid w:val="0"/>
              <w:spacing w:line="360" w:lineRule="auto"/>
              <w:ind w:left="0" w:leftChars="0" w:firstLine="0" w:firstLineChars="0"/>
              <w:jc w:val="both"/>
              <w:rPr>
                <w:rFonts w:hint="default"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default"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27.99%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w:t>
            </w:r>
          </w:p>
        </w:tc>
        <w:tc>
          <w:tcPr>
            <w:tcW w:w="1892"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highlight w:val="none"/>
                <w:lang w:val="en-US" w:eastAsia="zh-CN" w:bidi="ar-SA"/>
              </w:rPr>
              <w:t>标准节</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4935</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21</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24.43%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w:t>
            </w:r>
          </w:p>
        </w:tc>
        <w:tc>
          <w:tcPr>
            <w:tcW w:w="1892"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highlight w:val="none"/>
                <w:lang w:val="en-US" w:eastAsia="zh-CN" w:bidi="ar-SA"/>
              </w:rPr>
              <w:t>爬升架</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13390</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32.5</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66.29%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w:t>
            </w:r>
          </w:p>
        </w:tc>
        <w:tc>
          <w:tcPr>
            <w:tcW w:w="1892"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highlight w:val="none"/>
                <w:lang w:val="en-US" w:eastAsia="zh-CN" w:bidi="ar-SA"/>
              </w:rPr>
              <w:t>回转总成（含司机室）</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11670</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22</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57.77%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5</w:t>
            </w:r>
          </w:p>
        </w:tc>
        <w:tc>
          <w:tcPr>
            <w:tcW w:w="1892"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highlight w:val="none"/>
                <w:lang w:val="en-US" w:eastAsia="zh-CN" w:bidi="ar-SA"/>
              </w:rPr>
              <w:t>平衡臂1、2</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8556</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27</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42.36%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6</w:t>
            </w:r>
          </w:p>
        </w:tc>
        <w:tc>
          <w:tcPr>
            <w:tcW w:w="1892"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平衡臂节3</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10539</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27</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52.17%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7</w:t>
            </w:r>
          </w:p>
        </w:tc>
        <w:tc>
          <w:tcPr>
            <w:tcW w:w="1892"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第一块平衡重</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4750</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30</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23.51%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cs="宋体"/>
                <w:szCs w:val="24"/>
                <w:highlight w:val="none"/>
                <w:lang w:val="en-US" w:eastAsia="zh-CN"/>
              </w:rPr>
              <w:t>8</w:t>
            </w:r>
          </w:p>
        </w:tc>
        <w:tc>
          <w:tcPr>
            <w:tcW w:w="1892"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30m起重臂总成</w:t>
            </w:r>
          </w:p>
        </w:tc>
        <w:tc>
          <w:tcPr>
            <w:tcW w:w="1147" w:type="dxa"/>
            <w:vAlign w:val="center"/>
          </w:tcPr>
          <w:p>
            <w:pPr>
              <w:widowControl/>
              <w:adjustRightInd w:val="0"/>
              <w:snapToGrid w:val="0"/>
              <w:spacing w:line="360" w:lineRule="auto"/>
              <w:ind w:left="0" w:leftChars="0" w:firstLine="0" w:firstLineChars="0"/>
              <w:jc w:val="both"/>
              <w:rPr>
                <w:rFonts w:hint="default" w:ascii="宋体" w:hAnsi="宋体" w:eastAsia="宋体" w:cs="宋体"/>
                <w:szCs w:val="24"/>
                <w:highlight w:val="none"/>
                <w:lang w:val="en-US" w:eastAsia="zh-CN"/>
              </w:rPr>
            </w:pPr>
            <w:r>
              <w:rPr>
                <w:rFonts w:hint="eastAsia" w:ascii="宋体" w:hAnsi="宋体" w:eastAsia="宋体" w:cs="宋体"/>
                <w:szCs w:val="24"/>
                <w:highlight w:val="none"/>
                <w:lang w:val="en-US" w:eastAsia="zh-CN"/>
              </w:rPr>
              <w:t>8814</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27</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43.63%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cs="宋体"/>
                <w:szCs w:val="24"/>
                <w:highlight w:val="none"/>
                <w:lang w:val="en-US" w:eastAsia="zh-CN"/>
              </w:rPr>
              <w:t>9</w:t>
            </w:r>
          </w:p>
        </w:tc>
        <w:tc>
          <w:tcPr>
            <w:tcW w:w="1892"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剩余平衡重</w:t>
            </w:r>
          </w:p>
        </w:tc>
        <w:tc>
          <w:tcPr>
            <w:tcW w:w="1147"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4750/3230</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14</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30</w:t>
            </w:r>
          </w:p>
        </w:tc>
        <w:tc>
          <w:tcPr>
            <w:tcW w:w="118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20.2</w:t>
            </w:r>
          </w:p>
        </w:tc>
        <w:tc>
          <w:tcPr>
            <w:tcW w:w="1350"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40</w:t>
            </w:r>
          </w:p>
        </w:tc>
        <w:tc>
          <w:tcPr>
            <w:tcW w:w="1095" w:type="dxa"/>
            <w:vAlign w:val="center"/>
          </w:tcPr>
          <w:p>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23.51%</w:t>
            </w:r>
          </w:p>
        </w:tc>
      </w:tr>
    </w:tbl>
    <w:p>
      <w:pPr>
        <w:pStyle w:val="12"/>
        <w:kinsoku/>
        <w:overflowPunct/>
        <w:topLinePunct w:val="0"/>
        <w:bidi w:val="0"/>
        <w:spacing w:line="360" w:lineRule="atLeast"/>
        <w:ind w:firstLine="480"/>
        <w:jc w:val="center"/>
        <w:rPr>
          <w:rFonts w:hint="eastAsia" w:ascii="宋体" w:hAnsi="宋体" w:eastAsia="宋体" w:cs="宋体"/>
          <w:sz w:val="21"/>
          <w:szCs w:val="21"/>
        </w:rPr>
      </w:pPr>
      <w:r>
        <w:drawing>
          <wp:inline distT="0" distB="0" distL="114300" distR="114300">
            <wp:extent cx="3216275" cy="3354070"/>
            <wp:effectExtent l="0" t="0" r="14605" b="139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6"/>
                    <a:stretch>
                      <a:fillRect/>
                    </a:stretch>
                  </pic:blipFill>
                  <pic:spPr>
                    <a:xfrm>
                      <a:off x="0" y="0"/>
                      <a:ext cx="3216275" cy="3354070"/>
                    </a:xfrm>
                    <a:prstGeom prst="rect">
                      <a:avLst/>
                    </a:prstGeom>
                    <a:noFill/>
                    <a:ln>
                      <a:noFill/>
                    </a:ln>
                  </pic:spPr>
                </pic:pic>
              </a:graphicData>
            </a:graphic>
          </wp:inline>
        </w:drawing>
      </w:r>
    </w:p>
    <w:p>
      <w:pPr>
        <w:pStyle w:val="15"/>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4.2.1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eastAsia="宋体" w:cs="宋体"/>
          <w:sz w:val="24"/>
          <w:szCs w:val="24"/>
        </w:rPr>
        <w:t xml:space="preserve"> </w:t>
      </w:r>
      <w:r>
        <w:rPr>
          <w:rFonts w:hint="eastAsia" w:ascii="宋体" w:hAnsi="宋体" w:cs="宋体"/>
          <w:sz w:val="24"/>
          <w:szCs w:val="24"/>
          <w:lang w:eastAsia="zh-CN"/>
        </w:rPr>
        <w:t>100t汽车吊</w:t>
      </w:r>
      <w:r>
        <w:rPr>
          <w:rFonts w:hint="eastAsia" w:ascii="宋体" w:hAnsi="宋体" w:eastAsia="宋体" w:cs="宋体"/>
          <w:sz w:val="24"/>
          <w:szCs w:val="24"/>
          <w:lang w:val="en-US" w:eastAsia="zh-CN"/>
        </w:rPr>
        <w:t>布置</w:t>
      </w:r>
      <w:r>
        <w:rPr>
          <w:rFonts w:hint="eastAsia" w:ascii="宋体" w:hAnsi="宋体" w:eastAsia="宋体" w:cs="宋体"/>
          <w:sz w:val="24"/>
          <w:szCs w:val="24"/>
        </w:rPr>
        <w:t>平面图</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吊装钢丝绳选型</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相应验算详见第11章节</w:t>
      </w:r>
      <w:r>
        <w:rPr>
          <w:rFonts w:hint="eastAsia" w:ascii="宋体" w:hAnsi="宋体" w:eastAsia="宋体" w:cs="宋体"/>
          <w:sz w:val="24"/>
          <w:szCs w:val="24"/>
          <w:lang w:eastAsia="zh-CN"/>
        </w:rPr>
        <w:t>。</w:t>
      </w:r>
    </w:p>
    <w:p>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6" w:name="_Toc22933"/>
      <w:r>
        <w:rPr>
          <w:rFonts w:hint="eastAsia" w:ascii="宋体" w:hAnsi="宋体" w:eastAsia="宋体" w:cs="宋体"/>
          <w:sz w:val="24"/>
          <w:szCs w:val="24"/>
        </w:rPr>
        <w:t>塔吊</w:t>
      </w:r>
      <w:r>
        <w:rPr>
          <w:rFonts w:hint="eastAsia" w:cs="宋体"/>
          <w:sz w:val="24"/>
          <w:szCs w:val="24"/>
          <w:lang w:eastAsia="zh-CN"/>
        </w:rPr>
        <w:t>拆卸</w:t>
      </w:r>
      <w:r>
        <w:rPr>
          <w:rFonts w:hint="eastAsia" w:ascii="宋体" w:hAnsi="宋体" w:eastAsia="宋体" w:cs="宋体"/>
          <w:sz w:val="24"/>
          <w:szCs w:val="24"/>
        </w:rPr>
        <w:t>前施工准备</w:t>
      </w:r>
      <w:bookmarkEnd w:id="36"/>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技术准备</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设备技术资料查验、</w:t>
      </w:r>
      <w:r>
        <w:rPr>
          <w:rFonts w:hint="eastAsia" w:cs="宋体"/>
          <w:sz w:val="24"/>
          <w:szCs w:val="24"/>
          <w:lang w:eastAsia="zh-CN"/>
        </w:rPr>
        <w:t>拆卸</w:t>
      </w:r>
      <w:r>
        <w:rPr>
          <w:rFonts w:hint="eastAsia" w:ascii="宋体" w:hAnsi="宋体" w:eastAsia="宋体" w:cs="宋体"/>
          <w:sz w:val="24"/>
          <w:szCs w:val="24"/>
        </w:rPr>
        <w:t>方案、人员及工器具审核及报备工作。</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组织准备</w:t>
      </w:r>
    </w:p>
    <w:p>
      <w:pPr>
        <w:pStyle w:val="5"/>
        <w:bidi w:val="0"/>
        <w:rPr>
          <w:rFonts w:hint="eastAsia" w:ascii="宋体" w:hAnsi="宋体" w:eastAsia="宋体" w:cs="宋体"/>
          <w:sz w:val="24"/>
          <w:szCs w:val="24"/>
        </w:rPr>
      </w:pPr>
      <w:r>
        <w:rPr>
          <w:rFonts w:hint="eastAsia" w:cs="宋体"/>
          <w:sz w:val="24"/>
          <w:szCs w:val="24"/>
          <w:lang w:eastAsia="zh-CN"/>
        </w:rPr>
        <w:t>拆卸</w:t>
      </w:r>
      <w:r>
        <w:rPr>
          <w:rFonts w:hint="eastAsia" w:ascii="宋体" w:hAnsi="宋体" w:eastAsia="宋体" w:cs="宋体"/>
          <w:sz w:val="24"/>
          <w:szCs w:val="24"/>
          <w:lang w:eastAsia="zh-CN"/>
        </w:rPr>
        <w:t>单位</w:t>
      </w:r>
      <w:r>
        <w:rPr>
          <w:rFonts w:hint="eastAsia" w:ascii="宋体" w:hAnsi="宋体" w:eastAsia="宋体" w:cs="宋体"/>
          <w:sz w:val="24"/>
          <w:szCs w:val="24"/>
        </w:rPr>
        <w:t>应有合格的安装资质，且熟悉塔式起重机</w:t>
      </w:r>
      <w:r>
        <w:rPr>
          <w:rFonts w:hint="eastAsia" w:cs="宋体"/>
          <w:sz w:val="24"/>
          <w:szCs w:val="24"/>
          <w:lang w:eastAsia="zh-CN"/>
        </w:rPr>
        <w:t>拆卸</w:t>
      </w:r>
      <w:r>
        <w:rPr>
          <w:rFonts w:hint="eastAsia" w:ascii="宋体" w:hAnsi="宋体" w:eastAsia="宋体" w:cs="宋体"/>
          <w:sz w:val="24"/>
          <w:szCs w:val="24"/>
        </w:rPr>
        <w:t>工艺。</w:t>
      </w:r>
    </w:p>
    <w:p>
      <w:pPr>
        <w:pStyle w:val="5"/>
        <w:bidi w:val="0"/>
        <w:rPr>
          <w:rFonts w:hint="eastAsia" w:ascii="宋体" w:hAnsi="宋体" w:eastAsia="宋体" w:cs="宋体"/>
        </w:rPr>
      </w:pPr>
      <w:r>
        <w:rPr>
          <w:rFonts w:hint="eastAsia" w:ascii="宋体" w:hAnsi="宋体" w:eastAsia="宋体" w:cs="宋体"/>
        </w:rPr>
        <w:t>成立</w:t>
      </w:r>
      <w:r>
        <w:rPr>
          <w:rFonts w:hint="eastAsia" w:cs="宋体"/>
          <w:lang w:eastAsia="zh-CN"/>
        </w:rPr>
        <w:t>拆卸</w:t>
      </w:r>
      <w:r>
        <w:rPr>
          <w:rFonts w:hint="eastAsia" w:ascii="宋体" w:hAnsi="宋体" w:eastAsia="宋体" w:cs="宋体"/>
        </w:rPr>
        <w:t>安全领导小组和</w:t>
      </w:r>
      <w:r>
        <w:rPr>
          <w:rFonts w:hint="eastAsia" w:cs="宋体"/>
          <w:lang w:eastAsia="zh-CN"/>
        </w:rPr>
        <w:t>拆卸</w:t>
      </w:r>
      <w:r>
        <w:rPr>
          <w:rFonts w:hint="eastAsia" w:ascii="宋体" w:hAnsi="宋体" w:eastAsia="宋体" w:cs="宋体"/>
        </w:rPr>
        <w:t>工作小组，对整个</w:t>
      </w:r>
      <w:r>
        <w:rPr>
          <w:rFonts w:hint="eastAsia" w:cs="宋体"/>
          <w:lang w:eastAsia="zh-CN"/>
        </w:rPr>
        <w:t>拆卸</w:t>
      </w:r>
      <w:r>
        <w:rPr>
          <w:rFonts w:hint="eastAsia" w:ascii="宋体" w:hAnsi="宋体" w:eastAsia="宋体" w:cs="宋体"/>
        </w:rPr>
        <w:t>过程进行有效监管。</w:t>
      </w:r>
    </w:p>
    <w:p>
      <w:pPr>
        <w:pStyle w:val="5"/>
        <w:bidi w:val="0"/>
        <w:rPr>
          <w:rFonts w:hint="eastAsia" w:ascii="宋体" w:hAnsi="宋体" w:eastAsia="宋体" w:cs="宋体"/>
        </w:rPr>
      </w:pPr>
      <w:r>
        <w:rPr>
          <w:rFonts w:hint="eastAsia" w:ascii="宋体" w:hAnsi="宋体" w:eastAsia="宋体" w:cs="宋体"/>
        </w:rPr>
        <w:t>组织学习安全技术措施，现场进行技术交底，落实每项工作。</w:t>
      </w:r>
    </w:p>
    <w:p>
      <w:pPr>
        <w:pStyle w:val="5"/>
        <w:bidi w:val="0"/>
        <w:rPr>
          <w:rFonts w:hint="eastAsia" w:ascii="宋体" w:hAnsi="宋体" w:eastAsia="宋体" w:cs="宋体"/>
        </w:rPr>
      </w:pPr>
      <w:r>
        <w:rPr>
          <w:rFonts w:hint="eastAsia" w:ascii="宋体" w:hAnsi="宋体" w:eastAsia="宋体" w:cs="宋体"/>
        </w:rPr>
        <w:t>所有进行</w:t>
      </w:r>
      <w:r>
        <w:rPr>
          <w:rFonts w:hint="eastAsia" w:cs="宋体"/>
          <w:lang w:eastAsia="zh-CN"/>
        </w:rPr>
        <w:t>拆卸</w:t>
      </w:r>
      <w:r>
        <w:rPr>
          <w:rFonts w:hint="eastAsia" w:ascii="宋体" w:hAnsi="宋体" w:eastAsia="宋体" w:cs="宋体"/>
        </w:rPr>
        <w:t>的</w:t>
      </w:r>
      <w:r>
        <w:rPr>
          <w:rFonts w:hint="eastAsia" w:ascii="宋体" w:hAnsi="宋体" w:eastAsia="宋体" w:cs="宋体"/>
          <w:lang w:val="en-US" w:eastAsia="zh-CN"/>
        </w:rPr>
        <w:t>特种作业</w:t>
      </w:r>
      <w:r>
        <w:rPr>
          <w:rFonts w:hint="eastAsia" w:ascii="宋体" w:hAnsi="宋体" w:eastAsia="宋体" w:cs="宋体"/>
        </w:rPr>
        <w:t>人员，均需持证上岗，并针对本工程经过培训。</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工索具、起重设备准备</w:t>
      </w:r>
    </w:p>
    <w:p>
      <w:pPr>
        <w:pStyle w:val="5"/>
        <w:bidi w:val="0"/>
        <w:rPr>
          <w:rFonts w:hint="eastAsia" w:ascii="宋体" w:hAnsi="宋体" w:eastAsia="宋体" w:cs="宋体"/>
        </w:rPr>
      </w:pPr>
      <w:r>
        <w:rPr>
          <w:rFonts w:hint="eastAsia" w:ascii="宋体" w:hAnsi="宋体" w:eastAsia="宋体" w:cs="宋体"/>
        </w:rPr>
        <w:t>准备好</w:t>
      </w:r>
      <w:r>
        <w:rPr>
          <w:rFonts w:hint="eastAsia" w:cs="宋体"/>
          <w:lang w:eastAsia="zh-CN"/>
        </w:rPr>
        <w:t>拆卸</w:t>
      </w:r>
      <w:r>
        <w:rPr>
          <w:rFonts w:hint="eastAsia" w:ascii="宋体" w:hAnsi="宋体" w:eastAsia="宋体" w:cs="宋体"/>
        </w:rPr>
        <w:t>人员的安全带，安全绳，防滑鞋，安全帽等。</w:t>
      </w:r>
    </w:p>
    <w:p>
      <w:pPr>
        <w:pStyle w:val="5"/>
        <w:bidi w:val="0"/>
        <w:rPr>
          <w:rFonts w:hint="eastAsia" w:ascii="宋体" w:hAnsi="宋体" w:eastAsia="宋体" w:cs="宋体"/>
        </w:rPr>
      </w:pPr>
      <w:r>
        <w:rPr>
          <w:rFonts w:hint="eastAsia" w:ascii="宋体" w:hAnsi="宋体" w:eastAsia="宋体" w:cs="宋体"/>
        </w:rPr>
        <w:t>定好吊装主要部件的尺寸，重量，高度，确定起重设备规格，并准备好吊装机具，</w:t>
      </w:r>
      <w:r>
        <w:rPr>
          <w:rFonts w:hint="eastAsia" w:cs="宋体"/>
          <w:lang w:eastAsia="zh-CN"/>
        </w:rPr>
        <w:t>拆卸</w:t>
      </w:r>
      <w:r>
        <w:rPr>
          <w:rFonts w:hint="eastAsia" w:ascii="宋体" w:hAnsi="宋体" w:eastAsia="宋体" w:cs="宋体"/>
        </w:rPr>
        <w:t>工具（扳手、大锤、钢丝绳、手拉葫芦、氧气乙炔）等。</w:t>
      </w:r>
    </w:p>
    <w:p>
      <w:pPr>
        <w:pStyle w:val="5"/>
        <w:bidi w:val="0"/>
        <w:rPr>
          <w:rFonts w:hint="eastAsia" w:ascii="宋体" w:hAnsi="宋体" w:eastAsia="宋体" w:cs="宋体"/>
        </w:rPr>
      </w:pPr>
      <w:r>
        <w:rPr>
          <w:rFonts w:hint="eastAsia" w:ascii="宋体" w:hAnsi="宋体" w:eastAsia="宋体" w:cs="宋体"/>
          <w:lang w:val="en-US" w:eastAsia="zh-CN"/>
        </w:rPr>
        <w:t>配合机械应有特种设备监管要求的证件</w:t>
      </w:r>
      <w:r>
        <w:rPr>
          <w:rFonts w:hint="eastAsia" w:ascii="宋体" w:hAnsi="宋体" w:eastAsia="宋体" w:cs="宋体"/>
        </w:rPr>
        <w:t>。</w:t>
      </w:r>
    </w:p>
    <w:p>
      <w:pPr>
        <w:pStyle w:val="5"/>
        <w:bidi w:val="0"/>
        <w:rPr>
          <w:rFonts w:hint="eastAsia" w:ascii="宋体" w:hAnsi="宋体" w:eastAsia="宋体" w:cs="宋体"/>
        </w:rPr>
      </w:pPr>
      <w:r>
        <w:rPr>
          <w:rFonts w:hint="eastAsia" w:ascii="宋体" w:hAnsi="宋体" w:eastAsia="宋体" w:cs="宋体"/>
        </w:rPr>
        <w:t>所有手动吊装、焊接、测量等工具，</w:t>
      </w:r>
      <w:r>
        <w:rPr>
          <w:rFonts w:hint="eastAsia" w:ascii="宋体" w:hAnsi="宋体" w:eastAsia="宋体" w:cs="宋体"/>
          <w:lang w:val="en-US" w:eastAsia="zh-CN"/>
        </w:rPr>
        <w:t>在使用前需要</w:t>
      </w:r>
      <w:r>
        <w:rPr>
          <w:rFonts w:hint="eastAsia" w:ascii="宋体" w:hAnsi="宋体" w:eastAsia="宋体" w:cs="宋体"/>
        </w:rPr>
        <w:t>检</w:t>
      </w:r>
      <w:r>
        <w:rPr>
          <w:rFonts w:hint="eastAsia" w:ascii="宋体" w:hAnsi="宋体" w:eastAsia="宋体" w:cs="宋体"/>
          <w:lang w:val="en-US" w:eastAsia="zh-CN"/>
        </w:rPr>
        <w:t>查其功能完好</w:t>
      </w:r>
      <w:r>
        <w:rPr>
          <w:rFonts w:hint="eastAsia" w:ascii="宋体" w:hAnsi="宋体" w:eastAsia="宋体" w:cs="宋体"/>
        </w:rPr>
        <w:t>，方可用于本工程。</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检查准备</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正式施工前，做好主要施工机具和分项工艺的检验工作。根据检验结果，对工艺进行进一步的修改及细化。</w:t>
      </w:r>
    </w:p>
    <w:p>
      <w:pPr>
        <w:pStyle w:val="5"/>
        <w:bidi w:val="0"/>
        <w:rPr>
          <w:rFonts w:hint="eastAsia" w:ascii="宋体" w:hAnsi="宋体" w:eastAsia="宋体" w:cs="宋体"/>
        </w:rPr>
      </w:pPr>
      <w:r>
        <w:rPr>
          <w:rFonts w:hint="eastAsia" w:ascii="宋体" w:hAnsi="宋体" w:eastAsia="宋体" w:cs="宋体"/>
        </w:rPr>
        <w:t>设备检查</w:t>
      </w:r>
    </w:p>
    <w:p>
      <w:pPr>
        <w:rPr>
          <w:rFonts w:hint="eastAsia" w:ascii="宋体" w:hAnsi="宋体" w:eastAsia="宋体" w:cs="宋体"/>
        </w:rPr>
      </w:pPr>
      <w:r>
        <w:rPr>
          <w:rFonts w:hint="eastAsia" w:ascii="宋体" w:hAnsi="宋体" w:eastAsia="宋体" w:cs="宋体"/>
          <w:sz w:val="24"/>
          <w:szCs w:val="24"/>
          <w:lang w:val="en-US" w:eastAsia="zh-CN"/>
        </w:rPr>
        <w:t>设备进场后核对设备参数是否与说明书一致：</w:t>
      </w:r>
    </w:p>
    <w:p>
      <w:pPr>
        <w:pStyle w:val="6"/>
        <w:bidi w:val="0"/>
        <w:rPr>
          <w:rFonts w:hint="eastAsia" w:ascii="宋体" w:hAnsi="宋体" w:eastAsia="宋体" w:cs="宋体"/>
        </w:rPr>
      </w:pPr>
      <w:r>
        <w:rPr>
          <w:rFonts w:hint="eastAsia" w:ascii="宋体" w:hAnsi="宋体" w:eastAsia="宋体" w:cs="宋体"/>
        </w:rPr>
        <w:t>塔吊所有钢构件无变形、无裂纹；塔吊所有电机机座是否固定牢靠，传动部位有无变形、裂纹；</w:t>
      </w:r>
    </w:p>
    <w:p>
      <w:pPr>
        <w:pStyle w:val="6"/>
        <w:bidi w:val="0"/>
        <w:rPr>
          <w:rFonts w:hint="eastAsia" w:ascii="宋体" w:hAnsi="宋体" w:eastAsia="宋体" w:cs="宋体"/>
        </w:rPr>
      </w:pPr>
      <w:r>
        <w:rPr>
          <w:rFonts w:hint="eastAsia" w:ascii="宋体" w:hAnsi="宋体" w:eastAsia="宋体" w:cs="宋体"/>
        </w:rPr>
        <w:t>塔吊所有滑轮部位有无防钢丝绳脱槽装置，滑轮轴有无磨损，滑轮座是否固定牢靠；塔吊所有防护栏杆是否完好，焊接牢靠，无锈蚀；</w:t>
      </w:r>
    </w:p>
    <w:p>
      <w:pPr>
        <w:pStyle w:val="6"/>
        <w:bidi w:val="0"/>
        <w:rPr>
          <w:rFonts w:hint="eastAsia" w:ascii="宋体" w:hAnsi="宋体" w:eastAsia="宋体" w:cs="宋体"/>
        </w:rPr>
      </w:pPr>
      <w:r>
        <w:rPr>
          <w:rFonts w:hint="eastAsia" w:ascii="宋体" w:hAnsi="宋体" w:eastAsia="宋体" w:cs="宋体"/>
        </w:rPr>
        <w:t>塔吊所有柱销孔和销柱体符合要求，无晃动、无严重磨损；</w:t>
      </w:r>
    </w:p>
    <w:p>
      <w:pPr>
        <w:pStyle w:val="6"/>
        <w:bidi w:val="0"/>
        <w:rPr>
          <w:rFonts w:hint="eastAsia" w:ascii="宋体" w:hAnsi="宋体" w:eastAsia="宋体" w:cs="宋体"/>
        </w:rPr>
      </w:pPr>
      <w:r>
        <w:rPr>
          <w:rFonts w:hint="eastAsia" w:ascii="宋体" w:hAnsi="宋体" w:eastAsia="宋体" w:cs="宋体"/>
        </w:rPr>
        <w:t>塔吊所有柱销上的开口销是否配套，并开口；</w:t>
      </w:r>
    </w:p>
    <w:p>
      <w:pPr>
        <w:pStyle w:val="6"/>
        <w:bidi w:val="0"/>
        <w:rPr>
          <w:rFonts w:hint="eastAsia" w:ascii="宋体" w:hAnsi="宋体" w:eastAsia="宋体" w:cs="宋体"/>
        </w:rPr>
      </w:pPr>
      <w:r>
        <w:rPr>
          <w:rFonts w:hint="eastAsia" w:ascii="宋体" w:hAnsi="宋体" w:eastAsia="宋体" w:cs="宋体"/>
        </w:rPr>
        <w:t>检查钢丝绳磨损状况；检查顶升套架围栏支撑连接部位部件是否完好；</w:t>
      </w:r>
    </w:p>
    <w:p>
      <w:pPr>
        <w:pStyle w:val="6"/>
        <w:bidi w:val="0"/>
        <w:rPr>
          <w:rFonts w:hint="eastAsia" w:ascii="宋体" w:hAnsi="宋体" w:eastAsia="宋体" w:cs="宋体"/>
        </w:rPr>
      </w:pPr>
      <w:r>
        <w:rPr>
          <w:rFonts w:hint="eastAsia" w:ascii="宋体" w:hAnsi="宋体" w:eastAsia="宋体" w:cs="宋体"/>
        </w:rPr>
        <w:t>检查顶升套架机构滑动部位及支撑的爪钩等处是否完好；</w:t>
      </w:r>
    </w:p>
    <w:p>
      <w:pPr>
        <w:pStyle w:val="6"/>
        <w:bidi w:val="0"/>
        <w:rPr>
          <w:rFonts w:hint="eastAsia" w:ascii="宋体" w:hAnsi="宋体" w:eastAsia="宋体" w:cs="宋体"/>
        </w:rPr>
      </w:pPr>
      <w:r>
        <w:rPr>
          <w:rFonts w:hint="eastAsia" w:ascii="宋体" w:hAnsi="宋体" w:eastAsia="宋体" w:cs="宋体"/>
        </w:rPr>
        <w:t>检查顶升套架标准节安装推入机构是否完好，各部件无变形；</w:t>
      </w:r>
    </w:p>
    <w:p>
      <w:pPr>
        <w:pStyle w:val="6"/>
        <w:bidi w:val="0"/>
        <w:rPr>
          <w:rFonts w:hint="eastAsia" w:ascii="宋体" w:hAnsi="宋体" w:eastAsia="宋体" w:cs="宋体"/>
        </w:rPr>
      </w:pPr>
      <w:r>
        <w:rPr>
          <w:rFonts w:hint="eastAsia" w:ascii="宋体" w:hAnsi="宋体" w:eastAsia="宋体" w:cs="宋体"/>
        </w:rPr>
        <w:t>检查回转支撑机构是否润滑良好，螺栓是否紧固；</w:t>
      </w:r>
    </w:p>
    <w:p>
      <w:pPr>
        <w:pStyle w:val="6"/>
        <w:bidi w:val="0"/>
        <w:rPr>
          <w:rFonts w:hint="eastAsia" w:ascii="宋体" w:hAnsi="宋体" w:eastAsia="宋体" w:cs="宋体"/>
        </w:rPr>
      </w:pPr>
      <w:r>
        <w:rPr>
          <w:rFonts w:hint="eastAsia" w:ascii="宋体" w:hAnsi="宋体" w:eastAsia="宋体" w:cs="宋体"/>
        </w:rPr>
        <w:t>检查电器是否完好无损，电缆线无老化、裸露，各电气绝缘保证良好；</w:t>
      </w:r>
    </w:p>
    <w:p>
      <w:pPr>
        <w:pStyle w:val="6"/>
        <w:bidi w:val="0"/>
        <w:rPr>
          <w:rFonts w:hint="eastAsia" w:ascii="宋体" w:hAnsi="宋体" w:eastAsia="宋体" w:cs="宋体"/>
          <w:sz w:val="24"/>
          <w:szCs w:val="24"/>
          <w:lang w:val="en-US" w:eastAsia="zh-CN"/>
        </w:rPr>
      </w:pPr>
      <w:r>
        <w:rPr>
          <w:rFonts w:hint="eastAsia" w:ascii="宋体" w:hAnsi="宋体" w:eastAsia="宋体" w:cs="宋体"/>
          <w:sz w:val="24"/>
          <w:szCs w:val="24"/>
        </w:rPr>
        <w:t>幅度、力矩、超重、回转、吊钩高度限位器和电铃等安全装置齐全，并保证其灵敏可靠；检查吊钩保险、</w:t>
      </w:r>
      <w:r>
        <w:rPr>
          <w:rFonts w:hint="eastAsia" w:ascii="宋体" w:hAnsi="宋体" w:eastAsia="宋体" w:cs="宋体"/>
          <w:color w:val="000000"/>
          <w:kern w:val="0"/>
          <w:sz w:val="24"/>
          <w:szCs w:val="24"/>
          <w:lang w:bidi="ar"/>
        </w:rPr>
        <w:t>起升钢丝绳卷筒保险、防变幅钢丝绳断绳装置</w:t>
      </w:r>
      <w:r>
        <w:rPr>
          <w:rFonts w:hint="eastAsia" w:ascii="宋体" w:hAnsi="宋体" w:eastAsia="宋体" w:cs="宋体"/>
          <w:sz w:val="24"/>
          <w:szCs w:val="24"/>
        </w:rPr>
        <w:t>等保险装置是否完好；检查司机楼、闸箱等是否完好，固定牢靠</w:t>
      </w:r>
      <w:r>
        <w:rPr>
          <w:rFonts w:hint="eastAsia" w:ascii="宋体" w:hAnsi="宋体" w:eastAsia="宋体" w:cs="宋体"/>
          <w:sz w:val="24"/>
          <w:szCs w:val="24"/>
          <w:lang w:eastAsia="zh-CN"/>
        </w:rPr>
        <w:t>；</w:t>
      </w:r>
    </w:p>
    <w:p>
      <w:pPr>
        <w:pStyle w:val="6"/>
        <w:bidi w:val="0"/>
        <w:rPr>
          <w:rFonts w:hint="eastAsia" w:ascii="宋体" w:hAnsi="宋体" w:eastAsia="宋体" w:cs="宋体"/>
        </w:rPr>
      </w:pPr>
      <w:r>
        <w:rPr>
          <w:rFonts w:hint="eastAsia" w:ascii="宋体" w:hAnsi="宋体" w:eastAsia="宋体" w:cs="宋体"/>
        </w:rPr>
        <w:t>检查刹车部位是否完好，刹车皮是否磨损严重；</w:t>
      </w:r>
    </w:p>
    <w:p>
      <w:pPr>
        <w:pStyle w:val="6"/>
        <w:bidi w:val="0"/>
        <w:rPr>
          <w:rFonts w:hint="eastAsia" w:ascii="宋体" w:hAnsi="宋体" w:eastAsia="宋体" w:cs="宋体"/>
        </w:rPr>
      </w:pPr>
      <w:r>
        <w:rPr>
          <w:rFonts w:hint="eastAsia" w:ascii="宋体" w:hAnsi="宋体" w:eastAsia="宋体" w:cs="宋体"/>
        </w:rPr>
        <w:t>查塔吊小车行走轮是否润滑良好，有无严重磨损和裂纹；检查配重、配重吊环是否牢固，完好。</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其他</w:t>
      </w:r>
    </w:p>
    <w:p>
      <w:pPr>
        <w:pStyle w:val="5"/>
        <w:bidi w:val="0"/>
        <w:rPr>
          <w:rFonts w:hint="eastAsia" w:ascii="宋体" w:hAnsi="宋体" w:eastAsia="宋体" w:cs="宋体"/>
          <w:sz w:val="24"/>
          <w:szCs w:val="24"/>
        </w:rPr>
      </w:pPr>
      <w:r>
        <w:rPr>
          <w:rFonts w:hint="eastAsia" w:ascii="宋体" w:hAnsi="宋体" w:eastAsia="宋体" w:cs="宋体"/>
          <w:sz w:val="24"/>
          <w:szCs w:val="24"/>
        </w:rPr>
        <w:t>在吊装前应</w:t>
      </w:r>
      <w:r>
        <w:rPr>
          <w:rFonts w:hint="eastAsia" w:ascii="宋体" w:hAnsi="宋体" w:eastAsia="宋体" w:cs="宋体"/>
          <w:color w:val="000000" w:themeColor="text1"/>
          <w:sz w:val="24"/>
          <w:szCs w:val="24"/>
          <w14:textFill>
            <w14:solidFill>
              <w14:schemeClr w14:val="tx1"/>
            </w14:solidFill>
          </w14:textFill>
        </w:rPr>
        <w:t>做好</w:t>
      </w:r>
      <w:r>
        <w:rPr>
          <w:rFonts w:hint="eastAsia" w:ascii="宋体" w:hAnsi="宋体" w:eastAsia="宋体" w:cs="宋体"/>
          <w:sz w:val="24"/>
          <w:szCs w:val="24"/>
        </w:rPr>
        <w:t>现场气象资料的预报和收集工作，在吊装过程中应对现场气象情况进行实时监控并要</w:t>
      </w:r>
      <w:r>
        <w:rPr>
          <w:rFonts w:hint="eastAsia" w:cs="宋体"/>
          <w:sz w:val="24"/>
          <w:szCs w:val="24"/>
          <w:lang w:eastAsia="zh-CN"/>
        </w:rPr>
        <w:t>拆卸</w:t>
      </w:r>
      <w:r>
        <w:rPr>
          <w:rFonts w:hint="eastAsia" w:ascii="宋体" w:hAnsi="宋体" w:eastAsia="宋体" w:cs="宋体"/>
          <w:sz w:val="24"/>
          <w:szCs w:val="24"/>
        </w:rPr>
        <w:t>单位提供当地气象局三天内的天气报告。</w:t>
      </w:r>
    </w:p>
    <w:p>
      <w:pPr>
        <w:pStyle w:val="5"/>
        <w:bidi w:val="0"/>
        <w:rPr>
          <w:rFonts w:hint="eastAsia" w:ascii="宋体" w:hAnsi="宋体" w:eastAsia="宋体" w:cs="宋体"/>
        </w:rPr>
      </w:pPr>
      <w:r>
        <w:rPr>
          <w:rFonts w:hint="eastAsia" w:ascii="宋体" w:hAnsi="宋体" w:eastAsia="宋体" w:cs="宋体"/>
        </w:rPr>
        <w:t>划分安全警戒区域，指定监护人员，非工作人员不得进入警戒区。</w:t>
      </w:r>
    </w:p>
    <w:p>
      <w:pPr>
        <w:pStyle w:val="5"/>
        <w:bidi w:val="0"/>
        <w:rPr>
          <w:rFonts w:hint="eastAsia" w:ascii="宋体" w:hAnsi="宋体" w:eastAsia="宋体" w:cs="宋体"/>
        </w:rPr>
      </w:pPr>
      <w:r>
        <w:rPr>
          <w:rFonts w:hint="eastAsia" w:ascii="宋体" w:hAnsi="宋体" w:eastAsia="宋体" w:cs="宋体"/>
        </w:rPr>
        <w:t>每台塔式起重机设立专用配电箱，符合临时用电《施工现场临时用电安全技术规范》（JGJ46-2005）相关要求。</w:t>
      </w:r>
    </w:p>
    <w:p>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7" w:name="_Toc12463"/>
      <w:r>
        <w:rPr>
          <w:rFonts w:hint="eastAsia" w:ascii="宋体" w:hAnsi="宋体" w:eastAsia="宋体" w:cs="宋体"/>
          <w:sz w:val="24"/>
          <w:szCs w:val="24"/>
        </w:rPr>
        <w:t>塔吊</w:t>
      </w:r>
      <w:r>
        <w:rPr>
          <w:rFonts w:hint="eastAsia" w:cs="宋体"/>
          <w:sz w:val="24"/>
          <w:szCs w:val="24"/>
          <w:lang w:eastAsia="zh-CN"/>
        </w:rPr>
        <w:t>拆卸</w:t>
      </w:r>
      <w:r>
        <w:rPr>
          <w:rFonts w:hint="eastAsia" w:ascii="宋体" w:hAnsi="宋体" w:eastAsia="宋体" w:cs="宋体"/>
          <w:sz w:val="24"/>
          <w:szCs w:val="24"/>
        </w:rPr>
        <w:t>具体步骤</w:t>
      </w:r>
      <w:bookmarkEnd w:id="37"/>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拆除注意事项与准备工作：</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顶升下降及拆卸作业时，风速限制为12m/s。禁止从吊起的载荷下方通过，禁止将人员挂在载荷上运输，进行拆卸操作时，强制使用安全吊带。</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由于拆卸塔机时，建筑物已建完，工作场地受限制，应注意工作程序和吊装堆放位置，保证没有障碍物影响拆塔操作，不可马虎大意，否则容易发生人身安全事故。</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拆塔过程中，塔机应处于平衡状态。</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禁止在拆卸时起升吊钩进行任何起升或者下降操作。</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拆卸过程中，禁止塔身上部进行回转操作。</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拆卸进行前，应将起重臂回转至爬升架引进标准节一侧。</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塔机拆塔之前，顶升机构由于长期停止使用，应对顶升机构进行保养和试运转，在试运转过程中，应有目的地对限位器，回转机构的制动器等进行可靠性检查；</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对于拆卸的部件，如起重臂、平衡臂等必须遵守规章，以防止当拆卸某一部件时，其余部分有失去平衡的危险。</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在拆塔过程中，吊运钢丝绳及吊带的选择要合理，物件捆绑必须牢固。</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塔机拆卸对顶升机构来说是重载连续作业，所以应对顶升机构的主要受力件经常检查；</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顶升机构工作时，所有操作人员应集中精力观察各相对运动件的相对位置是否正常(如滚轮与主弦杆之间，爬升架与塔身之间)，是否有阻碍爬升架运动(特别是下降运动时)的物件；</w:t>
      </w:r>
    </w:p>
    <w:p>
      <w:pPr>
        <w:numPr>
          <w:ilvl w:val="0"/>
          <w:numId w:val="11"/>
        </w:numPr>
        <w:spacing w:line="360" w:lineRule="auto"/>
        <w:rPr>
          <w:rFonts w:ascii="Times New Roman" w:hAnsi="Times New Roman" w:eastAsia="宋体" w:cs="Times New Roman"/>
        </w:rPr>
      </w:pPr>
      <w:r>
        <w:rPr>
          <w:rFonts w:hint="eastAsia" w:ascii="Times New Roman" w:hAnsi="Times New Roman" w:eastAsia="宋体" w:cs="Times New Roman"/>
        </w:rPr>
        <w:t>顶升系统的检查与测试：</w:t>
      </w:r>
    </w:p>
    <w:p>
      <w:pPr>
        <w:numPr>
          <w:ilvl w:val="0"/>
          <w:numId w:val="12"/>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检查液压系统各部件是否完好、有无漏、渗油现象。顶升油缸运动是否顺畅、到位。</w:t>
      </w:r>
    </w:p>
    <w:p>
      <w:pPr>
        <w:numPr>
          <w:ilvl w:val="0"/>
          <w:numId w:val="12"/>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检查顶升油箱油位计显示油量在油缸完全收回时是否在1/3到2/3刻度之间，如果油量减少，应及时补油。</w:t>
      </w:r>
    </w:p>
    <w:p>
      <w:pPr>
        <w:numPr>
          <w:ilvl w:val="0"/>
          <w:numId w:val="12"/>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操作顶升控制手柄进行试顶升动作，当液压系统压力到达溢流阀设定的压力后保持10秒，如果压力一直保持不变，则顶升系统可进行顶升加节操作。</w:t>
      </w:r>
    </w:p>
    <w:p>
      <w:pPr>
        <w:pStyle w:val="4"/>
        <w:bidi w:val="0"/>
        <w:rPr>
          <w:lang w:val="en-US" w:eastAsia="zh-CN"/>
        </w:rPr>
      </w:pPr>
      <w:r>
        <w:rPr>
          <w:rFonts w:hint="eastAsia"/>
          <w:lang w:val="en-US" w:eastAsia="zh-CN"/>
        </w:rPr>
        <w:t>降塔</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将起重臂回转到引进方向(爬升架中有开口的一侧)，使回转制动器处于制动状态，载重小车停在配平位置(与立塔顶升加节时载重小车的配平位置一致)；</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拆掉最上面塔身标准节与特殊节的连接销轴，稍稍向上顶升，将引进轮按规定方向放至到标准节下方，并保证安全可靠；然后拆掉最上面的塔身标准节与下一节标准节的连接销轴；</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伸长顶升油缸，将顶升横梁顶在从上往下数第三个踏步的圆弧槽内，插好防脱销，将上部结构稍稍顶起，把特殊节与爬升架连接耳板销孔对正，打入销轴，并装好开口销；</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拆掉最上面塔身标准节与特殊节的连接销轴，稍稍向上顶升，并保证安全可靠；然后拆掉最上面的塔身标准节与下一节标准节的连接销轴，并将标准节固定在引进装置的提升横梁总成上；</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继续顶升至最上面标准节与下方标准节离开，把标准节推出引进横梁并支稳(推出时且不可用力过猛，以免标准节冲出引进梁而倾翻，造成事故)；</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扳开活动爬爪，回缩油缸，让活动爬爪躲过距它最近的一对踏步后，复位放平，继续下降至活动爬爪支承在下一对踏步上并支承住上部结构后，退出防脱销，再回缩油缸至顶升横梁从踏步上移开；</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伸出油缸，将顶升横梁顶在下一对踏步上，插好防脱销，稍微顶升至爬爪翻转时能躲过原来支承的踏步后停止，拨开爬爪，回缩油缸，至下一标准节与特殊节相接触时为止；</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将特殊节与塔身标准节之间用销轴及锁销紧固牢，用小车吊钩将标准节吊至地面；</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重复上述动作，将塔身标准节依次拆下。</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爬升架下落过程中，需用人工翻转挂靴，同时派专人看管顶升横梁和导轮，观察爬升架下降时有无被障碍物卡住的现象，以便爬升架能顺利下降，否则将造成受力不均，容易造成顶升故障。</w:t>
      </w:r>
    </w:p>
    <w:p>
      <w:pPr>
        <w:numPr>
          <w:ilvl w:val="0"/>
          <w:numId w:val="1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降塔的具体操作步骤与顶升章节中引进标节顺序相反，图示参阅顶升章节示意。</w:t>
      </w:r>
    </w:p>
    <w:p>
      <w:pPr>
        <w:pStyle w:val="4"/>
        <w:bidi w:val="0"/>
        <w:rPr>
          <w:lang w:val="en-US" w:eastAsia="zh-CN"/>
        </w:rPr>
      </w:pPr>
      <w:r>
        <w:rPr>
          <w:rFonts w:hint="eastAsia"/>
          <w:lang w:val="en-US" w:eastAsia="zh-CN"/>
        </w:rPr>
        <w:t>拆除附着</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塔吊降节到设计要求的高度后方可进行附墙的拆除，附墙的拆除危险性比较大，人员必须站位于操作平台进行并穿戴好安全防护用品。</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附墙撑杆的拆卸顺序从前到后，即先拆卸靠起重臂侧一根附墙撑杆，然后拆除中间的附墙撑杆，最后拆除靠平衡臂一边的附墙撑杆。</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拆卸附墙撑杆前，先调整撑杆的调节丝杆使之放松，消除内力。（注意：调整中不得作任何起升、回转等运作）。</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附墙拆卸吊装时，采用两点吊，吊索的规格为：24mm</w:t>
      </w:r>
      <w:r>
        <w:rPr>
          <w:rFonts w:ascii="Times New Roman" w:hAnsi="Times New Roman" w:eastAsia="宋体" w:cs="Times New Roman"/>
        </w:rPr>
        <w:t xml:space="preserve"> </w:t>
      </w:r>
      <w:r>
        <w:rPr>
          <w:rFonts w:hint="eastAsia" w:ascii="Times New Roman" w:hAnsi="Times New Roman" w:eastAsia="宋体" w:cs="Times New Roman"/>
        </w:rPr>
        <w:t>6×19S+FC 1700Mpa，卸扣规格GB/T 25854-6-DW8。</w:t>
      </w:r>
    </w:p>
    <w:p>
      <w:pPr>
        <w:widowControl w:val="0"/>
        <w:numPr>
          <w:ilvl w:val="0"/>
          <w:numId w:val="14"/>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附墙杆件拆除采用钢丝绳捆绑吊装，人员站位于塔柱操作平台上与塔身节横杆上将钢丝绳捆绑在被拆卸附墙撑杆的两端。在附墙撑杆两头各系一麻绳，先拆除塔柱一侧的连接销轴，把撑杆慢慢推离塔柱耳座，再拆除附墙框一侧连接销轴，此时拆卸人员抓住麻绳，另一个拆卸人员把撑杆推离附墙框耳板，塔吊吊钩一档点起，拆卸人员稍微带力用麻绳把撑杆拉离塔柱一定距离，待撑杆平稳后，操作塔吊起钩平稳地将撑杆下落至地面；</w:t>
      </w:r>
    </w:p>
    <w:p>
      <w:pPr>
        <w:widowControl w:val="0"/>
        <w:numPr>
          <w:ilvl w:val="0"/>
          <w:numId w:val="14"/>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同样方法拆除另外的附墙撑杆。</w:t>
      </w:r>
    </w:p>
    <w:p>
      <w:pPr>
        <w:widowControl w:val="0"/>
        <w:numPr>
          <w:ilvl w:val="0"/>
          <w:numId w:val="14"/>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用钢丝绳+卸扣将每侧附墙框与塔身节固定牢固；</w:t>
      </w:r>
    </w:p>
    <w:p>
      <w:pPr>
        <w:widowControl w:val="0"/>
        <w:numPr>
          <w:ilvl w:val="0"/>
          <w:numId w:val="14"/>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用塔吊吊起附墙附墙框架后梁，卸下后梁轴销，解除后梁与塔身节连接，然后将其徐徐降下地面；</w:t>
      </w:r>
    </w:p>
    <w:p>
      <w:pPr>
        <w:widowControl w:val="0"/>
        <w:numPr>
          <w:ilvl w:val="0"/>
          <w:numId w:val="14"/>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将附墙框架的侧梁和前梁用同样的方法缓缓吊起，将其徐徐下降至地面。</w:t>
      </w:r>
    </w:p>
    <w:p>
      <w:pPr>
        <w:widowControl w:val="0"/>
        <w:numPr>
          <w:ilvl w:val="0"/>
          <w:numId w:val="14"/>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附墙撑杆与附墙框拆除时，人员站位于塔柱操作平台上与塔身节横杆上进行操作，严禁站位于待拆除杆件上进行操作。</w:t>
      </w:r>
    </w:p>
    <w:p>
      <w:pPr>
        <w:pStyle w:val="4"/>
        <w:bidi w:val="0"/>
        <w:rPr>
          <w:lang w:val="en-US" w:eastAsia="zh-CN"/>
        </w:rPr>
      </w:pPr>
      <w:r>
        <w:rPr>
          <w:rFonts w:hint="eastAsia"/>
          <w:lang w:val="en-US" w:eastAsia="zh-CN"/>
        </w:rPr>
        <w:t>拆除电气系统及附属装置</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参照安装方法拆除塔机电气控制系统及附属装置。</w:t>
      </w:r>
    </w:p>
    <w:p>
      <w:pPr>
        <w:pStyle w:val="4"/>
        <w:bidi w:val="0"/>
        <w:rPr>
          <w:lang w:val="en-US" w:eastAsia="zh-CN"/>
        </w:rPr>
      </w:pPr>
      <w:bookmarkStart w:id="38" w:name="_Ref130995678"/>
      <w:r>
        <w:rPr>
          <w:rFonts w:hint="eastAsia"/>
          <w:lang w:val="en-US" w:eastAsia="zh-CN"/>
        </w:rPr>
        <w:t>吊钩与钢丝绳</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放下吊钩至地面，拆除起重钢丝绳与起重臂前端上的防扭装置连接，开动起升机构，回收钢丝绳。</w:t>
      </w:r>
    </w:p>
    <w:p>
      <w:pPr>
        <w:pStyle w:val="4"/>
        <w:bidi w:val="0"/>
        <w:rPr>
          <w:lang w:val="en-US" w:eastAsia="zh-CN"/>
        </w:rPr>
      </w:pPr>
      <w:r>
        <w:rPr>
          <w:rFonts w:hint="eastAsia"/>
          <w:lang w:val="en-US" w:eastAsia="zh-CN"/>
        </w:rPr>
        <w:t>首次拆除平衡重</w:t>
      </w:r>
      <w:bookmarkEnd w:id="38"/>
    </w:p>
    <w:p>
      <w:pPr>
        <w:numPr>
          <w:ilvl w:val="0"/>
          <w:numId w:val="15"/>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将载重小车固定在起重臂根部，借助辅助吊车拆卸配重；</w:t>
      </w:r>
    </w:p>
    <w:p>
      <w:pPr>
        <w:numPr>
          <w:ilvl w:val="0"/>
          <w:numId w:val="15"/>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按装配重的相反顺序，将各块配重依次卸下，仅留下</w:t>
      </w:r>
      <w:r>
        <w:rPr>
          <w:rFonts w:ascii="Times New Roman" w:hAnsi="Times New Roman" w:eastAsia="宋体" w:cs="Times New Roman"/>
        </w:rPr>
        <w:t>1</w:t>
      </w:r>
      <w:r>
        <w:rPr>
          <w:rFonts w:hint="eastAsia" w:ascii="Times New Roman" w:hAnsi="Times New Roman" w:eastAsia="宋体" w:cs="Times New Roman"/>
        </w:rPr>
        <w:t>块</w:t>
      </w:r>
      <w:r>
        <w:rPr>
          <w:rFonts w:ascii="Times New Roman" w:hAnsi="Times New Roman" w:eastAsia="宋体" w:cs="Times New Roman"/>
        </w:rPr>
        <w:t>4.75</w:t>
      </w:r>
      <w:r>
        <w:rPr>
          <w:rFonts w:hint="eastAsia" w:ascii="Times New Roman" w:hAnsi="Times New Roman" w:eastAsia="宋体" w:cs="Times New Roman"/>
        </w:rPr>
        <w:t>t的配重块，如</w:t>
      </w:r>
      <w:r>
        <w:rPr>
          <w:rFonts w:hint="eastAsia" w:ascii="Times New Roman" w:hAnsi="Times New Roman" w:eastAsia="宋体" w:cs="Times New Roman"/>
          <w:lang w:val="en-US" w:eastAsia="zh-CN"/>
        </w:rPr>
        <w:t>下图</w:t>
      </w:r>
      <w:r>
        <w:rPr>
          <w:rFonts w:hint="eastAsia" w:ascii="Times New Roman" w:hAnsi="Times New Roman" w:eastAsia="宋体" w:cs="Times New Roman"/>
        </w:rPr>
        <w:t>所示。</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1539875"/>
            <wp:effectExtent l="0" t="0" r="13970" b="146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7"/>
                    <a:stretch>
                      <a:fillRect/>
                    </a:stretch>
                  </pic:blipFill>
                  <pic:spPr>
                    <a:xfrm>
                      <a:off x="0" y="0"/>
                      <a:ext cx="5274310" cy="1539875"/>
                    </a:xfrm>
                    <a:prstGeom prst="rect">
                      <a:avLst/>
                    </a:prstGeom>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bookmarkStart w:id="39" w:name="_Ref128141646"/>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39"/>
      <w:r>
        <w:rPr>
          <w:rFonts w:hint="eastAsia" w:ascii="Times New Roman" w:hAnsi="Times New Roman" w:eastAsia="宋体" w:cs="Times New Roman"/>
          <w:b/>
          <w:kern w:val="2"/>
          <w:sz w:val="21"/>
          <w:szCs w:val="21"/>
          <w:lang w:val="en-US" w:eastAsia="zh-CN" w:bidi="ar-SA"/>
        </w:rPr>
        <w:t xml:space="preserve"> 拆除平衡重</w:t>
      </w:r>
    </w:p>
    <w:p>
      <w:pPr>
        <w:keepNext w:val="0"/>
        <w:widowControl w:val="0"/>
        <w:spacing w:line="360" w:lineRule="auto"/>
        <w:ind w:firstLine="0" w:firstLineChars="0"/>
        <w:jc w:val="center"/>
      </w:pPr>
      <w:r>
        <w:drawing>
          <wp:inline distT="0" distB="0" distL="114300" distR="114300">
            <wp:extent cx="4587240" cy="3665220"/>
            <wp:effectExtent l="0" t="0" r="0" b="762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8"/>
                    <a:stretch>
                      <a:fillRect/>
                    </a:stretch>
                  </pic:blipFill>
                  <pic:spPr>
                    <a:xfrm>
                      <a:off x="0" y="0"/>
                      <a:ext cx="4587240" cy="366522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.5-</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 xml:space="preserve"> 拆除平衡重</w:t>
      </w:r>
      <w:r>
        <w:rPr>
          <w:rFonts w:hint="eastAsia" w:ascii="Times New Roman" w:hAnsi="Times New Roman" w:cs="Times New Roman"/>
          <w:b/>
          <w:kern w:val="2"/>
          <w:sz w:val="21"/>
          <w:szCs w:val="21"/>
          <w:lang w:val="en-US" w:eastAsia="zh-CN" w:bidi="ar-SA"/>
        </w:rPr>
        <w:t>平面图</w:t>
      </w:r>
    </w:p>
    <w:p>
      <w:pPr>
        <w:keepNext w:val="0"/>
        <w:widowControl w:val="0"/>
        <w:spacing w:line="360" w:lineRule="auto"/>
        <w:ind w:firstLine="0" w:firstLineChars="0"/>
        <w:jc w:val="center"/>
      </w:pPr>
      <w:r>
        <w:drawing>
          <wp:inline distT="0" distB="0" distL="114300" distR="114300">
            <wp:extent cx="4579620" cy="5029200"/>
            <wp:effectExtent l="0" t="0" r="7620" b="0"/>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29"/>
                    <a:stretch>
                      <a:fillRect/>
                    </a:stretch>
                  </pic:blipFill>
                  <pic:spPr>
                    <a:xfrm>
                      <a:off x="0" y="0"/>
                      <a:ext cx="4579620" cy="502920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.5-</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 xml:space="preserve"> 拆除平衡重</w:t>
      </w:r>
      <w:r>
        <w:rPr>
          <w:rFonts w:hint="eastAsia" w:ascii="Times New Roman" w:hAnsi="Times New Roman" w:cs="Times New Roman"/>
          <w:b/>
          <w:kern w:val="2"/>
          <w:sz w:val="21"/>
          <w:szCs w:val="21"/>
          <w:lang w:val="en-US" w:eastAsia="zh-CN" w:bidi="ar-SA"/>
        </w:rPr>
        <w:t>立面图</w:t>
      </w:r>
    </w:p>
    <w:p>
      <w:pPr>
        <w:pStyle w:val="4"/>
        <w:bidi w:val="0"/>
        <w:rPr>
          <w:lang w:val="en-US" w:eastAsia="zh-CN"/>
        </w:rPr>
      </w:pPr>
      <w:r>
        <w:rPr>
          <w:rFonts w:hint="eastAsia"/>
          <w:lang w:val="en-US" w:eastAsia="zh-CN"/>
        </w:rPr>
        <w:t>拆除起重臂</w:t>
      </w:r>
    </w:p>
    <w:p>
      <w:pPr>
        <w:spacing w:line="360" w:lineRule="auto"/>
        <w:ind w:firstLine="4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汽车吊移位。</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根据安装时的吊点位置挂绳，轻轻提起起重臂（不包括起重臂节1），在吊装钢丝绳处于自然紧绷状态下，拆去与臂根节下弦连接的螺栓及上弦的销轴。</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756920"/>
            <wp:effectExtent l="0" t="0" r="1397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0"/>
                    <a:stretch>
                      <a:fillRect/>
                    </a:stretch>
                  </pic:blipFill>
                  <pic:spPr>
                    <a:xfrm>
                      <a:off x="0" y="0"/>
                      <a:ext cx="5274310" cy="75692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.6-</w:t>
      </w:r>
      <w:r>
        <w:rPr>
          <w:rFonts w:hint="eastAsia" w:ascii="Times New Roman" w:hAnsi="Times New Roman" w:cs="Times New Roman"/>
          <w:b/>
          <w:kern w:val="2"/>
          <w:sz w:val="21"/>
          <w:szCs w:val="21"/>
          <w:lang w:val="en-US" w:eastAsia="zh-CN" w:bidi="ar-SA"/>
        </w:rPr>
        <w:t>1</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起重臂总成</w:t>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val="0"/>
        <w:widowControl w:val="0"/>
        <w:spacing w:line="360" w:lineRule="auto"/>
        <w:ind w:firstLine="0" w:firstLineChars="0"/>
        <w:jc w:val="center"/>
      </w:pPr>
      <w:r>
        <w:drawing>
          <wp:inline distT="0" distB="0" distL="114300" distR="114300">
            <wp:extent cx="5074920" cy="4046220"/>
            <wp:effectExtent l="0" t="0" r="0" b="762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1"/>
                    <a:stretch>
                      <a:fillRect/>
                    </a:stretch>
                  </pic:blipFill>
                  <pic:spPr>
                    <a:xfrm>
                      <a:off x="0" y="0"/>
                      <a:ext cx="5074920" cy="404622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.6-</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起重臂</w:t>
      </w:r>
      <w:r>
        <w:rPr>
          <w:rFonts w:hint="eastAsia" w:ascii="Times New Roman" w:hAnsi="Times New Roman" w:cs="Times New Roman"/>
          <w:b/>
          <w:kern w:val="2"/>
          <w:sz w:val="21"/>
          <w:szCs w:val="21"/>
          <w:lang w:val="en-US" w:eastAsia="zh-CN" w:bidi="ar-SA"/>
        </w:rPr>
        <w:t>平面图</w:t>
      </w:r>
    </w:p>
    <w:p>
      <w:pPr>
        <w:keepNext w:val="0"/>
        <w:widowControl w:val="0"/>
        <w:spacing w:line="360" w:lineRule="auto"/>
        <w:ind w:firstLine="0" w:firstLineChars="0"/>
        <w:jc w:val="center"/>
      </w:pPr>
      <w:r>
        <w:drawing>
          <wp:inline distT="0" distB="0" distL="114300" distR="114300">
            <wp:extent cx="3817620" cy="4892040"/>
            <wp:effectExtent l="0" t="0" r="7620" b="0"/>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pic:cNvPicPr>
                      <a:picLocks noChangeAspect="1"/>
                    </pic:cNvPicPr>
                  </pic:nvPicPr>
                  <pic:blipFill>
                    <a:blip r:embed="rId32"/>
                    <a:stretch>
                      <a:fillRect/>
                    </a:stretch>
                  </pic:blipFill>
                  <pic:spPr>
                    <a:xfrm>
                      <a:off x="0" y="0"/>
                      <a:ext cx="3817620" cy="489204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.6-</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起重臂</w:t>
      </w:r>
      <w:r>
        <w:rPr>
          <w:rFonts w:hint="eastAsia" w:ascii="Times New Roman" w:hAnsi="Times New Roman" w:cs="Times New Roman"/>
          <w:b/>
          <w:kern w:val="2"/>
          <w:sz w:val="21"/>
          <w:szCs w:val="21"/>
          <w:lang w:val="en-US" w:eastAsia="zh-CN" w:bidi="ar-SA"/>
        </w:rPr>
        <w:t>立面图</w:t>
      </w:r>
    </w:p>
    <w:p>
      <w:pPr>
        <w:pStyle w:val="4"/>
        <w:bidi w:val="0"/>
        <w:rPr>
          <w:lang w:val="en-US" w:eastAsia="zh-CN"/>
        </w:rPr>
      </w:pPr>
      <w:r>
        <w:rPr>
          <w:rFonts w:hint="eastAsia"/>
          <w:lang w:val="en-US" w:eastAsia="zh-CN"/>
        </w:rPr>
        <w:t>拆除剩余平衡重</w:t>
      </w:r>
    </w:p>
    <w:p>
      <w:pPr>
        <w:spacing w:line="360" w:lineRule="auto"/>
        <w:ind w:firstLine="4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汽车吊移位。</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拆除最后</w:t>
      </w:r>
      <w:r>
        <w:rPr>
          <w:rFonts w:ascii="Times New Roman" w:hAnsi="Times New Roman" w:eastAsia="宋体" w:cs="Times New Roman"/>
        </w:rPr>
        <w:t>1</w:t>
      </w:r>
      <w:r>
        <w:rPr>
          <w:rFonts w:hint="eastAsia" w:ascii="Times New Roman" w:hAnsi="Times New Roman" w:eastAsia="宋体" w:cs="Times New Roman"/>
        </w:rPr>
        <w:t>块</w:t>
      </w:r>
      <w:r>
        <w:rPr>
          <w:rFonts w:ascii="Times New Roman" w:hAnsi="Times New Roman" w:eastAsia="宋体" w:cs="Times New Roman"/>
        </w:rPr>
        <w:t>4.75</w:t>
      </w:r>
      <w:r>
        <w:rPr>
          <w:rFonts w:hint="eastAsia" w:ascii="Times New Roman" w:hAnsi="Times New Roman" w:eastAsia="宋体" w:cs="Times New Roman"/>
        </w:rPr>
        <w:t>t配重块并平稳放至地面。</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1057910"/>
            <wp:effectExtent l="0" t="0" r="13970"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3"/>
                    <a:stretch>
                      <a:fillRect/>
                    </a:stretch>
                  </pic:blipFill>
                  <pic:spPr>
                    <a:xfrm>
                      <a:off x="0" y="0"/>
                      <a:ext cx="5274310" cy="1057910"/>
                    </a:xfrm>
                    <a:prstGeom prst="rect">
                      <a:avLst/>
                    </a:prstGeom>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.7-</w:t>
      </w:r>
      <w:r>
        <w:rPr>
          <w:rFonts w:hint="eastAsia" w:ascii="Times New Roman" w:hAnsi="Times New Roman" w:cs="Times New Roman"/>
          <w:b/>
          <w:kern w:val="2"/>
          <w:sz w:val="21"/>
          <w:szCs w:val="21"/>
          <w:lang w:val="en-US" w:eastAsia="zh-CN" w:bidi="ar-SA"/>
        </w:rPr>
        <w:t>1</w:t>
      </w:r>
      <w:r>
        <w:rPr>
          <w:rFonts w:hint="eastAsia" w:ascii="Times New Roman" w:hAnsi="Times New Roman" w:eastAsia="宋体" w:cs="Times New Roman"/>
          <w:b/>
          <w:kern w:val="2"/>
          <w:sz w:val="21"/>
          <w:szCs w:val="21"/>
          <w:lang w:val="en-US" w:eastAsia="zh-CN" w:bidi="ar-SA"/>
        </w:rPr>
        <w:t xml:space="preserve"> 拆除剩余平衡重</w:t>
      </w:r>
    </w:p>
    <w:p>
      <w:pPr>
        <w:keepNext w:val="0"/>
        <w:widowControl w:val="0"/>
        <w:spacing w:line="360" w:lineRule="auto"/>
        <w:ind w:firstLine="0" w:firstLineChars="0"/>
        <w:jc w:val="center"/>
      </w:pPr>
      <w:r>
        <w:drawing>
          <wp:inline distT="0" distB="0" distL="114300" distR="114300">
            <wp:extent cx="5570220" cy="4091940"/>
            <wp:effectExtent l="0" t="0" r="7620" b="762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4"/>
                    <a:stretch>
                      <a:fillRect/>
                    </a:stretch>
                  </pic:blipFill>
                  <pic:spPr>
                    <a:xfrm>
                      <a:off x="0" y="0"/>
                      <a:ext cx="5570220" cy="409194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7</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平衡重平面图</w:t>
      </w:r>
    </w:p>
    <w:p>
      <w:pPr>
        <w:keepNext w:val="0"/>
        <w:widowControl w:val="0"/>
        <w:spacing w:line="360" w:lineRule="auto"/>
        <w:ind w:firstLine="0" w:firstLineChars="0"/>
        <w:jc w:val="center"/>
        <w:rPr>
          <w:rFonts w:hint="eastAsia"/>
          <w:lang w:val="en-US" w:eastAsia="zh-CN"/>
        </w:rPr>
      </w:pPr>
      <w:r>
        <w:drawing>
          <wp:inline distT="0" distB="0" distL="114300" distR="114300">
            <wp:extent cx="4084320" cy="4732020"/>
            <wp:effectExtent l="0" t="0" r="0" b="762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pic:cNvPicPr>
                      <a:picLocks noChangeAspect="1"/>
                    </pic:cNvPicPr>
                  </pic:nvPicPr>
                  <pic:blipFill>
                    <a:blip r:embed="rId35"/>
                    <a:stretch>
                      <a:fillRect/>
                    </a:stretch>
                  </pic:blipFill>
                  <pic:spPr>
                    <a:xfrm>
                      <a:off x="0" y="0"/>
                      <a:ext cx="4084320" cy="473202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7</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平衡重立面图</w:t>
      </w:r>
    </w:p>
    <w:p>
      <w:pPr>
        <w:pStyle w:val="4"/>
        <w:bidi w:val="0"/>
        <w:rPr>
          <w:lang w:val="en-US" w:eastAsia="zh-CN"/>
        </w:rPr>
      </w:pPr>
      <w:r>
        <w:rPr>
          <w:rFonts w:hint="eastAsia"/>
          <w:lang w:val="en-US" w:eastAsia="zh-CN"/>
        </w:rPr>
        <w:t>拆除平衡臂</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当吊装钢丝绳与平衡臂处于紧绷状态时候，拆去平衡臂拉杆与平衡臂2上部短拉杆的连接销轴，然后缓慢起吊让平衡臂3与平衡臂1、2倾斜至一定角度，拆去平衡臂</w:t>
      </w:r>
      <w:r>
        <w:rPr>
          <w:rFonts w:ascii="Times New Roman" w:hAnsi="Times New Roman" w:eastAsia="宋体" w:cs="Times New Roman"/>
        </w:rPr>
        <w:t>3</w:t>
      </w:r>
      <w:r>
        <w:rPr>
          <w:rFonts w:hint="eastAsia" w:ascii="Times New Roman" w:hAnsi="Times New Roman" w:eastAsia="宋体" w:cs="Times New Roman"/>
        </w:rPr>
        <w:t>与平衡臂2连接的螺栓。</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1149985"/>
            <wp:effectExtent l="0" t="0" r="13970" b="825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6"/>
                    <a:stretch>
                      <a:fillRect/>
                    </a:stretch>
                  </pic:blipFill>
                  <pic:spPr>
                    <a:xfrm>
                      <a:off x="0" y="0"/>
                      <a:ext cx="5274310" cy="1149985"/>
                    </a:xfrm>
                    <a:prstGeom prst="rect">
                      <a:avLst/>
                    </a:prstGeom>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-1 拆除平衡臂总成</w:t>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p>
    <w:p>
      <w:pPr>
        <w:keepNext w:val="0"/>
        <w:widowControl w:val="0"/>
        <w:spacing w:line="360" w:lineRule="auto"/>
        <w:ind w:firstLine="0" w:firstLineChars="0"/>
        <w:jc w:val="center"/>
      </w:pPr>
      <w:r>
        <w:drawing>
          <wp:inline distT="0" distB="0" distL="114300" distR="114300">
            <wp:extent cx="5920740" cy="4198620"/>
            <wp:effectExtent l="0" t="0" r="7620" b="762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7"/>
                    <a:stretch>
                      <a:fillRect/>
                    </a:stretch>
                  </pic:blipFill>
                  <pic:spPr>
                    <a:xfrm>
                      <a:off x="0" y="0"/>
                      <a:ext cx="5920740" cy="419862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8</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平衡臂平面图</w:t>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drawing>
          <wp:inline distT="0" distB="0" distL="114300" distR="114300">
            <wp:extent cx="4198620" cy="4732020"/>
            <wp:effectExtent l="0" t="0" r="7620" b="7620"/>
            <wp:docPr id="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pic:cNvPicPr>
                      <a:picLocks noChangeAspect="1"/>
                    </pic:cNvPicPr>
                  </pic:nvPicPr>
                  <pic:blipFill>
                    <a:blip r:embed="rId38"/>
                    <a:stretch>
                      <a:fillRect/>
                    </a:stretch>
                  </pic:blipFill>
                  <pic:spPr>
                    <a:xfrm>
                      <a:off x="0" y="0"/>
                      <a:ext cx="4198620" cy="473202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8</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平衡臂立面图</w:t>
      </w:r>
    </w:p>
    <w:p>
      <w:pPr>
        <w:pStyle w:val="4"/>
        <w:bidi w:val="0"/>
        <w:rPr>
          <w:lang w:val="en-US" w:eastAsia="zh-CN"/>
        </w:rPr>
      </w:pPr>
      <w:r>
        <w:rPr>
          <w:rFonts w:hint="eastAsia"/>
          <w:lang w:val="en-US" w:eastAsia="zh-CN"/>
        </w:rPr>
        <w:t>拆除臂根节</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吊装起重臂1钢丝绳刚处于紧绷状态时候，拆去起重臂1与上支座连接的销轴、销和锁销，缓慢吊起起重臂1放置放有垫子或是木质的分割板上(不显示司机室示意图)。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1743710"/>
            <wp:effectExtent l="0" t="0" r="1397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9"/>
                    <a:stretch>
                      <a:fillRect/>
                    </a:stretch>
                  </pic:blipFill>
                  <pic:spPr>
                    <a:xfrm>
                      <a:off x="0" y="0"/>
                      <a:ext cx="5274310" cy="1743710"/>
                    </a:xfrm>
                    <a:prstGeom prst="rect">
                      <a:avLst/>
                    </a:prstGeom>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9</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-1 拆除起重臂1</w:t>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drawing>
          <wp:inline distT="0" distB="0" distL="114300" distR="114300">
            <wp:extent cx="4680585" cy="3333750"/>
            <wp:effectExtent l="0" t="0" r="13335" b="381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40"/>
                    <a:stretch>
                      <a:fillRect/>
                    </a:stretch>
                  </pic:blipFill>
                  <pic:spPr>
                    <a:xfrm>
                      <a:off x="0" y="0"/>
                      <a:ext cx="4680585" cy="333375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9</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臂根节平面图</w:t>
      </w:r>
    </w:p>
    <w:p>
      <w:pPr>
        <w:keepNext w:val="0"/>
        <w:widowControl w:val="0"/>
        <w:spacing w:line="360" w:lineRule="auto"/>
        <w:ind w:firstLine="0" w:firstLineChars="0"/>
        <w:jc w:val="center"/>
        <w:rPr>
          <w:rFonts w:hint="default" w:ascii="Times New Roman" w:hAnsi="Times New Roman" w:cs="Times New Roman"/>
          <w:b/>
          <w:kern w:val="2"/>
          <w:sz w:val="21"/>
          <w:szCs w:val="21"/>
          <w:lang w:val="en-US" w:eastAsia="zh-CN" w:bidi="ar-SA"/>
        </w:rPr>
      </w:pPr>
      <w:r>
        <w:drawing>
          <wp:inline distT="0" distB="0" distL="114300" distR="114300">
            <wp:extent cx="3924300" cy="4443095"/>
            <wp:effectExtent l="0" t="0" r="7620" b="6985"/>
            <wp:docPr id="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pic:cNvPicPr>
                      <a:picLocks noChangeAspect="1"/>
                    </pic:cNvPicPr>
                  </pic:nvPicPr>
                  <pic:blipFill>
                    <a:blip r:embed="rId41"/>
                    <a:stretch>
                      <a:fillRect/>
                    </a:stretch>
                  </pic:blipFill>
                  <pic:spPr>
                    <a:xfrm>
                      <a:off x="0" y="0"/>
                      <a:ext cx="3924300" cy="4443095"/>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9</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臂根节立面图</w:t>
      </w:r>
    </w:p>
    <w:p>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拆除平衡臂1</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吊装平衡臂1钢丝绳刚处于紧绷状态时候，拆去平衡臂1与上支座连接的销轴、销和锁销，缓慢吊起平衡臂1放置放有垫子或是木质的分割板上(不显示司机室示意图)。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2768600"/>
            <wp:effectExtent l="0" t="0" r="13970" b="508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2"/>
                    <a:stretch>
                      <a:fillRect/>
                    </a:stretch>
                  </pic:blipFill>
                  <pic:spPr>
                    <a:xfrm>
                      <a:off x="0" y="0"/>
                      <a:ext cx="5274310" cy="2768600"/>
                    </a:xfrm>
                    <a:prstGeom prst="rect">
                      <a:avLst/>
                    </a:prstGeom>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.10-1 拆除平衡臂1</w:t>
      </w:r>
    </w:p>
    <w:p>
      <w:pPr>
        <w:keepNext w:val="0"/>
        <w:widowControl w:val="0"/>
        <w:spacing w:line="360" w:lineRule="auto"/>
        <w:ind w:firstLine="0" w:firstLineChars="0"/>
        <w:jc w:val="center"/>
      </w:pPr>
      <w:r>
        <w:drawing>
          <wp:inline distT="0" distB="0" distL="114300" distR="114300">
            <wp:extent cx="6096000" cy="4259580"/>
            <wp:effectExtent l="0" t="0" r="0" b="762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43"/>
                    <a:stretch>
                      <a:fillRect/>
                    </a:stretch>
                  </pic:blipFill>
                  <pic:spPr>
                    <a:xfrm>
                      <a:off x="0" y="0"/>
                      <a:ext cx="6096000" cy="425958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10</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平衡臂1平面图</w:t>
      </w:r>
    </w:p>
    <w:p>
      <w:pPr>
        <w:keepNext w:val="0"/>
        <w:widowControl w:val="0"/>
        <w:spacing w:line="360" w:lineRule="auto"/>
        <w:ind w:firstLine="0" w:firstLineChars="0"/>
        <w:jc w:val="center"/>
        <w:rPr>
          <w:rFonts w:hint="default" w:ascii="Times New Roman" w:hAnsi="Times New Roman" w:cs="Times New Roman"/>
          <w:b/>
          <w:kern w:val="2"/>
          <w:sz w:val="21"/>
          <w:szCs w:val="21"/>
          <w:lang w:val="en-US" w:eastAsia="zh-CN" w:bidi="ar-SA"/>
        </w:rPr>
      </w:pPr>
      <w:r>
        <w:drawing>
          <wp:inline distT="0" distB="0" distL="114300" distR="114300">
            <wp:extent cx="4114800" cy="4815840"/>
            <wp:effectExtent l="0" t="0" r="0" b="0"/>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44"/>
                    <a:stretch>
                      <a:fillRect/>
                    </a:stretch>
                  </pic:blipFill>
                  <pic:spPr>
                    <a:xfrm>
                      <a:off x="0" y="0"/>
                      <a:ext cx="4114800" cy="481584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10</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平衡臂1立面图</w:t>
      </w:r>
    </w:p>
    <w:p>
      <w:pPr>
        <w:pStyle w:val="4"/>
        <w:bidi w:val="0"/>
        <w:rPr>
          <w:lang w:val="en-US" w:eastAsia="zh-CN"/>
        </w:rPr>
      </w:pPr>
      <w:r>
        <w:rPr>
          <w:rFonts w:hint="eastAsia"/>
          <w:lang w:val="en-US" w:eastAsia="zh-CN"/>
        </w:rPr>
        <w:t>拆除回转总成</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根据安装时吊点位置用起重机吊起回转总成，然后将回转下支座与特殊节的连接销轴及立销拆下，之后将回转总成平稳吊至地面。</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1438275" cy="498919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5"/>
                    <a:stretch>
                      <a:fillRect/>
                    </a:stretch>
                  </pic:blipFill>
                  <pic:spPr>
                    <a:xfrm>
                      <a:off x="0" y="0"/>
                      <a:ext cx="1438275" cy="4989195"/>
                    </a:xfrm>
                    <a:prstGeom prst="rect">
                      <a:avLst/>
                    </a:prstGeom>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图4.4.11-1 拆除回转总成</w:t>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drawing>
          <wp:inline distT="0" distB="0" distL="114300" distR="114300">
            <wp:extent cx="5303520" cy="3307080"/>
            <wp:effectExtent l="0" t="0" r="0" b="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46"/>
                    <a:stretch>
                      <a:fillRect/>
                    </a:stretch>
                  </pic:blipFill>
                  <pic:spPr>
                    <a:xfrm>
                      <a:off x="0" y="0"/>
                      <a:ext cx="5303520" cy="330708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图4.4.11-</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回转</w:t>
      </w:r>
      <w:r>
        <w:rPr>
          <w:rFonts w:ascii="Times New Roman" w:hAnsi="Times New Roman" w:eastAsia="宋体" w:cs="Times New Roman"/>
          <w:b/>
          <w:kern w:val="2"/>
          <w:sz w:val="21"/>
          <w:szCs w:val="21"/>
          <w:lang w:val="en-US" w:eastAsia="zh-CN" w:bidi="ar-SA"/>
        </w:rPr>
        <w:t>总成</w:t>
      </w:r>
      <w:r>
        <w:rPr>
          <w:rFonts w:hint="eastAsia" w:ascii="Times New Roman" w:hAnsi="Times New Roman" w:cs="Times New Roman"/>
          <w:b/>
          <w:kern w:val="2"/>
          <w:sz w:val="21"/>
          <w:szCs w:val="21"/>
          <w:lang w:val="en-US" w:eastAsia="zh-CN" w:bidi="ar-SA"/>
        </w:rPr>
        <w:t>平面图</w:t>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drawing>
          <wp:inline distT="0" distB="0" distL="114300" distR="114300">
            <wp:extent cx="3893820" cy="4526280"/>
            <wp:effectExtent l="0" t="0" r="7620" b="0"/>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47"/>
                    <a:stretch>
                      <a:fillRect/>
                    </a:stretch>
                  </pic:blipFill>
                  <pic:spPr>
                    <a:xfrm>
                      <a:off x="0" y="0"/>
                      <a:ext cx="3893820" cy="452628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图4.4.11-</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回转</w:t>
      </w:r>
      <w:r>
        <w:rPr>
          <w:rFonts w:ascii="Times New Roman" w:hAnsi="Times New Roman" w:eastAsia="宋体" w:cs="Times New Roman"/>
          <w:b/>
          <w:kern w:val="2"/>
          <w:sz w:val="21"/>
          <w:szCs w:val="21"/>
          <w:lang w:val="en-US" w:eastAsia="zh-CN" w:bidi="ar-SA"/>
        </w:rPr>
        <w:t>总成</w:t>
      </w:r>
      <w:r>
        <w:rPr>
          <w:rFonts w:hint="eastAsia" w:ascii="Times New Roman" w:hAnsi="Times New Roman" w:cs="Times New Roman"/>
          <w:b/>
          <w:kern w:val="2"/>
          <w:sz w:val="21"/>
          <w:szCs w:val="21"/>
          <w:lang w:val="en-US" w:eastAsia="zh-CN" w:bidi="ar-SA"/>
        </w:rPr>
        <w:t>立面图</w:t>
      </w:r>
    </w:p>
    <w:p>
      <w:pPr>
        <w:pStyle w:val="4"/>
        <w:bidi w:val="0"/>
        <w:rPr>
          <w:lang w:val="en-US" w:eastAsia="zh-CN"/>
        </w:rPr>
      </w:pPr>
      <w:r>
        <w:rPr>
          <w:rFonts w:hint="eastAsia"/>
          <w:lang w:val="en-US" w:eastAsia="zh-CN"/>
        </w:rPr>
        <w:t>拆除特殊节</w:t>
      </w:r>
    </w:p>
    <w:p>
      <w:pPr>
        <w:spacing w:line="360" w:lineRule="auto"/>
        <w:ind w:firstLine="480"/>
        <w:rPr>
          <w:rFonts w:ascii="Times New Roman" w:hAnsi="Times New Roman" w:eastAsia="宋体" w:cs="Times New Roman"/>
        </w:rPr>
      </w:pPr>
      <w:r>
        <w:rPr>
          <w:rFonts w:hint="eastAsia" w:ascii="Times New Roman" w:hAnsi="Times New Roman" w:eastAsia="宋体" w:cs="Times New Roman"/>
        </w:rPr>
        <w:t>按照降塔的步骤，伸长顶升油缸，将顶升横梁轴销落入踏步的圆弧槽内，拆掉特殊节与爬升架的连接销轴，回缩顶升油缸，将爬升架的爬爪支承在塔身上，拆卸前，检查与相邻的组件之间是否还有电缆连接，然后用起重机吊起特殊节，拆下特殊节与塔身的连接销轴，将特殊节用吊索平稳放至地面上。</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1329690" cy="4253865"/>
            <wp:effectExtent l="0" t="0" r="11430" b="133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8"/>
                    <a:stretch>
                      <a:fillRect/>
                    </a:stretch>
                  </pic:blipFill>
                  <pic:spPr>
                    <a:xfrm>
                      <a:off x="0" y="0"/>
                      <a:ext cx="1329690" cy="4253865"/>
                    </a:xfrm>
                    <a:prstGeom prst="rect">
                      <a:avLst/>
                    </a:prstGeom>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2-1 拆除特殊节</w:t>
      </w:r>
    </w:p>
    <w:p>
      <w:pPr>
        <w:keepNext w:val="0"/>
        <w:widowControl w:val="0"/>
        <w:spacing w:line="360" w:lineRule="auto"/>
        <w:ind w:firstLine="0" w:firstLineChars="0"/>
        <w:jc w:val="center"/>
      </w:pPr>
      <w:r>
        <w:drawing>
          <wp:inline distT="0" distB="0" distL="114300" distR="114300">
            <wp:extent cx="5303520" cy="3307080"/>
            <wp:effectExtent l="0" t="0" r="0"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46"/>
                    <a:stretch>
                      <a:fillRect/>
                    </a:stretch>
                  </pic:blipFill>
                  <pic:spPr>
                    <a:xfrm>
                      <a:off x="0" y="0"/>
                      <a:ext cx="5303520" cy="330708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2-</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 xml:space="preserve"> 拆除特殊节</w:t>
      </w:r>
      <w:r>
        <w:rPr>
          <w:rFonts w:hint="eastAsia" w:ascii="Times New Roman" w:hAnsi="Times New Roman" w:cs="Times New Roman"/>
          <w:b/>
          <w:kern w:val="2"/>
          <w:sz w:val="21"/>
          <w:szCs w:val="21"/>
          <w:lang w:val="en-US" w:eastAsia="zh-CN" w:bidi="ar-SA"/>
        </w:rPr>
        <w:t>平面图</w:t>
      </w:r>
    </w:p>
    <w:p>
      <w:pPr>
        <w:keepNext w:val="0"/>
        <w:widowControl w:val="0"/>
        <w:spacing w:line="360" w:lineRule="auto"/>
        <w:ind w:firstLine="0" w:firstLineChars="0"/>
        <w:jc w:val="center"/>
        <w:rPr>
          <w:rFonts w:hint="default" w:ascii="Times New Roman" w:hAnsi="Times New Roman" w:cs="Times New Roman"/>
          <w:b/>
          <w:kern w:val="2"/>
          <w:sz w:val="21"/>
          <w:szCs w:val="21"/>
          <w:lang w:val="en-US" w:eastAsia="zh-CN" w:bidi="ar-SA"/>
        </w:rPr>
      </w:pPr>
      <w:r>
        <w:drawing>
          <wp:inline distT="0" distB="0" distL="114300" distR="114300">
            <wp:extent cx="4191000" cy="4297680"/>
            <wp:effectExtent l="0" t="0" r="0" b="0"/>
            <wp:docPr id="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pic:cNvPicPr>
                      <a:picLocks noChangeAspect="1"/>
                    </pic:cNvPicPr>
                  </pic:nvPicPr>
                  <pic:blipFill>
                    <a:blip r:embed="rId49"/>
                    <a:stretch>
                      <a:fillRect/>
                    </a:stretch>
                  </pic:blipFill>
                  <pic:spPr>
                    <a:xfrm>
                      <a:off x="0" y="0"/>
                      <a:ext cx="4191000" cy="429768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2-</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 xml:space="preserve"> 拆除特殊节</w:t>
      </w:r>
      <w:r>
        <w:rPr>
          <w:rFonts w:hint="eastAsia" w:ascii="Times New Roman" w:hAnsi="Times New Roman" w:cs="Times New Roman"/>
          <w:b/>
          <w:kern w:val="2"/>
          <w:sz w:val="21"/>
          <w:szCs w:val="21"/>
          <w:lang w:val="en-US" w:eastAsia="zh-CN" w:bidi="ar-SA"/>
        </w:rPr>
        <w:t>立面图</w:t>
      </w:r>
    </w:p>
    <w:p>
      <w:pPr>
        <w:pStyle w:val="4"/>
        <w:bidi w:val="0"/>
        <w:rPr>
          <w:lang w:val="en-US" w:eastAsia="zh-CN"/>
        </w:rPr>
      </w:pPr>
      <w:r>
        <w:rPr>
          <w:rFonts w:hint="eastAsia"/>
          <w:lang w:val="en-US" w:eastAsia="zh-CN"/>
        </w:rPr>
        <w:t>拆除爬升架</w:t>
      </w:r>
    </w:p>
    <w:p>
      <w:pPr>
        <w:numPr>
          <w:ilvl w:val="0"/>
          <w:numId w:val="16"/>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用起重机吊起爬升架，拆卸顶升横梁与顶升油缸之间的销轴；</w:t>
      </w:r>
    </w:p>
    <w:p>
      <w:pPr>
        <w:numPr>
          <w:ilvl w:val="0"/>
          <w:numId w:val="16"/>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回缩油缸，并使油缸自然下垂；</w:t>
      </w:r>
    </w:p>
    <w:p>
      <w:pPr>
        <w:numPr>
          <w:ilvl w:val="0"/>
          <w:numId w:val="16"/>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沿着塔身方向缓慢吊起爬升架，并平稳的放在地面上。</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1025525" cy="4681220"/>
            <wp:effectExtent l="0" t="0" r="10795" b="1270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0"/>
                    <a:stretch>
                      <a:fillRect/>
                    </a:stretch>
                  </pic:blipFill>
                  <pic:spPr>
                    <a:xfrm>
                      <a:off x="0" y="0"/>
                      <a:ext cx="1025525" cy="468122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3-1 拆除</w:t>
      </w:r>
      <w:r>
        <w:rPr>
          <w:rFonts w:ascii="Times New Roman" w:hAnsi="Times New Roman" w:eastAsia="宋体" w:cs="Times New Roman"/>
          <w:b/>
          <w:kern w:val="2"/>
          <w:sz w:val="21"/>
          <w:szCs w:val="21"/>
          <w:lang w:val="en-US" w:eastAsia="zh-CN" w:bidi="ar-SA"/>
        </w:rPr>
        <w:t>爬升架</w:t>
      </w:r>
    </w:p>
    <w:p>
      <w:pPr>
        <w:keepNext w:val="0"/>
        <w:widowControl w:val="0"/>
        <w:spacing w:line="360" w:lineRule="auto"/>
        <w:ind w:firstLine="0" w:firstLineChars="0"/>
        <w:jc w:val="center"/>
      </w:pPr>
      <w:r>
        <w:drawing>
          <wp:inline distT="0" distB="0" distL="114300" distR="114300">
            <wp:extent cx="5303520" cy="3307080"/>
            <wp:effectExtent l="0" t="0" r="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46"/>
                    <a:stretch>
                      <a:fillRect/>
                    </a:stretch>
                  </pic:blipFill>
                  <pic:spPr>
                    <a:xfrm>
                      <a:off x="0" y="0"/>
                      <a:ext cx="5303520" cy="330708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3-</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爬升架</w:t>
      </w:r>
      <w:r>
        <w:rPr>
          <w:rFonts w:hint="eastAsia" w:ascii="Times New Roman" w:hAnsi="Times New Roman" w:cs="Times New Roman"/>
          <w:b/>
          <w:kern w:val="2"/>
          <w:sz w:val="21"/>
          <w:szCs w:val="21"/>
          <w:lang w:val="en-US" w:eastAsia="zh-CN" w:bidi="ar-SA"/>
        </w:rPr>
        <w:t>平面图</w:t>
      </w:r>
    </w:p>
    <w:p>
      <w:pPr>
        <w:keepNext w:val="0"/>
        <w:widowControl w:val="0"/>
        <w:spacing w:line="360" w:lineRule="auto"/>
        <w:ind w:firstLine="0" w:firstLineChars="0"/>
        <w:jc w:val="center"/>
        <w:rPr>
          <w:rFonts w:hint="default" w:ascii="Times New Roman" w:hAnsi="Times New Roman" w:cs="Times New Roman"/>
          <w:b/>
          <w:kern w:val="2"/>
          <w:sz w:val="21"/>
          <w:szCs w:val="21"/>
          <w:lang w:val="en-US" w:eastAsia="zh-CN" w:bidi="ar-SA"/>
        </w:rPr>
      </w:pPr>
      <w:r>
        <w:drawing>
          <wp:inline distT="0" distB="0" distL="114300" distR="114300">
            <wp:extent cx="4282440" cy="4549140"/>
            <wp:effectExtent l="0" t="0" r="0" b="7620"/>
            <wp:docPr id="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
                    <pic:cNvPicPr>
                      <a:picLocks noChangeAspect="1"/>
                    </pic:cNvPicPr>
                  </pic:nvPicPr>
                  <pic:blipFill>
                    <a:blip r:embed="rId51"/>
                    <a:stretch>
                      <a:fillRect/>
                    </a:stretch>
                  </pic:blipFill>
                  <pic:spPr>
                    <a:xfrm>
                      <a:off x="0" y="0"/>
                      <a:ext cx="4282440" cy="454914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3-</w:t>
      </w:r>
      <w:r>
        <w:rPr>
          <w:rFonts w:hint="eastAsia" w:ascii="Times New Roman" w:hAnsi="Times New Roman" w:cs="Times New Roman"/>
          <w:b/>
          <w:kern w:val="2"/>
          <w:sz w:val="21"/>
          <w:szCs w:val="21"/>
          <w:lang w:val="en-US" w:eastAsia="zh-CN" w:bidi="ar-SA"/>
        </w:rPr>
        <w:t>3</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爬升架</w:t>
      </w:r>
      <w:r>
        <w:rPr>
          <w:rFonts w:hint="eastAsia" w:ascii="Times New Roman" w:hAnsi="Times New Roman" w:cs="Times New Roman"/>
          <w:b/>
          <w:kern w:val="2"/>
          <w:sz w:val="21"/>
          <w:szCs w:val="21"/>
          <w:lang w:val="en-US" w:eastAsia="zh-CN" w:bidi="ar-SA"/>
        </w:rPr>
        <w:t>立面图</w:t>
      </w:r>
    </w:p>
    <w:p>
      <w:pPr>
        <w:pStyle w:val="4"/>
        <w:bidi w:val="0"/>
        <w:rPr>
          <w:lang w:val="en-US" w:eastAsia="zh-CN"/>
        </w:rPr>
      </w:pPr>
      <w:r>
        <w:rPr>
          <w:rFonts w:hint="eastAsia"/>
          <w:lang w:val="en-US" w:eastAsia="zh-CN"/>
        </w:rPr>
        <w:t>拆除标准节</w:t>
      </w:r>
    </w:p>
    <w:p>
      <w:pPr>
        <w:spacing w:line="360" w:lineRule="auto"/>
        <w:ind w:firstLine="480"/>
        <w:rPr>
          <w:rFonts w:hint="eastAsia" w:ascii="Times New Roman" w:hAnsi="Times New Roman" w:eastAsia="宋体" w:cs="Times New Roman"/>
        </w:rPr>
      </w:pPr>
      <w:r>
        <w:rPr>
          <w:rFonts w:hint="eastAsia" w:ascii="Times New Roman" w:hAnsi="Times New Roman" w:eastAsia="宋体" w:cs="Times New Roman"/>
        </w:rPr>
        <w:t>参照安装方法拆除标准节。</w:t>
      </w:r>
    </w:p>
    <w:p>
      <w:pPr>
        <w:spacing w:line="360" w:lineRule="auto"/>
        <w:ind w:firstLine="480"/>
        <w:rPr>
          <w:rFonts w:hint="eastAsia" w:ascii="Times New Roman" w:hAnsi="Times New Roman" w:eastAsia="宋体" w:cs="Times New Roman"/>
        </w:rPr>
      </w:pPr>
      <w:r>
        <w:drawing>
          <wp:inline distT="0" distB="0" distL="114300" distR="114300">
            <wp:extent cx="5303520" cy="3307080"/>
            <wp:effectExtent l="0" t="0" r="0" b="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46"/>
                    <a:stretch>
                      <a:fillRect/>
                    </a:stretch>
                  </pic:blipFill>
                  <pic:spPr>
                    <a:xfrm>
                      <a:off x="0" y="0"/>
                      <a:ext cx="5303520" cy="330708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1</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标准节平面图</w:t>
      </w:r>
    </w:p>
    <w:p>
      <w:pPr>
        <w:keepNext w:val="0"/>
        <w:widowControl w:val="0"/>
        <w:spacing w:line="360" w:lineRule="auto"/>
        <w:ind w:firstLine="0" w:firstLineChars="0"/>
        <w:jc w:val="center"/>
        <w:rPr>
          <w:rFonts w:hint="eastAsia" w:ascii="Times New Roman" w:hAnsi="Times New Roman" w:cs="Times New Roman"/>
          <w:b/>
          <w:kern w:val="2"/>
          <w:sz w:val="21"/>
          <w:szCs w:val="21"/>
          <w:lang w:val="en-US" w:eastAsia="zh-CN" w:bidi="ar-SA"/>
        </w:rPr>
      </w:pPr>
      <w:r>
        <w:drawing>
          <wp:inline distT="0" distB="0" distL="114300" distR="114300">
            <wp:extent cx="3855720" cy="4488180"/>
            <wp:effectExtent l="0" t="0" r="0" b="7620"/>
            <wp:docPr id="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8"/>
                    <pic:cNvPicPr>
                      <a:picLocks noChangeAspect="1"/>
                    </pic:cNvPicPr>
                  </pic:nvPicPr>
                  <pic:blipFill>
                    <a:blip r:embed="rId52"/>
                    <a:stretch>
                      <a:fillRect/>
                    </a:stretch>
                  </pic:blipFill>
                  <pic:spPr>
                    <a:xfrm>
                      <a:off x="0" y="0"/>
                      <a:ext cx="3855720" cy="4488180"/>
                    </a:xfrm>
                    <a:prstGeom prst="rect">
                      <a:avLst/>
                    </a:prstGeom>
                    <a:noFill/>
                    <a:ln>
                      <a:noFill/>
                    </a:ln>
                  </pic:spPr>
                </pic:pic>
              </a:graphicData>
            </a:graphic>
          </wp:inline>
        </w:drawing>
      </w:r>
    </w:p>
    <w:p>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w:t>
      </w:r>
      <w:r>
        <w:rPr>
          <w:rFonts w:hint="eastAsia" w:ascii="Times New Roman" w:hAnsi="Times New Roman" w:cs="Times New Roman"/>
          <w:b/>
          <w:kern w:val="2"/>
          <w:sz w:val="21"/>
          <w:szCs w:val="21"/>
          <w:lang w:val="en-US" w:eastAsia="zh-CN" w:bidi="ar-SA"/>
        </w:rPr>
        <w:t>2</w:t>
      </w:r>
      <w:r>
        <w:rPr>
          <w:rFonts w:hint="eastAsia" w:ascii="Times New Roman" w:hAnsi="Times New Roman" w:eastAsia="宋体" w:cs="Times New Roman"/>
          <w:b/>
          <w:kern w:val="2"/>
          <w:sz w:val="21"/>
          <w:szCs w:val="21"/>
          <w:lang w:val="en-US" w:eastAsia="zh-CN" w:bidi="ar-SA"/>
        </w:rPr>
        <w:t>拆除</w:t>
      </w:r>
      <w:r>
        <w:rPr>
          <w:rFonts w:hint="eastAsia" w:ascii="Times New Roman" w:hAnsi="Times New Roman" w:cs="Times New Roman"/>
          <w:b/>
          <w:kern w:val="2"/>
          <w:sz w:val="21"/>
          <w:szCs w:val="21"/>
          <w:lang w:val="en-US" w:eastAsia="zh-CN" w:bidi="ar-SA"/>
        </w:rPr>
        <w:t>标准节立面图</w:t>
      </w:r>
    </w:p>
    <w:p>
      <w:pPr>
        <w:pStyle w:val="4"/>
        <w:bidi w:val="0"/>
        <w:rPr>
          <w:lang w:val="en-US" w:eastAsia="zh-CN"/>
        </w:rPr>
      </w:pPr>
      <w:r>
        <w:rPr>
          <w:rFonts w:hint="eastAsia"/>
          <w:lang w:val="en-US" w:eastAsia="zh-CN"/>
        </w:rPr>
        <w:t>拆除基础节及加强节</w:t>
      </w:r>
    </w:p>
    <w:p>
      <w:pPr>
        <w:spacing w:line="360" w:lineRule="auto"/>
        <w:ind w:firstLine="480"/>
        <w:rPr>
          <w:rFonts w:ascii="Times New Roman" w:hAnsi="Times New Roman" w:eastAsia="宋体" w:cs="Times New Roman"/>
        </w:rPr>
      </w:pPr>
      <w:r>
        <w:rPr>
          <w:rFonts w:ascii="Times New Roman" w:hAnsi="Times New Roman" w:eastAsia="宋体" w:cs="Times New Roman"/>
        </w:rPr>
        <w:t>参照安装方法拆除</w:t>
      </w:r>
      <w:r>
        <w:rPr>
          <w:rFonts w:hint="eastAsia" w:ascii="Times New Roman" w:hAnsi="Times New Roman" w:eastAsia="宋体" w:cs="Times New Roman"/>
        </w:rPr>
        <w:t>基础节及加强节</w:t>
      </w:r>
      <w:r>
        <w:rPr>
          <w:rFonts w:ascii="Times New Roman" w:hAnsi="Times New Roman" w:eastAsia="宋体" w:cs="Times New Roman"/>
        </w:rPr>
        <w:t>。</w:t>
      </w:r>
    </w:p>
    <w:p>
      <w:pPr>
        <w:pStyle w:val="4"/>
        <w:bidi w:val="0"/>
        <w:rPr>
          <w:lang w:val="en-US" w:eastAsia="zh-CN"/>
        </w:rPr>
      </w:pPr>
      <w:r>
        <w:rPr>
          <w:rFonts w:hint="eastAsia"/>
          <w:lang w:val="en-US" w:eastAsia="zh-CN"/>
        </w:rPr>
        <w:t>解体装车退场</w:t>
      </w:r>
    </w:p>
    <w:p>
      <w:pPr>
        <w:spacing w:line="360" w:lineRule="auto"/>
        <w:ind w:firstLine="48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REF 设备类型 \h  \* MERGEFORMAT </w:instrText>
      </w:r>
      <w:r>
        <w:rPr>
          <w:rFonts w:ascii="Times New Roman" w:hAnsi="Times New Roman" w:eastAsia="宋体" w:cs="Times New Roman"/>
        </w:rPr>
        <w:fldChar w:fldCharType="separate"/>
      </w:r>
      <w:r>
        <w:rPr>
          <w:rFonts w:hint="eastAsia" w:ascii="Times New Roman" w:hAnsi="Times New Roman" w:eastAsia="宋体" w:cs="Times New Roman"/>
        </w:rPr>
        <w:t>塔式起重机</w:t>
      </w:r>
      <w:r>
        <w:rPr>
          <w:rFonts w:ascii="Times New Roman" w:hAnsi="Times New Roman" w:eastAsia="宋体" w:cs="Times New Roman"/>
        </w:rPr>
        <w:fldChar w:fldCharType="end"/>
      </w:r>
      <w:r>
        <w:rPr>
          <w:rFonts w:hint="eastAsia" w:ascii="Times New Roman" w:hAnsi="Times New Roman" w:eastAsia="宋体" w:cs="Times New Roman"/>
        </w:rPr>
        <w:t>拆除解体后由工程技术人员和专业维修人员进行检查，对主要受力的结构件应检查金属疲劳，焊缝裂纹，结构变形等情况，检查塔机各零部件是否有损坏或碰伤等，检查完毕后，对缺陷、隐患进行修复后，再进行防锈、刷漆处理。选用13.5m长平板车进行运输。运输其它部件根据数量、尺寸和重量合理选择运输车辆。应有专人负责装、运、卸设备部件，摆放部件应合理，所有部件的运输车辆，运输时须用12mm钢丝绳和紧绳器固定好。</w:t>
      </w:r>
    </w:p>
    <w:p>
      <w:pPr>
        <w:numPr>
          <w:ilvl w:val="0"/>
          <w:numId w:val="17"/>
        </w:numPr>
        <w:spacing w:line="360" w:lineRule="auto"/>
        <w:rPr>
          <w:rFonts w:ascii="Times New Roman" w:hAnsi="Times New Roman" w:eastAsia="宋体" w:cs="Times New Roman"/>
        </w:rPr>
      </w:pPr>
      <w:r>
        <w:rPr>
          <w:rFonts w:hint="eastAsia" w:ascii="Times New Roman" w:hAnsi="Times New Roman" w:eastAsia="宋体" w:cs="Times New Roman"/>
        </w:rPr>
        <w:t>把起重臂和平衡臂拆下后，在地面使用</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起重设备1型号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ascii="Times New Roman" w:hAnsi="Times New Roman" w:eastAsia="宋体" w:cs="Times New Roman"/>
        </w:rPr>
        <w:t>100</w:t>
      </w:r>
      <w:r>
        <w:rPr>
          <w:rFonts w:hint="eastAsia" w:ascii="Times New Roman" w:hAnsi="Times New Roman" w:eastAsia="宋体" w:cs="Times New Roman"/>
        </w:rPr>
        <w:t>t</w:t>
      </w:r>
      <w:r>
        <w:rPr>
          <w:rFonts w:ascii="Times New Roman" w:hAnsi="Times New Roman" w:eastAsia="宋体" w:cs="Times New Roman"/>
        </w:rPr>
        <w:fldChar w:fldCharType="end"/>
      </w:r>
      <w:r>
        <w:rPr>
          <w:rFonts w:ascii="Times New Roman" w:hAnsi="Times New Roman" w:eastAsia="宋体" w:cs="Times New Roman"/>
        </w:rPr>
        <w:fldChar w:fldCharType="begin"/>
      </w:r>
      <w:r>
        <w:rPr>
          <w:rFonts w:ascii="Times New Roman" w:hAnsi="Times New Roman" w:eastAsia="宋体" w:cs="Times New Roman"/>
        </w:rPr>
        <w:instrText xml:space="preserve"> REF 起重设备1类型 \h </w:instrText>
      </w:r>
      <w:r>
        <w:rPr>
          <w:rFonts w:ascii="Times New Roman" w:hAnsi="Times New Roman" w:eastAsia="宋体" w:cs="Times New Roman"/>
        </w:rPr>
        <w:fldChar w:fldCharType="separate"/>
      </w:r>
      <w:r>
        <w:rPr>
          <w:rFonts w:hint="eastAsia" w:ascii="Times New Roman" w:hAnsi="Times New Roman" w:eastAsia="宋体" w:cs="Times New Roman"/>
        </w:rPr>
        <w:t>汽车式起重机</w:t>
      </w:r>
      <w:r>
        <w:rPr>
          <w:rFonts w:ascii="Times New Roman" w:hAnsi="Times New Roman" w:eastAsia="宋体" w:cs="Times New Roman"/>
        </w:rPr>
        <w:fldChar w:fldCharType="end"/>
      </w:r>
      <w:r>
        <w:rPr>
          <w:rFonts w:hint="eastAsia" w:ascii="Times New Roman" w:hAnsi="Times New Roman" w:eastAsia="宋体" w:cs="Times New Roman"/>
        </w:rPr>
        <w:t>配合对其进行解体装车；</w:t>
      </w:r>
    </w:p>
    <w:p>
      <w:pPr>
        <w:numPr>
          <w:ilvl w:val="0"/>
          <w:numId w:val="17"/>
        </w:numPr>
        <w:spacing w:line="360" w:lineRule="auto"/>
        <w:rPr>
          <w:rFonts w:ascii="Times New Roman" w:hAnsi="Times New Roman" w:eastAsia="宋体" w:cs="Times New Roman"/>
        </w:rPr>
      </w:pPr>
      <w:r>
        <w:rPr>
          <w:rFonts w:hint="eastAsia" w:ascii="Times New Roman" w:hAnsi="Times New Roman" w:eastAsia="宋体" w:cs="Times New Roman"/>
        </w:rPr>
        <w:t>在拆除中注意拆下的螺栓按规格进行存放，防止损坏和丢失；</w:t>
      </w:r>
    </w:p>
    <w:p>
      <w:pPr>
        <w:numPr>
          <w:ilvl w:val="0"/>
          <w:numId w:val="17"/>
        </w:numPr>
        <w:spacing w:line="360" w:lineRule="auto"/>
        <w:rPr>
          <w:rFonts w:ascii="Times New Roman" w:hAnsi="Times New Roman" w:eastAsia="宋体" w:cs="Times New Roman"/>
        </w:rPr>
      </w:pPr>
      <w:r>
        <w:rPr>
          <w:rFonts w:hint="eastAsia" w:ascii="Times New Roman" w:hAnsi="Times New Roman" w:eastAsia="宋体" w:cs="Times New Roman"/>
        </w:rPr>
        <w:t>各种电器元件、电缆全部装箱储运，防止损坏和丢失。电气柜和控制室内的电气连接不得随意拆除和更改，装车运输时装稳刹牢防止溜滑；</w:t>
      </w:r>
    </w:p>
    <w:p>
      <w:pPr>
        <w:numPr>
          <w:ilvl w:val="0"/>
          <w:numId w:val="17"/>
        </w:numPr>
        <w:spacing w:line="360" w:lineRule="auto"/>
        <w:rPr>
          <w:rFonts w:ascii="Times New Roman" w:hAnsi="Times New Roman" w:eastAsia="宋体" w:cs="Times New Roman"/>
        </w:rPr>
      </w:pPr>
      <w:r>
        <w:rPr>
          <w:rFonts w:hint="eastAsia" w:ascii="Times New Roman" w:hAnsi="Times New Roman" w:eastAsia="宋体" w:cs="Times New Roman"/>
        </w:rPr>
        <w:t>各部件装车运输时应合理配车，做到大不压小、精密易损件重点保护。</w:t>
      </w:r>
    </w:p>
    <w:p>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cs="宋体"/>
          <w:sz w:val="24"/>
          <w:szCs w:val="24"/>
          <w:lang w:val="en-US" w:eastAsia="zh-CN"/>
        </w:rPr>
        <w:t>拆卸</w:t>
      </w:r>
      <w:r>
        <w:rPr>
          <w:rFonts w:hint="eastAsia" w:ascii="宋体" w:hAnsi="宋体" w:eastAsia="宋体" w:cs="宋体"/>
          <w:sz w:val="24"/>
          <w:szCs w:val="24"/>
        </w:rPr>
        <w:t>注意事项</w:t>
      </w:r>
    </w:p>
    <w:p>
      <w:pPr>
        <w:pStyle w:val="5"/>
        <w:bidi w:val="0"/>
        <w:rPr>
          <w:rFonts w:hint="eastAsia" w:ascii="宋体" w:hAnsi="宋体" w:eastAsia="宋体" w:cs="宋体"/>
        </w:rPr>
      </w:pPr>
      <w:r>
        <w:rPr>
          <w:rFonts w:hint="eastAsia" w:ascii="宋体" w:hAnsi="宋体" w:eastAsia="宋体" w:cs="宋体"/>
        </w:rPr>
        <w:t>螺栓连接件</w:t>
      </w:r>
      <w:r>
        <w:rPr>
          <w:rFonts w:hint="eastAsia" w:cs="宋体"/>
          <w:lang w:val="en-US" w:eastAsia="zh-CN"/>
        </w:rPr>
        <w:t>拆卸</w:t>
      </w:r>
      <w:r>
        <w:rPr>
          <w:rFonts w:hint="eastAsia" w:ascii="宋体" w:hAnsi="宋体" w:eastAsia="宋体" w:cs="宋体"/>
        </w:rPr>
        <w:t>注意事项</w:t>
      </w:r>
    </w:p>
    <w:p>
      <w:pPr>
        <w:pStyle w:val="6"/>
        <w:bidi w:val="0"/>
        <w:rPr>
          <w:rFonts w:hint="eastAsia"/>
        </w:rPr>
      </w:pPr>
      <w:r>
        <w:rPr>
          <w:rFonts w:hint="eastAsia"/>
        </w:rPr>
        <w:t>非扭力扳手拧紧的螺栓连接件</w:t>
      </w:r>
    </w:p>
    <w:p>
      <w:pPr>
        <w:bidi w:val="0"/>
        <w:rPr>
          <w:rFonts w:hint="eastAsia"/>
        </w:rPr>
      </w:pPr>
      <w:r>
        <w:rPr>
          <w:rFonts w:hint="eastAsia"/>
        </w:rPr>
        <w:t>这类螺栓连接件是指扳手于动拧紧的。在塔机的运行过程中，这类螺栓连接件的松动，将会引起塔机的损坏或导致事故的发生。因此对它们应定期检查，以确保紧固而不至于松动。</w:t>
      </w:r>
    </w:p>
    <w:p>
      <w:pPr>
        <w:pStyle w:val="6"/>
        <w:bidi w:val="0"/>
        <w:rPr>
          <w:rFonts w:hint="eastAsia"/>
        </w:rPr>
      </w:pPr>
      <w:r>
        <w:rPr>
          <w:rFonts w:hint="eastAsia"/>
        </w:rPr>
        <w:t>扭力扳下拧紧的高强度螺栓连接件</w:t>
      </w:r>
    </w:p>
    <w:p>
      <w:pPr>
        <w:bidi w:val="0"/>
        <w:rPr>
          <w:rFonts w:hint="eastAsia"/>
        </w:rPr>
      </w:pPr>
      <w:r>
        <w:rPr>
          <w:rFonts w:hint="eastAsia"/>
        </w:rPr>
        <w:t>这类高强度螺栓连接件包括螺栓、螺母、垫圈都是用高强度材料制造的，且按相同的等级配套。因此这类高强度螺栓连接件，在连接紧固时，应达到规定的拧紧力矩。用户应配备符合拧紧力矩的扭力扳手。</w:t>
      </w:r>
    </w:p>
    <w:p>
      <w:pPr>
        <w:pStyle w:val="6"/>
        <w:bidi w:val="0"/>
        <w:rPr>
          <w:rFonts w:hint="eastAsia" w:ascii="宋体" w:hAnsi="宋体" w:eastAsia="宋体" w:cs="宋体"/>
          <w:sz w:val="24"/>
          <w:szCs w:val="24"/>
        </w:rPr>
      </w:pPr>
      <w:r>
        <w:rPr>
          <w:rFonts w:hint="eastAsia"/>
        </w:rPr>
        <w:t>高强度螺栓连接件在塔机的使用位置</w:t>
      </w:r>
      <w:r>
        <w:rPr>
          <w:rFonts w:hint="eastAsia"/>
          <w:lang w:eastAsia="zh-CN"/>
        </w:rPr>
        <w:t>：</w:t>
      </w:r>
      <w:r>
        <w:rPr>
          <w:rFonts w:hint="eastAsia" w:ascii="宋体" w:hAnsi="宋体" w:eastAsia="宋体" w:cs="宋体"/>
          <w:spacing w:val="-4"/>
          <w:sz w:val="24"/>
          <w:szCs w:val="24"/>
        </w:rPr>
        <w:t>回转支承；</w:t>
      </w:r>
      <w:r>
        <w:rPr>
          <w:rFonts w:hint="eastAsia" w:ascii="宋体" w:hAnsi="宋体" w:eastAsia="宋体" w:cs="宋体"/>
          <w:spacing w:val="-1"/>
          <w:sz w:val="24"/>
          <w:szCs w:val="24"/>
        </w:rPr>
        <w:t>起升机构、回转机构、变幅机构等驱动机构上。</w:t>
      </w:r>
    </w:p>
    <w:p>
      <w:pPr>
        <w:pStyle w:val="6"/>
        <w:bidi w:val="0"/>
        <w:rPr>
          <w:rFonts w:hint="eastAsia"/>
        </w:rPr>
      </w:pPr>
      <w:r>
        <w:rPr>
          <w:rFonts w:hint="eastAsia"/>
        </w:rPr>
        <w:t>螺栓连接件的标识</w:t>
      </w:r>
    </w:p>
    <w:p>
      <w:pPr>
        <w:bidi w:val="0"/>
        <w:rPr>
          <w:rFonts w:hint="eastAsia"/>
        </w:rPr>
      </w:pPr>
      <w:r>
        <w:rPr>
          <w:rFonts w:hint="eastAsia"/>
        </w:rPr>
        <w:t>塔机上所用的螺栓连接件(包括普通螺栓连接件和高强度螺栓连接件)，其材质和识别是按国际/国家标准的规定分类标识的。</w:t>
      </w:r>
    </w:p>
    <w:p>
      <w:pPr>
        <w:bidi w:val="0"/>
        <w:rPr>
          <w:rFonts w:hint="eastAsia"/>
        </w:rPr>
      </w:pPr>
      <w:r>
        <w:rPr>
          <w:rFonts w:hint="eastAsia"/>
        </w:rPr>
        <w:t>螺栓：按国际标准(ISO898)的规定：螺栓的性能等级标识(如：8.8、10.9、12.9等)，必须打印螺栓的六角端面。螺栓必须标上制造厂商的原始标志，这类原始标志的标识在六角端面靠性能等级标识的部位。</w:t>
      </w:r>
    </w:p>
    <w:p>
      <w:pPr>
        <w:bidi w:val="0"/>
        <w:rPr>
          <w:rFonts w:hint="eastAsia"/>
        </w:rPr>
      </w:pPr>
      <w:r>
        <w:rPr>
          <w:rFonts w:hint="eastAsia"/>
        </w:rPr>
        <w:t>螺母：按国际标准(ISO898)中的第2部分规定：螺母的性能等级标识(如：8、10、12等)，必须打印螺母的六角侧面。对于高强螺栓里连接件的螺母也必须有螺母制造商的原始标志，此原始标志的标识在六角侧面靠性能等级标识的部位。当进行螺母配套选择时，应确保其强度、性能等级与螺栓同等级别。</w:t>
      </w:r>
    </w:p>
    <w:p>
      <w:pPr>
        <w:bidi w:val="0"/>
        <w:rPr>
          <w:rFonts w:hint="eastAsia"/>
        </w:rPr>
      </w:pPr>
      <w:r>
        <w:rPr>
          <w:rFonts w:hint="eastAsia"/>
        </w:rPr>
        <w:t>垫圈：高强度螺栓连接件配套生产。</w:t>
      </w:r>
    </w:p>
    <w:p>
      <w:pPr>
        <w:bidi w:val="0"/>
        <w:rPr>
          <w:rFonts w:hint="eastAsia"/>
        </w:rPr>
      </w:pPr>
      <w:r>
        <w:rPr>
          <w:rFonts w:hint="eastAsia"/>
        </w:rPr>
        <w:t>只有用高强度材料制造的垫圈才可以用于高强度螺栓连接件上。该材料生产的垫圈必须符合“螺栓、螺母"条文中列出的材料。制造商建议仅使用本公司配套使用的生产厂家的垫圈。对于用户使用其他厂商生产的垫圈，应确保其性能等级与配套的螺栓螺母的性能等级同等级别。使用的垫圈必须是一面倒角，因此，倒角必须朝向螺栓头部。</w:t>
      </w:r>
    </w:p>
    <w:p>
      <w:pPr>
        <w:bidi w:val="0"/>
        <w:rPr>
          <w:rFonts w:hint="eastAsia"/>
        </w:rPr>
      </w:pPr>
      <w:r>
        <w:rPr>
          <w:rFonts w:hint="eastAsia"/>
        </w:rPr>
        <w:t>注意：对于有些高强度螺栓连接件，因结构原因需要定距套，请向制造商联系咨询提供货源，同时按厂家说明书的规定进行安装。</w:t>
      </w:r>
    </w:p>
    <w:p>
      <w:pPr>
        <w:keepNext w:val="0"/>
        <w:pageBreakBefore w:val="0"/>
        <w:widowControl w:val="0"/>
        <w:numPr>
          <w:ilvl w:val="0"/>
          <w:numId w:val="0"/>
        </w:numPr>
        <w:kinsoku/>
        <w:wordWrap/>
        <w:overflowPunct/>
        <w:topLinePunct w:val="0"/>
        <w:autoSpaceDE/>
        <w:autoSpaceDN/>
        <w:bidi w:val="0"/>
        <w:adjustRightInd/>
        <w:snapToGrid/>
        <w:spacing w:line="480" w:lineRule="atLeast"/>
        <w:ind w:firstLine="480" w:firstLineChars="200"/>
        <w:jc w:val="left"/>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螺栓连接件的检查</w:t>
      </w:r>
      <w:r>
        <w:rPr>
          <w:rFonts w:hint="eastAsia" w:cs="宋体"/>
          <w:bCs/>
          <w:color w:val="000000" w:themeColor="text1"/>
          <w:sz w:val="24"/>
          <w:szCs w:val="24"/>
          <w:lang w:eastAsia="zh-CN"/>
          <w14:textFill>
            <w14:solidFill>
              <w14:schemeClr w14:val="tx1"/>
            </w14:solidFill>
          </w14:textFill>
        </w:rPr>
        <w:t>：</w:t>
      </w:r>
    </w:p>
    <w:p>
      <w:pPr>
        <w:bidi w:val="0"/>
        <w:rPr>
          <w:rFonts w:hint="eastAsia"/>
        </w:rPr>
      </w:pPr>
      <w:r>
        <w:rPr>
          <w:rFonts w:hint="eastAsia"/>
        </w:rPr>
        <w:t>所有螺栓连接件在安装前应清理和目测检查(目测检查包括螺栓、螺母的螺纹；螺栓头部的支撑面等。损坏或损坏标志的螺栓螺母、腐蚀的螺栓及锈蚀的螺母都不得使用。</w:t>
      </w:r>
    </w:p>
    <w:p>
      <w:pPr>
        <w:keepNext w:val="0"/>
        <w:pageBreakBefore w:val="0"/>
        <w:widowControl w:val="0"/>
        <w:numPr>
          <w:ilvl w:val="0"/>
          <w:numId w:val="0"/>
        </w:numPr>
        <w:kinsoku/>
        <w:wordWrap/>
        <w:overflowPunct/>
        <w:topLinePunct w:val="0"/>
        <w:autoSpaceDE/>
        <w:autoSpaceDN/>
        <w:bidi w:val="0"/>
        <w:adjustRightInd/>
        <w:snapToGrid/>
        <w:spacing w:line="480" w:lineRule="atLeast"/>
        <w:ind w:firstLine="480" w:firstLineChars="200"/>
        <w:jc w:val="left"/>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螺栓连接件的润滑</w:t>
      </w:r>
      <w:r>
        <w:rPr>
          <w:rFonts w:hint="eastAsia" w:cs="宋体"/>
          <w:bCs/>
          <w:color w:val="000000" w:themeColor="text1"/>
          <w:sz w:val="24"/>
          <w:szCs w:val="24"/>
          <w:lang w:eastAsia="zh-CN"/>
          <w14:textFill>
            <w14:solidFill>
              <w14:schemeClr w14:val="tx1"/>
            </w14:solidFill>
          </w14:textFill>
        </w:rPr>
        <w:t>：</w:t>
      </w:r>
    </w:p>
    <w:p>
      <w:pPr>
        <w:bidi w:val="0"/>
        <w:rPr>
          <w:rFonts w:hint="eastAsia"/>
        </w:rPr>
      </w:pPr>
      <w:r>
        <w:rPr>
          <w:rFonts w:hint="eastAsia"/>
        </w:rPr>
        <w:t>所有的螺栓连接件的螺栓、螺母和垫圈在安装前，应用二硫化钼基润滑脂润滑，以提供最小的拧紧摩擦阻力，使之确保螺栓连接的预紧力。螺栓、螺母和垫圈的支撑面用二硫化钼基润滑脂润滑。注意：对于用预紧的扭力施加在螺栓上，必须用二硫化钼基润滑脂润滑。</w:t>
      </w:r>
    </w:p>
    <w:p>
      <w:pPr>
        <w:keepNext w:val="0"/>
        <w:pageBreakBefore w:val="0"/>
        <w:widowControl w:val="0"/>
        <w:numPr>
          <w:ilvl w:val="0"/>
          <w:numId w:val="0"/>
        </w:numPr>
        <w:kinsoku/>
        <w:wordWrap/>
        <w:overflowPunct/>
        <w:topLinePunct w:val="0"/>
        <w:autoSpaceDE/>
        <w:autoSpaceDN/>
        <w:bidi w:val="0"/>
        <w:adjustRightInd/>
        <w:snapToGrid/>
        <w:spacing w:line="480" w:lineRule="atLeast"/>
        <w:ind w:firstLine="480" w:firstLineChars="200"/>
        <w:jc w:val="left"/>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螺栓连接件的预紧力</w:t>
      </w:r>
      <w:r>
        <w:rPr>
          <w:rFonts w:hint="eastAsia" w:cs="宋体"/>
          <w:bCs/>
          <w:color w:val="000000" w:themeColor="text1"/>
          <w:sz w:val="24"/>
          <w:szCs w:val="24"/>
          <w:lang w:eastAsia="zh-CN"/>
          <w14:textFill>
            <w14:solidFill>
              <w14:schemeClr w14:val="tx1"/>
            </w14:solidFill>
          </w14:textFill>
        </w:rPr>
        <w:t>：</w:t>
      </w:r>
    </w:p>
    <w:p>
      <w:pPr>
        <w:bidi w:val="0"/>
        <w:rPr>
          <w:rFonts w:hint="eastAsia"/>
        </w:rPr>
      </w:pPr>
      <w:r>
        <w:rPr>
          <w:rFonts w:hint="eastAsia"/>
        </w:rPr>
        <w:t>螺栓连接件的预紧力是非常重要的，只有用正确的预紧力拧紧的部件，才能确保塔机正常安全地工作。同时螺栓的使用寿命取决于施加的正确扭矩和所能承受规定的预紧力，预紧力过高、过低都将导致螺栓连接件过早失效。</w:t>
      </w:r>
    </w:p>
    <w:p>
      <w:pPr>
        <w:bidi w:val="0"/>
        <w:rPr>
          <w:rFonts w:hint="eastAsia"/>
        </w:rPr>
      </w:pPr>
      <w:r>
        <w:rPr>
          <w:rFonts w:hint="eastAsia"/>
        </w:rPr>
        <w:t>预紧力：为了达到螺栓连接件规定的预紧力，螺栓的扭力表见厂家说明书。在进行螺栓连接件安装工作时，应根据所安装的不同规格螺栓连接件，使用扭力扳手施加不同的扭力矩予以紧固。注：此力表的质量等级是按IS0 898第1部分和第2部分为依据。未经润滑的螺栓在任何情况下都不能用在高强度预紧螺栓连接件上。</w:t>
      </w:r>
    </w:p>
    <w:p>
      <w:pPr>
        <w:bidi w:val="0"/>
        <w:rPr>
          <w:rFonts w:hint="eastAsia"/>
          <w:lang w:val="en-US" w:eastAsia="zh-CN"/>
        </w:rPr>
      </w:pPr>
      <w:r>
        <w:rPr>
          <w:rFonts w:hint="eastAsia"/>
        </w:rPr>
        <w:t>扭力扳手：此类扳手应具有设定扭力的大小和紧固方向的功能。扭力扳手只能施加规定的力矩，如需更大的扭矩，可使用动力驱动的倍增器(最大扭力可达到9500N.m)，也可使用液压扭力扳手。当使用液压扭力扳手时，压力计应显示液压系统的压力，对照压力计的压力施加规定的扭力矩(压力计和扭力矩的关系式可查阅相关的表式)。在使用各种扭力扳手前，应进行检查与调整。拧紧扭力矩的误差必须控制在±10％以内</w:t>
      </w:r>
      <w:r>
        <w:rPr>
          <w:rFonts w:hint="eastAsia"/>
          <w:lang w:eastAsia="zh-CN"/>
        </w:rPr>
        <w:t>。</w:t>
      </w:r>
    </w:p>
    <w:p>
      <w:pPr>
        <w:pStyle w:val="5"/>
        <w:bidi w:val="0"/>
        <w:rPr>
          <w:rFonts w:hint="eastAsia" w:ascii="宋体" w:hAnsi="宋体" w:eastAsia="宋体" w:cs="宋体"/>
        </w:rPr>
      </w:pPr>
      <w:r>
        <w:rPr>
          <w:rFonts w:hint="eastAsia" w:ascii="宋体" w:hAnsi="宋体" w:eastAsia="宋体" w:cs="宋体"/>
        </w:rPr>
        <w:t>螺栓连接件的检查</w:t>
      </w:r>
    </w:p>
    <w:p>
      <w:pPr>
        <w:keepNext w:val="0"/>
        <w:pageBreakBefore w:val="0"/>
        <w:widowControl w:val="0"/>
        <w:kinsoku/>
        <w:wordWrap/>
        <w:overflowPunct/>
        <w:topLinePunct w:val="0"/>
        <w:autoSpaceDE/>
        <w:autoSpaceDN/>
        <w:bidi w:val="0"/>
        <w:adjustRightInd/>
        <w:snapToGrid/>
        <w:spacing w:line="480" w:lineRule="atLeast"/>
        <w:ind w:firstLine="478"/>
        <w:textAlignment w:val="auto"/>
        <w:rPr>
          <w:rFonts w:hint="eastAsia" w:ascii="宋体" w:hAnsi="宋体" w:eastAsia="宋体" w:cs="宋体"/>
          <w:spacing w:val="-1"/>
          <w:sz w:val="24"/>
          <w:szCs w:val="24"/>
        </w:rPr>
      </w:pPr>
      <w:r>
        <w:rPr>
          <w:rFonts w:hint="eastAsia" w:ascii="宋体" w:hAnsi="宋体" w:eastAsia="宋体" w:cs="宋体"/>
          <w:spacing w:val="-1"/>
          <w:sz w:val="24"/>
          <w:szCs w:val="24"/>
        </w:rPr>
        <w:t>任何螺栓连接件都会松动。对于高强度预紧螺栓连接件的连接松动，</w:t>
      </w:r>
      <w:r>
        <w:rPr>
          <w:rFonts w:hint="eastAsia" w:ascii="宋体" w:hAnsi="宋体" w:eastAsia="宋体" w:cs="宋体"/>
          <w:sz w:val="24"/>
          <w:szCs w:val="24"/>
        </w:rPr>
        <w:t>会导致预</w:t>
      </w:r>
      <w:r>
        <w:rPr>
          <w:rFonts w:hint="eastAsia" w:ascii="宋体" w:hAnsi="宋体" w:eastAsia="宋体" w:cs="宋体"/>
          <w:spacing w:val="-4"/>
          <w:sz w:val="24"/>
          <w:szCs w:val="24"/>
        </w:rPr>
        <w:t>紧</w:t>
      </w:r>
      <w:r>
        <w:rPr>
          <w:rFonts w:hint="eastAsia" w:ascii="宋体" w:hAnsi="宋体" w:eastAsia="宋体" w:cs="宋体"/>
          <w:spacing w:val="-3"/>
          <w:sz w:val="24"/>
          <w:szCs w:val="24"/>
        </w:rPr>
        <w:t>力完全或部分丧失，从而导致螺栓材料过早疲劳，并有疲劳断裂的危险。另</w:t>
      </w:r>
      <w:r>
        <w:rPr>
          <w:rFonts w:hint="eastAsia" w:ascii="宋体" w:hAnsi="宋体" w:eastAsia="宋体" w:cs="宋体"/>
          <w:spacing w:val="-4"/>
          <w:sz w:val="24"/>
          <w:szCs w:val="24"/>
        </w:rPr>
        <w:t>外接点不协</w:t>
      </w:r>
      <w:r>
        <w:rPr>
          <w:rFonts w:hint="eastAsia" w:ascii="宋体" w:hAnsi="宋体" w:eastAsia="宋体" w:cs="宋体"/>
          <w:spacing w:val="-3"/>
          <w:sz w:val="24"/>
          <w:szCs w:val="24"/>
        </w:rPr>
        <w:t>调</w:t>
      </w:r>
      <w:r>
        <w:rPr>
          <w:rFonts w:hint="eastAsia" w:ascii="宋体" w:hAnsi="宋体" w:eastAsia="宋体" w:cs="宋体"/>
          <w:spacing w:val="-2"/>
          <w:sz w:val="24"/>
          <w:szCs w:val="24"/>
        </w:rPr>
        <w:t>，连接也会引起松动。</w:t>
      </w:r>
      <w:r>
        <w:rPr>
          <w:rFonts w:hint="eastAsia" w:ascii="宋体" w:hAnsi="宋体" w:eastAsia="宋体" w:cs="宋体"/>
          <w:spacing w:val="-1"/>
          <w:sz w:val="24"/>
          <w:szCs w:val="24"/>
        </w:rPr>
        <w:t>安</w:t>
      </w:r>
      <w:r>
        <w:rPr>
          <w:rFonts w:hint="eastAsia" w:ascii="宋体" w:hAnsi="宋体" w:eastAsia="宋体" w:cs="宋体"/>
          <w:sz w:val="24"/>
          <w:szCs w:val="24"/>
        </w:rPr>
        <w:t>装完毕螺栓连接件的初次检查和重复检查</w:t>
      </w:r>
      <w:r>
        <w:rPr>
          <w:rFonts w:hint="eastAsia" w:ascii="宋体" w:hAnsi="宋体" w:eastAsia="宋体" w:cs="宋体"/>
          <w:spacing w:val="-3"/>
          <w:sz w:val="24"/>
          <w:szCs w:val="24"/>
        </w:rPr>
        <w:t>初</w:t>
      </w:r>
      <w:r>
        <w:rPr>
          <w:rFonts w:hint="eastAsia" w:ascii="宋体" w:hAnsi="宋体" w:eastAsia="宋体" w:cs="宋体"/>
          <w:spacing w:val="-2"/>
          <w:sz w:val="24"/>
          <w:szCs w:val="24"/>
        </w:rPr>
        <w:t>次检查</w:t>
      </w:r>
      <w:r>
        <w:rPr>
          <w:rFonts w:hint="eastAsia" w:ascii="宋体" w:hAnsi="宋体" w:eastAsia="宋体" w:cs="宋体"/>
          <w:spacing w:val="-8"/>
          <w:sz w:val="24"/>
          <w:szCs w:val="24"/>
        </w:rPr>
        <w:t>由于新</w:t>
      </w:r>
      <w:r>
        <w:rPr>
          <w:rFonts w:hint="eastAsia" w:ascii="宋体" w:hAnsi="宋体" w:eastAsia="宋体" w:cs="宋体"/>
          <w:spacing w:val="-6"/>
          <w:sz w:val="24"/>
          <w:szCs w:val="24"/>
        </w:rPr>
        <w:t>塔</w:t>
      </w:r>
      <w:r>
        <w:rPr>
          <w:rFonts w:hint="eastAsia" w:ascii="宋体" w:hAnsi="宋体" w:eastAsia="宋体" w:cs="宋体"/>
          <w:spacing w:val="-4"/>
          <w:sz w:val="24"/>
          <w:szCs w:val="24"/>
        </w:rPr>
        <w:t>机及其机构、部件是用螺栓连接件的连接所决定的，因此所有经</w:t>
      </w:r>
      <w:r>
        <w:rPr>
          <w:rFonts w:hint="eastAsia" w:ascii="宋体" w:hAnsi="宋体" w:eastAsia="宋体" w:cs="宋体"/>
          <w:spacing w:val="-1"/>
          <w:sz w:val="24"/>
          <w:szCs w:val="24"/>
        </w:rPr>
        <w:t>安</w:t>
      </w:r>
      <w:r>
        <w:rPr>
          <w:rFonts w:hint="eastAsia" w:ascii="宋体" w:hAnsi="宋体" w:eastAsia="宋体" w:cs="宋体"/>
          <w:sz w:val="24"/>
          <w:szCs w:val="24"/>
        </w:rPr>
        <w:t>装的螺栓连接件初次检查在首次安装完成后的三周内进行。检查时应使用相</w:t>
      </w:r>
      <w:r>
        <w:rPr>
          <w:rFonts w:hint="eastAsia" w:ascii="宋体" w:hAnsi="宋体" w:eastAsia="宋体" w:cs="宋体"/>
          <w:spacing w:val="-1"/>
          <w:sz w:val="24"/>
          <w:szCs w:val="24"/>
        </w:rPr>
        <w:t>同</w:t>
      </w:r>
      <w:r>
        <w:rPr>
          <w:rFonts w:hint="eastAsia" w:ascii="宋体" w:hAnsi="宋体" w:eastAsia="宋体" w:cs="宋体"/>
          <w:sz w:val="24"/>
          <w:szCs w:val="24"/>
        </w:rPr>
        <w:t>的扭力扳手或倍增器，参照相关的额定扭力矩表，对螺栓连接件进行重新拧</w:t>
      </w:r>
      <w:r>
        <w:rPr>
          <w:rFonts w:hint="eastAsia" w:ascii="宋体" w:hAnsi="宋体" w:eastAsia="宋体" w:cs="宋体"/>
          <w:spacing w:val="-12"/>
          <w:sz w:val="24"/>
          <w:szCs w:val="24"/>
        </w:rPr>
        <w:t>紧。如</w:t>
      </w:r>
      <w:r>
        <w:rPr>
          <w:rFonts w:hint="eastAsia" w:ascii="宋体" w:hAnsi="宋体" w:eastAsia="宋体" w:cs="宋体"/>
          <w:spacing w:val="-7"/>
          <w:sz w:val="24"/>
          <w:szCs w:val="24"/>
        </w:rPr>
        <w:t>果</w:t>
      </w:r>
      <w:r>
        <w:rPr>
          <w:rFonts w:hint="eastAsia" w:ascii="宋体" w:hAnsi="宋体" w:eastAsia="宋体" w:cs="宋体"/>
          <w:spacing w:val="-6"/>
          <w:sz w:val="24"/>
          <w:szCs w:val="24"/>
        </w:rPr>
        <w:t>螺栓还能拧紧，则必须将原连接完全松开，重新进行润滑并施加规定</w:t>
      </w:r>
      <w:r>
        <w:rPr>
          <w:rFonts w:hint="eastAsia" w:ascii="宋体" w:hAnsi="宋体" w:eastAsia="宋体" w:cs="宋体"/>
          <w:spacing w:val="-9"/>
          <w:sz w:val="24"/>
          <w:szCs w:val="24"/>
        </w:rPr>
        <w:t>的扭力矩进行紧固，反之不能再拧紧，则表示连接已符合要求。</w:t>
      </w:r>
      <w:r>
        <w:rPr>
          <w:rFonts w:hint="eastAsia" w:ascii="宋体" w:hAnsi="宋体" w:eastAsia="宋体" w:cs="宋体"/>
          <w:spacing w:val="-10"/>
          <w:sz w:val="24"/>
          <w:szCs w:val="24"/>
        </w:rPr>
        <w:t>重复检</w:t>
      </w:r>
      <w:r>
        <w:rPr>
          <w:rFonts w:hint="eastAsia" w:ascii="宋体" w:hAnsi="宋体" w:eastAsia="宋体" w:cs="宋体"/>
          <w:spacing w:val="-5"/>
          <w:sz w:val="24"/>
          <w:szCs w:val="24"/>
        </w:rPr>
        <w:t>查：螺栓连接件在塔机重新安装前，应按规定进行重复检查</w:t>
      </w:r>
      <w:r>
        <w:rPr>
          <w:rFonts w:hint="eastAsia" w:ascii="宋体" w:hAnsi="宋体" w:eastAsia="宋体" w:cs="宋体"/>
          <w:spacing w:val="-4"/>
          <w:sz w:val="24"/>
          <w:szCs w:val="24"/>
        </w:rPr>
        <w:t>确</w:t>
      </w:r>
      <w:r>
        <w:rPr>
          <w:rFonts w:hint="eastAsia" w:ascii="宋体" w:hAnsi="宋体" w:eastAsia="宋体" w:cs="宋体"/>
          <w:spacing w:val="-3"/>
          <w:sz w:val="24"/>
          <w:szCs w:val="24"/>
        </w:rPr>
        <w:t>认。</w:t>
      </w:r>
      <w:r>
        <w:rPr>
          <w:rFonts w:hint="eastAsia" w:ascii="宋体" w:hAnsi="宋体" w:eastAsia="宋体" w:cs="宋体"/>
          <w:spacing w:val="-8"/>
          <w:sz w:val="24"/>
          <w:szCs w:val="24"/>
        </w:rPr>
        <w:t>目测重复检查：目测重复检查应三个月进行一次。目测各螺栓连接件的连接</w:t>
      </w:r>
      <w:r>
        <w:rPr>
          <w:rFonts w:hint="eastAsia" w:ascii="宋体" w:hAnsi="宋体" w:eastAsia="宋体" w:cs="宋体"/>
          <w:spacing w:val="-3"/>
          <w:sz w:val="24"/>
          <w:szCs w:val="24"/>
        </w:rPr>
        <w:t>应</w:t>
      </w:r>
      <w:r>
        <w:rPr>
          <w:rFonts w:hint="eastAsia" w:ascii="宋体" w:hAnsi="宋体" w:eastAsia="宋体" w:cs="宋体"/>
          <w:spacing w:val="-2"/>
          <w:sz w:val="24"/>
          <w:szCs w:val="24"/>
        </w:rPr>
        <w:t>无间隙，否则表示连接已经松</w:t>
      </w:r>
      <w:r>
        <w:rPr>
          <w:rFonts w:hint="eastAsia" w:ascii="宋体" w:hAnsi="宋体" w:eastAsia="宋体" w:cs="宋体"/>
          <w:spacing w:val="-1"/>
          <w:sz w:val="24"/>
          <w:szCs w:val="24"/>
        </w:rPr>
        <w:t>动，应重新紧固。</w:t>
      </w:r>
    </w:p>
    <w:p>
      <w:pPr>
        <w:pStyle w:val="5"/>
        <w:bidi w:val="0"/>
        <w:rPr>
          <w:rFonts w:hint="eastAsia" w:ascii="宋体" w:hAnsi="宋体" w:eastAsia="宋体" w:cs="宋体"/>
        </w:rPr>
      </w:pPr>
      <w:r>
        <w:rPr>
          <w:rFonts w:hint="eastAsia" w:ascii="宋体" w:hAnsi="宋体" w:eastAsia="宋体" w:cs="宋体"/>
        </w:rPr>
        <w:t>螺栓连接件的更换</w:t>
      </w:r>
    </w:p>
    <w:p>
      <w:pPr>
        <w:bidi w:val="0"/>
        <w:rPr>
          <w:rFonts w:hint="eastAsia"/>
          <w:lang w:eastAsia="zh-CN"/>
        </w:rPr>
      </w:pPr>
      <w:r>
        <w:rPr>
          <w:rFonts w:hint="eastAsia"/>
        </w:rPr>
        <w:t>对于机构、部件在同一连接水平面上的螺栓连接件发现多处螺栓还能拧紧，则表示塔机机构、部件星湖连接的部位(如：塔身节、回转支承等)将出现螺栓的损坏或断裂，因此对于此类现象，同一连接水平面上的螺栓必须全部更换。螺栓连接件的事故防范</w:t>
      </w:r>
      <w:r>
        <w:rPr>
          <w:rFonts w:hint="eastAsia"/>
          <w:lang w:eastAsia="zh-CN"/>
        </w:rPr>
        <w:t>。</w:t>
      </w:r>
    </w:p>
    <w:p>
      <w:pPr>
        <w:bidi w:val="0"/>
        <w:rPr>
          <w:rFonts w:hint="eastAsia"/>
        </w:rPr>
      </w:pPr>
      <w:r>
        <w:rPr>
          <w:rFonts w:hint="eastAsia"/>
        </w:rPr>
        <w:t>应严格的遵守并作好定期检查，这是确保塔机安全运行、防范事故发生的必要程序。扳手尺寸十字平头螺栓、配套螺母。扳手的使用应比配套的螺栓、螺母尺寸稍大的扳手。螺栓连接件的扭力表螺栓连接件的扭力矩见下表：</w:t>
      </w:r>
    </w:p>
    <w:p>
      <w:pPr>
        <w:pStyle w:val="15"/>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cs="宋体"/>
          <w:sz w:val="24"/>
          <w:szCs w:val="24"/>
          <w:lang w:val="en-US" w:eastAsia="zh-CN"/>
        </w:rPr>
        <w:t>5</w:t>
      </w:r>
      <w:r>
        <w:rPr>
          <w:rFonts w:hint="eastAsia" w:ascii="宋体" w:hAnsi="宋体" w:eastAsia="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螺栓连接件扭力矩表</w:t>
      </w:r>
    </w:p>
    <w:tbl>
      <w:tblPr>
        <w:tblStyle w:val="154"/>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41"/>
        <w:gridCol w:w="884"/>
        <w:gridCol w:w="750"/>
        <w:gridCol w:w="945"/>
        <w:gridCol w:w="813"/>
        <w:gridCol w:w="985"/>
        <w:gridCol w:w="983"/>
        <w:gridCol w:w="985"/>
        <w:gridCol w:w="1454"/>
        <w:gridCol w:w="1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4"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sz w:val="21"/>
                <w:szCs w:val="21"/>
                <w:lang w:val="en-US" w:eastAsia="zh-CN"/>
              </w:rPr>
            </w:pPr>
            <w:r>
              <w:rPr>
                <w:rFonts w:hint="eastAsia" w:ascii="宋体" w:hAnsi="宋体" w:eastAsia="宋体" w:cs="宋体"/>
                <w:b/>
                <w:bCs/>
                <w:i w:val="0"/>
                <w:sz w:val="21"/>
                <w:szCs w:val="21"/>
                <w:lang w:val="en-US" w:eastAsia="zh-CN"/>
              </w:rPr>
              <w:t>序号</w:t>
            </w:r>
          </w:p>
        </w:tc>
        <w:tc>
          <w:tcPr>
            <w:tcW w:w="88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spacing w:val="-6"/>
                <w:sz w:val="21"/>
                <w:szCs w:val="21"/>
              </w:rPr>
            </w:pPr>
            <w:r>
              <w:rPr>
                <w:rFonts w:hint="eastAsia" w:ascii="宋体" w:hAnsi="宋体" w:eastAsia="宋体" w:cs="宋体"/>
                <w:b/>
                <w:bCs/>
                <w:i w:val="0"/>
                <w:spacing w:val="-6"/>
                <w:sz w:val="21"/>
                <w:szCs w:val="21"/>
              </w:rPr>
              <w:t>螺</w:t>
            </w:r>
            <w:r>
              <w:rPr>
                <w:rFonts w:hint="eastAsia" w:ascii="宋体" w:hAnsi="宋体" w:eastAsia="宋体" w:cs="宋体"/>
                <w:b/>
                <w:bCs/>
                <w:i w:val="0"/>
                <w:spacing w:val="-5"/>
                <w:sz w:val="21"/>
                <w:szCs w:val="21"/>
              </w:rPr>
              <w:t>纹</w:t>
            </w:r>
          </w:p>
        </w:tc>
        <w:tc>
          <w:tcPr>
            <w:tcW w:w="1695" w:type="dxa"/>
            <w:gridSpan w:val="2"/>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sz w:val="21"/>
                <w:szCs w:val="21"/>
              </w:rPr>
            </w:pPr>
            <w:r>
              <w:rPr>
                <w:rFonts w:hint="eastAsia" w:ascii="宋体" w:hAnsi="宋体" w:eastAsia="宋体" w:cs="宋体"/>
                <w:b/>
                <w:bCs/>
                <w:i w:val="0"/>
                <w:spacing w:val="-2"/>
                <w:sz w:val="21"/>
                <w:szCs w:val="21"/>
              </w:rPr>
              <w:t>性能等</w:t>
            </w:r>
            <w:r>
              <w:rPr>
                <w:rFonts w:hint="eastAsia" w:ascii="宋体" w:hAnsi="宋体" w:eastAsia="宋体" w:cs="宋体"/>
                <w:b/>
                <w:bCs/>
                <w:i w:val="0"/>
                <w:spacing w:val="-1"/>
                <w:sz w:val="21"/>
                <w:szCs w:val="21"/>
              </w:rPr>
              <w:t>级</w:t>
            </w:r>
          </w:p>
        </w:tc>
        <w:tc>
          <w:tcPr>
            <w:tcW w:w="3766" w:type="dxa"/>
            <w:gridSpan w:val="4"/>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sz w:val="21"/>
                <w:szCs w:val="21"/>
              </w:rPr>
            </w:pPr>
            <w:r>
              <w:rPr>
                <w:rFonts w:hint="eastAsia" w:ascii="宋体" w:hAnsi="宋体" w:eastAsia="宋体" w:cs="宋体"/>
                <w:b/>
                <w:bCs/>
                <w:i w:val="0"/>
                <w:spacing w:val="-2"/>
                <w:sz w:val="21"/>
                <w:szCs w:val="21"/>
              </w:rPr>
              <w:t>性能等</w:t>
            </w:r>
            <w:r>
              <w:rPr>
                <w:rFonts w:hint="eastAsia" w:ascii="宋体" w:hAnsi="宋体" w:eastAsia="宋体" w:cs="宋体"/>
                <w:b/>
                <w:bCs/>
                <w:i w:val="0"/>
                <w:spacing w:val="-1"/>
                <w:sz w:val="21"/>
                <w:szCs w:val="21"/>
              </w:rPr>
              <w:t>级</w:t>
            </w:r>
          </w:p>
        </w:tc>
        <w:tc>
          <w:tcPr>
            <w:tcW w:w="2854" w:type="dxa"/>
            <w:gridSpan w:val="2"/>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sz w:val="21"/>
                <w:szCs w:val="21"/>
              </w:rPr>
            </w:pPr>
            <w:r>
              <w:rPr>
                <w:rFonts w:hint="eastAsia" w:ascii="宋体" w:hAnsi="宋体" w:eastAsia="宋体" w:cs="宋体"/>
                <w:b/>
                <w:bCs/>
                <w:i w:val="0"/>
                <w:spacing w:val="-2"/>
                <w:sz w:val="21"/>
                <w:szCs w:val="21"/>
              </w:rPr>
              <w:t>性能等</w:t>
            </w:r>
            <w:r>
              <w:rPr>
                <w:rFonts w:hint="eastAsia" w:ascii="宋体" w:hAnsi="宋体" w:eastAsia="宋体" w:cs="宋体"/>
                <w:b/>
                <w:bCs/>
                <w:i w:val="0"/>
                <w:spacing w:val="-1"/>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color w:val="000000"/>
                <w:sz w:val="21"/>
                <w:szCs w:val="21"/>
              </w:rPr>
            </w:pPr>
          </w:p>
        </w:tc>
        <w:tc>
          <w:tcPr>
            <w:tcW w:w="88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color w:val="000000"/>
                <w:sz w:val="21"/>
                <w:szCs w:val="21"/>
              </w:rPr>
            </w:pPr>
          </w:p>
        </w:tc>
        <w:tc>
          <w:tcPr>
            <w:tcW w:w="1695" w:type="dxa"/>
            <w:gridSpan w:val="2"/>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sz w:val="21"/>
                <w:szCs w:val="21"/>
              </w:rPr>
              <w:t>8</w:t>
            </w:r>
            <w:r>
              <w:rPr>
                <w:rFonts w:hint="eastAsia" w:ascii="宋体" w:hAnsi="宋体" w:eastAsia="宋体" w:cs="宋体"/>
                <w:b/>
                <w:bCs/>
                <w:sz w:val="21"/>
                <w:szCs w:val="21"/>
              </w:rPr>
              <w:t>.8</w:t>
            </w:r>
          </w:p>
        </w:tc>
        <w:tc>
          <w:tcPr>
            <w:tcW w:w="1798" w:type="dxa"/>
            <w:gridSpan w:val="2"/>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8"/>
                <w:sz w:val="21"/>
                <w:szCs w:val="21"/>
              </w:rPr>
              <w:t>1</w:t>
            </w:r>
            <w:r>
              <w:rPr>
                <w:rFonts w:hint="eastAsia" w:ascii="宋体" w:hAnsi="宋体" w:eastAsia="宋体" w:cs="宋体"/>
                <w:b/>
                <w:bCs/>
                <w:spacing w:val="-5"/>
                <w:sz w:val="21"/>
                <w:szCs w:val="21"/>
              </w:rPr>
              <w:t>0.9</w:t>
            </w:r>
          </w:p>
        </w:tc>
        <w:tc>
          <w:tcPr>
            <w:tcW w:w="1968" w:type="dxa"/>
            <w:gridSpan w:val="2"/>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7"/>
                <w:sz w:val="21"/>
                <w:szCs w:val="21"/>
              </w:rPr>
              <w:t>1</w:t>
            </w:r>
            <w:r>
              <w:rPr>
                <w:rFonts w:hint="eastAsia" w:ascii="宋体" w:hAnsi="宋体" w:eastAsia="宋体" w:cs="宋体"/>
                <w:b/>
                <w:bCs/>
                <w:spacing w:val="-5"/>
                <w:sz w:val="21"/>
                <w:szCs w:val="21"/>
              </w:rPr>
              <w:t>0</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7"/>
                <w:sz w:val="21"/>
                <w:szCs w:val="21"/>
              </w:rPr>
              <w:t>1</w:t>
            </w:r>
            <w:r>
              <w:rPr>
                <w:rFonts w:hint="eastAsia" w:ascii="宋体" w:hAnsi="宋体" w:eastAsia="宋体" w:cs="宋体"/>
                <w:b/>
                <w:bCs/>
                <w:spacing w:val="-6"/>
                <w:sz w:val="21"/>
                <w:szCs w:val="21"/>
              </w:rPr>
              <w:t>2.9</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6"/>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color w:val="000000"/>
                <w:sz w:val="21"/>
                <w:szCs w:val="21"/>
              </w:rPr>
            </w:pPr>
          </w:p>
        </w:tc>
        <w:tc>
          <w:tcPr>
            <w:tcW w:w="88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i w:val="0"/>
                <w:color w:val="000000"/>
                <w:sz w:val="21"/>
                <w:szCs w:val="21"/>
              </w:rPr>
            </w:pP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position w:val="3"/>
                <w:sz w:val="21"/>
                <w:szCs w:val="21"/>
              </w:rPr>
              <w:t>mkg</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sz w:val="21"/>
                <w:szCs w:val="21"/>
              </w:rPr>
              <w:t>Nm</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position w:val="3"/>
                <w:sz w:val="21"/>
                <w:szCs w:val="21"/>
              </w:rPr>
              <w:t>mkg</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sz w:val="21"/>
                <w:szCs w:val="21"/>
              </w:rPr>
              <w:t>Nm</w:t>
            </w: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position w:val="3"/>
                <w:sz w:val="21"/>
                <w:szCs w:val="21"/>
              </w:rPr>
              <w:t>mk</w:t>
            </w:r>
            <w:r>
              <w:rPr>
                <w:rFonts w:hint="eastAsia" w:ascii="宋体" w:hAnsi="宋体" w:eastAsia="宋体" w:cs="宋体"/>
                <w:b/>
                <w:bCs/>
                <w:position w:val="3"/>
                <w:sz w:val="21"/>
                <w:szCs w:val="21"/>
              </w:rPr>
              <w:t>g</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sz w:val="21"/>
                <w:szCs w:val="21"/>
              </w:rPr>
              <w:t>Nm</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position w:val="3"/>
                <w:sz w:val="21"/>
                <w:szCs w:val="21"/>
              </w:rPr>
              <w:t>mk</w:t>
            </w:r>
            <w:r>
              <w:rPr>
                <w:rFonts w:hint="eastAsia" w:ascii="宋体" w:hAnsi="宋体" w:eastAsia="宋体" w:cs="宋体"/>
                <w:b/>
                <w:bCs/>
                <w:position w:val="3"/>
                <w:sz w:val="21"/>
                <w:szCs w:val="21"/>
              </w:rPr>
              <w:t>g</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pacing w:val="1"/>
                <w:sz w:val="21"/>
                <w:szCs w:val="21"/>
              </w:rPr>
              <w:t>Nm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3"/>
                <w:sz w:val="21"/>
                <w:szCs w:val="21"/>
              </w:rPr>
              <w:t xml:space="preserve"> 12</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5</w:t>
            </w:r>
            <w:r>
              <w:rPr>
                <w:rFonts w:hint="eastAsia" w:ascii="宋体" w:hAnsi="宋体" w:eastAsia="宋体" w:cs="宋体"/>
                <w:spacing w:val="-3"/>
                <w:sz w:val="21"/>
                <w:szCs w:val="21"/>
              </w:rPr>
              <w:t>.2</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6</w:t>
            </w:r>
            <w:r>
              <w:rPr>
                <w:rFonts w:hint="eastAsia" w:ascii="宋体" w:hAnsi="宋体" w:eastAsia="宋体" w:cs="宋体"/>
                <w:spacing w:val="-2"/>
                <w:sz w:val="21"/>
                <w:szCs w:val="21"/>
              </w:rPr>
              <w:t>1</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9.8</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96</w:t>
            </w: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7</w:t>
            </w:r>
            <w:r>
              <w:rPr>
                <w:rFonts w:hint="eastAsia" w:ascii="宋体" w:hAnsi="宋体" w:eastAsia="宋体" w:cs="宋体"/>
                <w:spacing w:val="-2"/>
                <w:sz w:val="21"/>
                <w:szCs w:val="21"/>
              </w:rPr>
              <w:t>.4</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7</w:t>
            </w:r>
            <w:r>
              <w:rPr>
                <w:rFonts w:hint="eastAsia" w:ascii="宋体" w:hAnsi="宋体" w:eastAsia="宋体" w:cs="宋体"/>
                <w:spacing w:val="-1"/>
                <w:sz w:val="21"/>
                <w:szCs w:val="21"/>
              </w:rPr>
              <w:t>3</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2</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3"/>
                <w:sz w:val="21"/>
                <w:szCs w:val="21"/>
              </w:rPr>
              <w:t xml:space="preserve"> 14</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8</w:t>
            </w:r>
            <w:r>
              <w:rPr>
                <w:rFonts w:hint="eastAsia" w:ascii="宋体" w:hAnsi="宋体" w:eastAsia="宋体" w:cs="宋体"/>
                <w:spacing w:val="-4"/>
                <w:sz w:val="21"/>
                <w:szCs w:val="21"/>
              </w:rPr>
              <w:t>.4</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8</w:t>
            </w:r>
            <w:r>
              <w:rPr>
                <w:rFonts w:hint="eastAsia" w:ascii="宋体" w:hAnsi="宋体" w:eastAsia="宋体" w:cs="宋体"/>
                <w:spacing w:val="-3"/>
                <w:sz w:val="21"/>
                <w:szCs w:val="21"/>
              </w:rPr>
              <w:t>2</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6"/>
                <w:sz w:val="21"/>
                <w:szCs w:val="21"/>
              </w:rPr>
              <w:t>3.0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9"/>
                <w:sz w:val="21"/>
                <w:szCs w:val="21"/>
              </w:rPr>
              <w:t>1</w:t>
            </w:r>
            <w:r>
              <w:rPr>
                <w:rFonts w:hint="eastAsia" w:ascii="宋体" w:hAnsi="宋体" w:eastAsia="宋体" w:cs="宋体"/>
                <w:spacing w:val="-8"/>
                <w:sz w:val="21"/>
                <w:szCs w:val="21"/>
              </w:rPr>
              <w:t>27</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3</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16</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6"/>
                <w:sz w:val="21"/>
                <w:szCs w:val="21"/>
              </w:rPr>
              <w:t>4.0</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9"/>
                <w:sz w:val="21"/>
                <w:szCs w:val="21"/>
              </w:rPr>
              <w:t>1</w:t>
            </w:r>
            <w:r>
              <w:rPr>
                <w:rFonts w:hint="eastAsia" w:ascii="宋体" w:hAnsi="宋体" w:eastAsia="宋体" w:cs="宋体"/>
                <w:spacing w:val="-8"/>
                <w:sz w:val="21"/>
                <w:szCs w:val="21"/>
              </w:rPr>
              <w:t>37</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2</w:t>
            </w:r>
            <w:r>
              <w:rPr>
                <w:rFonts w:hint="eastAsia" w:ascii="宋体" w:hAnsi="宋体" w:eastAsia="宋体" w:cs="宋体"/>
                <w:spacing w:val="-1"/>
                <w:sz w:val="21"/>
                <w:szCs w:val="21"/>
              </w:rPr>
              <w:t>4.7</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24</w:t>
            </w:r>
            <w:r>
              <w:rPr>
                <w:rFonts w:hint="eastAsia" w:ascii="宋体" w:hAnsi="宋体" w:eastAsia="宋体" w:cs="宋体"/>
                <w:spacing w:val="-1"/>
                <w:sz w:val="21"/>
                <w:szCs w:val="21"/>
              </w:rPr>
              <w:t>2</w:t>
            </w: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8"/>
                <w:sz w:val="21"/>
                <w:szCs w:val="21"/>
              </w:rPr>
              <w:t>1</w:t>
            </w:r>
            <w:r>
              <w:rPr>
                <w:rFonts w:hint="eastAsia" w:ascii="宋体" w:hAnsi="宋体" w:eastAsia="宋体" w:cs="宋体"/>
                <w:spacing w:val="-6"/>
                <w:sz w:val="21"/>
                <w:szCs w:val="21"/>
              </w:rPr>
              <w:t>9.1</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9"/>
                <w:sz w:val="21"/>
                <w:szCs w:val="21"/>
              </w:rPr>
              <w:t>1</w:t>
            </w:r>
            <w:r>
              <w:rPr>
                <w:rFonts w:hint="eastAsia" w:ascii="宋体" w:hAnsi="宋体" w:eastAsia="宋体" w:cs="宋体"/>
                <w:spacing w:val="-8"/>
                <w:sz w:val="21"/>
                <w:szCs w:val="21"/>
              </w:rPr>
              <w:t>87</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4</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pacing w:val="-1"/>
                <w:sz w:val="21"/>
                <w:szCs w:val="21"/>
              </w:rPr>
              <w:t>M18</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6"/>
                <w:sz w:val="21"/>
                <w:szCs w:val="21"/>
              </w:rPr>
              <w:t>8.0</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9"/>
                <w:sz w:val="21"/>
                <w:szCs w:val="21"/>
              </w:rPr>
              <w:t>1</w:t>
            </w:r>
            <w:r>
              <w:rPr>
                <w:rFonts w:hint="eastAsia" w:ascii="宋体" w:hAnsi="宋体" w:eastAsia="宋体" w:cs="宋体"/>
                <w:spacing w:val="-8"/>
                <w:sz w:val="21"/>
                <w:szCs w:val="21"/>
              </w:rPr>
              <w:t>77</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2</w:t>
            </w:r>
            <w:r>
              <w:rPr>
                <w:rFonts w:hint="eastAsia" w:ascii="宋体" w:hAnsi="宋体" w:eastAsia="宋体" w:cs="宋体"/>
                <w:spacing w:val="-1"/>
                <w:sz w:val="21"/>
                <w:szCs w:val="21"/>
              </w:rPr>
              <w:t>6.0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25</w:t>
            </w:r>
            <w:r>
              <w:rPr>
                <w:rFonts w:hint="eastAsia" w:ascii="宋体" w:hAnsi="宋体" w:eastAsia="宋体" w:cs="宋体"/>
                <w:spacing w:val="-1"/>
                <w:sz w:val="21"/>
                <w:szCs w:val="21"/>
              </w:rPr>
              <w:t>5</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5</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20</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2</w:t>
            </w:r>
            <w:r>
              <w:rPr>
                <w:rFonts w:hint="eastAsia" w:ascii="宋体" w:hAnsi="宋体" w:eastAsia="宋体" w:cs="宋体"/>
                <w:spacing w:val="-1"/>
                <w:sz w:val="21"/>
                <w:szCs w:val="21"/>
              </w:rPr>
              <w:t>5.9</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25</w:t>
            </w:r>
            <w:r>
              <w:rPr>
                <w:rFonts w:hint="eastAsia" w:ascii="宋体" w:hAnsi="宋体" w:eastAsia="宋体" w:cs="宋体"/>
                <w:spacing w:val="-1"/>
                <w:sz w:val="21"/>
                <w:szCs w:val="21"/>
              </w:rPr>
              <w:t>4</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48.</w:t>
            </w:r>
            <w:r>
              <w:rPr>
                <w:rFonts w:hint="eastAsia" w:ascii="宋体" w:hAnsi="宋体" w:eastAsia="宋体" w:cs="宋体"/>
                <w:sz w:val="21"/>
                <w:szCs w:val="21"/>
              </w:rPr>
              <w:t>3</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4</w:t>
            </w:r>
            <w:r>
              <w:rPr>
                <w:rFonts w:hint="eastAsia" w:ascii="宋体" w:hAnsi="宋体" w:eastAsia="宋体" w:cs="宋体"/>
                <w:spacing w:val="-1"/>
                <w:sz w:val="21"/>
                <w:szCs w:val="21"/>
              </w:rPr>
              <w:t>74</w:t>
            </w: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w:t>
            </w:r>
            <w:r>
              <w:rPr>
                <w:rFonts w:hint="eastAsia" w:ascii="宋体" w:hAnsi="宋体" w:eastAsia="宋体" w:cs="宋体"/>
                <w:spacing w:val="-2"/>
                <w:sz w:val="21"/>
                <w:szCs w:val="21"/>
              </w:rPr>
              <w:t>7.0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363</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6</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 xml:space="preserve"> </w:t>
            </w:r>
            <w:r>
              <w:rPr>
                <w:rFonts w:hint="eastAsia" w:ascii="宋体" w:hAnsi="宋体" w:eastAsia="宋体" w:cs="宋体"/>
                <w:b w:val="0"/>
                <w:i w:val="0"/>
                <w:sz w:val="21"/>
                <w:szCs w:val="21"/>
              </w:rPr>
              <w:t>22</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w:t>
            </w:r>
            <w:r>
              <w:rPr>
                <w:rFonts w:hint="eastAsia" w:ascii="宋体" w:hAnsi="宋体" w:eastAsia="宋体" w:cs="宋体"/>
                <w:spacing w:val="-2"/>
                <w:sz w:val="21"/>
                <w:szCs w:val="21"/>
              </w:rPr>
              <w:t>5.8</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351</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6</w:t>
            </w:r>
            <w:r>
              <w:rPr>
                <w:rFonts w:hint="eastAsia" w:ascii="宋体" w:hAnsi="宋体" w:eastAsia="宋体" w:cs="宋体"/>
                <w:spacing w:val="-2"/>
                <w:sz w:val="21"/>
                <w:szCs w:val="21"/>
              </w:rPr>
              <w:t>6.0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6</w:t>
            </w:r>
            <w:r>
              <w:rPr>
                <w:rFonts w:hint="eastAsia" w:ascii="宋体" w:hAnsi="宋体" w:eastAsia="宋体" w:cs="宋体"/>
                <w:spacing w:val="-2"/>
                <w:sz w:val="21"/>
                <w:szCs w:val="21"/>
              </w:rPr>
              <w:t>47</w:t>
            </w: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5</w:t>
            </w:r>
            <w:r>
              <w:rPr>
                <w:rFonts w:hint="eastAsia" w:ascii="宋体" w:hAnsi="宋体" w:eastAsia="宋体" w:cs="宋体"/>
                <w:spacing w:val="-2"/>
                <w:sz w:val="21"/>
                <w:szCs w:val="21"/>
              </w:rPr>
              <w:t>1.1</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501</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7</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 xml:space="preserve"> </w:t>
            </w:r>
            <w:r>
              <w:rPr>
                <w:rFonts w:hint="eastAsia" w:ascii="宋体" w:hAnsi="宋体" w:eastAsia="宋体" w:cs="宋体"/>
                <w:b w:val="0"/>
                <w:i w:val="0"/>
                <w:sz w:val="21"/>
                <w:szCs w:val="21"/>
              </w:rPr>
              <w:t>24</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44.</w:t>
            </w:r>
            <w:r>
              <w:rPr>
                <w:rFonts w:hint="eastAsia" w:ascii="宋体" w:hAnsi="宋体" w:eastAsia="宋体" w:cs="宋体"/>
                <w:sz w:val="21"/>
                <w:szCs w:val="21"/>
              </w:rPr>
              <w:t>9</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4</w:t>
            </w:r>
            <w:r>
              <w:rPr>
                <w:rFonts w:hint="eastAsia" w:ascii="宋体" w:hAnsi="宋体" w:eastAsia="宋体" w:cs="宋体"/>
                <w:spacing w:val="-1"/>
                <w:sz w:val="21"/>
                <w:szCs w:val="21"/>
              </w:rPr>
              <w:t>39</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8</w:t>
            </w:r>
            <w:r>
              <w:rPr>
                <w:rFonts w:hint="eastAsia" w:ascii="宋体" w:hAnsi="宋体" w:eastAsia="宋体" w:cs="宋体"/>
                <w:spacing w:val="-3"/>
                <w:sz w:val="21"/>
                <w:szCs w:val="21"/>
              </w:rPr>
              <w:t>3.0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8</w:t>
            </w:r>
            <w:r>
              <w:rPr>
                <w:rFonts w:hint="eastAsia" w:ascii="宋体" w:hAnsi="宋体" w:eastAsia="宋体" w:cs="宋体"/>
                <w:spacing w:val="-4"/>
                <w:sz w:val="21"/>
                <w:szCs w:val="21"/>
              </w:rPr>
              <w:t>14</w:t>
            </w: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8</w:t>
            </w:r>
            <w:r>
              <w:rPr>
                <w:rFonts w:hint="eastAsia" w:ascii="宋体" w:hAnsi="宋体" w:eastAsia="宋体" w:cs="宋体"/>
                <w:spacing w:val="-3"/>
                <w:sz w:val="21"/>
                <w:szCs w:val="21"/>
              </w:rPr>
              <w:t>4.0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8</w:t>
            </w:r>
            <w:r>
              <w:rPr>
                <w:rFonts w:hint="eastAsia" w:ascii="宋体" w:hAnsi="宋体" w:eastAsia="宋体" w:cs="宋体"/>
                <w:spacing w:val="-4"/>
                <w:sz w:val="21"/>
                <w:szCs w:val="21"/>
              </w:rPr>
              <w:t>28</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8</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 xml:space="preserve"> </w:t>
            </w:r>
            <w:r>
              <w:rPr>
                <w:rFonts w:hint="eastAsia" w:ascii="宋体" w:hAnsi="宋体" w:eastAsia="宋体" w:cs="宋体"/>
                <w:b w:val="0"/>
                <w:i w:val="0"/>
                <w:sz w:val="21"/>
                <w:szCs w:val="21"/>
              </w:rPr>
              <w:t>27</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70.0</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6</w:t>
            </w:r>
            <w:r>
              <w:rPr>
                <w:rFonts w:hint="eastAsia" w:ascii="宋体" w:hAnsi="宋体" w:eastAsia="宋体" w:cs="宋体"/>
                <w:spacing w:val="-3"/>
                <w:sz w:val="21"/>
                <w:szCs w:val="21"/>
              </w:rPr>
              <w:t>86</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4"/>
                <w:sz w:val="21"/>
                <w:szCs w:val="21"/>
              </w:rPr>
              <w:t>23.0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6"/>
                <w:sz w:val="21"/>
                <w:szCs w:val="21"/>
              </w:rPr>
              <w:t>1206</w:t>
            </w: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8"/>
                <w:sz w:val="21"/>
                <w:szCs w:val="21"/>
              </w:rPr>
              <w:t>1</w:t>
            </w:r>
            <w:r>
              <w:rPr>
                <w:rFonts w:hint="eastAsia" w:ascii="宋体" w:hAnsi="宋体" w:eastAsia="宋体" w:cs="宋体"/>
                <w:spacing w:val="-4"/>
                <w:sz w:val="21"/>
                <w:szCs w:val="21"/>
              </w:rPr>
              <w:t>00.0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981</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9</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30</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9</w:t>
            </w:r>
            <w:r>
              <w:rPr>
                <w:rFonts w:hint="eastAsia" w:ascii="宋体" w:hAnsi="宋体" w:eastAsia="宋体" w:cs="宋体"/>
                <w:spacing w:val="-2"/>
                <w:sz w:val="21"/>
                <w:szCs w:val="21"/>
              </w:rPr>
              <w:t>6.8</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939</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136.8</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6"/>
                <w:sz w:val="21"/>
                <w:szCs w:val="21"/>
              </w:rPr>
              <w:t>1342</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10</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33</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8"/>
                <w:sz w:val="21"/>
                <w:szCs w:val="21"/>
              </w:rPr>
              <w:t>1</w:t>
            </w:r>
            <w:r>
              <w:rPr>
                <w:rFonts w:hint="eastAsia" w:ascii="宋体" w:hAnsi="宋体" w:eastAsia="宋体" w:cs="宋体"/>
                <w:spacing w:val="-4"/>
                <w:sz w:val="21"/>
                <w:szCs w:val="21"/>
              </w:rPr>
              <w:t>30.9</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6"/>
                <w:sz w:val="21"/>
                <w:szCs w:val="21"/>
              </w:rPr>
              <w:t>1284</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187.0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6"/>
                <w:sz w:val="21"/>
                <w:szCs w:val="21"/>
              </w:rPr>
              <w:t>834</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230.</w:t>
            </w:r>
            <w:r>
              <w:rPr>
                <w:rFonts w:hint="eastAsia" w:ascii="宋体" w:hAnsi="宋体" w:eastAsia="宋体" w:cs="宋体"/>
                <w:sz w:val="21"/>
                <w:szCs w:val="21"/>
              </w:rPr>
              <w:t>8</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2264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11</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pacing w:val="-1"/>
                <w:sz w:val="21"/>
                <w:szCs w:val="21"/>
              </w:rPr>
              <w:t>M36</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167.3</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6"/>
                <w:sz w:val="21"/>
                <w:szCs w:val="21"/>
              </w:rPr>
              <w:t>1641</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239.</w:t>
            </w:r>
            <w:r>
              <w:rPr>
                <w:rFonts w:hint="eastAsia" w:ascii="宋体" w:hAnsi="宋体" w:eastAsia="宋体" w:cs="宋体"/>
                <w:sz w:val="21"/>
                <w:szCs w:val="21"/>
              </w:rPr>
              <w:t>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2344</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296.1</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2904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12</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pacing w:val="-1"/>
                <w:sz w:val="21"/>
                <w:szCs w:val="21"/>
              </w:rPr>
              <w:t>M</w:t>
            </w:r>
            <w:r>
              <w:rPr>
                <w:rFonts w:hint="eastAsia" w:ascii="宋体" w:hAnsi="宋体" w:eastAsia="宋体" w:cs="宋体"/>
                <w:b w:val="0"/>
                <w:i w:val="0"/>
                <w:spacing w:val="-2"/>
                <w:sz w:val="21"/>
                <w:szCs w:val="21"/>
              </w:rPr>
              <w:t>3</w:t>
            </w:r>
            <w:r>
              <w:rPr>
                <w:rFonts w:hint="eastAsia" w:ascii="宋体" w:hAnsi="宋体" w:eastAsia="宋体" w:cs="宋体"/>
                <w:b w:val="0"/>
                <w:i w:val="0"/>
                <w:spacing w:val="-1"/>
                <w:sz w:val="21"/>
                <w:szCs w:val="21"/>
              </w:rPr>
              <w:t>9</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217.3</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2131</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310.</w:t>
            </w:r>
            <w:r>
              <w:rPr>
                <w:rFonts w:hint="eastAsia" w:ascii="宋体" w:hAnsi="宋体" w:eastAsia="宋体" w:cs="宋体"/>
                <w:spacing w:val="-1"/>
                <w:sz w:val="21"/>
                <w:szCs w:val="21"/>
              </w:rPr>
              <w:t>4</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w:t>
            </w:r>
            <w:r>
              <w:rPr>
                <w:rFonts w:hint="eastAsia" w:ascii="宋体" w:hAnsi="宋体" w:eastAsia="宋体" w:cs="宋体"/>
                <w:spacing w:val="-2"/>
                <w:sz w:val="21"/>
                <w:szCs w:val="21"/>
              </w:rPr>
              <w:t>044</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383.</w:t>
            </w:r>
            <w:r>
              <w:rPr>
                <w:rFonts w:hint="eastAsia" w:ascii="宋体" w:hAnsi="宋体" w:eastAsia="宋体" w:cs="宋体"/>
                <w:spacing w:val="-1"/>
                <w:sz w:val="21"/>
                <w:szCs w:val="21"/>
              </w:rPr>
              <w:t>6</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w:t>
            </w:r>
            <w:r>
              <w:rPr>
                <w:rFonts w:hint="eastAsia" w:ascii="宋体" w:hAnsi="宋体" w:eastAsia="宋体" w:cs="宋体"/>
                <w:spacing w:val="-2"/>
                <w:sz w:val="21"/>
                <w:szCs w:val="21"/>
              </w:rPr>
              <w:t>782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13</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pacing w:val="-1"/>
                <w:sz w:val="21"/>
                <w:szCs w:val="21"/>
              </w:rPr>
              <w:t>M42</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268.4</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2632</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383.</w:t>
            </w:r>
            <w:r>
              <w:rPr>
                <w:rFonts w:hint="eastAsia" w:ascii="宋体" w:hAnsi="宋体" w:eastAsia="宋体" w:cs="宋体"/>
                <w:spacing w:val="-1"/>
                <w:sz w:val="21"/>
                <w:szCs w:val="21"/>
              </w:rPr>
              <w:t>4</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w:t>
            </w:r>
            <w:r>
              <w:rPr>
                <w:rFonts w:hint="eastAsia" w:ascii="宋体" w:hAnsi="宋体" w:eastAsia="宋体" w:cs="宋体"/>
                <w:spacing w:val="-2"/>
                <w:sz w:val="21"/>
                <w:szCs w:val="21"/>
              </w:rPr>
              <w:t>760</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476.</w:t>
            </w:r>
            <w:r>
              <w:rPr>
                <w:rFonts w:hint="eastAsia" w:ascii="宋体" w:hAnsi="宋体" w:eastAsia="宋体" w:cs="宋体"/>
                <w:sz w:val="21"/>
                <w:szCs w:val="21"/>
              </w:rPr>
              <w:t>3</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467</w:t>
            </w:r>
            <w:r>
              <w:rPr>
                <w:rFonts w:hint="eastAsia" w:ascii="宋体" w:hAnsi="宋体" w:eastAsia="宋体" w:cs="宋体"/>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14</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45</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335.</w:t>
            </w:r>
            <w:r>
              <w:rPr>
                <w:rFonts w:hint="eastAsia" w:ascii="宋体" w:hAnsi="宋体" w:eastAsia="宋体" w:cs="宋体"/>
                <w:spacing w:val="-1"/>
                <w:sz w:val="21"/>
                <w:szCs w:val="21"/>
              </w:rPr>
              <w:t>4</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w:t>
            </w:r>
            <w:r>
              <w:rPr>
                <w:rFonts w:hint="eastAsia" w:ascii="宋体" w:hAnsi="宋体" w:eastAsia="宋体" w:cs="宋体"/>
                <w:spacing w:val="-2"/>
                <w:sz w:val="21"/>
                <w:szCs w:val="21"/>
              </w:rPr>
              <w:t>289</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479</w:t>
            </w:r>
            <w:r>
              <w:rPr>
                <w:rFonts w:hint="eastAsia" w:ascii="宋体" w:hAnsi="宋体" w:eastAsia="宋体" w:cs="宋体"/>
                <w:sz w:val="21"/>
                <w:szCs w:val="21"/>
              </w:rPr>
              <w:t>.1</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469</w:t>
            </w:r>
            <w:r>
              <w:rPr>
                <w:rFonts w:hint="eastAsia" w:ascii="宋体" w:hAnsi="宋体" w:eastAsia="宋体" w:cs="宋体"/>
                <w:sz w:val="21"/>
                <w:szCs w:val="21"/>
              </w:rPr>
              <w:t>3</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5</w:t>
            </w:r>
            <w:r>
              <w:rPr>
                <w:rFonts w:hint="eastAsia" w:ascii="宋体" w:hAnsi="宋体" w:eastAsia="宋体" w:cs="宋体"/>
                <w:spacing w:val="-2"/>
                <w:sz w:val="21"/>
                <w:szCs w:val="21"/>
              </w:rPr>
              <w:t>94.8</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5</w:t>
            </w:r>
            <w:r>
              <w:rPr>
                <w:rFonts w:hint="eastAsia" w:ascii="宋体" w:hAnsi="宋体" w:eastAsia="宋体" w:cs="宋体"/>
                <w:spacing w:val="-2"/>
                <w:sz w:val="21"/>
                <w:szCs w:val="21"/>
              </w:rPr>
              <w:t>833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15</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48</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1"/>
                <w:sz w:val="21"/>
                <w:szCs w:val="21"/>
              </w:rPr>
              <w:t>403</w:t>
            </w:r>
            <w:r>
              <w:rPr>
                <w:rFonts w:hint="eastAsia" w:ascii="宋体" w:hAnsi="宋体" w:eastAsia="宋体" w:cs="宋体"/>
                <w:sz w:val="21"/>
                <w:szCs w:val="21"/>
              </w:rPr>
              <w:t>.6</w:t>
            </w: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3"/>
                <w:sz w:val="21"/>
                <w:szCs w:val="21"/>
              </w:rPr>
              <w:t>3</w:t>
            </w:r>
            <w:r>
              <w:rPr>
                <w:rFonts w:hint="eastAsia" w:ascii="宋体" w:hAnsi="宋体" w:eastAsia="宋体" w:cs="宋体"/>
                <w:spacing w:val="-2"/>
                <w:sz w:val="21"/>
                <w:szCs w:val="21"/>
              </w:rPr>
              <w:t>958</w:t>
            </w: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576.6</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5</w:t>
            </w:r>
            <w:r>
              <w:rPr>
                <w:rFonts w:hint="eastAsia" w:ascii="宋体" w:hAnsi="宋体" w:eastAsia="宋体" w:cs="宋体"/>
                <w:spacing w:val="-2"/>
                <w:sz w:val="21"/>
                <w:szCs w:val="21"/>
              </w:rPr>
              <w:t>655</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717</w:t>
            </w:r>
            <w:r>
              <w:rPr>
                <w:rFonts w:hint="eastAsia" w:ascii="宋体" w:hAnsi="宋体" w:eastAsia="宋体" w:cs="宋体"/>
                <w:spacing w:val="-1"/>
                <w:sz w:val="21"/>
                <w:szCs w:val="21"/>
              </w:rPr>
              <w:t>.8</w:t>
            </w: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7039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44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16</w:t>
            </w:r>
          </w:p>
        </w:tc>
        <w:tc>
          <w:tcPr>
            <w:tcW w:w="884" w:type="dxa"/>
            <w:tcBorders>
              <w:tl2br w:val="nil"/>
              <w:tr2bl w:val="nil"/>
            </w:tcBorders>
            <w:shd w:val="clear" w:color="auto" w:fill="auto"/>
            <w:vAlign w:val="center"/>
          </w:tcPr>
          <w:p>
            <w:pPr>
              <w:pStyle w:val="16"/>
              <w:kinsoku/>
              <w:overflowPunct/>
              <w:topLinePunct w:val="0"/>
              <w:bidi w:val="0"/>
              <w:spacing w:line="360" w:lineRule="atLeast"/>
              <w:ind w:firstLine="0" w:firstLineChars="0"/>
              <w:rPr>
                <w:rFonts w:hint="eastAsia" w:ascii="宋体" w:hAnsi="宋体" w:eastAsia="宋体" w:cs="宋体"/>
                <w:b w:val="0"/>
                <w:i w:val="0"/>
                <w:kern w:val="2"/>
                <w:sz w:val="21"/>
                <w:szCs w:val="21"/>
                <w:lang w:val="en-US" w:eastAsia="zh-CN" w:bidi="ar-SA"/>
              </w:rPr>
            </w:pPr>
            <w:r>
              <w:rPr>
                <w:rFonts w:hint="eastAsia" w:ascii="宋体" w:hAnsi="宋体" w:eastAsia="宋体" w:cs="宋体"/>
                <w:b w:val="0"/>
                <w:i w:val="0"/>
                <w:sz w:val="21"/>
                <w:szCs w:val="21"/>
              </w:rPr>
              <w:t>M</w:t>
            </w:r>
            <w:r>
              <w:rPr>
                <w:rFonts w:hint="eastAsia" w:ascii="宋体" w:hAnsi="宋体" w:eastAsia="宋体" w:cs="宋体"/>
                <w:b w:val="0"/>
                <w:i w:val="0"/>
                <w:spacing w:val="-1"/>
                <w:sz w:val="21"/>
                <w:szCs w:val="21"/>
              </w:rPr>
              <w:t>56</w:t>
            </w:r>
          </w:p>
        </w:tc>
        <w:tc>
          <w:tcPr>
            <w:tcW w:w="75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4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81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83"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2"/>
                <w:sz w:val="21"/>
                <w:szCs w:val="21"/>
              </w:rPr>
              <w:t>900.</w:t>
            </w:r>
            <w:r>
              <w:rPr>
                <w:rFonts w:hint="eastAsia" w:ascii="宋体" w:hAnsi="宋体" w:eastAsia="宋体" w:cs="宋体"/>
                <w:spacing w:val="-1"/>
                <w:sz w:val="21"/>
                <w:szCs w:val="21"/>
              </w:rPr>
              <w:t>0</w:t>
            </w:r>
          </w:p>
        </w:tc>
        <w:tc>
          <w:tcPr>
            <w:tcW w:w="985"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pacing w:val="-4"/>
                <w:sz w:val="21"/>
                <w:szCs w:val="21"/>
              </w:rPr>
              <w:t>8</w:t>
            </w:r>
            <w:r>
              <w:rPr>
                <w:rFonts w:hint="eastAsia" w:ascii="宋体" w:hAnsi="宋体" w:eastAsia="宋体" w:cs="宋体"/>
                <w:spacing w:val="-3"/>
                <w:sz w:val="21"/>
                <w:szCs w:val="21"/>
              </w:rPr>
              <w:t>830</w:t>
            </w:r>
          </w:p>
        </w:tc>
        <w:tc>
          <w:tcPr>
            <w:tcW w:w="14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140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bl>
    <w:p>
      <w:pPr>
        <w:pStyle w:val="5"/>
        <w:bidi w:val="0"/>
        <w:rPr>
          <w:rFonts w:hint="eastAsia" w:ascii="宋体" w:hAnsi="宋体" w:eastAsia="宋体" w:cs="宋体"/>
        </w:rPr>
      </w:pPr>
      <w:r>
        <w:rPr>
          <w:rFonts w:hint="eastAsia" w:cs="宋体"/>
          <w:lang w:val="en-US" w:eastAsia="zh-CN"/>
        </w:rPr>
        <w:t>拆卸</w:t>
      </w:r>
      <w:r>
        <w:rPr>
          <w:rFonts w:hint="eastAsia" w:ascii="宋体" w:hAnsi="宋体" w:eastAsia="宋体" w:cs="宋体"/>
        </w:rPr>
        <w:t>装置注意事项</w:t>
      </w:r>
    </w:p>
    <w:p>
      <w:pPr>
        <w:bidi w:val="0"/>
        <w:rPr>
          <w:rFonts w:hint="eastAsia"/>
        </w:rPr>
      </w:pPr>
      <w:r>
        <w:rPr>
          <w:rFonts w:hint="eastAsia"/>
        </w:rPr>
        <w:t>安全装置不准或失灵，未经调整或修理，确认灵敏可靠，起重机不能使用，否则由此造成的一切后果，用户自行负责。</w:t>
      </w:r>
    </w:p>
    <w:p>
      <w:pPr>
        <w:bidi w:val="0"/>
        <w:rPr>
          <w:rFonts w:hint="eastAsia"/>
        </w:rPr>
      </w:pPr>
      <w:r>
        <w:rPr>
          <w:rFonts w:hint="eastAsia"/>
        </w:rPr>
        <w:t>安全装置是在操作人员失误情况下的自动保护装置，操作人员不能依赖安全装置，无安全意识而经常性重载作业或违章作业。</w:t>
      </w:r>
    </w:p>
    <w:p>
      <w:pPr>
        <w:bidi w:val="0"/>
        <w:rPr>
          <w:rFonts w:hint="eastAsia"/>
        </w:rPr>
      </w:pPr>
      <w:r>
        <w:rPr>
          <w:rFonts w:hint="eastAsia"/>
        </w:rPr>
        <w:t>经过培训，并由制造厂认可的人员才可调整塔机的安全装置。特别重要的是力矩限制器和起重量限制器，在没有合格的吊重砝码和测量工具时，不允许调整。</w:t>
      </w:r>
    </w:p>
    <w:p>
      <w:pPr>
        <w:bidi w:val="0"/>
        <w:rPr>
          <w:rFonts w:hint="eastAsia" w:ascii="宋体" w:hAnsi="宋体" w:eastAsia="宋体" w:cs="宋体"/>
        </w:rPr>
      </w:pPr>
      <w:r>
        <w:rPr>
          <w:rFonts w:hint="eastAsia"/>
        </w:rPr>
        <w:t>安全装置在使用中的检验和调整对使用中的安全装置有下列情况之一者，须进行检验和重调试验：正常使用的起重机，每周应对安全装置进行检验，发现不准确或失灵时；使用间隔一年后；安全装置工作性能有疑问时；转移工地时；长期停止使用重新使用时。</w:t>
      </w:r>
    </w:p>
    <w:p>
      <w:pPr>
        <w:pStyle w:val="2"/>
        <w:bidi w:val="0"/>
        <w:rPr>
          <w:rFonts w:hint="eastAsia"/>
        </w:rPr>
      </w:pPr>
      <w:bookmarkStart w:id="40" w:name="_Toc1783"/>
      <w:r>
        <w:rPr>
          <w:rFonts w:hint="eastAsia"/>
        </w:rPr>
        <w:t>质量控制措施</w:t>
      </w:r>
      <w:bookmarkEnd w:id="40"/>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1" w:name="_Toc4746"/>
      <w:r>
        <w:rPr>
          <w:rFonts w:hint="eastAsia" w:ascii="宋体" w:hAnsi="宋体" w:eastAsia="宋体" w:cs="宋体"/>
          <w:sz w:val="24"/>
          <w:szCs w:val="24"/>
        </w:rPr>
        <w:t>质量通病及质量通病预防</w:t>
      </w:r>
      <w:bookmarkEnd w:id="41"/>
    </w:p>
    <w:p>
      <w:pPr>
        <w:pStyle w:val="15"/>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Cs/>
          <w:snapToGrid w:val="0"/>
          <w:sz w:val="21"/>
          <w:szCs w:val="21"/>
        </w:rPr>
      </w:pPr>
      <w:r>
        <w:rPr>
          <w:rFonts w:hint="eastAsia" w:ascii="宋体" w:hAnsi="宋体" w:eastAsia="宋体" w:cs="宋体"/>
          <w:sz w:val="24"/>
          <w:szCs w:val="24"/>
        </w:rPr>
        <w:t>表5.</w:t>
      </w:r>
      <w:r>
        <w:rPr>
          <w:rFonts w:hint="eastAsia" w:ascii="宋体" w:hAnsi="宋体" w:eastAsia="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napToGrid w:val="0"/>
          <w:sz w:val="24"/>
          <w:szCs w:val="24"/>
        </w:rPr>
        <w:t>塔吊</w:t>
      </w:r>
      <w:r>
        <w:rPr>
          <w:rFonts w:hint="eastAsia" w:ascii="宋体" w:hAnsi="宋体" w:cs="宋体"/>
          <w:bCs/>
          <w:snapToGrid w:val="0"/>
          <w:sz w:val="24"/>
          <w:szCs w:val="24"/>
          <w:lang w:eastAsia="zh-CN"/>
        </w:rPr>
        <w:t>拆卸</w:t>
      </w:r>
      <w:r>
        <w:rPr>
          <w:rFonts w:hint="eastAsia" w:ascii="宋体" w:hAnsi="宋体" w:eastAsia="宋体" w:cs="宋体"/>
          <w:bCs/>
          <w:snapToGrid w:val="0"/>
          <w:sz w:val="24"/>
          <w:szCs w:val="24"/>
        </w:rPr>
        <w:t>质量通病预防措施</w:t>
      </w:r>
    </w:p>
    <w:tbl>
      <w:tblPr>
        <w:tblStyle w:val="42"/>
        <w:tblW w:w="95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80"/>
        <w:gridCol w:w="1308"/>
        <w:gridCol w:w="70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项次</w:t>
            </w:r>
          </w:p>
        </w:tc>
        <w:tc>
          <w:tcPr>
            <w:tcW w:w="1308"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质量通病</w:t>
            </w:r>
          </w:p>
        </w:tc>
        <w:tc>
          <w:tcPr>
            <w:tcW w:w="709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预防措施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308"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cs="宋体"/>
                <w:sz w:val="21"/>
                <w:szCs w:val="21"/>
                <w:lang w:eastAsia="zh-CN"/>
              </w:rPr>
              <w:t>拆卸</w:t>
            </w:r>
            <w:r>
              <w:rPr>
                <w:rFonts w:hint="eastAsia" w:ascii="宋体" w:hAnsi="宋体" w:eastAsia="宋体" w:cs="宋体"/>
                <w:sz w:val="21"/>
                <w:szCs w:val="21"/>
              </w:rPr>
              <w:t>作业前未对设备进行全面检查</w:t>
            </w:r>
          </w:p>
        </w:tc>
        <w:tc>
          <w:tcPr>
            <w:tcW w:w="7090"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在对整机进行</w:t>
            </w:r>
            <w:r>
              <w:rPr>
                <w:rFonts w:hint="eastAsia" w:cs="宋体"/>
                <w:sz w:val="21"/>
                <w:szCs w:val="21"/>
                <w:lang w:eastAsia="zh-CN"/>
              </w:rPr>
              <w:t>拆卸</w:t>
            </w:r>
            <w:r>
              <w:rPr>
                <w:rFonts w:hint="eastAsia" w:ascii="宋体" w:hAnsi="宋体" w:eastAsia="宋体" w:cs="宋体"/>
                <w:sz w:val="21"/>
                <w:szCs w:val="21"/>
              </w:rPr>
              <w:t>作前，</w:t>
            </w:r>
            <w:r>
              <w:rPr>
                <w:rFonts w:hint="eastAsia" w:cs="宋体"/>
                <w:sz w:val="21"/>
                <w:szCs w:val="21"/>
                <w:lang w:eastAsia="zh-CN"/>
              </w:rPr>
              <w:t>拆卸</w:t>
            </w:r>
            <w:r>
              <w:rPr>
                <w:rFonts w:hint="eastAsia" w:ascii="宋体" w:hAnsi="宋体" w:eastAsia="宋体" w:cs="宋体"/>
                <w:sz w:val="21"/>
                <w:szCs w:val="21"/>
              </w:rPr>
              <w:t>人员，尤其是</w:t>
            </w:r>
            <w:r>
              <w:rPr>
                <w:rFonts w:hint="eastAsia" w:cs="宋体"/>
                <w:sz w:val="21"/>
                <w:szCs w:val="21"/>
                <w:lang w:eastAsia="zh-CN"/>
              </w:rPr>
              <w:t>拆卸</w:t>
            </w:r>
            <w:r>
              <w:rPr>
                <w:rFonts w:hint="eastAsia" w:ascii="宋体" w:hAnsi="宋体" w:eastAsia="宋体" w:cs="宋体"/>
                <w:sz w:val="21"/>
                <w:szCs w:val="21"/>
              </w:rPr>
              <w:t>队的负责人应对塔吊进行全面的检查，确保钢结构无裂纹及不可恢复的塑性变形，焊缝无开裂现象，各安全装置齐全、有效，如发现问题应及时的采取措施，以免在塔吊</w:t>
            </w:r>
            <w:r>
              <w:rPr>
                <w:rFonts w:hint="eastAsia" w:cs="宋体"/>
                <w:sz w:val="21"/>
                <w:szCs w:val="21"/>
                <w:lang w:eastAsia="zh-CN"/>
              </w:rPr>
              <w:t>拆卸</w:t>
            </w:r>
            <w:r>
              <w:rPr>
                <w:rFonts w:hint="eastAsia" w:ascii="宋体" w:hAnsi="宋体" w:eastAsia="宋体" w:cs="宋体"/>
                <w:sz w:val="21"/>
                <w:szCs w:val="21"/>
              </w:rPr>
              <w:t>作过程中发生事故。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1308"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施工工艺</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粗糙</w:t>
            </w:r>
          </w:p>
        </w:tc>
        <w:tc>
          <w:tcPr>
            <w:tcW w:w="7090"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要求在施工准备阶段，技术人员在熟悉图纸、规范、标准的基础上，根据具体的施工条件，制定周密可行的施工技术措施。施工</w:t>
            </w:r>
            <w:r>
              <w:rPr>
                <w:rFonts w:hint="eastAsia" w:ascii="宋体" w:hAnsi="宋体" w:eastAsia="宋体" w:cs="宋体"/>
                <w:color w:val="000000" w:themeColor="text1"/>
                <w:sz w:val="21"/>
                <w:szCs w:val="21"/>
                <w14:textFill>
                  <w14:solidFill>
                    <w14:schemeClr w14:val="tx1"/>
                  </w14:solidFill>
                </w14:textFill>
              </w:rPr>
              <w:t>前做好技术交底工作，使每个施工人员都清楚</w:t>
            </w:r>
            <w:r>
              <w:rPr>
                <w:rFonts w:hint="eastAsia" w:cs="宋体"/>
                <w:color w:val="000000" w:themeColor="text1"/>
                <w:sz w:val="21"/>
                <w:szCs w:val="21"/>
                <w:lang w:eastAsia="zh-CN"/>
                <w14:textFill>
                  <w14:solidFill>
                    <w14:schemeClr w14:val="tx1"/>
                  </w14:solidFill>
                </w14:textFill>
              </w:rPr>
              <w:t>拆卸</w:t>
            </w:r>
            <w:r>
              <w:rPr>
                <w:rFonts w:hint="eastAsia" w:ascii="宋体" w:hAnsi="宋体" w:eastAsia="宋体" w:cs="宋体"/>
                <w:color w:val="000000" w:themeColor="text1"/>
                <w:sz w:val="21"/>
                <w:szCs w:val="21"/>
                <w14:textFill>
                  <w14:solidFill>
                    <w14:schemeClr w14:val="tx1"/>
                  </w14:solidFill>
                </w14:textFill>
              </w:rPr>
              <w:t>过程中需控制的质量标</w:t>
            </w:r>
            <w:r>
              <w:rPr>
                <w:rFonts w:hint="eastAsia" w:ascii="宋体" w:hAnsi="宋体" w:eastAsia="宋体" w:cs="宋体"/>
                <w:sz w:val="21"/>
                <w:szCs w:val="21"/>
              </w:rPr>
              <w:t>准。施工人员在熟悉各种构件的特点后，参考以往的施工经验，确定一套科学的施工方法，并在施工中不断总结经验，使施工方法日趋完善和合理。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1308"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吊索具未进行检查和使用不当</w:t>
            </w:r>
          </w:p>
        </w:tc>
        <w:tc>
          <w:tcPr>
            <w:tcW w:w="7090"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塔吊的</w:t>
            </w:r>
            <w:r>
              <w:rPr>
                <w:rFonts w:hint="eastAsia" w:cs="宋体"/>
                <w:sz w:val="21"/>
                <w:szCs w:val="21"/>
                <w:lang w:eastAsia="zh-CN"/>
              </w:rPr>
              <w:t>拆卸</w:t>
            </w:r>
            <w:r>
              <w:rPr>
                <w:rFonts w:hint="eastAsia" w:ascii="宋体" w:hAnsi="宋体" w:eastAsia="宋体" w:cs="宋体"/>
                <w:sz w:val="21"/>
                <w:szCs w:val="21"/>
              </w:rPr>
              <w:t>作业的吊装工具主要是钢丝绳和卡扣，在进行吊装作业前，应对各吊装的吊索具进行全面的检查，确保钢丝绳无断丝、断股现象，对已达到报废标准的应停止使用，卡具无严重变形和磨损。在进行部件吊装时，</w:t>
            </w:r>
            <w:r>
              <w:rPr>
                <w:rFonts w:hint="eastAsia" w:cs="宋体"/>
                <w:sz w:val="21"/>
                <w:szCs w:val="21"/>
                <w:lang w:eastAsia="zh-CN"/>
              </w:rPr>
              <w:t>拆卸</w:t>
            </w:r>
            <w:r>
              <w:rPr>
                <w:rFonts w:hint="eastAsia" w:ascii="宋体" w:hAnsi="宋体" w:eastAsia="宋体" w:cs="宋体"/>
                <w:sz w:val="21"/>
                <w:szCs w:val="21"/>
              </w:rPr>
              <w:t>队负责人首先要对待</w:t>
            </w:r>
            <w:r>
              <w:rPr>
                <w:rFonts w:hint="eastAsia" w:cs="宋体"/>
                <w:sz w:val="21"/>
                <w:szCs w:val="21"/>
                <w:lang w:eastAsia="zh-CN"/>
              </w:rPr>
              <w:t>拆卸</w:t>
            </w:r>
            <w:r>
              <w:rPr>
                <w:rFonts w:hint="eastAsia" w:ascii="宋体" w:hAnsi="宋体" w:eastAsia="宋体" w:cs="宋体"/>
                <w:sz w:val="21"/>
                <w:szCs w:val="21"/>
              </w:rPr>
              <w:t>部件的重量要非常清楚，尤其是重量较大的部件，严格按照施工的方案选用吊索具，保证6倍以上的安全系数。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color w:val="auto"/>
                <w:sz w:val="21"/>
                <w:szCs w:val="21"/>
                <w:lang w:val="en-US" w:eastAsia="zh-CN"/>
              </w:rPr>
            </w:pPr>
            <w:bookmarkStart w:id="42" w:name="_Toc533345492"/>
            <w:bookmarkStart w:id="43" w:name="_Toc22190"/>
            <w:r>
              <w:rPr>
                <w:rFonts w:hint="eastAsia" w:ascii="宋体" w:hAnsi="宋体" w:eastAsia="宋体" w:cs="宋体"/>
                <w:color w:val="auto"/>
                <w:sz w:val="21"/>
                <w:szCs w:val="21"/>
                <w:lang w:val="en-US" w:eastAsia="zh-CN"/>
              </w:rPr>
              <w:t>4</w:t>
            </w:r>
          </w:p>
        </w:tc>
        <w:tc>
          <w:tcPr>
            <w:tcW w:w="1308"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塔机刚性值、垂直度超标</w:t>
            </w:r>
          </w:p>
        </w:tc>
        <w:tc>
          <w:tcPr>
            <w:tcW w:w="7090" w:type="dxa"/>
            <w:tcBorders>
              <w:tl2br w:val="nil"/>
              <w:tr2bl w:val="nil"/>
            </w:tcBorders>
            <w:shd w:val="clear" w:color="auto" w:fill="auto"/>
            <w:vAlign w:val="center"/>
          </w:tcPr>
          <w:p>
            <w:pPr>
              <w:spacing w:line="360"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基础设计应充分考虑地勘数据，保证基础持力层达到基础设计的要求。</w:t>
            </w:r>
          </w:p>
          <w:p>
            <w:pPr>
              <w:spacing w:line="360"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塔机预埋件预埋时，需要可靠控制四个主弦杆的水平度，水平度不大于1/1000。</w:t>
            </w:r>
          </w:p>
          <w:p>
            <w:pPr>
              <w:spacing w:line="360" w:lineRule="auto"/>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SA"/>
              </w:rPr>
              <w:t>塔机附着时，通过调节附着装置，使附着以下部分的垂直度不超过千分之二，附着以上的部不超过千分之四。</w:t>
            </w:r>
          </w:p>
        </w:tc>
      </w:tr>
    </w:tbl>
    <w:p>
      <w:pPr>
        <w:pStyle w:val="3"/>
        <w:keepNext w:val="0"/>
        <w:pageBreakBefore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4" w:name="_Toc8445"/>
      <w:r>
        <w:rPr>
          <w:rFonts w:hint="eastAsia" w:ascii="宋体" w:hAnsi="宋体" w:eastAsia="宋体" w:cs="宋体"/>
          <w:sz w:val="24"/>
          <w:szCs w:val="24"/>
        </w:rPr>
        <w:t>质量保证措施</w:t>
      </w:r>
      <w:bookmarkEnd w:id="42"/>
      <w:bookmarkEnd w:id="43"/>
      <w:bookmarkEnd w:id="44"/>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为了保证塔吊</w:t>
      </w:r>
      <w:r>
        <w:rPr>
          <w:rFonts w:hint="eastAsia" w:cs="宋体"/>
          <w:sz w:val="24"/>
          <w:szCs w:val="24"/>
          <w:lang w:eastAsia="zh-CN"/>
        </w:rPr>
        <w:t>拆卸</w:t>
      </w:r>
      <w:r>
        <w:rPr>
          <w:rFonts w:hint="eastAsia" w:ascii="宋体" w:hAnsi="宋体" w:eastAsia="宋体" w:cs="宋体"/>
          <w:sz w:val="24"/>
          <w:szCs w:val="24"/>
        </w:rPr>
        <w:t>质量，树立良好的质量信誉，全面贯彻落实公司制定的质量管理作业文件，实现对施工过程的有效控制，特制定以下控制措施：</w:t>
      </w:r>
    </w:p>
    <w:p>
      <w:pPr>
        <w:pStyle w:val="4"/>
        <w:bidi w:val="0"/>
        <w:rPr>
          <w:rFonts w:hint="eastAsia" w:ascii="宋体" w:hAnsi="宋体" w:eastAsia="宋体" w:cs="宋体"/>
        </w:rPr>
      </w:pPr>
      <w:r>
        <w:rPr>
          <w:rFonts w:hint="eastAsia" w:ascii="宋体" w:hAnsi="宋体" w:eastAsia="宋体" w:cs="宋体"/>
        </w:rPr>
        <w:t>作业前由技术员及工长组织作业人员认真学习图纸、资料，了解作业技术要求，掌握作业方法和作业要领。同时宣传质量，提高意识，加强作业人员的工作责任心。</w:t>
      </w:r>
    </w:p>
    <w:p>
      <w:pPr>
        <w:pStyle w:val="4"/>
        <w:bidi w:val="0"/>
        <w:rPr>
          <w:rFonts w:hint="eastAsia" w:ascii="宋体" w:hAnsi="宋体" w:eastAsia="宋体" w:cs="宋体"/>
        </w:rPr>
      </w:pPr>
      <w:r>
        <w:rPr>
          <w:rFonts w:hint="eastAsia" w:ascii="宋体" w:hAnsi="宋体" w:eastAsia="宋体" w:cs="宋体"/>
        </w:rPr>
        <w:t>对重要工序的作业方法、作业要领，应进行作业前的施工技术培训。</w:t>
      </w:r>
    </w:p>
    <w:p>
      <w:pPr>
        <w:pStyle w:val="4"/>
        <w:bidi w:val="0"/>
        <w:rPr>
          <w:rFonts w:hint="eastAsia" w:ascii="宋体" w:hAnsi="宋体" w:eastAsia="宋体" w:cs="宋体"/>
        </w:rPr>
      </w:pPr>
      <w:r>
        <w:rPr>
          <w:rFonts w:hint="eastAsia" w:ascii="宋体" w:hAnsi="宋体" w:eastAsia="宋体" w:cs="宋体"/>
        </w:rPr>
        <w:t>认真做好作业前的技术交底工作，使每个作业人员充分的理解施工工艺和技术要求，达到作业人员对工作心中有数，交底后必须双方签字。</w:t>
      </w:r>
    </w:p>
    <w:p>
      <w:pPr>
        <w:pStyle w:val="4"/>
        <w:bidi w:val="0"/>
        <w:rPr>
          <w:rFonts w:hint="eastAsia" w:ascii="宋体" w:hAnsi="宋体" w:eastAsia="宋体" w:cs="宋体"/>
          <w:sz w:val="24"/>
          <w:szCs w:val="24"/>
        </w:rPr>
      </w:pPr>
      <w:r>
        <w:rPr>
          <w:rFonts w:hint="eastAsia" w:ascii="宋体" w:hAnsi="宋体" w:eastAsia="宋体" w:cs="宋体"/>
          <w:sz w:val="24"/>
          <w:szCs w:val="24"/>
        </w:rPr>
        <w:t>班长和</w:t>
      </w:r>
      <w:r>
        <w:rPr>
          <w:rFonts w:hint="eastAsia" w:ascii="宋体" w:hAnsi="宋体" w:eastAsia="宋体" w:cs="宋体"/>
          <w:color w:val="000000" w:themeColor="text1"/>
          <w:sz w:val="24"/>
          <w:szCs w:val="24"/>
          <w14:textFill>
            <w14:solidFill>
              <w14:schemeClr w14:val="tx1"/>
            </w14:solidFill>
          </w14:textFill>
        </w:rPr>
        <w:t>安全员认真做好作业过程的质量监督控制，确保每一道工序的施工质量以及工序间合理衔接，不留缺陷，不留尾工，认真做好</w:t>
      </w:r>
      <w:r>
        <w:rPr>
          <w:rFonts w:hint="eastAsia" w:ascii="宋体" w:hAnsi="宋体" w:eastAsia="宋体" w:cs="宋体"/>
          <w:sz w:val="24"/>
          <w:szCs w:val="24"/>
        </w:rPr>
        <w:t>作业后的自检工作。</w:t>
      </w:r>
    </w:p>
    <w:p>
      <w:pPr>
        <w:pStyle w:val="4"/>
        <w:bidi w:val="0"/>
        <w:rPr>
          <w:rFonts w:hint="eastAsia" w:ascii="宋体" w:hAnsi="宋体" w:eastAsia="宋体" w:cs="宋体"/>
        </w:rPr>
      </w:pPr>
      <w:r>
        <w:rPr>
          <w:rFonts w:hint="eastAsia" w:ascii="宋体" w:hAnsi="宋体" w:eastAsia="宋体" w:cs="宋体"/>
        </w:rPr>
        <w:t>对作业中容易发生的质量问题，作业前做出预测，并采取有效的、可操作的预防措施，消除施工质量缺陷。</w:t>
      </w:r>
    </w:p>
    <w:p>
      <w:pPr>
        <w:pStyle w:val="4"/>
        <w:bidi w:val="0"/>
        <w:rPr>
          <w:rFonts w:hint="eastAsia" w:ascii="宋体" w:hAnsi="宋体" w:eastAsia="宋体" w:cs="宋体"/>
        </w:rPr>
      </w:pPr>
      <w:r>
        <w:rPr>
          <w:rFonts w:hint="eastAsia" w:ascii="宋体" w:hAnsi="宋体" w:eastAsia="宋体" w:cs="宋体"/>
        </w:rPr>
        <w:t>作业中发现设备缺陷或施工质量问题，及时向技术员提出并采取措施后进行处理。重大质量问题必须停工，待提出处理意见或制定整改措施后方可进行整改。</w:t>
      </w:r>
    </w:p>
    <w:p>
      <w:pPr>
        <w:pStyle w:val="4"/>
        <w:bidi w:val="0"/>
        <w:rPr>
          <w:rFonts w:hint="eastAsia" w:ascii="宋体" w:hAnsi="宋体" w:eastAsia="宋体" w:cs="宋体"/>
        </w:rPr>
      </w:pPr>
      <w:r>
        <w:rPr>
          <w:rFonts w:hint="eastAsia" w:ascii="宋体" w:hAnsi="宋体" w:eastAsia="宋体" w:cs="宋体"/>
        </w:rPr>
        <w:t>积极配合项目部工程管理部门和监理的质检工作，对查出的质量问题积极并及时的进行处理。</w:t>
      </w:r>
    </w:p>
    <w:p>
      <w:pPr>
        <w:pStyle w:val="3"/>
        <w:keepNext w:val="0"/>
        <w:pageBreakBefore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5" w:name="_Toc3283"/>
      <w:r>
        <w:rPr>
          <w:rFonts w:hint="eastAsia" w:ascii="宋体" w:hAnsi="宋体" w:eastAsia="宋体" w:cs="宋体"/>
          <w:sz w:val="24"/>
          <w:szCs w:val="24"/>
        </w:rPr>
        <w:t>作业过程中控制点的设置</w:t>
      </w:r>
      <w:bookmarkEnd w:id="45"/>
    </w:p>
    <w:p>
      <w:pPr>
        <w:pStyle w:val="15"/>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1"/>
          <w:szCs w:val="21"/>
        </w:rPr>
      </w:pPr>
      <w:r>
        <w:rPr>
          <w:rFonts w:hint="eastAsia" w:ascii="宋体" w:hAnsi="宋体" w:eastAsia="宋体" w:cs="宋体"/>
          <w:sz w:val="24"/>
          <w:szCs w:val="24"/>
        </w:rPr>
        <w:t>表5.</w:t>
      </w:r>
      <w:r>
        <w:rPr>
          <w:rFonts w:hint="eastAsia" w:ascii="宋体" w:hAnsi="宋体" w:eastAsia="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关键控制点设置</w:t>
      </w:r>
    </w:p>
    <w:tbl>
      <w:tblPr>
        <w:tblStyle w:val="42"/>
        <w:tblW w:w="95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74"/>
        <w:gridCol w:w="3895"/>
        <w:gridCol w:w="810"/>
        <w:gridCol w:w="949"/>
        <w:gridCol w:w="954"/>
        <w:gridCol w:w="701"/>
        <w:gridCol w:w="8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895" w:type="dxa"/>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作业控制点</w:t>
            </w:r>
          </w:p>
        </w:tc>
        <w:tc>
          <w:tcPr>
            <w:tcW w:w="3414" w:type="dxa"/>
            <w:gridSpan w:val="4"/>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检验单位</w:t>
            </w:r>
          </w:p>
        </w:tc>
        <w:tc>
          <w:tcPr>
            <w:tcW w:w="854" w:type="dxa"/>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见证</w:t>
            </w:r>
          </w:p>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74" w:type="dxa"/>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3895" w:type="dxa"/>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81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班组</w:t>
            </w:r>
          </w:p>
        </w:tc>
        <w:tc>
          <w:tcPr>
            <w:tcW w:w="949"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专业</w:t>
            </w:r>
          </w:p>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公司</w:t>
            </w:r>
          </w:p>
        </w:tc>
        <w:tc>
          <w:tcPr>
            <w:tcW w:w="9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项目质检部门</w:t>
            </w:r>
          </w:p>
        </w:tc>
        <w:tc>
          <w:tcPr>
            <w:tcW w:w="70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监理</w:t>
            </w:r>
          </w:p>
        </w:tc>
        <w:tc>
          <w:tcPr>
            <w:tcW w:w="854" w:type="dxa"/>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3895"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施工中防止部件磕碰和交叉作业现象</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R</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3895"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作业工机具、卡索具完好无损，无人员、设备损伤</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3895"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各组件、零部件安全顺利</w:t>
            </w:r>
            <w:r>
              <w:rPr>
                <w:rFonts w:hint="eastAsia" w:cs="宋体"/>
                <w:sz w:val="21"/>
                <w:szCs w:val="21"/>
                <w:lang w:eastAsia="zh-CN"/>
              </w:rPr>
              <w:t>拆卸</w:t>
            </w:r>
            <w:r>
              <w:rPr>
                <w:rFonts w:hint="eastAsia" w:ascii="宋体" w:hAnsi="宋体" w:eastAsia="宋体" w:cs="宋体"/>
                <w:sz w:val="21"/>
                <w:szCs w:val="21"/>
              </w:rPr>
              <w:t>、</w:t>
            </w:r>
            <w:r>
              <w:rPr>
                <w:rFonts w:hint="eastAsia" w:cs="宋体"/>
                <w:sz w:val="21"/>
                <w:szCs w:val="21"/>
                <w:lang w:eastAsia="zh-CN"/>
              </w:rPr>
              <w:t>拆卸</w:t>
            </w:r>
            <w:r>
              <w:rPr>
                <w:rFonts w:hint="eastAsia" w:ascii="宋体" w:hAnsi="宋体" w:eastAsia="宋体" w:cs="宋体"/>
                <w:sz w:val="21"/>
                <w:szCs w:val="21"/>
              </w:rPr>
              <w:t>，无损坏或变形</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3895"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做好各组件、零部件</w:t>
            </w:r>
            <w:r>
              <w:rPr>
                <w:rFonts w:hint="eastAsia" w:cs="宋体"/>
                <w:sz w:val="21"/>
                <w:szCs w:val="21"/>
                <w:lang w:eastAsia="zh-CN"/>
              </w:rPr>
              <w:t>拆卸</w:t>
            </w:r>
            <w:r>
              <w:rPr>
                <w:rFonts w:hint="eastAsia" w:ascii="宋体" w:hAnsi="宋体" w:eastAsia="宋体" w:cs="宋体"/>
                <w:sz w:val="21"/>
                <w:szCs w:val="21"/>
              </w:rPr>
              <w:t>后清点、整理和存放工作。</w:t>
            </w:r>
          </w:p>
        </w:tc>
        <w:tc>
          <w:tcPr>
            <w:tcW w:w="81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3895" w:type="dxa"/>
            <w:tcBorders>
              <w:tl2br w:val="nil"/>
              <w:tr2bl w:val="nil"/>
            </w:tcBorders>
            <w:shd w:val="clear" w:color="auto" w:fill="auto"/>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作业方法应该按照说明书和本方案要求严格执行</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R</w:t>
            </w:r>
          </w:p>
        </w:tc>
      </w:tr>
    </w:tbl>
    <w:p>
      <w:pPr>
        <w:keepNext w:val="0"/>
        <w:widowControl w:val="0"/>
        <w:kinsoku/>
        <w:overflowPunct/>
        <w:topLinePunct w:val="0"/>
        <w:autoSpaceDE/>
        <w:autoSpaceDN/>
        <w:bidi w:val="0"/>
        <w:adjustRightInd/>
        <w:snapToGrid/>
        <w:spacing w:line="480" w:lineRule="atLeast"/>
        <w:ind w:firstLine="440"/>
        <w:textAlignment w:val="auto"/>
        <w:rPr>
          <w:rFonts w:hint="eastAsia" w:ascii="宋体" w:hAnsi="宋体" w:eastAsia="宋体" w:cs="宋体"/>
          <w:sz w:val="24"/>
          <w:szCs w:val="24"/>
        </w:rPr>
      </w:pPr>
      <w:r>
        <w:rPr>
          <w:rFonts w:hint="eastAsia" w:ascii="宋体" w:hAnsi="宋体" w:eastAsia="宋体" w:cs="宋体"/>
          <w:sz w:val="24"/>
          <w:szCs w:val="24"/>
        </w:rPr>
        <w:t>见证方式:R－记录确认点；W－见证点；H－停工待检点；S－连续监视监护</w:t>
      </w:r>
    </w:p>
    <w:p>
      <w:pPr>
        <w:pStyle w:val="2"/>
        <w:keepNext w:val="0"/>
        <w:widowControl w:val="0"/>
        <w:numPr>
          <w:ilvl w:val="0"/>
          <w:numId w:val="18"/>
        </w:numPr>
        <w:kinsoku/>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6" w:name="_Toc17332"/>
      <w:r>
        <w:rPr>
          <w:rFonts w:hint="eastAsia" w:ascii="宋体" w:hAnsi="宋体" w:eastAsia="宋体" w:cs="宋体"/>
          <w:sz w:val="24"/>
          <w:szCs w:val="24"/>
        </w:rPr>
        <w:t>施工安全保障措施</w:t>
      </w:r>
      <w:bookmarkEnd w:id="46"/>
    </w:p>
    <w:p>
      <w:pPr>
        <w:pStyle w:val="3"/>
        <w:keepNext w:val="0"/>
        <w:widowControl w:val="0"/>
        <w:numPr>
          <w:ilvl w:val="1"/>
          <w:numId w:val="18"/>
        </w:numPr>
        <w:tabs>
          <w:tab w:val="left" w:pos="420"/>
        </w:tabs>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47" w:name="_Toc122514838"/>
      <w:bookmarkStart w:id="48" w:name="_Toc12314"/>
      <w:r>
        <w:rPr>
          <w:rFonts w:hint="eastAsia" w:ascii="宋体" w:hAnsi="宋体" w:eastAsia="宋体" w:cs="宋体"/>
          <w:sz w:val="24"/>
          <w:szCs w:val="24"/>
        </w:rPr>
        <w:t>组织保障措施</w:t>
      </w:r>
      <w:bookmarkEnd w:id="47"/>
      <w:bookmarkEnd w:id="48"/>
    </w:p>
    <w:p>
      <w:pPr>
        <w:pStyle w:val="4"/>
        <w:keepNext w:val="0"/>
        <w:widowControl w:val="0"/>
        <w:numPr>
          <w:ilvl w:val="2"/>
          <w:numId w:val="18"/>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49" w:name="_Toc48"/>
      <w:bookmarkStart w:id="50" w:name="_Toc9269"/>
      <w:bookmarkStart w:id="51" w:name="_Toc25817"/>
      <w:bookmarkStart w:id="52" w:name="_Toc27838935"/>
      <w:bookmarkStart w:id="53" w:name="_Toc499850192"/>
      <w:bookmarkStart w:id="54" w:name="_Toc25637"/>
      <w:bookmarkStart w:id="55" w:name="_Toc8188"/>
      <w:bookmarkStart w:id="56" w:name="_Toc499370314"/>
      <w:bookmarkStart w:id="57" w:name="_Toc18608"/>
      <w:r>
        <w:rPr>
          <w:rFonts w:hint="eastAsia" w:ascii="宋体" w:hAnsi="宋体" w:eastAsia="宋体" w:cs="宋体"/>
          <w:sz w:val="24"/>
          <w:szCs w:val="24"/>
        </w:rPr>
        <w:t>安全</w:t>
      </w:r>
      <w:bookmarkEnd w:id="49"/>
      <w:r>
        <w:rPr>
          <w:rFonts w:hint="eastAsia" w:ascii="宋体" w:hAnsi="宋体" w:eastAsia="宋体" w:cs="宋体"/>
          <w:sz w:val="24"/>
          <w:szCs w:val="24"/>
        </w:rPr>
        <w:t>生产组织机构</w:t>
      </w:r>
      <w:bookmarkEnd w:id="50"/>
      <w:bookmarkEnd w:id="51"/>
      <w:bookmarkEnd w:id="52"/>
      <w:bookmarkEnd w:id="53"/>
      <w:bookmarkEnd w:id="54"/>
      <w:bookmarkEnd w:id="55"/>
      <w:bookmarkEnd w:id="56"/>
      <w:bookmarkEnd w:id="57"/>
    </w:p>
    <w:p>
      <w:pPr>
        <w:bidi w:val="0"/>
        <w:rPr>
          <w:rFonts w:hint="eastAsia"/>
        </w:rPr>
      </w:pPr>
      <w:r>
        <w:rPr>
          <w:rFonts w:hint="eastAsia"/>
        </w:rPr>
        <w:t>设置以项目经理为第一安全责任人的安全生产管理机构，建立由项目经理、书记任组长、其他项目班子成员任副组长，由安全管理部牵头、项目部相关职能部门、各工区、班组</w:t>
      </w:r>
      <w:r>
        <w:rPr>
          <w:rFonts w:hint="eastAsia"/>
          <w:lang w:eastAsia="zh-CN"/>
        </w:rPr>
        <w:t>、</w:t>
      </w:r>
      <w:r>
        <w:rPr>
          <w:rFonts w:hint="eastAsia"/>
          <w:lang w:val="en-US" w:eastAsia="zh-CN"/>
        </w:rPr>
        <w:t>拆卸单位</w:t>
      </w:r>
      <w:r>
        <w:rPr>
          <w:rFonts w:hint="eastAsia"/>
        </w:rPr>
        <w:t>负责人为成员的安全生产领导小组。安全生产领导小组的活动贯穿于项目管理、施工技术管理、施工现场管理的全过程。</w:t>
      </w:r>
    </w:p>
    <w:p>
      <w:pPr>
        <w:pStyle w:val="4"/>
        <w:keepNext w:val="0"/>
        <w:widowControl w:val="0"/>
        <w:numPr>
          <w:ilvl w:val="2"/>
          <w:numId w:val="18"/>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58" w:name="_Toc27838938"/>
      <w:r>
        <w:rPr>
          <w:rFonts w:hint="eastAsia" w:ascii="宋体" w:hAnsi="宋体" w:eastAsia="宋体" w:cs="宋体"/>
          <w:sz w:val="24"/>
          <w:szCs w:val="24"/>
        </w:rPr>
        <w:t>制度保证措施</w:t>
      </w:r>
      <w:bookmarkEnd w:id="58"/>
    </w:p>
    <w:p>
      <w:pPr>
        <w:pStyle w:val="5"/>
        <w:bidi w:val="0"/>
        <w:rPr>
          <w:rFonts w:hint="eastAsia" w:ascii="宋体" w:hAnsi="宋体" w:eastAsia="宋体" w:cs="宋体"/>
        </w:rPr>
      </w:pPr>
      <w:bookmarkStart w:id="59" w:name="_Toc23891"/>
      <w:bookmarkStart w:id="60" w:name="_Toc27838939"/>
      <w:r>
        <w:rPr>
          <w:rFonts w:hint="eastAsia" w:ascii="宋体" w:hAnsi="宋体" w:eastAsia="宋体" w:cs="宋体"/>
        </w:rPr>
        <w:t>严格执行安全生产教育与培训制度，分项工程开工前，对参建人员进行岗前安全教育培训，经培训考试合格后方可上岗。</w:t>
      </w:r>
    </w:p>
    <w:p>
      <w:pPr>
        <w:pStyle w:val="5"/>
        <w:bidi w:val="0"/>
        <w:rPr>
          <w:rFonts w:hint="eastAsia" w:ascii="宋体" w:hAnsi="宋体" w:eastAsia="宋体" w:cs="宋体"/>
        </w:rPr>
      </w:pPr>
      <w:r>
        <w:rPr>
          <w:rFonts w:hint="eastAsia" w:ascii="宋体" w:hAnsi="宋体" w:eastAsia="宋体" w:cs="宋体"/>
        </w:rPr>
        <w:t>严格执行特殊工种持证上岗制度，分项工程开工前，对特种作业人员进行专业安全培训，取得相应资格证书后，持证上岗。</w:t>
      </w:r>
    </w:p>
    <w:p>
      <w:pPr>
        <w:pStyle w:val="5"/>
        <w:bidi w:val="0"/>
        <w:rPr>
          <w:rFonts w:hint="eastAsia" w:ascii="宋体" w:hAnsi="宋体" w:eastAsia="宋体" w:cs="宋体"/>
        </w:rPr>
      </w:pPr>
      <w:r>
        <w:rPr>
          <w:rFonts w:hint="eastAsia" w:ascii="宋体" w:hAnsi="宋体" w:eastAsia="宋体" w:cs="宋体"/>
        </w:rPr>
        <w:t>严格执行安全技术交底制度，使作业人员能了解作业过程中可能存在的事故隐患，交底采用书面安全技术交底和现场安全技术交底相结合的方式。</w:t>
      </w:r>
    </w:p>
    <w:p>
      <w:pPr>
        <w:pStyle w:val="5"/>
        <w:bidi w:val="0"/>
        <w:rPr>
          <w:rFonts w:hint="eastAsia" w:ascii="宋体" w:hAnsi="宋体" w:eastAsia="宋体" w:cs="宋体"/>
        </w:rPr>
      </w:pPr>
      <w:r>
        <w:rPr>
          <w:rFonts w:hint="eastAsia" w:ascii="宋体" w:hAnsi="宋体" w:eastAsia="宋体" w:cs="宋体"/>
        </w:rPr>
        <w:t>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pPr>
        <w:pStyle w:val="5"/>
        <w:bidi w:val="0"/>
        <w:rPr>
          <w:rFonts w:hint="eastAsia" w:ascii="宋体" w:hAnsi="宋体" w:eastAsia="宋体" w:cs="宋体"/>
        </w:rPr>
      </w:pPr>
      <w:r>
        <w:rPr>
          <w:rFonts w:hint="eastAsia" w:ascii="宋体" w:hAnsi="宋体" w:eastAsia="宋体" w:cs="宋体"/>
        </w:rPr>
        <w:t>执行施工许可制度，分项工程开工前，针对工程实际编制切实可行的安全措施计划，并限期实施，没有安全保障措施时工程不得开工。</w:t>
      </w:r>
    </w:p>
    <w:p>
      <w:pPr>
        <w:pStyle w:val="5"/>
        <w:bidi w:val="0"/>
        <w:rPr>
          <w:rFonts w:hint="eastAsia" w:ascii="宋体" w:hAnsi="宋体" w:eastAsia="宋体" w:cs="宋体"/>
        </w:rPr>
      </w:pPr>
      <w:r>
        <w:rPr>
          <w:rFonts w:hint="eastAsia" w:ascii="宋体" w:hAnsi="宋体" w:eastAsia="宋体" w:cs="宋体"/>
        </w:rPr>
        <w:t>实行安全例会制度，每周召开一次安全会议，决定安全生产的重大事项；每周进行一次安全检查，并随时召开部门安全会议，检查总结一周的安全工作，贯彻安全领导小组的决定，落实整改措施。</w:t>
      </w:r>
    </w:p>
    <w:p>
      <w:pPr>
        <w:pStyle w:val="5"/>
        <w:bidi w:val="0"/>
        <w:rPr>
          <w:rFonts w:hint="eastAsia" w:ascii="宋体" w:hAnsi="宋体" w:eastAsia="宋体" w:cs="宋体"/>
        </w:rPr>
      </w:pPr>
      <w:r>
        <w:rPr>
          <w:rFonts w:hint="eastAsia" w:ascii="宋体" w:hAnsi="宋体" w:eastAsia="宋体" w:cs="宋体"/>
        </w:rPr>
        <w:t>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pPr>
        <w:pStyle w:val="5"/>
        <w:bidi w:val="0"/>
        <w:rPr>
          <w:rFonts w:hint="eastAsia" w:ascii="宋体" w:hAnsi="宋体" w:eastAsia="宋体" w:cs="宋体"/>
        </w:rPr>
      </w:pPr>
      <w:r>
        <w:rPr>
          <w:rFonts w:hint="eastAsia" w:ascii="宋体" w:hAnsi="宋体" w:eastAsia="宋体" w:cs="宋体"/>
        </w:rPr>
        <w:t>实行安全目标管理，层层分解落实安全指标，严格执行与经济挂钩的奖惩制度，坚决实施安全一票否决权制度。</w:t>
      </w:r>
    </w:p>
    <w:p>
      <w:pPr>
        <w:pStyle w:val="5"/>
        <w:bidi w:val="0"/>
        <w:rPr>
          <w:rFonts w:hint="eastAsia" w:ascii="宋体" w:hAnsi="宋体" w:eastAsia="宋体" w:cs="宋体"/>
        </w:rPr>
      </w:pPr>
      <w:r>
        <w:rPr>
          <w:rFonts w:hint="eastAsia" w:ascii="宋体" w:hAnsi="宋体" w:eastAsia="宋体" w:cs="宋体"/>
        </w:rPr>
        <w:t>严格执行危险作业许可证制度，以控制和消除各类危险作业的风险，保障危险作业的安全进行。</w:t>
      </w:r>
    </w:p>
    <w:bookmarkEnd w:id="59"/>
    <w:bookmarkEnd w:id="60"/>
    <w:p>
      <w:pPr>
        <w:pStyle w:val="3"/>
        <w:keepNext w:val="0"/>
        <w:widowControl w:val="0"/>
        <w:numPr>
          <w:ilvl w:val="1"/>
          <w:numId w:val="18"/>
        </w:numPr>
        <w:tabs>
          <w:tab w:val="left" w:pos="420"/>
        </w:tabs>
        <w:kinsoku/>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61" w:name="_Toc30525"/>
      <w:r>
        <w:rPr>
          <w:rFonts w:hint="eastAsia" w:ascii="宋体" w:hAnsi="宋体" w:eastAsia="宋体" w:cs="宋体"/>
          <w:sz w:val="24"/>
          <w:szCs w:val="24"/>
        </w:rPr>
        <w:t>施工安全技术措施</w:t>
      </w:r>
      <w:bookmarkEnd w:id="61"/>
    </w:p>
    <w:p>
      <w:pPr>
        <w:pStyle w:val="4"/>
        <w:keepNext w:val="0"/>
        <w:widowControl w:val="0"/>
        <w:numPr>
          <w:ilvl w:val="2"/>
          <w:numId w:val="18"/>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安全方针及基本要求</w:t>
      </w:r>
    </w:p>
    <w:p>
      <w:pPr>
        <w:pStyle w:val="5"/>
        <w:bidi w:val="0"/>
        <w:rPr>
          <w:rFonts w:hint="eastAsia" w:ascii="宋体" w:hAnsi="宋体" w:eastAsia="宋体" w:cs="宋体"/>
        </w:rPr>
      </w:pPr>
      <w:r>
        <w:rPr>
          <w:rFonts w:hint="eastAsia" w:ascii="宋体" w:hAnsi="宋体" w:eastAsia="宋体" w:cs="宋体"/>
        </w:rPr>
        <w:t>认真贯彻执行、落实国家“安全第一、预防为主、综合治理”的方针，严格执行国家、地方及企业安全技术规范、规章、制度，牢固树立“安全第一”的思想，坚持预防为主的方针，落实安全生产责任制。</w:t>
      </w:r>
    </w:p>
    <w:p>
      <w:pPr>
        <w:pStyle w:val="5"/>
        <w:bidi w:val="0"/>
        <w:rPr>
          <w:rFonts w:hint="eastAsia" w:ascii="宋体" w:hAnsi="宋体" w:eastAsia="宋体" w:cs="宋体"/>
        </w:rPr>
      </w:pPr>
      <w:r>
        <w:rPr>
          <w:rFonts w:hint="eastAsia" w:ascii="宋体" w:hAnsi="宋体" w:eastAsia="宋体" w:cs="宋体"/>
        </w:rPr>
        <w:t>建立落实安全技术交底制度，各级交底必须履行签字手续。认真做好安全检查，做到有制度，有记录。</w:t>
      </w:r>
    </w:p>
    <w:p>
      <w:pPr>
        <w:pStyle w:val="5"/>
        <w:bidi w:val="0"/>
        <w:rPr>
          <w:rFonts w:hint="eastAsia" w:ascii="宋体" w:hAnsi="宋体" w:eastAsia="宋体" w:cs="宋体"/>
        </w:rPr>
      </w:pPr>
      <w:r>
        <w:rPr>
          <w:rFonts w:hint="eastAsia" w:ascii="宋体" w:hAnsi="宋体" w:eastAsia="宋体" w:cs="宋体"/>
          <w:lang w:val="en-US" w:eastAsia="zh-CN"/>
        </w:rPr>
        <w:t>特种作业人员</w:t>
      </w:r>
      <w:r>
        <w:rPr>
          <w:rFonts w:hint="eastAsia" w:ascii="宋体" w:hAnsi="宋体" w:eastAsia="宋体" w:cs="宋体"/>
        </w:rPr>
        <w:t>必须持证上岗。</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施工区域必须有安全距离，并设安全警示标志，专人负责危险区域警戒告示。</w:t>
      </w:r>
    </w:p>
    <w:p>
      <w:pPr>
        <w:pStyle w:val="5"/>
        <w:bidi w:val="0"/>
        <w:rPr>
          <w:rFonts w:hint="eastAsia" w:ascii="宋体" w:hAnsi="宋体" w:eastAsia="宋体" w:cs="宋体"/>
        </w:rPr>
      </w:pPr>
      <w:r>
        <w:rPr>
          <w:rFonts w:hint="eastAsia" w:ascii="宋体" w:hAnsi="宋体" w:eastAsia="宋体" w:cs="宋体"/>
        </w:rPr>
        <w:t>确保文明施工，实行统一领导，分工责任，做到现场文明施工。</w:t>
      </w:r>
    </w:p>
    <w:p>
      <w:pPr>
        <w:pStyle w:val="4"/>
        <w:bidi w:val="0"/>
        <w:rPr>
          <w:rFonts w:hint="eastAsia" w:ascii="宋体" w:hAnsi="宋体" w:eastAsia="宋体" w:cs="宋体"/>
        </w:rPr>
      </w:pPr>
      <w:bookmarkStart w:id="62" w:name="_Toc530055690"/>
      <w:r>
        <w:rPr>
          <w:rFonts w:hint="eastAsia" w:ascii="宋体" w:hAnsi="宋体" w:eastAsia="宋体" w:cs="宋体"/>
        </w:rPr>
        <w:t>作业安全规定</w:t>
      </w:r>
    </w:p>
    <w:bookmarkEnd w:id="62"/>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患高血压、心脏病、贫血病、癫痫病以及其它不适于高空作业的不得从事高空</w:t>
      </w:r>
      <w:r>
        <w:rPr>
          <w:rFonts w:hint="eastAsia" w:ascii="宋体" w:hAnsi="宋体" w:eastAsia="宋体" w:cs="宋体"/>
          <w:color w:val="000000" w:themeColor="text1"/>
          <w:sz w:val="24"/>
          <w:szCs w:val="24"/>
          <w14:textFill>
            <w14:solidFill>
              <w14:schemeClr w14:val="tx1"/>
            </w14:solidFill>
          </w14:textFill>
        </w:rPr>
        <w:t>作业；</w:t>
      </w:r>
    </w:p>
    <w:p>
      <w:pPr>
        <w:pStyle w:val="5"/>
        <w:bidi w:val="0"/>
        <w:rPr>
          <w:rFonts w:hint="eastAsia" w:ascii="宋体" w:hAnsi="宋体" w:eastAsia="宋体" w:cs="宋体"/>
        </w:rPr>
      </w:pPr>
      <w:r>
        <w:rPr>
          <w:rFonts w:hint="eastAsia" w:ascii="宋体" w:hAnsi="宋体" w:eastAsia="宋体" w:cs="宋体"/>
        </w:rPr>
        <w:t>高空作业衣着要灵便，禁止穿硬底和带钉易滑的鞋。衣服袖口、裤脚口要扎紧。</w:t>
      </w:r>
    </w:p>
    <w:p>
      <w:pPr>
        <w:pStyle w:val="5"/>
        <w:bidi w:val="0"/>
        <w:rPr>
          <w:rFonts w:hint="eastAsia" w:ascii="宋体" w:hAnsi="宋体" w:eastAsia="宋体" w:cs="宋体"/>
        </w:rPr>
      </w:pPr>
      <w:r>
        <w:rPr>
          <w:rFonts w:hint="eastAsia" w:ascii="宋体" w:hAnsi="宋体" w:eastAsia="宋体" w:cs="宋体"/>
        </w:rPr>
        <w:t>在2m以上登高作业时，应使用安全带拴牢在固定物上，使用安全带前必须仔细检查绳带是否够力，带环是否牢固。</w:t>
      </w:r>
    </w:p>
    <w:p>
      <w:pPr>
        <w:pStyle w:val="5"/>
        <w:bidi w:val="0"/>
        <w:rPr>
          <w:rFonts w:hint="eastAsia" w:ascii="宋体" w:hAnsi="宋体" w:eastAsia="宋体" w:cs="宋体"/>
        </w:rPr>
      </w:pPr>
      <w:r>
        <w:rPr>
          <w:rFonts w:hint="eastAsia" w:ascii="宋体" w:hAnsi="宋体" w:eastAsia="宋体" w:cs="宋体"/>
        </w:rPr>
        <w:t>登高作业注意力要集中，不得开玩笑，不得快跑急跳，以防失足，从高空中滑落。</w:t>
      </w:r>
    </w:p>
    <w:p>
      <w:pPr>
        <w:pStyle w:val="5"/>
        <w:bidi w:val="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高空作业用材料要堆放平稳，工具应随手放入工</w:t>
      </w:r>
      <w:r>
        <w:rPr>
          <w:rFonts w:hint="eastAsia" w:ascii="宋体" w:hAnsi="宋体" w:eastAsia="宋体" w:cs="宋体"/>
          <w:sz w:val="24"/>
          <w:szCs w:val="24"/>
        </w:rPr>
        <w:t>具袋内，同时用细绳联接工具与作业人员，上下递物件禁止抛掷。螺栓等各种小件物品放入小铁桶。</w:t>
      </w:r>
    </w:p>
    <w:p>
      <w:pPr>
        <w:pStyle w:val="4"/>
        <w:keepNext w:val="0"/>
        <w:widowControl w:val="0"/>
        <w:numPr>
          <w:ilvl w:val="2"/>
          <w:numId w:val="18"/>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w:t>
      </w:r>
      <w:r>
        <w:rPr>
          <w:rFonts w:hint="eastAsia" w:cs="宋体"/>
          <w:sz w:val="24"/>
          <w:szCs w:val="24"/>
          <w:lang w:eastAsia="zh-CN"/>
        </w:rPr>
        <w:t>拆卸</w:t>
      </w:r>
      <w:r>
        <w:rPr>
          <w:rFonts w:hint="eastAsia" w:ascii="宋体" w:hAnsi="宋体" w:eastAsia="宋体" w:cs="宋体"/>
          <w:sz w:val="24"/>
          <w:szCs w:val="24"/>
        </w:rPr>
        <w:t>作业班组安全教育培训计划</w:t>
      </w:r>
    </w:p>
    <w:p>
      <w:pPr>
        <w:pStyle w:val="15"/>
        <w:keepNext w:val="0"/>
        <w:widowControl w:val="0"/>
        <w:kinsoku/>
        <w:overflowPunct/>
        <w:topLinePunct w:val="0"/>
        <w:autoSpaceDE/>
        <w:autoSpaceDN/>
        <w:bidi w:val="0"/>
        <w:adjustRightInd/>
        <w:snapToGrid/>
        <w:spacing w:line="480" w:lineRule="atLeast"/>
        <w:textAlignment w:val="auto"/>
        <w:rPr>
          <w:rFonts w:hint="eastAsia" w:ascii="宋体" w:hAnsi="宋体" w:eastAsia="宋体" w:cs="宋体"/>
          <w:sz w:val="21"/>
          <w:szCs w:val="21"/>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lang w:val="en-US" w:eastAsia="zh-CN"/>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塔吊</w:t>
      </w:r>
      <w:r>
        <w:rPr>
          <w:rFonts w:hint="eastAsia" w:ascii="宋体" w:hAnsi="宋体" w:cs="宋体"/>
          <w:sz w:val="24"/>
          <w:szCs w:val="24"/>
          <w:lang w:eastAsia="zh-CN"/>
        </w:rPr>
        <w:t>拆卸</w:t>
      </w:r>
      <w:r>
        <w:rPr>
          <w:rFonts w:hint="eastAsia" w:ascii="宋体" w:hAnsi="宋体" w:eastAsia="宋体" w:cs="宋体"/>
          <w:sz w:val="24"/>
          <w:szCs w:val="24"/>
        </w:rPr>
        <w:t>作业班组安全教育培训计划表</w:t>
      </w:r>
    </w:p>
    <w:tbl>
      <w:tblPr>
        <w:tblStyle w:val="15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696"/>
        <w:gridCol w:w="3424"/>
        <w:gridCol w:w="1602"/>
        <w:gridCol w:w="1151"/>
        <w:gridCol w:w="1831"/>
        <w:gridCol w:w="11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095" w:hRule="atLeast"/>
        </w:trPr>
        <w:tc>
          <w:tcPr>
            <w:tcW w:w="35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序号</w:t>
            </w:r>
          </w:p>
        </w:tc>
        <w:tc>
          <w:tcPr>
            <w:tcW w:w="1737"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教育培训名称</w:t>
            </w:r>
          </w:p>
        </w:tc>
        <w:tc>
          <w:tcPr>
            <w:tcW w:w="81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类别</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责任部门</w:t>
            </w:r>
          </w:p>
        </w:tc>
        <w:tc>
          <w:tcPr>
            <w:tcW w:w="92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协助部门</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计划时间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9" w:hRule="atLeast"/>
        </w:trPr>
        <w:tc>
          <w:tcPr>
            <w:tcW w:w="35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1737"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w:t>
            </w:r>
            <w:r>
              <w:rPr>
                <w:rFonts w:hint="eastAsia" w:cs="宋体"/>
                <w:sz w:val="21"/>
                <w:szCs w:val="21"/>
                <w:lang w:eastAsia="zh-CN"/>
              </w:rPr>
              <w:t>拆卸</w:t>
            </w:r>
            <w:r>
              <w:rPr>
                <w:rFonts w:hint="eastAsia" w:ascii="宋体" w:hAnsi="宋体" w:eastAsia="宋体" w:cs="宋体"/>
                <w:sz w:val="21"/>
                <w:szCs w:val="21"/>
              </w:rPr>
              <w:t>班组进场安全教育培训</w:t>
            </w:r>
          </w:p>
        </w:tc>
        <w:tc>
          <w:tcPr>
            <w:tcW w:w="81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三级安全教育</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设备部、工程部</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进场前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35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1737"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w:t>
            </w:r>
            <w:r>
              <w:rPr>
                <w:rFonts w:hint="eastAsia" w:cs="宋体"/>
                <w:sz w:val="21"/>
                <w:szCs w:val="21"/>
                <w:lang w:eastAsia="zh-CN"/>
              </w:rPr>
              <w:t>拆卸</w:t>
            </w:r>
            <w:r>
              <w:rPr>
                <w:rFonts w:hint="eastAsia" w:ascii="宋体" w:hAnsi="宋体" w:eastAsia="宋体" w:cs="宋体"/>
                <w:sz w:val="21"/>
                <w:szCs w:val="21"/>
              </w:rPr>
              <w:t>班组专项安全教育</w:t>
            </w:r>
          </w:p>
        </w:tc>
        <w:tc>
          <w:tcPr>
            <w:tcW w:w="81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专项安全教育</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不定期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1" w:hRule="atLeast"/>
        </w:trPr>
        <w:tc>
          <w:tcPr>
            <w:tcW w:w="35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1737"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w:t>
            </w:r>
            <w:r>
              <w:rPr>
                <w:rFonts w:hint="eastAsia" w:cs="宋体"/>
                <w:sz w:val="21"/>
                <w:szCs w:val="21"/>
                <w:lang w:eastAsia="zh-CN"/>
              </w:rPr>
              <w:t>拆卸</w:t>
            </w:r>
            <w:r>
              <w:rPr>
                <w:rFonts w:hint="eastAsia" w:ascii="宋体" w:hAnsi="宋体" w:eastAsia="宋体" w:cs="宋体"/>
                <w:sz w:val="21"/>
                <w:szCs w:val="21"/>
              </w:rPr>
              <w:t>班组日常安全教育</w:t>
            </w:r>
          </w:p>
        </w:tc>
        <w:tc>
          <w:tcPr>
            <w:tcW w:w="81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日常安全教育</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不定期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35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1737"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塔吊拆除班组专项安全教育培训</w:t>
            </w:r>
          </w:p>
        </w:tc>
        <w:tc>
          <w:tcPr>
            <w:tcW w:w="81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专项安全教育</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设备部、工程部</w:t>
            </w:r>
          </w:p>
        </w:tc>
        <w:tc>
          <w:tcPr>
            <w:tcW w:w="5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拆除前</w:t>
            </w:r>
          </w:p>
        </w:tc>
      </w:tr>
    </w:tbl>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63" w:name="_Toc530055691"/>
      <w:r>
        <w:rPr>
          <w:rFonts w:hint="eastAsia" w:ascii="宋体" w:hAnsi="宋体" w:eastAsia="宋体" w:cs="宋体"/>
          <w:sz w:val="24"/>
          <w:szCs w:val="24"/>
        </w:rPr>
        <w:t>塔吊</w:t>
      </w:r>
      <w:r>
        <w:rPr>
          <w:rFonts w:hint="eastAsia" w:cs="宋体"/>
          <w:sz w:val="24"/>
          <w:szCs w:val="24"/>
          <w:lang w:eastAsia="zh-CN"/>
        </w:rPr>
        <w:t>拆卸</w:t>
      </w:r>
      <w:r>
        <w:rPr>
          <w:rFonts w:hint="eastAsia" w:ascii="宋体" w:hAnsi="宋体" w:eastAsia="宋体" w:cs="宋体"/>
          <w:sz w:val="24"/>
          <w:szCs w:val="24"/>
        </w:rPr>
        <w:t>作业安全保证措施</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作业前，组织学习</w:t>
      </w:r>
      <w:r>
        <w:rPr>
          <w:rFonts w:hint="eastAsia" w:cs="宋体"/>
          <w:lang w:eastAsia="zh-CN"/>
        </w:rPr>
        <w:t>拆卸</w:t>
      </w:r>
      <w:r>
        <w:rPr>
          <w:rFonts w:hint="eastAsia" w:ascii="宋体" w:hAnsi="宋体" w:eastAsia="宋体" w:cs="宋体"/>
        </w:rPr>
        <w:t>安全技术方案，对组织作业人员进行技术方案交底，每天对分项工作内容，技术要求，安全措施以及注意事项进行单独交底。</w:t>
      </w:r>
    </w:p>
    <w:p>
      <w:pPr>
        <w:pStyle w:val="5"/>
        <w:bidi w:val="0"/>
        <w:rPr>
          <w:rFonts w:hint="eastAsia" w:ascii="宋体" w:hAnsi="宋体" w:eastAsia="宋体" w:cs="宋体"/>
        </w:rPr>
      </w:pPr>
      <w:r>
        <w:rPr>
          <w:rFonts w:hint="eastAsia" w:ascii="宋体" w:hAnsi="宋体" w:eastAsia="宋体" w:cs="宋体"/>
        </w:rPr>
        <w:t>所有</w:t>
      </w:r>
      <w:r>
        <w:rPr>
          <w:rFonts w:hint="eastAsia" w:cs="宋体"/>
          <w:lang w:eastAsia="zh-CN"/>
        </w:rPr>
        <w:t>拆卸</w:t>
      </w:r>
      <w:r>
        <w:rPr>
          <w:rFonts w:hint="eastAsia" w:ascii="宋体" w:hAnsi="宋体" w:eastAsia="宋体" w:cs="宋体"/>
        </w:rPr>
        <w:t>人员必须听从现场统一指挥。如发现信号不明或错误时应停止作业，待联络清楚后再进行作业。</w:t>
      </w:r>
    </w:p>
    <w:p>
      <w:pPr>
        <w:pStyle w:val="5"/>
        <w:bidi w:val="0"/>
        <w:rPr>
          <w:rFonts w:hint="eastAsia" w:ascii="宋体" w:hAnsi="宋体" w:eastAsia="宋体" w:cs="宋体"/>
        </w:rPr>
      </w:pPr>
      <w:r>
        <w:rPr>
          <w:rFonts w:hint="eastAsia" w:ascii="宋体" w:hAnsi="宋体" w:eastAsia="宋体" w:cs="宋体"/>
        </w:rPr>
        <w:t>作业人员经过培训考核合格，司机、吊装指挥、电工及检验人员要持证上岗，进入作业现场必须戴安全帽，高空作业时要系安全带，着防滑鞋，冬季、雨季应采取防滑措施。</w:t>
      </w:r>
    </w:p>
    <w:p>
      <w:pPr>
        <w:pStyle w:val="5"/>
        <w:bidi w:val="0"/>
        <w:rPr>
          <w:rFonts w:hint="eastAsia" w:ascii="宋体" w:hAnsi="宋体" w:eastAsia="宋体" w:cs="宋体"/>
        </w:rPr>
      </w:pPr>
      <w:r>
        <w:rPr>
          <w:rFonts w:hint="eastAsia" w:ascii="宋体" w:hAnsi="宋体" w:eastAsia="宋体" w:cs="宋体"/>
        </w:rPr>
        <w:t>塔吊的</w:t>
      </w:r>
      <w:r>
        <w:rPr>
          <w:rFonts w:hint="eastAsia" w:cs="宋体"/>
          <w:lang w:eastAsia="zh-CN"/>
        </w:rPr>
        <w:t>拆卸</w:t>
      </w:r>
      <w:r>
        <w:rPr>
          <w:rFonts w:hint="eastAsia" w:ascii="宋体" w:hAnsi="宋体" w:eastAsia="宋体" w:cs="宋体"/>
        </w:rPr>
        <w:t>作业必须在白天进行，如需加快进度，可在具备良好照明条件的夜间做一些拼装工作，不得在大风、浓雾和雨雪天气进行。</w:t>
      </w:r>
    </w:p>
    <w:p>
      <w:pPr>
        <w:pStyle w:val="5"/>
        <w:bidi w:val="0"/>
        <w:rPr>
          <w:rFonts w:hint="eastAsia"/>
          <w:color w:val="auto"/>
        </w:rPr>
      </w:pPr>
      <w:r>
        <w:rPr>
          <w:rFonts w:hint="eastAsia"/>
          <w:color w:val="auto"/>
        </w:rPr>
        <w:t>顶部风速大于</w:t>
      </w:r>
      <w:r>
        <w:rPr>
          <w:rFonts w:hint="eastAsia"/>
          <w:color w:val="auto"/>
          <w:lang w:val="en-US" w:eastAsia="zh-CN"/>
        </w:rPr>
        <w:t>8</w:t>
      </w:r>
      <w:r>
        <w:rPr>
          <w:rFonts w:hint="eastAsia"/>
          <w:color w:val="auto"/>
        </w:rPr>
        <w:t>m/s（</w:t>
      </w:r>
      <w:r>
        <w:rPr>
          <w:rFonts w:hint="eastAsia"/>
          <w:color w:val="auto"/>
          <w:lang w:val="en-US" w:eastAsia="zh-CN"/>
        </w:rPr>
        <w:t>4</w:t>
      </w:r>
      <w:r>
        <w:rPr>
          <w:rFonts w:hint="eastAsia"/>
          <w:color w:val="auto"/>
        </w:rPr>
        <w:t>级风）时禁止作业。</w:t>
      </w:r>
      <w:r>
        <w:rPr>
          <w:rFonts w:hint="eastAsia"/>
          <w:color w:val="auto"/>
          <w:lang w:eastAsia="zh-CN"/>
        </w:rPr>
        <w:t>拆卸</w:t>
      </w:r>
      <w:r>
        <w:rPr>
          <w:rFonts w:hint="eastAsia"/>
          <w:color w:val="auto"/>
        </w:rPr>
        <w:t>基本节段时遇</w:t>
      </w:r>
      <w:r>
        <w:rPr>
          <w:rFonts w:hint="eastAsia"/>
          <w:color w:val="auto"/>
          <w:lang w:val="en-US" w:eastAsia="zh-CN"/>
        </w:rPr>
        <w:t>8</w:t>
      </w:r>
      <w:r>
        <w:rPr>
          <w:rFonts w:hint="eastAsia"/>
          <w:color w:val="auto"/>
        </w:rPr>
        <w:t>m/s</w:t>
      </w:r>
      <w:r>
        <w:rPr>
          <w:rFonts w:hint="eastAsia"/>
          <w:color w:val="auto"/>
          <w:lang w:val="en-US" w:eastAsia="zh-CN"/>
        </w:rPr>
        <w:t>(4</w:t>
      </w:r>
      <w:r>
        <w:rPr>
          <w:rFonts w:hint="eastAsia"/>
          <w:color w:val="auto"/>
        </w:rPr>
        <w:t>级风</w:t>
      </w:r>
      <w:r>
        <w:rPr>
          <w:rFonts w:hint="eastAsia"/>
          <w:color w:val="auto"/>
          <w:lang w:val="en-US" w:eastAsia="zh-CN"/>
        </w:rPr>
        <w:t>)</w:t>
      </w:r>
      <w:r>
        <w:rPr>
          <w:rFonts w:hint="eastAsia"/>
          <w:color w:val="auto"/>
        </w:rPr>
        <w:t>以上禁止作业。</w:t>
      </w:r>
    </w:p>
    <w:p>
      <w:pPr>
        <w:pStyle w:val="5"/>
        <w:bidi w:val="0"/>
        <w:rPr>
          <w:rFonts w:hint="eastAsia"/>
        </w:rPr>
      </w:pPr>
      <w:r>
        <w:rPr>
          <w:rFonts w:hint="eastAsia"/>
        </w:rPr>
        <w:t>套架上、下支座，前后臂等大件吊装作业前，安全生产负责人必须进行专项安全技术交底。每次起吊离地面20cm左右时必须停机，挂好揽风绳，检查安全平稳性，确认安全可靠方能继续起吊。</w:t>
      </w:r>
    </w:p>
    <w:p>
      <w:pPr>
        <w:pStyle w:val="5"/>
        <w:bidi w:val="0"/>
        <w:rPr>
          <w:rFonts w:hint="eastAsia"/>
        </w:rPr>
      </w:pPr>
      <w:r>
        <w:rPr>
          <w:rFonts w:hint="eastAsia"/>
          <w:lang w:eastAsia="zh-CN"/>
        </w:rPr>
        <w:t>拆卸</w:t>
      </w:r>
      <w:r>
        <w:rPr>
          <w:rFonts w:hint="eastAsia"/>
        </w:rPr>
        <w:t>作业区5米至10米范围内应设警戒线，应由施工现场派专人把守，非作业人员不得进入警戒线。专职安全员应随时检查各岗位人员的安全情况，夜间作业应有良好的照明。</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架设用的钢丝绳及其固定必须符合标准和满足</w:t>
      </w:r>
      <w:r>
        <w:rPr>
          <w:rFonts w:hint="eastAsia" w:cs="宋体"/>
          <w:lang w:eastAsia="zh-CN"/>
        </w:rPr>
        <w:t>拆卸</w:t>
      </w:r>
      <w:r>
        <w:rPr>
          <w:rFonts w:hint="eastAsia" w:ascii="宋体" w:hAnsi="宋体" w:eastAsia="宋体" w:cs="宋体"/>
        </w:rPr>
        <w:t>上的要求。地锚等临时设施必须构筑牢固。</w:t>
      </w:r>
    </w:p>
    <w:p>
      <w:pPr>
        <w:pStyle w:val="5"/>
        <w:bidi w:val="0"/>
        <w:rPr>
          <w:rFonts w:hint="eastAsia" w:ascii="宋体" w:hAnsi="宋体" w:eastAsia="宋体" w:cs="宋体"/>
        </w:rPr>
      </w:pPr>
      <w:r>
        <w:rPr>
          <w:rFonts w:hint="eastAsia" w:ascii="宋体" w:hAnsi="宋体" w:eastAsia="宋体" w:cs="宋体"/>
        </w:rPr>
        <w:t>在进行逐件组拼或部件</w:t>
      </w:r>
      <w:r>
        <w:rPr>
          <w:rFonts w:hint="eastAsia" w:cs="宋体"/>
          <w:lang w:eastAsia="zh-CN"/>
        </w:rPr>
        <w:t>拆卸</w:t>
      </w:r>
      <w:r>
        <w:rPr>
          <w:rFonts w:hint="eastAsia" w:ascii="宋体" w:hAnsi="宋体" w:eastAsia="宋体" w:cs="宋体"/>
        </w:rPr>
        <w:t>之前，必须对部件各部分的完好情况、连接情况和钢丝绳穿绕情况、电气线路等进行全面检查。</w:t>
      </w:r>
    </w:p>
    <w:p>
      <w:pPr>
        <w:pStyle w:val="5"/>
        <w:bidi w:val="0"/>
        <w:rPr>
          <w:rFonts w:hint="eastAsia" w:ascii="宋体" w:hAnsi="宋体" w:eastAsia="宋体" w:cs="宋体"/>
        </w:rPr>
      </w:pPr>
      <w:r>
        <w:rPr>
          <w:rFonts w:hint="eastAsia" w:ascii="宋体" w:hAnsi="宋体" w:eastAsia="宋体" w:cs="宋体"/>
        </w:rPr>
        <w:t>在架设过程中，结构和钢丝绳的受力以在立塔初始阶段最为不利，随着塔架起升则逐渐减小。</w:t>
      </w:r>
    </w:p>
    <w:p>
      <w:pPr>
        <w:pStyle w:val="5"/>
        <w:bidi w:val="0"/>
        <w:rPr>
          <w:rFonts w:hint="eastAsia" w:ascii="宋体" w:hAnsi="宋体" w:eastAsia="宋体" w:cs="宋体"/>
        </w:rPr>
      </w:pPr>
      <w:r>
        <w:rPr>
          <w:rFonts w:hint="eastAsia" w:ascii="宋体" w:hAnsi="宋体" w:eastAsia="宋体" w:cs="宋体"/>
        </w:rPr>
        <w:t>在拆装起重臂和平衡臂时，要始终保持起重机的平衡，严禁只拆装一个臂就中断作业。</w:t>
      </w:r>
    </w:p>
    <w:p>
      <w:pPr>
        <w:pStyle w:val="5"/>
        <w:bidi w:val="0"/>
        <w:rPr>
          <w:rFonts w:hint="eastAsia" w:ascii="宋体" w:hAnsi="宋体" w:eastAsia="宋体" w:cs="宋体"/>
        </w:rPr>
      </w:pPr>
      <w:r>
        <w:rPr>
          <w:rFonts w:hint="eastAsia" w:ascii="宋体" w:hAnsi="宋体" w:eastAsia="宋体" w:cs="宋体"/>
        </w:rPr>
        <w:t>在</w:t>
      </w:r>
      <w:r>
        <w:rPr>
          <w:rFonts w:hint="eastAsia" w:cs="宋体"/>
          <w:lang w:eastAsia="zh-CN"/>
        </w:rPr>
        <w:t>拆卸</w:t>
      </w:r>
      <w:r>
        <w:rPr>
          <w:rFonts w:hint="eastAsia" w:ascii="宋体" w:hAnsi="宋体" w:eastAsia="宋体" w:cs="宋体"/>
        </w:rPr>
        <w:t>作业过程中，如突然发生停电、机械故障、天气骤变等情况不能继续作业，或作业时间已到需要停休时，必须使起重机已</w:t>
      </w:r>
      <w:r>
        <w:rPr>
          <w:rFonts w:hint="eastAsia" w:cs="宋体"/>
          <w:lang w:eastAsia="zh-CN"/>
        </w:rPr>
        <w:t>拆卸</w:t>
      </w:r>
      <w:r>
        <w:rPr>
          <w:rFonts w:hint="eastAsia" w:ascii="宋体" w:hAnsi="宋体" w:eastAsia="宋体" w:cs="宋体"/>
        </w:rPr>
        <w:t>的部位达到稳定状态并已锁固牢靠，所有结构件已连接牢固，回转塔身的重心线处于塔底支承四边中心处，再经过检查确认妥善后，方可停止作业。</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时应按</w:t>
      </w:r>
      <w:r>
        <w:rPr>
          <w:rFonts w:hint="eastAsia" w:cs="宋体"/>
          <w:lang w:eastAsia="zh-CN"/>
        </w:rPr>
        <w:t>拆卸</w:t>
      </w:r>
      <w:r>
        <w:rPr>
          <w:rFonts w:hint="eastAsia" w:ascii="宋体" w:hAnsi="宋体" w:eastAsia="宋体" w:cs="宋体"/>
        </w:rPr>
        <w:t>要求使用规定的螺栓、销轴等连接件，并要有可靠的防松或保护装置。螺栓紧固时应附合规定的预紧力。钢丝绳</w:t>
      </w:r>
      <w:r>
        <w:rPr>
          <w:rFonts w:hint="eastAsia" w:cs="宋体"/>
          <w:lang w:eastAsia="zh-CN"/>
        </w:rPr>
        <w:t>拆卸</w:t>
      </w:r>
      <w:r>
        <w:rPr>
          <w:rFonts w:hint="eastAsia" w:ascii="宋体" w:hAnsi="宋体" w:eastAsia="宋体" w:cs="宋体"/>
        </w:rPr>
        <w:t>应严格执行《起重机械用钢丝绳检验和报废实用规范》。</w:t>
      </w:r>
    </w:p>
    <w:p>
      <w:pPr>
        <w:pStyle w:val="5"/>
        <w:bidi w:val="0"/>
        <w:rPr>
          <w:rFonts w:hint="eastAsia" w:ascii="宋体" w:hAnsi="宋体" w:eastAsia="宋体" w:cs="宋体"/>
        </w:rPr>
      </w:pPr>
      <w:r>
        <w:rPr>
          <w:rFonts w:hint="eastAsia" w:ascii="宋体" w:hAnsi="宋体" w:eastAsia="宋体" w:cs="宋体"/>
        </w:rPr>
        <w:t>在</w:t>
      </w:r>
      <w:r>
        <w:rPr>
          <w:rFonts w:hint="eastAsia" w:cs="宋体"/>
          <w:lang w:eastAsia="zh-CN"/>
        </w:rPr>
        <w:t>拆卸</w:t>
      </w:r>
      <w:r>
        <w:rPr>
          <w:rFonts w:hint="eastAsia" w:ascii="宋体" w:hAnsi="宋体" w:eastAsia="宋体" w:cs="宋体"/>
        </w:rPr>
        <w:t>起重机时，必须将大车行走限位装置和限位器碰块</w:t>
      </w:r>
      <w:r>
        <w:rPr>
          <w:rFonts w:hint="eastAsia" w:cs="宋体"/>
          <w:lang w:eastAsia="zh-CN"/>
        </w:rPr>
        <w:t>拆卸</w:t>
      </w:r>
      <w:r>
        <w:rPr>
          <w:rFonts w:hint="eastAsia" w:ascii="宋体" w:hAnsi="宋体" w:eastAsia="宋体" w:cs="宋体"/>
        </w:rPr>
        <w:t>牢固可靠。并将各部位的栏杆、平台、护链、扶杆、护圈等安全防护装置装齐。</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作业的程序，辅助设备、索具、工具以及地锚构筑等，均应遵照该机使用说明书中的规定或参照标准的</w:t>
      </w:r>
      <w:r>
        <w:rPr>
          <w:rFonts w:hint="eastAsia" w:cs="宋体"/>
          <w:lang w:eastAsia="zh-CN"/>
        </w:rPr>
        <w:t>拆卸</w:t>
      </w:r>
      <w:r>
        <w:rPr>
          <w:rFonts w:hint="eastAsia" w:ascii="宋体" w:hAnsi="宋体" w:eastAsia="宋体" w:cs="宋体"/>
        </w:rPr>
        <w:t>工艺办理。</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安全防护措施</w:t>
      </w:r>
    </w:p>
    <w:bookmarkEnd w:id="63"/>
    <w:p>
      <w:pPr>
        <w:pStyle w:val="5"/>
        <w:bidi w:val="0"/>
        <w:rPr>
          <w:rFonts w:hint="eastAsia" w:ascii="宋体" w:hAnsi="宋体" w:eastAsia="宋体" w:cs="宋体"/>
        </w:rPr>
      </w:pPr>
      <w:r>
        <w:rPr>
          <w:rFonts w:hint="eastAsia" w:ascii="宋体" w:hAnsi="宋体" w:eastAsia="宋体" w:cs="宋体"/>
        </w:rPr>
        <w:t>吊装工作区内禁止非工作人员进入，起重臂下严禁站人</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身体不适的工人不能进行高空作业，作业前全体作业人员必须明确重点措施方法，按既定的施工方案进行作业</w:t>
      </w:r>
      <w:r>
        <w:rPr>
          <w:rFonts w:hint="eastAsia" w:ascii="宋体" w:hAnsi="宋体" w:eastAsia="宋体" w:cs="宋体"/>
          <w:lang w:eastAsia="zh-CN"/>
        </w:rPr>
        <w:t>。</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起重机大臂、套架、平衡臂、回转总成及电器系统时，高空作业人员必须带好安全带</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不准超负荷吊装，吊装人员必须戴安全帽，穿防滑鞋，带工具袋，不能在工作中嬉闹，必须认真作业</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严禁工人站在被吊运的构件上，构件上也不能摆放零星物件</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吊运时，绑扎方法要可靠，以防止中途落下伤人和起重机因失重而倾翻</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吊装过程应由专人负责指挥，信号要求准确、明确到位</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电工须穿绝缘鞋，戴好绝缘手套，不违章操作</w:t>
      </w:r>
      <w:r>
        <w:rPr>
          <w:rFonts w:hint="eastAsia" w:ascii="宋体" w:hAnsi="宋体" w:eastAsia="宋体" w:cs="宋体"/>
          <w:lang w:eastAsia="zh-CN"/>
        </w:rPr>
        <w:t>。</w:t>
      </w:r>
    </w:p>
    <w:p>
      <w:pPr>
        <w:pStyle w:val="5"/>
        <w:bidi w:val="0"/>
        <w:rPr>
          <w:rFonts w:hint="eastAsia" w:ascii="宋体" w:hAnsi="宋体" w:eastAsia="宋体" w:cs="宋体"/>
        </w:rPr>
      </w:pPr>
      <w:bookmarkStart w:id="64" w:name="_Toc3803_WPSOffice_Level2"/>
      <w:r>
        <w:rPr>
          <w:rFonts w:hint="eastAsia" w:ascii="宋体" w:hAnsi="宋体" w:eastAsia="宋体" w:cs="宋体"/>
        </w:rPr>
        <w:t>构件吊装到位后要</w:t>
      </w:r>
      <w:bookmarkEnd w:id="64"/>
      <w:r>
        <w:rPr>
          <w:rFonts w:hint="eastAsia" w:ascii="宋体" w:hAnsi="宋体" w:eastAsia="宋体" w:cs="宋体"/>
        </w:rPr>
        <w:t>求固定可靠，再进入下一步操作，严禁将构件浮放在某一处，以免落下发生意外。</w:t>
      </w:r>
    </w:p>
    <w:p>
      <w:pPr>
        <w:pStyle w:val="5"/>
        <w:bidi w:val="0"/>
        <w:rPr>
          <w:rFonts w:hint="eastAsia" w:ascii="宋体" w:hAnsi="宋体" w:eastAsia="宋体" w:cs="宋体"/>
          <w:color w:val="auto"/>
        </w:rPr>
      </w:pPr>
      <w:r>
        <w:rPr>
          <w:rFonts w:hint="eastAsia" w:ascii="宋体" w:hAnsi="宋体" w:eastAsia="宋体" w:cs="宋体"/>
          <w:color w:val="auto"/>
        </w:rPr>
        <w:t>设备工具摆放整齐、合理，做到安全、有序</w:t>
      </w:r>
      <w:r>
        <w:rPr>
          <w:rFonts w:hint="eastAsia" w:ascii="宋体" w:hAnsi="宋体" w:eastAsia="宋体" w:cs="宋体"/>
          <w:color w:val="auto"/>
          <w:lang w:eastAsia="zh-CN"/>
        </w:rPr>
        <w:t>。</w:t>
      </w:r>
    </w:p>
    <w:p>
      <w:pPr>
        <w:pStyle w:val="5"/>
        <w:bidi w:val="0"/>
        <w:rPr>
          <w:rFonts w:hint="eastAsia" w:ascii="宋体" w:hAnsi="宋体" w:eastAsia="宋体" w:cs="宋体"/>
          <w:color w:val="auto"/>
        </w:rPr>
      </w:pPr>
      <w:r>
        <w:rPr>
          <w:rFonts w:hint="eastAsia" w:cs="宋体"/>
          <w:color w:val="auto"/>
          <w:lang w:eastAsia="zh-CN"/>
        </w:rPr>
        <w:t>拆卸</w:t>
      </w:r>
      <w:r>
        <w:rPr>
          <w:rFonts w:hint="eastAsia" w:ascii="宋体" w:hAnsi="宋体" w:eastAsia="宋体" w:cs="宋体"/>
          <w:color w:val="auto"/>
        </w:rPr>
        <w:t>作业中，应严格按</w:t>
      </w:r>
      <w:r>
        <w:rPr>
          <w:rFonts w:hint="eastAsia" w:cs="宋体"/>
          <w:color w:val="auto"/>
          <w:lang w:eastAsia="zh-CN"/>
        </w:rPr>
        <w:t>拆卸</w:t>
      </w:r>
      <w:r>
        <w:rPr>
          <w:rFonts w:hint="eastAsia" w:ascii="宋体" w:hAnsi="宋体" w:eastAsia="宋体" w:cs="宋体"/>
          <w:color w:val="auto"/>
        </w:rPr>
        <w:t>顺序进行，作业时严禁抛掷物件</w:t>
      </w:r>
      <w:r>
        <w:rPr>
          <w:rFonts w:hint="eastAsia" w:ascii="宋体" w:hAnsi="宋体" w:eastAsia="宋体" w:cs="宋体"/>
          <w:color w:val="auto"/>
          <w:lang w:eastAsia="zh-CN"/>
        </w:rPr>
        <w:t>。</w:t>
      </w:r>
    </w:p>
    <w:p>
      <w:pPr>
        <w:pStyle w:val="5"/>
        <w:bidi w:val="0"/>
        <w:rPr>
          <w:rFonts w:hint="eastAsia" w:ascii="宋体" w:hAnsi="宋体" w:eastAsia="宋体" w:cs="宋体"/>
          <w:color w:val="auto"/>
        </w:rPr>
      </w:pPr>
      <w:r>
        <w:rPr>
          <w:rFonts w:hint="eastAsia" w:ascii="宋体" w:hAnsi="宋体" w:eastAsia="宋体" w:cs="宋体"/>
          <w:color w:val="auto"/>
        </w:rPr>
        <w:t>塔吊基础四周设置围挡，悬挂安全警示标牌。</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65" w:name="_Toc530055692"/>
      <w:r>
        <w:rPr>
          <w:rFonts w:hint="eastAsia" w:cs="宋体"/>
          <w:sz w:val="24"/>
          <w:szCs w:val="24"/>
          <w:lang w:eastAsia="zh-CN"/>
        </w:rPr>
        <w:t>拆卸</w:t>
      </w:r>
      <w:r>
        <w:rPr>
          <w:rFonts w:hint="eastAsia" w:ascii="宋体" w:hAnsi="宋体" w:eastAsia="宋体" w:cs="宋体"/>
          <w:sz w:val="24"/>
          <w:szCs w:val="24"/>
        </w:rPr>
        <w:t>过程注意事项</w:t>
      </w:r>
    </w:p>
    <w:bookmarkEnd w:id="65"/>
    <w:p>
      <w:pPr>
        <w:pStyle w:val="5"/>
        <w:bidi w:val="0"/>
        <w:rPr>
          <w:rFonts w:hint="eastAsia" w:ascii="宋体" w:hAnsi="宋体" w:eastAsia="宋体" w:cs="宋体"/>
        </w:rPr>
      </w:pPr>
      <w:r>
        <w:rPr>
          <w:rFonts w:hint="eastAsia" w:ascii="宋体" w:hAnsi="宋体" w:eastAsia="宋体" w:cs="宋体"/>
        </w:rPr>
        <w:t>保证塔式起重机</w:t>
      </w:r>
      <w:r>
        <w:rPr>
          <w:rFonts w:hint="eastAsia" w:cs="宋体"/>
          <w:lang w:eastAsia="zh-CN"/>
        </w:rPr>
        <w:t>拆卸</w:t>
      </w:r>
      <w:r>
        <w:rPr>
          <w:rFonts w:hint="eastAsia" w:ascii="宋体" w:hAnsi="宋体" w:eastAsia="宋体" w:cs="宋体"/>
        </w:rPr>
        <w:t>技术措施的合理性及可行性，提高各防护措施的技术参数</w:t>
      </w:r>
      <w:r>
        <w:rPr>
          <w:rFonts w:hint="eastAsia" w:ascii="宋体" w:hAnsi="宋体" w:eastAsia="宋体" w:cs="宋体"/>
          <w:lang w:eastAsia="zh-CN"/>
        </w:rPr>
        <w:t>。</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塔式起重机所用履带式起重机应装有音像清晰的喇叭、电铃或汽笛等信号装置在起重量臂、吊钩、平衡重等转动体上应标以鲜明的色彩标志</w:t>
      </w:r>
      <w:r>
        <w:rPr>
          <w:rFonts w:hint="eastAsia" w:ascii="宋体" w:hAnsi="宋体" w:eastAsia="宋体" w:cs="宋体"/>
          <w:lang w:eastAsia="zh-CN"/>
        </w:rPr>
        <w:t>。</w:t>
      </w:r>
    </w:p>
    <w:p>
      <w:pPr>
        <w:pStyle w:val="5"/>
        <w:bidi w:val="0"/>
        <w:rPr>
          <w:rFonts w:hint="eastAsia" w:ascii="宋体" w:hAnsi="宋体" w:eastAsia="宋体" w:cs="宋体"/>
        </w:rPr>
      </w:pPr>
      <w:bookmarkStart w:id="66" w:name="_Toc29074_WPSOffice_Level2"/>
      <w:r>
        <w:rPr>
          <w:rFonts w:hint="eastAsia" w:ascii="宋体" w:hAnsi="宋体" w:eastAsia="宋体" w:cs="宋体"/>
        </w:rPr>
        <w:t>起重机吊钩上</w:t>
      </w:r>
      <w:bookmarkEnd w:id="66"/>
      <w:r>
        <w:rPr>
          <w:rFonts w:hint="eastAsia" w:ascii="宋体" w:hAnsi="宋体" w:eastAsia="宋体" w:cs="宋体"/>
        </w:rPr>
        <w:t>须持有防脱钩装置</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起重吊装指挥人员必须持证上岗，作业时应与操作人员密切配合，执行规定的指挥信号。操作人员应按照指挥人员的信号进行作业，当信号不清或错误时操作人员可拒绝执行</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在六级以上大风或大雨、大雾等恶劣天气时，应停止起重吊装作业，雨雪过后作业前，应先试吊，确认制动器灵敏可靠后方可进行作业</w:t>
      </w:r>
      <w:r>
        <w:rPr>
          <w:rFonts w:hint="eastAsia" w:ascii="宋体" w:hAnsi="宋体" w:eastAsia="宋体" w:cs="宋体"/>
          <w:lang w:eastAsia="zh-CN"/>
        </w:rPr>
        <w:t>。</w:t>
      </w:r>
    </w:p>
    <w:p>
      <w:pPr>
        <w:pStyle w:val="5"/>
        <w:bidi w:val="0"/>
        <w:rPr>
          <w:rFonts w:hint="eastAsia" w:ascii="宋体" w:hAnsi="宋体" w:eastAsia="宋体" w:cs="宋体"/>
        </w:rPr>
      </w:pPr>
      <w:r>
        <w:rPr>
          <w:rFonts w:hint="eastAsia" w:cs="宋体"/>
          <w:lang w:eastAsia="zh-CN"/>
        </w:rPr>
        <w:t>拆卸</w:t>
      </w:r>
      <w:r>
        <w:rPr>
          <w:rFonts w:hint="eastAsia" w:ascii="宋体" w:hAnsi="宋体" w:eastAsia="宋体" w:cs="宋体"/>
        </w:rPr>
        <w:t>标准节时应先检查焊接支腿是否焊接经过验收，验收合格后才可</w:t>
      </w:r>
      <w:r>
        <w:rPr>
          <w:rFonts w:hint="eastAsia" w:cs="宋体"/>
          <w:lang w:eastAsia="zh-CN"/>
        </w:rPr>
        <w:t>拆卸</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检查各连接部件的螺栓及销轴是否符合图纸设计要求，并每</w:t>
      </w:r>
      <w:r>
        <w:rPr>
          <w:rFonts w:hint="eastAsia" w:cs="宋体"/>
          <w:lang w:eastAsia="zh-CN"/>
        </w:rPr>
        <w:t>拆卸</w:t>
      </w:r>
      <w:r>
        <w:rPr>
          <w:rFonts w:hint="eastAsia" w:ascii="宋体" w:hAnsi="宋体" w:eastAsia="宋体" w:cs="宋体"/>
        </w:rPr>
        <w:t>一个部件后螺栓销轴都要确定符合要求再</w:t>
      </w:r>
      <w:r>
        <w:rPr>
          <w:rFonts w:hint="eastAsia" w:cs="宋体"/>
          <w:lang w:eastAsia="zh-CN"/>
        </w:rPr>
        <w:t>拆卸</w:t>
      </w:r>
      <w:r>
        <w:rPr>
          <w:rFonts w:hint="eastAsia" w:ascii="宋体" w:hAnsi="宋体" w:eastAsia="宋体" w:cs="宋体"/>
        </w:rPr>
        <w:t>下一个部件</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重物提升和下降速度应平稳、均匀，不得突然制动，左右回转应平稳，当回转未停稳前不得作反向动作</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作业中所使用钢丝绳应有制造厂签发的产品技术性能和质量合格证明文件，当无证明文件时，必须经过试验合格后方可使用</w:t>
      </w:r>
      <w:r>
        <w:rPr>
          <w:rFonts w:hint="eastAsia" w:ascii="宋体" w:hAnsi="宋体" w:eastAsia="宋体" w:cs="宋体"/>
          <w:lang w:eastAsia="zh-CN"/>
        </w:rPr>
        <w:t>。</w:t>
      </w:r>
    </w:p>
    <w:p>
      <w:pPr>
        <w:pStyle w:val="5"/>
        <w:bidi w:val="0"/>
        <w:rPr>
          <w:rFonts w:hint="eastAsia" w:ascii="宋体" w:hAnsi="宋体" w:eastAsia="宋体" w:cs="宋体"/>
        </w:rPr>
      </w:pPr>
      <w:r>
        <w:rPr>
          <w:rFonts w:hint="eastAsia" w:ascii="宋体" w:hAnsi="宋体" w:eastAsia="宋体" w:cs="宋体"/>
        </w:rPr>
        <w:t>应根据所吊重物的重量和提升高度，调整起重臂长度和仰角，并应估计吊索和重物本身的高度，留出适当空间</w:t>
      </w:r>
      <w:r>
        <w:rPr>
          <w:rFonts w:hint="eastAsia" w:ascii="宋体" w:hAnsi="宋体" w:eastAsia="宋体" w:cs="宋体"/>
          <w:lang w:eastAsia="zh-CN"/>
        </w:rPr>
        <w:t>。</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67" w:name="_Toc530055693"/>
      <w:r>
        <w:rPr>
          <w:rFonts w:hint="eastAsia" w:ascii="宋体" w:hAnsi="宋体" w:eastAsia="宋体" w:cs="宋体"/>
          <w:sz w:val="24"/>
          <w:szCs w:val="24"/>
        </w:rPr>
        <w:t>电气作业安全规定</w:t>
      </w:r>
    </w:p>
    <w:bookmarkEnd w:id="67"/>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严格按有关规定</w:t>
      </w:r>
      <w:r>
        <w:rPr>
          <w:rFonts w:hint="eastAsia" w:cs="宋体"/>
          <w:sz w:val="24"/>
          <w:szCs w:val="24"/>
          <w:lang w:eastAsia="zh-CN"/>
        </w:rPr>
        <w:t>拆卸</w:t>
      </w:r>
      <w:r>
        <w:rPr>
          <w:rFonts w:hint="eastAsia" w:ascii="宋体" w:hAnsi="宋体" w:eastAsia="宋体" w:cs="宋体"/>
          <w:sz w:val="24"/>
          <w:szCs w:val="24"/>
        </w:rPr>
        <w:t>线路及设备，用电设备都</w:t>
      </w:r>
      <w:r>
        <w:rPr>
          <w:rFonts w:hint="eastAsia" w:cs="宋体"/>
          <w:sz w:val="24"/>
          <w:szCs w:val="24"/>
          <w:lang w:eastAsia="zh-CN"/>
        </w:rPr>
        <w:t>拆卸</w:t>
      </w:r>
      <w:r>
        <w:rPr>
          <w:rFonts w:hint="eastAsia" w:ascii="宋体" w:hAnsi="宋体" w:eastAsia="宋体" w:cs="宋体"/>
          <w:sz w:val="24"/>
          <w:szCs w:val="24"/>
        </w:rPr>
        <w:t>地线，不合格的电气器材严禁使用。</w:t>
      </w:r>
      <w:r>
        <w:rPr>
          <w:rFonts w:hint="eastAsia" w:cs="宋体"/>
          <w:sz w:val="24"/>
          <w:szCs w:val="24"/>
          <w:lang w:eastAsia="zh-CN"/>
        </w:rPr>
        <w:t>拆卸</w:t>
      </w:r>
      <w:r>
        <w:rPr>
          <w:rFonts w:hint="eastAsia" w:ascii="宋体" w:hAnsi="宋体" w:eastAsia="宋体" w:cs="宋体"/>
          <w:sz w:val="24"/>
          <w:szCs w:val="24"/>
        </w:rPr>
        <w:t>临时用电工程，必须由电工完成。电工必须持有效证件上岗。</w:t>
      </w:r>
    </w:p>
    <w:p>
      <w:pPr>
        <w:pStyle w:val="5"/>
        <w:bidi w:val="0"/>
        <w:rPr>
          <w:rFonts w:hint="eastAsia" w:ascii="宋体" w:hAnsi="宋体" w:eastAsia="宋体" w:cs="宋体"/>
        </w:rPr>
      </w:pPr>
      <w:r>
        <w:rPr>
          <w:rFonts w:hint="eastAsia" w:ascii="宋体" w:hAnsi="宋体" w:eastAsia="宋体" w:cs="宋体"/>
        </w:rPr>
        <w:t>配电箱及开关箱的设置</w:t>
      </w:r>
      <w:r>
        <w:rPr>
          <w:rFonts w:hint="eastAsia" w:ascii="宋体" w:hAnsi="宋体" w:eastAsia="宋体" w:cs="宋体"/>
          <w:lang w:eastAsia="zh-CN"/>
        </w:rPr>
        <w:t>。</w:t>
      </w:r>
    </w:p>
    <w:p>
      <w:pPr>
        <w:pStyle w:val="6"/>
        <w:bidi w:val="0"/>
        <w:rPr>
          <w:rFonts w:hint="eastAsia" w:ascii="宋体" w:hAnsi="宋体" w:eastAsia="宋体" w:cs="宋体"/>
        </w:rPr>
      </w:pPr>
      <w:r>
        <w:rPr>
          <w:rFonts w:hint="eastAsia" w:ascii="宋体" w:hAnsi="宋体" w:eastAsia="宋体" w:cs="宋体"/>
        </w:rPr>
        <w:t>动力配电箱与照明配电箱宜分别设置，如设置在同一配电箱内，动力和照明线路应分路设置。</w:t>
      </w:r>
    </w:p>
    <w:p>
      <w:pPr>
        <w:pStyle w:val="6"/>
        <w:bidi w:val="0"/>
        <w:rPr>
          <w:rFonts w:hint="eastAsia" w:ascii="宋体" w:hAnsi="宋体" w:eastAsia="宋体" w:cs="宋体"/>
        </w:rPr>
      </w:pPr>
      <w:r>
        <w:rPr>
          <w:rFonts w:hint="eastAsia" w:ascii="宋体" w:hAnsi="宋体" w:eastAsia="宋体" w:cs="宋体"/>
        </w:rPr>
        <w:t>每台电器设备应有各自专用的开关箱，必须实行“一机一闸”制，严禁用同一个电器开关直接控制两台或两台以上的用电设备（含插座）。</w:t>
      </w:r>
    </w:p>
    <w:p>
      <w:pPr>
        <w:pStyle w:val="6"/>
        <w:bidi w:val="0"/>
        <w:rPr>
          <w:rFonts w:hint="eastAsia"/>
        </w:rPr>
      </w:pPr>
      <w:r>
        <w:rPr>
          <w:rFonts w:hint="eastAsia"/>
        </w:rPr>
        <w:t>总配电箱应设在靠近电源的地区。分配电箱应装设在用电设备或负荷相对集中的地区。分配电箱与开关箱的距离不得超过30m。开关箱与其控制的固定式用电设备的水平距离不宜超过3m。</w:t>
      </w:r>
    </w:p>
    <w:p>
      <w:pPr>
        <w:pStyle w:val="6"/>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配电箱</w:t>
      </w:r>
      <w:r>
        <w:rPr>
          <w:rFonts w:hint="eastAsia" w:ascii="宋体" w:hAnsi="宋体" w:eastAsia="宋体" w:cs="宋体"/>
          <w:color w:val="000000" w:themeColor="text1"/>
          <w:sz w:val="24"/>
          <w:szCs w:val="24"/>
          <w14:textFill>
            <w14:solidFill>
              <w14:schemeClr w14:val="tx1"/>
            </w14:solidFill>
          </w14:textFill>
        </w:rPr>
        <w:t>、开关箱油脂装设在干燥、通风及常温场所；不得装设在有严重损伤作用的瓦斯、烟气、蒸汽、液体及其他有害介质中。不得装设在易受外来固体物撞击、强烈振动，液体浸溅及热源烘烤的场所。否则，须做特殊防护处理。</w:t>
      </w:r>
    </w:p>
    <w:p>
      <w:pPr>
        <w:pStyle w:val="6"/>
        <w:bidi w:val="0"/>
        <w:rPr>
          <w:rFonts w:hint="eastAsia" w:ascii="宋体" w:hAnsi="宋体" w:eastAsia="宋体" w:cs="宋体"/>
        </w:rPr>
      </w:pPr>
      <w:r>
        <w:rPr>
          <w:rFonts w:hint="eastAsia" w:ascii="宋体" w:hAnsi="宋体" w:eastAsia="宋体" w:cs="宋体"/>
        </w:rPr>
        <w:t>配电箱、开关箱周围应有足够二人同时工作的空间和通道。不得堆放任何妨碍操作、维修的物品；不得有灌木、杂草。</w:t>
      </w:r>
    </w:p>
    <w:p>
      <w:pPr>
        <w:pStyle w:val="6"/>
        <w:bidi w:val="0"/>
        <w:rPr>
          <w:rFonts w:hint="eastAsia"/>
        </w:rPr>
      </w:pPr>
      <w:r>
        <w:rPr>
          <w:rFonts w:hint="eastAsia"/>
        </w:rPr>
        <w:t>配电箱、开关箱应装设端正、牢固、移动式分配电箱、开关箱应装设在坚固的支架上。固定式分配电箱、开关箱的下底与地面的垂直距离应大于1.3m</w:t>
      </w:r>
      <w:r>
        <w:rPr>
          <w:rFonts w:hint="eastAsia"/>
          <w:lang w:eastAsia="zh-CN"/>
        </w:rPr>
        <w:t>，</w:t>
      </w:r>
      <w:r>
        <w:rPr>
          <w:rFonts w:hint="eastAsia"/>
        </w:rPr>
        <w:t>小于1.5m</w:t>
      </w:r>
      <w:r>
        <w:rPr>
          <w:rFonts w:hint="eastAsia"/>
          <w:lang w:eastAsia="zh-CN"/>
        </w:rPr>
        <w:t>；</w:t>
      </w:r>
      <w:r>
        <w:rPr>
          <w:rFonts w:hint="eastAsia"/>
        </w:rPr>
        <w:t>移动式分配电箱、开关箱的下底与地面垂直距离宜大于0.6m</w:t>
      </w:r>
      <w:r>
        <w:rPr>
          <w:rFonts w:hint="eastAsia"/>
          <w:lang w:eastAsia="zh-CN"/>
        </w:rPr>
        <w:t>，</w:t>
      </w:r>
      <w:r>
        <w:rPr>
          <w:rFonts w:hint="eastAsia"/>
        </w:rPr>
        <w:t>小于1.5m。</w:t>
      </w:r>
    </w:p>
    <w:p>
      <w:pPr>
        <w:pStyle w:val="6"/>
        <w:bidi w:val="0"/>
        <w:rPr>
          <w:rFonts w:hint="eastAsia" w:ascii="宋体" w:hAnsi="宋体" w:eastAsia="宋体" w:cs="宋体"/>
        </w:rPr>
      </w:pPr>
      <w:r>
        <w:rPr>
          <w:rFonts w:hint="eastAsia" w:ascii="宋体" w:hAnsi="宋体" w:eastAsia="宋体" w:cs="宋体"/>
        </w:rPr>
        <w:t>配电箱、开关箱内的开关电器（含插座）应按其规定的位置紧固在电器</w:t>
      </w:r>
      <w:r>
        <w:rPr>
          <w:rFonts w:hint="eastAsia" w:cs="宋体"/>
          <w:lang w:eastAsia="zh-CN"/>
        </w:rPr>
        <w:t>拆卸</w:t>
      </w:r>
      <w:r>
        <w:rPr>
          <w:rFonts w:hint="eastAsia" w:ascii="宋体" w:hAnsi="宋体" w:eastAsia="宋体" w:cs="宋体"/>
        </w:rPr>
        <w:t>板上，不得歪斜和松动。</w:t>
      </w:r>
    </w:p>
    <w:p>
      <w:pPr>
        <w:pStyle w:val="6"/>
        <w:bidi w:val="0"/>
        <w:rPr>
          <w:rFonts w:hint="eastAsia" w:ascii="宋体" w:hAnsi="宋体" w:eastAsia="宋体" w:cs="宋体"/>
        </w:rPr>
      </w:pPr>
      <w:r>
        <w:rPr>
          <w:rFonts w:hint="eastAsia" w:ascii="宋体" w:hAnsi="宋体" w:eastAsia="宋体" w:cs="宋体"/>
        </w:rPr>
        <w:t>配电箱、开关箱内的工作零线应通过接线端子板连接，并应与保护零线接线端子板分设。</w:t>
      </w:r>
    </w:p>
    <w:p>
      <w:pPr>
        <w:pStyle w:val="6"/>
        <w:bidi w:val="0"/>
        <w:rPr>
          <w:rFonts w:hint="eastAsia" w:ascii="宋体" w:hAnsi="宋体" w:eastAsia="宋体" w:cs="宋体"/>
        </w:rPr>
      </w:pPr>
      <w:r>
        <w:rPr>
          <w:rFonts w:hint="eastAsia" w:ascii="宋体" w:hAnsi="宋体" w:eastAsia="宋体" w:cs="宋体"/>
        </w:rPr>
        <w:t>配电箱、开关箱内的连接线接头不得松动，不得有外露带电部分。配电箱、开关箱中导线的进线口和出线口应设在箱体下底面，严禁设在箱体的上顶面、侧面、后面或箱门处。</w:t>
      </w:r>
    </w:p>
    <w:p>
      <w:pPr>
        <w:pStyle w:val="6"/>
        <w:bidi w:val="0"/>
        <w:rPr>
          <w:rFonts w:hint="eastAsia" w:ascii="宋体" w:hAnsi="宋体" w:eastAsia="宋体" w:cs="宋体"/>
        </w:rPr>
      </w:pPr>
      <w:r>
        <w:rPr>
          <w:rFonts w:hint="eastAsia" w:ascii="宋体" w:hAnsi="宋体" w:eastAsia="宋体" w:cs="宋体"/>
        </w:rPr>
        <w:t>配电箱和开关箱的金属体、金属电器</w:t>
      </w:r>
      <w:r>
        <w:rPr>
          <w:rFonts w:hint="eastAsia" w:cs="宋体"/>
          <w:lang w:eastAsia="zh-CN"/>
        </w:rPr>
        <w:t>拆卸</w:t>
      </w:r>
      <w:r>
        <w:rPr>
          <w:rFonts w:hint="eastAsia" w:ascii="宋体" w:hAnsi="宋体" w:eastAsia="宋体" w:cs="宋体"/>
        </w:rPr>
        <w:t>板以及箱内电器</w:t>
      </w:r>
      <w:bookmarkStart w:id="68" w:name="_Toc11882_WPSOffice_Level1"/>
      <w:r>
        <w:rPr>
          <w:rFonts w:hint="eastAsia" w:ascii="宋体" w:hAnsi="宋体" w:eastAsia="宋体" w:cs="宋体"/>
        </w:rPr>
        <w:t>的不应带电金属底座、外壳等必须保护接零</w:t>
      </w:r>
      <w:bookmarkEnd w:id="68"/>
      <w:r>
        <w:rPr>
          <w:rFonts w:hint="eastAsia" w:ascii="宋体" w:hAnsi="宋体" w:eastAsia="宋体" w:cs="宋体"/>
        </w:rPr>
        <w:t>。</w:t>
      </w:r>
      <w:bookmarkStart w:id="69" w:name="_Toc14617_WPSOffice_Level2"/>
      <w:r>
        <w:rPr>
          <w:rFonts w:hint="eastAsia" w:ascii="宋体" w:hAnsi="宋体" w:eastAsia="宋体" w:cs="宋体"/>
        </w:rPr>
        <w:t>保护零线应通过接线端子板</w:t>
      </w:r>
      <w:bookmarkEnd w:id="69"/>
      <w:r>
        <w:rPr>
          <w:rFonts w:hint="eastAsia" w:ascii="宋体" w:hAnsi="宋体" w:eastAsia="宋体" w:cs="宋体"/>
        </w:rPr>
        <w:t>连接。</w:t>
      </w:r>
    </w:p>
    <w:p>
      <w:pPr>
        <w:pStyle w:val="6"/>
        <w:bidi w:val="0"/>
        <w:rPr>
          <w:rFonts w:hint="eastAsia" w:ascii="宋体" w:hAnsi="宋体" w:eastAsia="宋体" w:cs="宋体"/>
        </w:rPr>
      </w:pPr>
      <w:r>
        <w:rPr>
          <w:rFonts w:hint="eastAsia" w:ascii="宋体" w:hAnsi="宋体" w:eastAsia="宋体" w:cs="宋体"/>
        </w:rPr>
        <w:t>配电箱、开关箱必须防雨、防尘，遇到配电箱内存在灰尘、混凝土等杂物，电工必须及时清理。</w:t>
      </w:r>
    </w:p>
    <w:p>
      <w:pPr>
        <w:pStyle w:val="6"/>
        <w:bidi w:val="0"/>
        <w:rPr>
          <w:rFonts w:hint="eastAsia" w:ascii="宋体" w:hAnsi="宋体" w:eastAsia="宋体" w:cs="宋体"/>
        </w:rPr>
      </w:pPr>
      <w:r>
        <w:rPr>
          <w:rFonts w:hint="eastAsia" w:ascii="宋体" w:hAnsi="宋体" w:eastAsia="宋体" w:cs="宋体"/>
        </w:rPr>
        <w:t>严禁使用容易引发触电事故的木质配电箱。</w:t>
      </w:r>
    </w:p>
    <w:p>
      <w:pPr>
        <w:pStyle w:val="6"/>
        <w:bidi w:val="0"/>
        <w:rPr>
          <w:rFonts w:hint="eastAsia" w:ascii="宋体" w:hAnsi="宋体" w:eastAsia="宋体" w:cs="宋体"/>
        </w:rPr>
      </w:pPr>
      <w:r>
        <w:rPr>
          <w:rFonts w:hint="eastAsia" w:ascii="宋体" w:hAnsi="宋体" w:eastAsia="宋体" w:cs="宋体"/>
        </w:rPr>
        <w:t>遇到雷电、暴雨等恶劣天气，施工现场作业区域应关闭总供电源。</w:t>
      </w:r>
    </w:p>
    <w:p>
      <w:pPr>
        <w:pStyle w:val="5"/>
        <w:bidi w:val="0"/>
        <w:rPr>
          <w:rFonts w:hint="eastAsia" w:ascii="宋体" w:hAnsi="宋体" w:eastAsia="宋体" w:cs="宋体"/>
        </w:rPr>
      </w:pPr>
      <w:r>
        <w:rPr>
          <w:rFonts w:hint="eastAsia" w:ascii="宋体" w:hAnsi="宋体" w:eastAsia="宋体" w:cs="宋体"/>
        </w:rPr>
        <w:t>漏电保护器的设置</w:t>
      </w:r>
      <w:r>
        <w:rPr>
          <w:rFonts w:hint="eastAsia" w:ascii="宋体" w:hAnsi="宋体" w:eastAsia="宋体" w:cs="宋体"/>
          <w:lang w:eastAsia="zh-CN"/>
        </w:rPr>
        <w:t>。</w:t>
      </w:r>
    </w:p>
    <w:p>
      <w:pPr>
        <w:pStyle w:val="6"/>
        <w:bidi w:val="0"/>
        <w:rPr>
          <w:rFonts w:hint="eastAsia" w:ascii="宋体" w:hAnsi="宋体" w:eastAsia="宋体" w:cs="宋体"/>
        </w:rPr>
      </w:pPr>
      <w:r>
        <w:rPr>
          <w:rFonts w:hint="eastAsia" w:ascii="宋体" w:hAnsi="宋体" w:eastAsia="宋体" w:cs="宋体"/>
        </w:rPr>
        <w:t>施工现场的总配电箱和开关箱应至少设置两级漏电保护器，而且两级漏电保护器的额定漏电动作电流和额定漏电动作时间应合理配合，使之具有分级保护的功能。</w:t>
      </w:r>
    </w:p>
    <w:p>
      <w:pPr>
        <w:pStyle w:val="6"/>
        <w:bidi w:val="0"/>
        <w:rPr>
          <w:rFonts w:hint="eastAsia" w:ascii="宋体" w:hAnsi="宋体" w:eastAsia="宋体" w:cs="宋体"/>
        </w:rPr>
      </w:pPr>
      <w:r>
        <w:rPr>
          <w:rFonts w:hint="eastAsia" w:ascii="宋体" w:hAnsi="宋体" w:eastAsia="宋体" w:cs="宋体"/>
        </w:rPr>
        <w:t>开关箱中必须设置漏电保护器，施工现场所有的用电设备，除做保护接零外，必须在设备负荷线的首端处</w:t>
      </w:r>
      <w:r>
        <w:rPr>
          <w:rFonts w:hint="eastAsia" w:cs="宋体"/>
          <w:lang w:eastAsia="zh-CN"/>
        </w:rPr>
        <w:t>拆卸</w:t>
      </w:r>
      <w:r>
        <w:rPr>
          <w:rFonts w:hint="eastAsia" w:ascii="宋体" w:hAnsi="宋体" w:eastAsia="宋体" w:cs="宋体"/>
        </w:rPr>
        <w:t>漏电保护器。</w:t>
      </w:r>
    </w:p>
    <w:p>
      <w:pPr>
        <w:pStyle w:val="6"/>
        <w:bidi w:val="0"/>
        <w:rPr>
          <w:rFonts w:hint="eastAsia" w:ascii="宋体" w:hAnsi="宋体" w:eastAsia="宋体" w:cs="宋体"/>
        </w:rPr>
      </w:pPr>
      <w:r>
        <w:rPr>
          <w:rFonts w:hint="eastAsia" w:ascii="宋体" w:hAnsi="宋体" w:eastAsia="宋体" w:cs="宋体"/>
        </w:rPr>
        <w:t>漏电保护器应装设在配电箱电源隔离开关的负荷侧和开关箱电源隔离开关的负荷侧。</w:t>
      </w:r>
    </w:p>
    <w:p>
      <w:pPr>
        <w:pStyle w:val="6"/>
        <w:bidi w:val="0"/>
        <w:rPr>
          <w:rFonts w:hint="eastAsia"/>
        </w:rPr>
      </w:pPr>
      <w:r>
        <w:rPr>
          <w:rFonts w:hint="eastAsia"/>
        </w:rPr>
        <w:t>开关箱内的漏电保护器其额定漏电动作电流应不大于30mA，额定漏电动作时间应小于0.1s。潮湿和有腐蚀介质场所的漏电保护器应采用防溅型产品，其额定漏电动作电流应不大于15mA</w:t>
      </w:r>
      <w:r>
        <w:rPr>
          <w:rFonts w:hint="eastAsia"/>
          <w:lang w:eastAsia="zh-CN"/>
        </w:rPr>
        <w:t>，</w:t>
      </w:r>
      <w:r>
        <w:rPr>
          <w:rFonts w:hint="eastAsia"/>
        </w:rPr>
        <w:t>额定漏电动作时间应小于0.1s。</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70" w:name="_Toc4051_WPSOffice_Level2"/>
      <w:bookmarkStart w:id="71" w:name="_Toc530055694"/>
      <w:r>
        <w:rPr>
          <w:rFonts w:hint="eastAsia" w:ascii="宋体" w:hAnsi="宋体" w:eastAsia="宋体" w:cs="宋体"/>
          <w:sz w:val="24"/>
          <w:szCs w:val="24"/>
        </w:rPr>
        <w:t>起重作业的安全规定</w:t>
      </w:r>
    </w:p>
    <w:bookmarkEnd w:id="70"/>
    <w:bookmarkEnd w:id="71"/>
    <w:p>
      <w:pPr>
        <w:pStyle w:val="5"/>
        <w:bidi w:val="0"/>
        <w:rPr>
          <w:rFonts w:hint="eastAsia" w:ascii="宋体" w:hAnsi="宋体" w:eastAsia="宋体" w:cs="宋体"/>
        </w:rPr>
      </w:pPr>
      <w:r>
        <w:rPr>
          <w:rFonts w:hint="eastAsia" w:ascii="宋体" w:hAnsi="宋体" w:eastAsia="宋体" w:cs="宋体"/>
        </w:rPr>
        <w:t>工作前检查起重所用的一切工具、设备、吊索具是否良好，如不符合规定的，必须修理或更换。</w:t>
      </w:r>
    </w:p>
    <w:p>
      <w:pPr>
        <w:pStyle w:val="5"/>
        <w:bidi w:val="0"/>
        <w:rPr>
          <w:rFonts w:hint="eastAsia" w:ascii="宋体" w:hAnsi="宋体" w:eastAsia="宋体" w:cs="宋体"/>
        </w:rPr>
      </w:pPr>
      <w:r>
        <w:rPr>
          <w:rFonts w:hint="eastAsia" w:ascii="宋体" w:hAnsi="宋体" w:eastAsia="宋体" w:cs="宋体"/>
        </w:rPr>
        <w:t>起重作业前应了解吊物尺寸、重量和起吊高度等，不得冒险作业和超负荷作业。</w:t>
      </w:r>
    </w:p>
    <w:p>
      <w:pPr>
        <w:pStyle w:val="5"/>
        <w:bidi w:val="0"/>
        <w:rPr>
          <w:rFonts w:hint="eastAsia" w:ascii="宋体" w:hAnsi="宋体" w:eastAsia="宋体" w:cs="宋体"/>
        </w:rPr>
      </w:pPr>
      <w:r>
        <w:rPr>
          <w:rFonts w:hint="eastAsia" w:ascii="宋体" w:hAnsi="宋体" w:eastAsia="宋体" w:cs="宋体"/>
        </w:rPr>
        <w:t>起重作业由专业起重作业人员指挥，统一指挥信号和哨声，指挥者站在所有作业人员能看到的位置。同时指挥者本人应清楚地看到重物吊装的全部过程。</w:t>
      </w:r>
    </w:p>
    <w:p>
      <w:pPr>
        <w:pStyle w:val="5"/>
        <w:bidi w:val="0"/>
        <w:rPr>
          <w:rFonts w:hint="eastAsia" w:ascii="宋体" w:hAnsi="宋体" w:eastAsia="宋体" w:cs="宋体"/>
        </w:rPr>
      </w:pPr>
      <w:r>
        <w:rPr>
          <w:rFonts w:hint="eastAsia" w:ascii="宋体" w:hAnsi="宋体" w:eastAsia="宋体" w:cs="宋体"/>
        </w:rPr>
        <w:t>起吊前应将吊物上的工具和杂物清除，以免掉下伤人，吊物上禁止站人。</w:t>
      </w:r>
    </w:p>
    <w:p>
      <w:pPr>
        <w:pStyle w:val="5"/>
        <w:bidi w:val="0"/>
        <w:rPr>
          <w:rFonts w:hint="eastAsia" w:ascii="宋体" w:hAnsi="宋体" w:eastAsia="宋体" w:cs="宋体"/>
        </w:rPr>
      </w:pPr>
      <w:r>
        <w:rPr>
          <w:rFonts w:hint="eastAsia" w:ascii="宋体" w:hAnsi="宋体" w:eastAsia="宋体" w:cs="宋体"/>
        </w:rPr>
        <w:t>起重时发现吊物不平衡应放下调整，起吊物及构件在未</w:t>
      </w:r>
      <w:r>
        <w:rPr>
          <w:rFonts w:hint="eastAsia" w:cs="宋体"/>
          <w:lang w:eastAsia="zh-CN"/>
        </w:rPr>
        <w:t>拆卸</w:t>
      </w:r>
      <w:r>
        <w:rPr>
          <w:rFonts w:hint="eastAsia" w:ascii="宋体" w:hAnsi="宋体" w:eastAsia="宋体" w:cs="宋体"/>
        </w:rPr>
        <w:t>稳前，不得放下吊钩。</w:t>
      </w:r>
    </w:p>
    <w:p>
      <w:pPr>
        <w:pStyle w:val="5"/>
        <w:bidi w:val="0"/>
        <w:rPr>
          <w:rFonts w:hint="eastAsia" w:ascii="宋体" w:hAnsi="宋体" w:eastAsia="宋体" w:cs="宋体"/>
        </w:rPr>
      </w:pPr>
      <w:r>
        <w:rPr>
          <w:rFonts w:hint="eastAsia" w:ascii="宋体" w:hAnsi="宋体" w:eastAsia="宋体" w:cs="宋体"/>
        </w:rPr>
        <w:t>严格执行“十不吊”要求。</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监测监控措施</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根据本工程特点，塔吊监测的主要内容主要为塔吊塔身垂直度监测、基础沉降监测、基础位移监测、塔机所有安全装置的监测。</w:t>
      </w:r>
    </w:p>
    <w:p>
      <w:pPr>
        <w:pStyle w:val="5"/>
        <w:bidi w:val="0"/>
        <w:rPr>
          <w:rFonts w:hint="eastAsia" w:ascii="宋体" w:hAnsi="宋体" w:eastAsia="宋体" w:cs="宋体"/>
        </w:rPr>
      </w:pPr>
      <w:r>
        <w:rPr>
          <w:rFonts w:hint="eastAsia" w:ascii="宋体" w:hAnsi="宋体" w:eastAsia="宋体" w:cs="宋体"/>
        </w:rPr>
        <w:t>监控措施</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施工过程中，安全员必须对工人的施工操作进行监控。整个监控通过现场的指导，定期检查及不定期的检查来执行。</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pPr>
        <w:pStyle w:val="5"/>
        <w:bidi w:val="0"/>
        <w:rPr>
          <w:rFonts w:hint="eastAsia" w:ascii="宋体" w:hAnsi="宋体" w:eastAsia="宋体" w:cs="宋体"/>
        </w:rPr>
      </w:pPr>
      <w:r>
        <w:rPr>
          <w:rFonts w:hint="eastAsia" w:ascii="宋体" w:hAnsi="宋体" w:eastAsia="宋体" w:cs="宋体"/>
        </w:rPr>
        <w:t>监测措施</w:t>
      </w:r>
    </w:p>
    <w:p>
      <w:pPr>
        <w:pStyle w:val="6"/>
        <w:bidi w:val="0"/>
        <w:rPr>
          <w:rFonts w:hint="eastAsia"/>
        </w:rPr>
      </w:pPr>
      <w:r>
        <w:rPr>
          <w:rFonts w:hint="eastAsia"/>
        </w:rPr>
        <w:t>监测人员配备</w:t>
      </w:r>
    </w:p>
    <w:p>
      <w:pPr>
        <w:pStyle w:val="15"/>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lang w:val="en-US" w:eastAsia="zh-CN"/>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.9.2.</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监测人员配备表</w:t>
      </w:r>
    </w:p>
    <w:tbl>
      <w:tblPr>
        <w:tblStyle w:val="121"/>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70"/>
        <w:gridCol w:w="1648"/>
        <w:gridCol w:w="5967"/>
        <w:gridCol w:w="1170"/>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4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姓名</w:t>
            </w:r>
          </w:p>
        </w:tc>
        <w:tc>
          <w:tcPr>
            <w:tcW w:w="836"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职务</w:t>
            </w:r>
          </w:p>
        </w:tc>
        <w:tc>
          <w:tcPr>
            <w:tcW w:w="3027"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工作内容</w:t>
            </w:r>
          </w:p>
        </w:tc>
        <w:tc>
          <w:tcPr>
            <w:tcW w:w="59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4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吕仕昌</w:t>
            </w:r>
          </w:p>
        </w:tc>
        <w:tc>
          <w:tcPr>
            <w:tcW w:w="836"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项目负责人</w:t>
            </w:r>
          </w:p>
        </w:tc>
        <w:tc>
          <w:tcPr>
            <w:tcW w:w="3027"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负责塔吊审核塔吊安拆方案中所需监测数据</w:t>
            </w:r>
          </w:p>
        </w:tc>
        <w:tc>
          <w:tcPr>
            <w:tcW w:w="59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4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张存祥</w:t>
            </w:r>
          </w:p>
        </w:tc>
        <w:tc>
          <w:tcPr>
            <w:tcW w:w="836"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技术负责人</w:t>
            </w:r>
          </w:p>
        </w:tc>
        <w:tc>
          <w:tcPr>
            <w:tcW w:w="5623" w:type="dxa"/>
            <w:tcBorders>
              <w:tl2br w:val="nil"/>
              <w:tr2bl w:val="nil"/>
            </w:tcBorders>
            <w:shd w:val="clear" w:color="auto" w:fill="auto"/>
            <w:vAlign w:val="center"/>
          </w:tcPr>
          <w:p>
            <w:pPr>
              <w:adjustRightInd w:val="0"/>
              <w:snapToGrid w:val="0"/>
              <w:spacing w:line="240" w:lineRule="auto"/>
              <w:ind w:firstLine="0" w:firstLineChars="0"/>
              <w:jc w:val="center"/>
              <w:rPr>
                <w:rFonts w:hint="eastAsia" w:ascii="宋体" w:hAnsi="宋体" w:eastAsia="宋体" w:cs="宋体"/>
                <w:sz w:val="24"/>
              </w:rPr>
            </w:pPr>
            <w:r>
              <w:rPr>
                <w:rStyle w:val="49"/>
                <w:rFonts w:hint="eastAsia" w:ascii="宋体" w:hAnsi="宋体" w:eastAsia="宋体" w:cs="宋体"/>
                <w:lang w:val="en-US" w:eastAsia="zh-CN"/>
              </w:rPr>
              <w:t>塔机安拆过程技术指导</w:t>
            </w:r>
          </w:p>
        </w:tc>
        <w:tc>
          <w:tcPr>
            <w:tcW w:w="59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4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于志刚</w:t>
            </w:r>
          </w:p>
        </w:tc>
        <w:tc>
          <w:tcPr>
            <w:tcW w:w="836"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安全总监</w:t>
            </w:r>
          </w:p>
        </w:tc>
        <w:tc>
          <w:tcPr>
            <w:tcW w:w="3027"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负责塔吊</w:t>
            </w:r>
            <w:r>
              <w:rPr>
                <w:rFonts w:hint="eastAsia" w:cs="宋体"/>
                <w:kern w:val="2"/>
                <w:sz w:val="21"/>
                <w:szCs w:val="21"/>
                <w:lang w:val="en-US" w:eastAsia="zh-CN" w:bidi="ar-SA"/>
              </w:rPr>
              <w:t>拆卸</w:t>
            </w:r>
            <w:r>
              <w:rPr>
                <w:rFonts w:hint="eastAsia" w:ascii="宋体" w:hAnsi="宋体" w:eastAsia="宋体" w:cs="宋体"/>
                <w:kern w:val="2"/>
                <w:sz w:val="21"/>
                <w:szCs w:val="21"/>
                <w:lang w:val="en-US" w:eastAsia="zh-CN" w:bidi="ar-SA"/>
              </w:rPr>
              <w:t>过程中的安全监管</w:t>
            </w:r>
          </w:p>
        </w:tc>
        <w:tc>
          <w:tcPr>
            <w:tcW w:w="59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4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孔令波</w:t>
            </w:r>
          </w:p>
        </w:tc>
        <w:tc>
          <w:tcPr>
            <w:tcW w:w="836"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测量组长</w:t>
            </w:r>
          </w:p>
        </w:tc>
        <w:tc>
          <w:tcPr>
            <w:tcW w:w="3027"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负责塔吊</w:t>
            </w:r>
            <w:r>
              <w:rPr>
                <w:rFonts w:hint="eastAsia" w:cs="宋体"/>
                <w:kern w:val="2"/>
                <w:sz w:val="21"/>
                <w:szCs w:val="21"/>
                <w:lang w:val="en-US" w:eastAsia="zh-CN" w:bidi="ar-SA"/>
              </w:rPr>
              <w:t>拆卸</w:t>
            </w:r>
            <w:r>
              <w:rPr>
                <w:rFonts w:hint="eastAsia" w:ascii="宋体" w:hAnsi="宋体" w:eastAsia="宋体" w:cs="宋体"/>
                <w:kern w:val="2"/>
                <w:sz w:val="21"/>
                <w:szCs w:val="21"/>
                <w:lang w:val="en-US" w:eastAsia="zh-CN" w:bidi="ar-SA"/>
              </w:rPr>
              <w:t>过程中的测量工作</w:t>
            </w:r>
          </w:p>
        </w:tc>
        <w:tc>
          <w:tcPr>
            <w:tcW w:w="59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4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刘云祥</w:t>
            </w:r>
          </w:p>
        </w:tc>
        <w:tc>
          <w:tcPr>
            <w:tcW w:w="836"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安拆工长</w:t>
            </w:r>
          </w:p>
        </w:tc>
        <w:tc>
          <w:tcPr>
            <w:tcW w:w="3027"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负责配合测量员完成塔吊监测工作</w:t>
            </w:r>
          </w:p>
        </w:tc>
        <w:tc>
          <w:tcPr>
            <w:tcW w:w="593"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bl>
    <w:p>
      <w:pPr>
        <w:pStyle w:val="6"/>
        <w:bidi w:val="0"/>
        <w:rPr>
          <w:rFonts w:hint="eastAsia"/>
        </w:rPr>
      </w:pPr>
      <w:r>
        <w:rPr>
          <w:rFonts w:hint="eastAsia"/>
        </w:rPr>
        <w:t>监测监管要求</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前期准备：必须将所需监测资料收集齐全，所需测量数据制定成表格，并将控制要求负责表格后面</w:t>
      </w:r>
      <w:r>
        <w:rPr>
          <w:rFonts w:hint="eastAsia" w:ascii="宋体" w:hAnsi="宋体" w:eastAsia="宋体" w:cs="宋体"/>
          <w:sz w:val="24"/>
          <w:szCs w:val="24"/>
          <w:lang w:eastAsia="zh-CN"/>
        </w:rPr>
        <w:t>。</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现场测量：保证测量人员固定，设备固定、观测线路固定的三固定原则，保证测量仪器工作正常，现场测量员技术过关，注意施工安全</w:t>
      </w:r>
      <w:r>
        <w:rPr>
          <w:rFonts w:hint="eastAsia" w:ascii="宋体" w:hAnsi="宋体" w:eastAsia="宋体" w:cs="宋体"/>
          <w:sz w:val="24"/>
          <w:szCs w:val="24"/>
          <w:lang w:eastAsia="zh-CN"/>
        </w:rPr>
        <w:t>。</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数据处理：现场测量数据必须形成档案，以便存储。同时将测量数据及时反馈给</w:t>
      </w:r>
      <w:r>
        <w:rPr>
          <w:rFonts w:hint="eastAsia" w:cs="宋体"/>
          <w:sz w:val="24"/>
          <w:szCs w:val="24"/>
          <w:lang w:eastAsia="zh-CN"/>
        </w:rPr>
        <w:t>拆卸</w:t>
      </w:r>
      <w:r>
        <w:rPr>
          <w:rFonts w:hint="eastAsia" w:ascii="宋体" w:hAnsi="宋体" w:eastAsia="宋体" w:cs="宋体"/>
          <w:sz w:val="24"/>
          <w:szCs w:val="24"/>
        </w:rPr>
        <w:t>工长，</w:t>
      </w:r>
      <w:r>
        <w:rPr>
          <w:rFonts w:hint="eastAsia" w:cs="宋体"/>
          <w:sz w:val="24"/>
          <w:szCs w:val="24"/>
          <w:lang w:eastAsia="zh-CN"/>
        </w:rPr>
        <w:t>拆卸</w:t>
      </w:r>
      <w:r>
        <w:rPr>
          <w:rFonts w:hint="eastAsia" w:ascii="宋体" w:hAnsi="宋体" w:eastAsia="宋体" w:cs="宋体"/>
          <w:sz w:val="24"/>
          <w:szCs w:val="24"/>
        </w:rPr>
        <w:t>工长根据反馈数据确定是否需要采取相应处理措施</w:t>
      </w:r>
      <w:r>
        <w:rPr>
          <w:rFonts w:hint="eastAsia" w:ascii="宋体" w:hAnsi="宋体" w:eastAsia="宋体" w:cs="宋体"/>
          <w:sz w:val="24"/>
          <w:szCs w:val="24"/>
          <w:lang w:eastAsia="zh-CN"/>
        </w:rPr>
        <w:t>。</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档案归档：塔吊</w:t>
      </w:r>
      <w:r>
        <w:rPr>
          <w:rFonts w:hint="eastAsia" w:cs="宋体"/>
          <w:sz w:val="24"/>
          <w:szCs w:val="24"/>
          <w:lang w:eastAsia="zh-CN"/>
        </w:rPr>
        <w:t>拆卸</w:t>
      </w:r>
      <w:r>
        <w:rPr>
          <w:rFonts w:hint="eastAsia" w:ascii="宋体" w:hAnsi="宋体" w:eastAsia="宋体" w:cs="宋体"/>
          <w:sz w:val="24"/>
          <w:szCs w:val="24"/>
        </w:rPr>
        <w:t>完成，检测合格后，保证所有监测资料能够快速查阅，资料控制、保护措施全面</w:t>
      </w:r>
      <w:r>
        <w:rPr>
          <w:rFonts w:hint="eastAsia" w:ascii="宋体" w:hAnsi="宋体" w:eastAsia="宋体" w:cs="宋体"/>
          <w:sz w:val="24"/>
          <w:szCs w:val="24"/>
          <w:lang w:eastAsia="zh-CN"/>
        </w:rPr>
        <w:t>。</w:t>
      </w:r>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电气设备</w:t>
      </w:r>
    </w:p>
    <w:p>
      <w:pPr>
        <w:pStyle w:val="5"/>
        <w:bidi w:val="0"/>
        <w:rPr>
          <w:rFonts w:hint="eastAsia" w:ascii="宋体" w:hAnsi="宋体" w:eastAsia="宋体" w:cs="宋体"/>
        </w:rPr>
      </w:pPr>
      <w:r>
        <w:rPr>
          <w:rFonts w:hint="eastAsia" w:ascii="宋体" w:hAnsi="宋体" w:eastAsia="宋体" w:cs="宋体"/>
        </w:rPr>
        <w:t>电气部分</w:t>
      </w:r>
    </w:p>
    <w:p>
      <w:pPr>
        <w:bidi w:val="0"/>
        <w:rPr>
          <w:rFonts w:hint="eastAsia"/>
        </w:rPr>
      </w:pPr>
      <w:r>
        <w:rPr>
          <w:rFonts w:hint="eastAsia"/>
        </w:rPr>
        <w:t>起重机电</w:t>
      </w:r>
      <w:r>
        <w:rPr>
          <w:rFonts w:hint="eastAsia"/>
          <w:color w:val="auto"/>
        </w:rPr>
        <w:t>气系统的设计符合GB3811-2008《起重机设计规范》</w:t>
      </w:r>
      <w:r>
        <w:rPr>
          <w:rFonts w:hint="eastAsia"/>
          <w:color w:val="auto"/>
          <w:lang w:eastAsia="zh-CN"/>
        </w:rPr>
        <w:t>、</w:t>
      </w:r>
      <w:r>
        <w:rPr>
          <w:rFonts w:hint="eastAsia"/>
          <w:color w:val="auto"/>
        </w:rPr>
        <w:t>GB6067-2010《起重机械安全规程》</w:t>
      </w:r>
      <w:r>
        <w:rPr>
          <w:rFonts w:hint="eastAsia"/>
          <w:color w:val="auto"/>
          <w:lang w:val="en-US" w:eastAsia="zh-CN"/>
        </w:rPr>
        <w:t>和</w:t>
      </w:r>
      <w:r>
        <w:rPr>
          <w:rFonts w:hint="eastAsia"/>
          <w:color w:val="auto"/>
        </w:rPr>
        <w:t>《起重机械安全技术规程》TSG51-2023的各项规定。起重机的电气设备能够保证机械的传动性能、电气的监控及保护性能安全、准确和可靠。在起重机发生紧急情况下，操作人员能够在司机室切断电源</w:t>
      </w:r>
      <w:r>
        <w:rPr>
          <w:rFonts w:hint="eastAsia"/>
          <w:color w:val="auto"/>
          <w:lang w:eastAsia="zh-CN"/>
        </w:rPr>
        <w:t>，</w:t>
      </w:r>
      <w:r>
        <w:rPr>
          <w:rFonts w:hint="eastAsia"/>
          <w:color w:val="auto"/>
        </w:rPr>
        <w:t>安全停车。</w:t>
      </w:r>
    </w:p>
    <w:p>
      <w:pPr>
        <w:pStyle w:val="5"/>
        <w:bidi w:val="0"/>
        <w:rPr>
          <w:rFonts w:hint="eastAsia" w:ascii="宋体" w:hAnsi="宋体" w:eastAsia="宋体" w:cs="宋体"/>
        </w:rPr>
      </w:pPr>
      <w:r>
        <w:rPr>
          <w:rFonts w:hint="eastAsia" w:ascii="宋体" w:hAnsi="宋体" w:eastAsia="宋体" w:cs="宋体"/>
        </w:rPr>
        <w:t>供电</w:t>
      </w:r>
    </w:p>
    <w:p>
      <w:pPr>
        <w:bidi w:val="0"/>
        <w:rPr>
          <w:rFonts w:hint="eastAsia"/>
        </w:rPr>
      </w:pPr>
      <w:r>
        <w:rPr>
          <w:rFonts w:hint="eastAsia"/>
        </w:rPr>
        <w:t>起重机供电电源为三相交流电源</w:t>
      </w:r>
      <w:r>
        <w:rPr>
          <w:rFonts w:hint="eastAsia"/>
          <w:lang w:eastAsia="zh-CN"/>
        </w:rPr>
        <w:t>，</w:t>
      </w:r>
      <w:r>
        <w:rPr>
          <w:rFonts w:hint="eastAsia"/>
        </w:rPr>
        <w:t>电压380V±10%</w:t>
      </w:r>
      <w:r>
        <w:rPr>
          <w:rFonts w:hint="eastAsia"/>
          <w:lang w:eastAsia="zh-CN"/>
        </w:rPr>
        <w:t>，</w:t>
      </w:r>
      <w:r>
        <w:rPr>
          <w:rFonts w:hint="eastAsia"/>
        </w:rPr>
        <w:t>频率50HZ。</w:t>
      </w:r>
    </w:p>
    <w:p>
      <w:pPr>
        <w:pStyle w:val="5"/>
        <w:bidi w:val="0"/>
        <w:rPr>
          <w:rFonts w:hint="eastAsia" w:ascii="宋体" w:hAnsi="宋体" w:eastAsia="宋体" w:cs="宋体"/>
        </w:rPr>
      </w:pPr>
      <w:r>
        <w:rPr>
          <w:rFonts w:hint="eastAsia" w:ascii="宋体" w:hAnsi="宋体" w:eastAsia="宋体" w:cs="宋体"/>
        </w:rPr>
        <w:t>电气保护</w:t>
      </w:r>
    </w:p>
    <w:p>
      <w:pPr>
        <w:pStyle w:val="6"/>
        <w:bidi w:val="0"/>
        <w:rPr>
          <w:rFonts w:hint="eastAsia" w:ascii="宋体" w:hAnsi="宋体" w:eastAsia="宋体" w:cs="宋体"/>
        </w:rPr>
      </w:pPr>
      <w:r>
        <w:rPr>
          <w:rFonts w:hint="eastAsia" w:ascii="宋体" w:hAnsi="宋体" w:eastAsia="宋体" w:cs="宋体"/>
        </w:rPr>
        <w:t>短路及过载保护</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起重机总受电屏、控制屏进出电源设置断路器、控制回路设置小容量断路器，使各机构在短路，过载等事故状态下，迅速与电源脱离</w:t>
      </w:r>
      <w:r>
        <w:rPr>
          <w:rFonts w:hint="eastAsia" w:ascii="宋体" w:hAnsi="宋体" w:eastAsia="宋体" w:cs="宋体"/>
          <w:sz w:val="24"/>
          <w:szCs w:val="24"/>
          <w:lang w:eastAsia="zh-CN"/>
        </w:rPr>
        <w:t>，</w:t>
      </w:r>
      <w:r>
        <w:rPr>
          <w:rFonts w:hint="eastAsia" w:ascii="宋体" w:hAnsi="宋体" w:eastAsia="宋体" w:cs="宋体"/>
          <w:sz w:val="24"/>
          <w:szCs w:val="24"/>
        </w:rPr>
        <w:t>以达到保护设备及人机安全的目的。</w:t>
      </w:r>
    </w:p>
    <w:p>
      <w:pPr>
        <w:pStyle w:val="6"/>
        <w:bidi w:val="0"/>
        <w:rPr>
          <w:rFonts w:hint="eastAsia" w:ascii="宋体" w:hAnsi="宋体" w:eastAsia="宋体" w:cs="宋体"/>
        </w:rPr>
      </w:pPr>
      <w:r>
        <w:rPr>
          <w:rFonts w:hint="eastAsia" w:ascii="宋体" w:hAnsi="宋体" w:eastAsia="宋体" w:cs="宋体"/>
        </w:rPr>
        <w:t>失压保护</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在总受电屏及机构控制屏中，用线路接触器作为失压保护装置，当供电电源中断时</w:t>
      </w:r>
      <w:r>
        <w:rPr>
          <w:rFonts w:hint="eastAsia" w:ascii="宋体" w:hAnsi="宋体" w:eastAsia="宋体" w:cs="宋体"/>
          <w:sz w:val="24"/>
          <w:szCs w:val="24"/>
          <w:lang w:eastAsia="zh-CN"/>
        </w:rPr>
        <w:t>，</w:t>
      </w:r>
      <w:r>
        <w:rPr>
          <w:rFonts w:hint="eastAsia" w:ascii="宋体" w:hAnsi="宋体" w:eastAsia="宋体" w:cs="宋体"/>
          <w:sz w:val="24"/>
          <w:szCs w:val="24"/>
        </w:rPr>
        <w:t>能够自动断开电源。</w:t>
      </w:r>
    </w:p>
    <w:p>
      <w:pPr>
        <w:pStyle w:val="6"/>
        <w:bidi w:val="0"/>
        <w:rPr>
          <w:rFonts w:hint="eastAsia" w:ascii="宋体" w:hAnsi="宋体" w:eastAsia="宋体" w:cs="宋体"/>
        </w:rPr>
      </w:pPr>
      <w:r>
        <w:rPr>
          <w:rFonts w:hint="eastAsia" w:ascii="宋体" w:hAnsi="宋体" w:eastAsia="宋体" w:cs="宋体"/>
        </w:rPr>
        <w:t>零位保护</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司机室的联动台凸轮控制器手柄上设有零位连锁，达到零位的目的。即当起重机开始运转前和失压恢复供电时，必须将控制器的手柄置于零位，各机构的电动机才能启动工作。</w:t>
      </w:r>
    </w:p>
    <w:p>
      <w:pPr>
        <w:pStyle w:val="6"/>
        <w:bidi w:val="0"/>
        <w:rPr>
          <w:rFonts w:hint="eastAsia" w:ascii="宋体" w:hAnsi="宋体" w:eastAsia="宋体" w:cs="宋体"/>
        </w:rPr>
      </w:pPr>
      <w:r>
        <w:rPr>
          <w:rFonts w:hint="eastAsia" w:ascii="宋体" w:hAnsi="宋体" w:eastAsia="宋体" w:cs="宋体"/>
        </w:rPr>
        <w:t>紧急断电保护</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司机室内设有紧急断电按钮，当起重机发生紧急情况时，随时方便地切断控制回路电源，从而使主回路断电，确保起重机的安全运行。</w:t>
      </w:r>
    </w:p>
    <w:p>
      <w:pPr>
        <w:pStyle w:val="6"/>
        <w:bidi w:val="0"/>
        <w:rPr>
          <w:rFonts w:hint="eastAsia" w:ascii="宋体" w:hAnsi="宋体" w:eastAsia="宋体" w:cs="宋体"/>
        </w:rPr>
      </w:pPr>
      <w:r>
        <w:rPr>
          <w:rFonts w:hint="eastAsia" w:ascii="宋体" w:hAnsi="宋体" w:eastAsia="宋体" w:cs="宋体"/>
        </w:rPr>
        <w:t>起升</w:t>
      </w:r>
      <w:r>
        <w:rPr>
          <w:rFonts w:hint="eastAsia" w:ascii="宋体" w:hAnsi="宋体" w:eastAsia="宋体" w:cs="宋体"/>
          <w:lang w:eastAsia="zh-CN"/>
        </w:rPr>
        <w:t>，</w:t>
      </w:r>
      <w:r>
        <w:rPr>
          <w:rFonts w:hint="eastAsia" w:ascii="宋体" w:hAnsi="宋体" w:eastAsia="宋体" w:cs="宋体"/>
        </w:rPr>
        <w:t>行程限位保护</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起升采用变频控制，起升机构设有限位开关，可保证吊钩上升到极限位置时切断电源，变幅、回转运行到极限位置时切断控制回路电源，使主回路断电，从而达到减速和停车的目的，确保起重机的安全运行。</w:t>
      </w:r>
    </w:p>
    <w:p>
      <w:pPr>
        <w:pStyle w:val="6"/>
        <w:bidi w:val="0"/>
        <w:rPr>
          <w:rFonts w:hint="eastAsia" w:ascii="宋体" w:hAnsi="宋体" w:eastAsia="宋体" w:cs="宋体"/>
        </w:rPr>
      </w:pPr>
      <w:r>
        <w:rPr>
          <w:rFonts w:hint="eastAsia" w:ascii="宋体" w:hAnsi="宋体" w:eastAsia="宋体" w:cs="宋体"/>
        </w:rPr>
        <w:t>超载保护</w:t>
      </w:r>
    </w:p>
    <w:p>
      <w:pPr>
        <w:bidi w:val="0"/>
        <w:rPr>
          <w:rFonts w:hint="eastAsia"/>
        </w:rPr>
      </w:pPr>
      <w:r>
        <w:rPr>
          <w:rFonts w:hint="eastAsia"/>
        </w:rPr>
        <w:t>起升机构配置超载限制器，具有报警功能，当载荷达到额定起重量的90％时，能发出提示性报警信号，当起重量超过额定起重量时，能自动切断起升动力源，并发出禁止性报警信号。</w:t>
      </w:r>
    </w:p>
    <w:p>
      <w:pPr>
        <w:pStyle w:val="6"/>
        <w:bidi w:val="0"/>
        <w:rPr>
          <w:rFonts w:hint="eastAsia"/>
        </w:rPr>
      </w:pPr>
      <w:r>
        <w:rPr>
          <w:rFonts w:hint="eastAsia"/>
        </w:rPr>
        <w:t>控制柜</w:t>
      </w:r>
      <w:r>
        <w:rPr>
          <w:rFonts w:hint="eastAsia"/>
          <w:lang w:eastAsia="zh-CN"/>
        </w:rPr>
        <w:t>，</w:t>
      </w:r>
      <w:r>
        <w:rPr>
          <w:rFonts w:hint="eastAsia"/>
        </w:rPr>
        <w:t>端子箱防护等级IP55，端子箱采用下部或侧部进线上部做防雨，槽盖加防脱落装置。</w:t>
      </w:r>
    </w:p>
    <w:p>
      <w:pPr>
        <w:pStyle w:val="5"/>
        <w:bidi w:val="0"/>
        <w:rPr>
          <w:rFonts w:hint="eastAsia" w:ascii="宋体" w:hAnsi="宋体" w:eastAsia="宋体" w:cs="宋体"/>
        </w:rPr>
      </w:pPr>
      <w:r>
        <w:rPr>
          <w:rFonts w:hint="eastAsia" w:ascii="宋体" w:hAnsi="宋体" w:eastAsia="宋体" w:cs="宋体"/>
        </w:rPr>
        <w:t>起重机的接地</w:t>
      </w:r>
    </w:p>
    <w:p>
      <w:pPr>
        <w:pStyle w:val="6"/>
        <w:bidi w:val="0"/>
        <w:rPr>
          <w:rFonts w:hint="eastAsia" w:ascii="宋体" w:hAnsi="宋体" w:eastAsia="宋体" w:cs="宋体"/>
        </w:rPr>
      </w:pPr>
      <w:r>
        <w:rPr>
          <w:rFonts w:hint="eastAsia" w:ascii="宋体" w:hAnsi="宋体" w:eastAsia="宋体" w:cs="宋体"/>
        </w:rPr>
        <w:t>起重机的金属结构及所有电气设备的金属外壳，电缆金属外皮和变压器的低压侧均有可靠的接地。</w:t>
      </w:r>
    </w:p>
    <w:p>
      <w:pPr>
        <w:pStyle w:val="6"/>
        <w:bidi w:val="0"/>
        <w:rPr>
          <w:rFonts w:hint="eastAsia" w:ascii="宋体" w:hAnsi="宋体" w:eastAsia="宋体" w:cs="宋体"/>
        </w:rPr>
      </w:pPr>
      <w:r>
        <w:rPr>
          <w:rFonts w:hint="eastAsia" w:ascii="宋体" w:hAnsi="宋体" w:eastAsia="宋体" w:cs="宋体"/>
        </w:rPr>
        <w:t>起重机上任何一点的接地电阻均不大于4Ω。</w:t>
      </w:r>
    </w:p>
    <w:p>
      <w:pPr>
        <w:pStyle w:val="5"/>
        <w:bidi w:val="0"/>
        <w:rPr>
          <w:rFonts w:hint="eastAsia" w:ascii="宋体" w:hAnsi="宋体" w:eastAsia="宋体" w:cs="宋体"/>
        </w:rPr>
      </w:pPr>
      <w:r>
        <w:rPr>
          <w:rFonts w:hint="eastAsia" w:ascii="宋体" w:hAnsi="宋体" w:eastAsia="宋体" w:cs="宋体"/>
        </w:rPr>
        <w:t>操纵方式</w:t>
      </w:r>
    </w:p>
    <w:p>
      <w:pPr>
        <w:pStyle w:val="6"/>
        <w:bidi w:val="0"/>
        <w:rPr>
          <w:rFonts w:hint="eastAsia"/>
        </w:rPr>
      </w:pPr>
      <w:r>
        <w:rPr>
          <w:rFonts w:hint="eastAsia"/>
        </w:rPr>
        <w:t>司机室设有总电源和控制电源开关状态信号指示灯。</w:t>
      </w:r>
    </w:p>
    <w:p>
      <w:pPr>
        <w:pStyle w:val="6"/>
        <w:bidi w:val="0"/>
        <w:rPr>
          <w:rFonts w:hint="eastAsia"/>
        </w:rPr>
      </w:pPr>
      <w:r>
        <w:rPr>
          <w:rFonts w:hint="eastAsia"/>
        </w:rPr>
        <w:t>司机室设置交流220V电源插座及三相380V电源，备接其它电气设备。</w:t>
      </w:r>
    </w:p>
    <w:p>
      <w:pPr>
        <w:pStyle w:val="6"/>
        <w:bidi w:val="0"/>
        <w:rPr>
          <w:rFonts w:hint="eastAsia"/>
        </w:rPr>
      </w:pPr>
      <w:r>
        <w:rPr>
          <w:rFonts w:hint="eastAsia"/>
        </w:rPr>
        <w:t>司机室设有36V插座，以便于检修作业。</w:t>
      </w:r>
    </w:p>
    <w:p>
      <w:pPr>
        <w:pStyle w:val="6"/>
        <w:bidi w:val="0"/>
        <w:rPr>
          <w:rFonts w:hint="eastAsia" w:ascii="宋体" w:hAnsi="宋体" w:eastAsia="宋体" w:cs="宋体"/>
        </w:rPr>
      </w:pPr>
      <w:r>
        <w:rPr>
          <w:rFonts w:hint="eastAsia"/>
        </w:rPr>
        <w:t>司机室用交流220V/40W荧光灯具照明，以满足照度不低于200LX的要求</w:t>
      </w:r>
      <w:r>
        <w:rPr>
          <w:rFonts w:hint="eastAsia" w:ascii="宋体" w:hAnsi="宋体" w:eastAsia="宋体" w:cs="宋体"/>
        </w:rPr>
        <w:t>。</w:t>
      </w:r>
    </w:p>
    <w:p>
      <w:pPr>
        <w:pStyle w:val="5"/>
        <w:bidi w:val="0"/>
        <w:rPr>
          <w:rFonts w:hint="eastAsia" w:ascii="宋体" w:hAnsi="宋体" w:eastAsia="宋体" w:cs="宋体"/>
        </w:rPr>
      </w:pPr>
      <w:r>
        <w:rPr>
          <w:rFonts w:hint="eastAsia" w:ascii="宋体" w:hAnsi="宋体" w:eastAsia="宋体" w:cs="宋体"/>
        </w:rPr>
        <w:t>照明信号</w:t>
      </w:r>
    </w:p>
    <w:p>
      <w:pPr>
        <w:pStyle w:val="6"/>
        <w:bidi w:val="0"/>
        <w:rPr>
          <w:rFonts w:hint="eastAsia"/>
        </w:rPr>
      </w:pPr>
      <w:r>
        <w:rPr>
          <w:rFonts w:hint="eastAsia"/>
        </w:rPr>
        <w:t>照明及信号部分设有专用的隔离变压器。原边进线电压为交流380V，副边出线电压为交流220V</w:t>
      </w:r>
      <w:r>
        <w:rPr>
          <w:rFonts w:hint="eastAsia"/>
          <w:lang w:eastAsia="zh-CN"/>
        </w:rPr>
        <w:t>、</w:t>
      </w:r>
      <w:r>
        <w:rPr>
          <w:rFonts w:hint="eastAsia"/>
        </w:rPr>
        <w:t>交流36V。交流220V为起重机照明电源；交流36V为起重机安全信号和检修电源。照明变压器从主接触器上端引线，以保证主接触器断电时，照明回路不断电。</w:t>
      </w:r>
    </w:p>
    <w:p>
      <w:pPr>
        <w:pStyle w:val="6"/>
        <w:bidi w:val="0"/>
        <w:rPr>
          <w:rFonts w:hint="eastAsia"/>
        </w:rPr>
      </w:pPr>
      <w:r>
        <w:rPr>
          <w:rFonts w:hint="eastAsia"/>
        </w:rPr>
        <w:t>设有报警装置</w:t>
      </w:r>
      <w:r>
        <w:rPr>
          <w:rFonts w:hint="eastAsia"/>
          <w:lang w:eastAsia="zh-CN"/>
        </w:rPr>
        <w:t>，</w:t>
      </w:r>
      <w:r>
        <w:rPr>
          <w:rFonts w:hint="eastAsia"/>
        </w:rPr>
        <w:t>操作时起提示作用，在司机室通过按钮开关控制。</w:t>
      </w:r>
    </w:p>
    <w:p>
      <w:pPr>
        <w:pStyle w:val="5"/>
        <w:bidi w:val="0"/>
        <w:rPr>
          <w:rFonts w:hint="eastAsia" w:ascii="宋体" w:hAnsi="宋体" w:eastAsia="宋体" w:cs="宋体"/>
        </w:rPr>
      </w:pPr>
      <w:r>
        <w:rPr>
          <w:rFonts w:hint="eastAsia" w:ascii="宋体" w:hAnsi="宋体" w:eastAsia="宋体" w:cs="宋体"/>
        </w:rPr>
        <w:t>其它</w:t>
      </w:r>
    </w:p>
    <w:p>
      <w:pPr>
        <w:pStyle w:val="6"/>
        <w:bidi w:val="0"/>
        <w:rPr>
          <w:rFonts w:hint="eastAsia" w:ascii="宋体" w:hAnsi="宋体" w:eastAsia="宋体" w:cs="宋体"/>
        </w:rPr>
      </w:pPr>
      <w:r>
        <w:rPr>
          <w:rFonts w:hint="eastAsia" w:ascii="宋体" w:hAnsi="宋体" w:eastAsia="宋体" w:cs="宋体"/>
        </w:rPr>
        <w:t>起重机上布线采用截面积不小于2.5 mm²的铜导线。</w:t>
      </w:r>
    </w:p>
    <w:p>
      <w:pPr>
        <w:pStyle w:val="6"/>
        <w:bidi w:val="0"/>
        <w:rPr>
          <w:rFonts w:hint="eastAsia" w:ascii="宋体" w:hAnsi="宋体" w:eastAsia="宋体" w:cs="宋体"/>
        </w:rPr>
      </w:pPr>
      <w:r>
        <w:rPr>
          <w:rFonts w:hint="eastAsia" w:ascii="宋体" w:hAnsi="宋体" w:eastAsia="宋体" w:cs="宋体"/>
        </w:rPr>
        <w:t>总受电屏和各机构控制屏中的布线采用铜导线和铜排。</w:t>
      </w:r>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塔吊防雷安全保证措施</w:t>
      </w:r>
    </w:p>
    <w:p>
      <w:pPr>
        <w:pStyle w:val="5"/>
        <w:bidi w:val="0"/>
        <w:rPr>
          <w:rFonts w:hint="eastAsia" w:ascii="宋体" w:hAnsi="宋体" w:eastAsia="宋体" w:cs="宋体"/>
        </w:rPr>
      </w:pPr>
      <w:r>
        <w:rPr>
          <w:rFonts w:hint="eastAsia" w:ascii="宋体" w:hAnsi="宋体" w:eastAsia="宋体" w:cs="宋体"/>
        </w:rPr>
        <w:t>塔机装有防雷装置。防雷接地电阻实际检测一般不超过4Ω，特殊情况遵从安全设计值，允许与其他接地装置共用时，应满足其中最低的要求。</w:t>
      </w:r>
    </w:p>
    <w:p>
      <w:pPr>
        <w:pStyle w:val="5"/>
        <w:bidi w:val="0"/>
        <w:rPr>
          <w:rFonts w:hint="eastAsia" w:ascii="宋体" w:hAnsi="宋体" w:eastAsia="宋体" w:cs="宋体"/>
        </w:rPr>
      </w:pPr>
      <w:r>
        <w:rPr>
          <w:rFonts w:hint="eastAsia" w:ascii="宋体" w:hAnsi="宋体" w:eastAsia="宋体" w:cs="宋体"/>
        </w:rPr>
        <w:t>避雷针（带）与引下线的接地装置连接应采用焊接。整体防雷装置应保证完好的电气通路和连接的可靠性（包括跨接线和过度伸缩缝的处理等）。</w:t>
      </w:r>
    </w:p>
    <w:p>
      <w:pPr>
        <w:pStyle w:val="5"/>
        <w:bidi w:val="0"/>
        <w:rPr>
          <w:rFonts w:hint="eastAsia" w:ascii="宋体" w:hAnsi="宋体" w:eastAsia="宋体" w:cs="宋体"/>
        </w:rPr>
      </w:pPr>
      <w:r>
        <w:rPr>
          <w:rFonts w:hint="eastAsia" w:ascii="宋体" w:hAnsi="宋体" w:eastAsia="宋体" w:cs="宋体"/>
        </w:rPr>
        <w:t>对防雷装置应当作为电力设备一样进行预防性试验与检查、检测，保持其良好的保护性能。</w:t>
      </w:r>
    </w:p>
    <w:p>
      <w:pPr>
        <w:pStyle w:val="5"/>
        <w:bidi w:val="0"/>
        <w:rPr>
          <w:rFonts w:hint="eastAsia" w:ascii="宋体" w:hAnsi="宋体" w:eastAsia="宋体" w:cs="宋体"/>
        </w:rPr>
      </w:pPr>
      <w:r>
        <w:rPr>
          <w:rFonts w:hint="eastAsia" w:ascii="宋体" w:hAnsi="宋体" w:eastAsia="宋体" w:cs="宋体"/>
        </w:rPr>
        <w:t>对各种防雷装置应按规范标准要求检查整体和器件情况，例如，连接点有无裂纹，引下线上有无闪络或烧损痕迹，腐蚀锈蚀以及与相邻异体的安全距离情况等。</w:t>
      </w:r>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强制性条文和具体措施</w:t>
      </w:r>
    </w:p>
    <w:p>
      <w:pPr>
        <w:pStyle w:val="5"/>
        <w:bidi w:val="0"/>
        <w:rPr>
          <w:rFonts w:hint="eastAsia" w:ascii="宋体" w:hAnsi="宋体" w:eastAsia="宋体" w:cs="宋体"/>
        </w:rPr>
      </w:pPr>
      <w:r>
        <w:rPr>
          <w:rFonts w:hint="eastAsia" w:ascii="宋体" w:hAnsi="宋体" w:eastAsia="宋体" w:cs="宋体"/>
        </w:rPr>
        <w:t>应执行的强制性条文</w:t>
      </w:r>
    </w:p>
    <w:p>
      <w:pPr>
        <w:pStyle w:val="5"/>
        <w:numPr>
          <w:ilvl w:val="3"/>
          <w:numId w:val="0"/>
        </w:numPr>
        <w:bidi w:val="0"/>
        <w:ind w:leftChars="0"/>
        <w:jc w:val="center"/>
        <w:rPr>
          <w:rFonts w:hint="eastAsia" w:ascii="宋体" w:hAnsi="宋体" w:eastAsia="宋体" w:cs="宋体"/>
        </w:rPr>
      </w:pPr>
      <w:r>
        <w:rPr>
          <w:rFonts w:hint="eastAsia"/>
          <w:lang w:val="en-US" w:eastAsia="zh-CN"/>
        </w:rPr>
        <w:t>表6.2.12.1-1</w:t>
      </w:r>
      <w:r>
        <w:rPr>
          <w:rFonts w:hint="eastAsia" w:ascii="宋体" w:hAnsi="宋体" w:eastAsia="宋体" w:cs="宋体"/>
        </w:rPr>
        <w:t>应执行的强制性条文</w:t>
      </w:r>
    </w:p>
    <w:tbl>
      <w:tblPr>
        <w:tblStyle w:val="42"/>
        <w:tblW w:w="49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5"/>
        <w:gridCol w:w="975"/>
        <w:gridCol w:w="7075"/>
        <w:gridCol w:w="6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70" w:hRule="atLeast"/>
          <w:jc w:val="center"/>
        </w:trPr>
        <w:tc>
          <w:tcPr>
            <w:tcW w:w="502" w:type="pct"/>
            <w:tcBorders>
              <w:tl2br w:val="nil"/>
              <w:tr2bl w:val="nil"/>
            </w:tcBorders>
            <w:noWrap/>
            <w:vAlign w:val="center"/>
          </w:tcPr>
          <w:p>
            <w:pPr>
              <w:spacing w:line="240" w:lineRule="auto"/>
              <w:ind w:firstLine="0" w:firstLineChars="0"/>
              <w:jc w:val="center"/>
              <w:rPr>
                <w:rFonts w:hint="default" w:ascii="宋体" w:hAnsi="宋体" w:eastAsia="宋体" w:cs="宋体"/>
                <w:b/>
                <w:bCs/>
                <w:color w:val="000000" w:themeColor="text1"/>
                <w:spacing w:val="9"/>
                <w:kern w:val="2"/>
                <w:sz w:val="21"/>
                <w:szCs w:val="21"/>
                <w:lang w:val="en-US" w:eastAsia="zh-CN" w:bidi="ar-SA"/>
                <w14:textFill>
                  <w14:solidFill>
                    <w14:schemeClr w14:val="tx1"/>
                  </w14:solidFill>
                </w14:textFill>
              </w:rPr>
            </w:pPr>
            <w:r>
              <w:rPr>
                <w:rFonts w:hint="eastAsia" w:cs="宋体"/>
                <w:b/>
                <w:bCs/>
                <w:color w:val="000000" w:themeColor="text1"/>
                <w:spacing w:val="9"/>
                <w:kern w:val="2"/>
                <w:sz w:val="21"/>
                <w:szCs w:val="21"/>
                <w:lang w:val="en-US" w:eastAsia="zh-CN" w:bidi="ar-SA"/>
                <w14:textFill>
                  <w14:solidFill>
                    <w14:schemeClr w14:val="tx1"/>
                  </w14:solidFill>
                </w14:textFill>
              </w:rPr>
              <w:t>序号</w:t>
            </w:r>
          </w:p>
        </w:tc>
        <w:tc>
          <w:tcPr>
            <w:tcW w:w="502" w:type="pct"/>
            <w:tcBorders>
              <w:tl2br w:val="nil"/>
              <w:tr2bl w:val="nil"/>
            </w:tcBorders>
            <w:noWrap/>
            <w:vAlign w:val="center"/>
          </w:tcPr>
          <w:p>
            <w:pPr>
              <w:spacing w:line="240" w:lineRule="auto"/>
              <w:ind w:firstLine="0" w:firstLineChars="0"/>
              <w:jc w:val="center"/>
              <w:rPr>
                <w:rFonts w:hint="default" w:ascii="宋体" w:hAnsi="宋体" w:eastAsia="宋体" w:cs="宋体"/>
                <w:b/>
                <w:bCs/>
                <w:color w:val="000000" w:themeColor="text1"/>
                <w:spacing w:val="9"/>
                <w:kern w:val="2"/>
                <w:sz w:val="21"/>
                <w:szCs w:val="21"/>
                <w:lang w:val="en-US" w:eastAsia="zh-CN" w:bidi="ar-SA"/>
                <w14:textFill>
                  <w14:solidFill>
                    <w14:schemeClr w14:val="tx1"/>
                  </w14:solidFill>
                </w14:textFill>
              </w:rPr>
            </w:pPr>
            <w:r>
              <w:rPr>
                <w:rFonts w:hint="eastAsia" w:cs="宋体"/>
                <w:b/>
                <w:bCs/>
                <w:color w:val="000000" w:themeColor="text1"/>
                <w:spacing w:val="9"/>
                <w:kern w:val="2"/>
                <w:sz w:val="21"/>
                <w:szCs w:val="21"/>
                <w:lang w:val="en-US" w:eastAsia="zh-CN" w:bidi="ar-SA"/>
                <w14:textFill>
                  <w14:solidFill>
                    <w14:schemeClr w14:val="tx1"/>
                  </w14:solidFill>
                </w14:textFill>
              </w:rPr>
              <w:t>引用标准</w:t>
            </w:r>
          </w:p>
        </w:tc>
        <w:tc>
          <w:tcPr>
            <w:tcW w:w="3650" w:type="pct"/>
            <w:tcBorders>
              <w:tl2br w:val="nil"/>
              <w:tr2bl w:val="nil"/>
            </w:tcBorders>
            <w:noWrap/>
            <w:vAlign w:val="center"/>
          </w:tcPr>
          <w:p>
            <w:pPr>
              <w:spacing w:line="240" w:lineRule="auto"/>
              <w:ind w:firstLine="0" w:firstLineChars="0"/>
              <w:jc w:val="center"/>
              <w:rPr>
                <w:rFonts w:hint="default" w:ascii="宋体" w:hAnsi="宋体" w:eastAsia="宋体" w:cs="宋体"/>
                <w:b/>
                <w:bCs/>
                <w:color w:val="000000" w:themeColor="text1"/>
                <w:spacing w:val="9"/>
                <w:kern w:val="2"/>
                <w:sz w:val="21"/>
                <w:szCs w:val="21"/>
                <w:lang w:val="en-US" w:eastAsia="zh-CN" w:bidi="ar-SA"/>
                <w14:textFill>
                  <w14:solidFill>
                    <w14:schemeClr w14:val="tx1"/>
                  </w14:solidFill>
                </w14:textFill>
              </w:rPr>
            </w:pPr>
            <w:r>
              <w:rPr>
                <w:rFonts w:hint="eastAsia" w:cs="宋体"/>
                <w:b/>
                <w:bCs/>
                <w:color w:val="000000" w:themeColor="text1"/>
                <w:spacing w:val="9"/>
                <w:kern w:val="2"/>
                <w:sz w:val="21"/>
                <w:szCs w:val="21"/>
                <w:lang w:val="en-US" w:eastAsia="zh-CN" w:bidi="ar-SA"/>
                <w14:textFill>
                  <w14:solidFill>
                    <w14:schemeClr w14:val="tx1"/>
                  </w14:solidFill>
                </w14:textFill>
              </w:rPr>
              <w:t>应执行的强制性条文号</w:t>
            </w:r>
          </w:p>
        </w:tc>
        <w:tc>
          <w:tcPr>
            <w:tcW w:w="343" w:type="pct"/>
            <w:tcBorders>
              <w:tl2br w:val="nil"/>
              <w:tr2bl w:val="nil"/>
            </w:tcBorders>
            <w:noWrap/>
            <w:vAlign w:val="center"/>
          </w:tcPr>
          <w:p>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持续 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0" w:hRule="atLeast"/>
          <w:jc w:val="center"/>
        </w:trPr>
        <w:tc>
          <w:tcPr>
            <w:tcW w:w="502" w:type="pct"/>
            <w:tcBorders>
              <w:tl2br w:val="nil"/>
              <w:tr2bl w:val="nil"/>
            </w:tcBorders>
            <w:noWrap/>
            <w:vAlign w:val="center"/>
          </w:tcPr>
          <w:p>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1</w:t>
            </w:r>
          </w:p>
        </w:tc>
        <w:tc>
          <w:tcPr>
            <w:tcW w:w="502"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起重机械安全规程总则第一部分</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GB 6067.1-2010</w:t>
            </w:r>
          </w:p>
        </w:tc>
        <w:tc>
          <w:tcPr>
            <w:tcW w:w="3650"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16.1施工计划</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起重机械的安装与拆卸应作出施工计划并应严格监督管理，施工计划的制定与起重机械操作的程序相同(见11.1、11.2)。</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正确的安装与拆卸程序应保证：</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a)应有特殊类型起重机械的安装维护和使用说明书；</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b)安装人员未完全理解说明书及有关的操作规程之前，不能进行安装作业；</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c)整个安装和拆卸作业应按照说明书进行，并且由安装主管人员负责；</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d)参与工作的所有人员都具有扎实的操作知识；</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e)更换的部件和构件应为合格品；</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f)如果将起重机械从安装地点移至另外的工作地点，应采用制造商推荐的方法；</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g)起重机械的状态应符合制造商所规定的各种限制。</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改变任何预定程序或技术参数应经起重机械设计者或工程师的同意。</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16.2安全防护装置</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在安装和拆卸的过程中，有时需断开或短接起重力矩限制器、起重量限制器或运行限位器等安全防护装置的开关，使安全防护装置丧失功能，在起重机被交付使用之前，起重机施工的指派人员应保证所有安全防护装置功能正常。</w:t>
            </w:r>
          </w:p>
        </w:tc>
        <w:tc>
          <w:tcPr>
            <w:tcW w:w="343" w:type="pct"/>
            <w:tcBorders>
              <w:tl2br w:val="nil"/>
              <w:tr2bl w:val="nil"/>
            </w:tcBorders>
            <w:noWrap/>
            <w:vAlign w:val="top"/>
          </w:tcPr>
          <w:p>
            <w:pPr>
              <w:spacing w:line="240" w:lineRule="auto"/>
              <w:ind w:firstLine="0" w:firstLineChars="0"/>
              <w:rPr>
                <w:rFonts w:ascii="Times New Roman" w:hAnsi="Times New Roman" w:eastAsia="宋体" w:cs="Times New Roman"/>
                <w:sz w:val="21"/>
                <w:szCs w:val="21"/>
              </w:rPr>
            </w:pPr>
          </w:p>
          <w:p>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安装过程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502" w:type="pct"/>
            <w:tcBorders>
              <w:tl2br w:val="nil"/>
              <w:tr2bl w:val="nil"/>
            </w:tcBorders>
            <w:noWrap/>
            <w:vAlign w:val="center"/>
          </w:tcPr>
          <w:p>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2</w:t>
            </w:r>
          </w:p>
        </w:tc>
        <w:tc>
          <w:tcPr>
            <w:tcW w:w="502"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塔式起重机安全规程（GB5144-20</w:t>
            </w:r>
            <w:r>
              <w:rPr>
                <w:rFonts w:hint="eastAsia" w:cs="宋体"/>
                <w:color w:val="000000" w:themeColor="text1"/>
                <w:spacing w:val="9"/>
                <w:kern w:val="2"/>
                <w:sz w:val="21"/>
                <w:szCs w:val="21"/>
                <w:lang w:val="en-US" w:eastAsia="zh-CN" w:bidi="ar-SA"/>
                <w14:textFill>
                  <w14:solidFill>
                    <w14:schemeClr w14:val="tx1"/>
                  </w14:solidFill>
                </w14:textFill>
              </w:rPr>
              <w:t>19</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w:t>
            </w:r>
          </w:p>
        </w:tc>
        <w:tc>
          <w:tcPr>
            <w:tcW w:w="3650"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10.1塔机安装、拆卸及塔身加节或降节作业时，应按使用说明书中有关规定及注意事项进行。</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10.1.1架设前应对塔机自身的架设机构进行检查，保证机构处于正常状态。</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10.1.2塔机在安装、增加塔身标准节之前应对结构件和高强度螺栓进行检查，若发现下列问题应修复或更换后方可进行安装：</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a)目视可见的结构件裂纹及焊缝裂纹;</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b)连接件的轴、孔严重磨损;</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c)结构件母材严重锈蚀;</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d)结构件整体或局部塑性变形，销孔塑性变形。</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10.2安装、拆卸、加节或降节作业时，塔机的最大安装高度处的风速不应大于13m/s，当有特殊要求时，按用户和制造厂的协议执行。</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10.3塔机的尾部与周围建筑物及其外围施工设施之间的安全距离不小于0.6m。</w:t>
            </w:r>
          </w:p>
        </w:tc>
        <w:tc>
          <w:tcPr>
            <w:tcW w:w="343" w:type="pct"/>
            <w:tcBorders>
              <w:tl2br w:val="nil"/>
              <w:tr2bl w:val="nil"/>
            </w:tcBorders>
            <w:noWrap/>
            <w:vAlign w:val="top"/>
          </w:tcPr>
          <w:p>
            <w:pPr>
              <w:spacing w:line="240" w:lineRule="auto"/>
              <w:ind w:firstLine="0" w:firstLineChars="0"/>
              <w:rPr>
                <w:rFonts w:ascii="Times New Roman" w:hAnsi="Times New Roman" w:eastAsia="宋体" w:cs="Times New Roman"/>
                <w:sz w:val="21"/>
                <w:szCs w:val="21"/>
              </w:rPr>
            </w:pPr>
          </w:p>
          <w:p>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安装过程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502" w:type="pct"/>
            <w:tcBorders>
              <w:tl2br w:val="nil"/>
              <w:tr2bl w:val="nil"/>
            </w:tcBorders>
            <w:noWrap/>
            <w:vAlign w:val="center"/>
          </w:tcPr>
          <w:p>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3</w:t>
            </w:r>
          </w:p>
        </w:tc>
        <w:tc>
          <w:tcPr>
            <w:tcW w:w="502"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机械设备安装工程施工及验收通用规范GB50231-2009</w:t>
            </w:r>
          </w:p>
        </w:tc>
        <w:tc>
          <w:tcPr>
            <w:tcW w:w="3650"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1.0.6机械设备安装工程中采用的各种计量和检测器具、仪器、仪表和设备，必须符合国家现行有关标准的规定；其精度等级应满足被检测项目的精度要求。</w:t>
            </w:r>
          </w:p>
        </w:tc>
        <w:tc>
          <w:tcPr>
            <w:tcW w:w="343" w:type="pct"/>
            <w:tcBorders>
              <w:tl2br w:val="nil"/>
              <w:tr2bl w:val="nil"/>
            </w:tcBorders>
            <w:noWrap/>
            <w:vAlign w:val="top"/>
          </w:tcPr>
          <w:p>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测量过程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502" w:type="pct"/>
            <w:tcBorders>
              <w:tl2br w:val="nil"/>
              <w:tr2bl w:val="nil"/>
            </w:tcBorders>
            <w:noWrap/>
            <w:vAlign w:val="center"/>
          </w:tcPr>
          <w:p>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4</w:t>
            </w:r>
          </w:p>
        </w:tc>
        <w:tc>
          <w:tcPr>
            <w:tcW w:w="502"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施工现场临时用电安全技术规范</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JGJ46-2005</w:t>
            </w:r>
          </w:p>
        </w:tc>
        <w:tc>
          <w:tcPr>
            <w:tcW w:w="3650"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8.1.3每台用电设备应有各自专用的开关箱，严禁用同一个开关箱直接控制2台及2台以上用电设备（含插座）。</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8.2.10开关箱中漏电保护器的额定漏电动作电流不应大于30mA,额定漏电动作时间不应大于0.1s。使用潮湿或有腐蚀介质场所的漏电动作电流不应大于15mA，额定漏电动作时间不应大于0.1s。</w:t>
            </w:r>
          </w:p>
        </w:tc>
        <w:tc>
          <w:tcPr>
            <w:tcW w:w="343" w:type="pct"/>
            <w:tcBorders>
              <w:tl2br w:val="nil"/>
              <w:tr2bl w:val="nil"/>
            </w:tcBorders>
            <w:noWrap/>
            <w:vAlign w:val="top"/>
          </w:tcPr>
          <w:p>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用电过程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502" w:type="pct"/>
            <w:tcBorders>
              <w:tl2br w:val="nil"/>
              <w:tr2bl w:val="nil"/>
            </w:tcBorders>
            <w:noWrap/>
            <w:vAlign w:val="center"/>
          </w:tcPr>
          <w:p>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5</w:t>
            </w:r>
          </w:p>
        </w:tc>
        <w:tc>
          <w:tcPr>
            <w:tcW w:w="502"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建筑施工高处作业安全技术规范</w:t>
            </w:r>
          </w:p>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JGJ80-2016</w:t>
            </w:r>
          </w:p>
        </w:tc>
        <w:tc>
          <w:tcPr>
            <w:tcW w:w="3650" w:type="pct"/>
            <w:tcBorders>
              <w:tl2br w:val="nil"/>
              <w:tr2bl w:val="nil"/>
            </w:tcBorders>
            <w:noWrap/>
            <w:vAlign w:val="top"/>
          </w:tcPr>
          <w:p>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3.0.8在雨、霜、雾、雪等天气进行高处作业时，应采取防滑、防冻和防雷措施，并应及时清除作业面上的水、冰、雪、霜。当遇有6级以上强风、浓雾、沙尘暴等恶劣气候，不得进行露天攀登与悬空高处作业。雨雪天气后，应对高处作业安全设施进行检查，当发现有松动、变形、损坏和脱落等现象时，应立即修理完善，维修合格后方可使用。</w:t>
            </w:r>
          </w:p>
        </w:tc>
        <w:tc>
          <w:tcPr>
            <w:tcW w:w="343" w:type="pct"/>
            <w:tcBorders>
              <w:tl2br w:val="nil"/>
              <w:tr2bl w:val="nil"/>
            </w:tcBorders>
            <w:noWrap/>
            <w:vAlign w:val="top"/>
          </w:tcPr>
          <w:p>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高处作业过程</w:t>
            </w:r>
          </w:p>
        </w:tc>
      </w:tr>
    </w:tbl>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塔吊作业安全技术保证措施</w:t>
      </w:r>
    </w:p>
    <w:p>
      <w:pPr>
        <w:pStyle w:val="5"/>
        <w:bidi w:val="0"/>
        <w:rPr>
          <w:rFonts w:hint="eastAsia"/>
        </w:rPr>
      </w:pPr>
      <w:r>
        <w:rPr>
          <w:rFonts w:hint="eastAsia"/>
        </w:rPr>
        <w:t>必须严格执行</w:t>
      </w:r>
      <w:r>
        <w:rPr>
          <w:rFonts w:hint="eastAsia"/>
          <w:lang w:eastAsia="zh-CN"/>
        </w:rPr>
        <w:t>JG/T100-1999</w:t>
      </w:r>
      <w:r>
        <w:rPr>
          <w:rFonts w:hint="eastAsia"/>
        </w:rPr>
        <w:t>《塔式起重机操作使用规程》的有关规定，司机与起重工必须是按</w:t>
      </w:r>
      <w:r>
        <w:rPr>
          <w:rFonts w:hint="eastAsia"/>
          <w:lang w:val="en-US" w:eastAsia="zh-CN"/>
        </w:rPr>
        <w:t>省、市级</w:t>
      </w:r>
      <w:r>
        <w:rPr>
          <w:rFonts w:hint="eastAsia"/>
        </w:rPr>
        <w:t>劳动人事部门</w:t>
      </w:r>
      <w:r>
        <w:rPr>
          <w:rFonts w:hint="eastAsia"/>
          <w:lang w:val="en-US" w:eastAsia="zh-CN"/>
        </w:rPr>
        <w:t>或其指定单位</w:t>
      </w:r>
      <w:r>
        <w:rPr>
          <w:rFonts w:hint="eastAsia"/>
        </w:rPr>
        <w:t>有关规定</w:t>
      </w:r>
      <w:r>
        <w:rPr>
          <w:rFonts w:hint="eastAsia"/>
          <w:lang w:val="en-US" w:eastAsia="zh-CN"/>
        </w:rPr>
        <w:t>培训并</w:t>
      </w:r>
      <w:r>
        <w:rPr>
          <w:rFonts w:hint="eastAsia"/>
        </w:rPr>
        <w:t>进行考核</w:t>
      </w:r>
      <w:r>
        <w:rPr>
          <w:rFonts w:hint="eastAsia"/>
          <w:lang w:eastAsia="zh-CN"/>
        </w:rPr>
        <w:t>，</w:t>
      </w:r>
      <w:r>
        <w:rPr>
          <w:rFonts w:hint="eastAsia"/>
        </w:rPr>
        <w:t>取得合格证者。</w:t>
      </w:r>
    </w:p>
    <w:p>
      <w:pPr>
        <w:pStyle w:val="5"/>
        <w:bidi w:val="0"/>
        <w:rPr>
          <w:rFonts w:hint="eastAsia" w:ascii="宋体" w:hAnsi="宋体" w:eastAsia="宋体" w:cs="宋体"/>
          <w:lang w:val="en-US" w:eastAsia="zh-CN"/>
        </w:rPr>
      </w:pPr>
      <w:r>
        <w:rPr>
          <w:rFonts w:hint="eastAsia" w:ascii="宋体" w:hAnsi="宋体" w:eastAsia="宋体" w:cs="宋体"/>
          <w:lang w:val="en-US" w:eastAsia="zh-CN"/>
        </w:rPr>
        <w:t>司机必须了解所操作塔机的工作原理，熟悉该塔机的构造及安全装置的功能及其调整方法，掌握该起重机各项性能的操作方法以及该起重机的维修保养技术。</w:t>
      </w:r>
    </w:p>
    <w:p>
      <w:pPr>
        <w:pStyle w:val="5"/>
        <w:bidi w:val="0"/>
        <w:rPr>
          <w:rFonts w:hint="eastAsia" w:ascii="宋体" w:hAnsi="宋体" w:eastAsia="宋体" w:cs="宋体"/>
          <w:lang w:val="en-US" w:eastAsia="zh-CN"/>
        </w:rPr>
      </w:pPr>
      <w:r>
        <w:rPr>
          <w:rFonts w:hint="eastAsia" w:ascii="宋体" w:hAnsi="宋体" w:eastAsia="宋体" w:cs="宋体"/>
          <w:lang w:val="en-US" w:eastAsia="zh-CN"/>
        </w:rPr>
        <w:t>严格按本说明书提供的起重特性表操作，严禁超载运行。</w:t>
      </w:r>
    </w:p>
    <w:p>
      <w:pPr>
        <w:pStyle w:val="5"/>
        <w:bidi w:val="0"/>
        <w:rPr>
          <w:rFonts w:hint="eastAsia" w:ascii="宋体" w:hAnsi="宋体" w:eastAsia="宋体" w:cs="宋体"/>
          <w:kern w:val="2"/>
          <w:sz w:val="24"/>
          <w:szCs w:val="21"/>
          <w:lang w:val="en-US" w:eastAsia="zh-CN" w:bidi="ar-SA"/>
        </w:rPr>
      </w:pPr>
      <w:r>
        <w:rPr>
          <w:rFonts w:hint="eastAsia" w:ascii="宋体" w:hAnsi="宋体" w:eastAsia="宋体" w:cs="宋体"/>
          <w:lang w:val="en-US" w:eastAsia="zh-CN"/>
        </w:rPr>
        <w:t>起升机构、回转机构、牵引机构的操作动作要柔和，</w:t>
      </w:r>
      <w:r>
        <w:rPr>
          <w:rFonts w:hint="eastAsia" w:ascii="宋体" w:hAnsi="宋体" w:eastAsia="宋体" w:cs="宋体"/>
          <w:kern w:val="2"/>
          <w:sz w:val="24"/>
          <w:szCs w:val="21"/>
          <w:lang w:val="en-US" w:eastAsia="zh-CN" w:bidi="ar-SA"/>
        </w:rPr>
        <w:t>由低速到高速逐步转换，不得将操作手柄从静止(或低速)猛地向中速或高速位置推进。</w:t>
      </w:r>
    </w:p>
    <w:p>
      <w:pPr>
        <w:pStyle w:val="5"/>
        <w:bidi w:val="0"/>
        <w:rPr>
          <w:rFonts w:hint="eastAsia" w:ascii="宋体" w:hAnsi="宋体" w:eastAsia="宋体" w:cs="宋体"/>
          <w:lang w:val="en-US" w:eastAsia="zh-CN"/>
        </w:rPr>
      </w:pPr>
      <w:r>
        <w:rPr>
          <w:rFonts w:hint="eastAsia" w:ascii="宋体" w:hAnsi="宋体" w:eastAsia="宋体" w:cs="宋体"/>
          <w:lang w:val="en-US" w:eastAsia="zh-CN"/>
        </w:rPr>
        <w:t>施工面要设专人指挥塔机作业，与司机联络，必须规定严格的信号，采用对讲机联络</w:t>
      </w:r>
    </w:p>
    <w:p>
      <w:pPr>
        <w:pStyle w:val="5"/>
        <w:bidi w:val="0"/>
        <w:rPr>
          <w:rFonts w:hint="eastAsia" w:ascii="宋体" w:hAnsi="宋体" w:eastAsia="宋体" w:cs="宋体"/>
          <w:lang w:val="en-US" w:eastAsia="zh-CN"/>
        </w:rPr>
      </w:pPr>
      <w:r>
        <w:rPr>
          <w:rFonts w:hint="eastAsia" w:ascii="宋体" w:hAnsi="宋体" w:eastAsia="宋体" w:cs="宋体"/>
          <w:lang w:val="en-US" w:eastAsia="zh-CN"/>
        </w:rPr>
        <w:t>操作司机发现塔机有异常现象时，应停机切断电源，待查清并排除故障后再使用。</w:t>
      </w:r>
    </w:p>
    <w:p>
      <w:pPr>
        <w:pStyle w:val="5"/>
        <w:bidi w:val="0"/>
        <w:rPr>
          <w:rFonts w:hint="eastAsia" w:ascii="宋体" w:hAnsi="宋体" w:eastAsia="宋体" w:cs="宋体"/>
          <w:lang w:val="en-US" w:eastAsia="zh-CN"/>
        </w:rPr>
      </w:pPr>
      <w:r>
        <w:rPr>
          <w:rFonts w:hint="eastAsia" w:ascii="宋体" w:hAnsi="宋体" w:eastAsia="宋体" w:cs="宋体"/>
          <w:lang w:val="en-US" w:eastAsia="zh-CN"/>
        </w:rPr>
        <w:t>每班工作前，司机必须对塔吊各部件进行日常检查，对各部件进行按规日常保养加油，必须逐项检查各安全装置的可靠性，绝不允许在安全装置失灵的情况下勉强作业；</w:t>
      </w:r>
    </w:p>
    <w:p>
      <w:pPr>
        <w:pStyle w:val="5"/>
        <w:bidi w:val="0"/>
        <w:rPr>
          <w:rFonts w:hint="eastAsia" w:ascii="宋体" w:hAnsi="宋体" w:eastAsia="宋体" w:cs="宋体"/>
          <w:lang w:val="en-US" w:eastAsia="zh-CN"/>
        </w:rPr>
      </w:pPr>
      <w:r>
        <w:rPr>
          <w:rFonts w:hint="eastAsia" w:ascii="宋体" w:hAnsi="宋体" w:eastAsia="宋体" w:cs="宋体"/>
          <w:lang w:val="en-US" w:eastAsia="zh-CN"/>
        </w:rPr>
        <w:t>不准斜拉斜吊物品，不准抽吊交错挤压物品，不准起吊埋在地上的物品。</w:t>
      </w:r>
    </w:p>
    <w:p>
      <w:pPr>
        <w:pStyle w:val="5"/>
        <w:bidi w:val="0"/>
        <w:rPr>
          <w:rFonts w:hint="eastAsia" w:ascii="宋体" w:hAnsi="宋体" w:eastAsia="宋体" w:cs="宋体"/>
          <w:lang w:val="en-US" w:eastAsia="zh-CN"/>
        </w:rPr>
      </w:pPr>
      <w:r>
        <w:rPr>
          <w:rFonts w:hint="eastAsia" w:ascii="宋体" w:hAnsi="宋体" w:eastAsia="宋体" w:cs="宋体"/>
          <w:lang w:val="en-US" w:eastAsia="zh-CN"/>
        </w:rPr>
        <w:t>夜间作业，施工现场必须备有充分的照明设施。</w:t>
      </w:r>
    </w:p>
    <w:p>
      <w:pPr>
        <w:pStyle w:val="5"/>
        <w:bidi w:val="0"/>
        <w:rPr>
          <w:rFonts w:hint="eastAsia" w:ascii="宋体" w:hAnsi="宋体" w:eastAsia="宋体" w:cs="宋体"/>
          <w:lang w:val="en-US" w:eastAsia="zh-CN"/>
        </w:rPr>
      </w:pPr>
      <w:r>
        <w:rPr>
          <w:rFonts w:hint="eastAsia" w:ascii="宋体" w:hAnsi="宋体" w:eastAsia="宋体" w:cs="宋体"/>
          <w:lang w:val="en-US" w:eastAsia="zh-CN"/>
        </w:rPr>
        <w:t>有物品悬挂在空中时，司机与起重工不得离开工作岗位。</w:t>
      </w:r>
    </w:p>
    <w:p>
      <w:pPr>
        <w:pStyle w:val="4"/>
        <w:bidi w:val="0"/>
        <w:rPr>
          <w:rFonts w:hint="eastAsia"/>
          <w:lang w:val="en-US" w:eastAsia="zh-CN"/>
        </w:rPr>
      </w:pPr>
      <w:r>
        <w:rPr>
          <w:rFonts w:hint="eastAsia"/>
          <w:lang w:val="en-US" w:eastAsia="zh-CN"/>
        </w:rPr>
        <w:t>指挥的信号、手势、旗号应</w:t>
      </w:r>
      <w:r>
        <w:rPr>
          <w:rFonts w:hint="eastAsia"/>
          <w:color w:val="auto"/>
          <w:u w:val="none"/>
          <w:lang w:val="en-US" w:eastAsia="zh-CN"/>
        </w:rPr>
        <w:t>符合《</w:t>
      </w:r>
      <w:r>
        <w:rPr>
          <w:rFonts w:hint="default"/>
          <w:color w:val="auto"/>
          <w:u w:val="none"/>
        </w:rPr>
        <w:fldChar w:fldCharType="begin"/>
      </w:r>
      <w:r>
        <w:rPr>
          <w:rFonts w:hint="default"/>
          <w:color w:val="auto"/>
          <w:u w:val="none"/>
        </w:rPr>
        <w:instrText xml:space="preserve"> HYPERLINK "http://www.baidu.com/link?url=7SiLb0lSl4MfkSI3_pmAo3GbOdP8LU5C8MHTOIFz4sWy2I_VUqMjJBKz8FRBuSPGj_Kx8xUx1NwMGMdB0HnIo8CGfMmgB5X6WSnTmPPbnzS" \t "https://www.baidu.com/_blank" </w:instrText>
      </w:r>
      <w:r>
        <w:rPr>
          <w:rFonts w:hint="default"/>
          <w:color w:val="auto"/>
          <w:u w:val="none"/>
        </w:rPr>
        <w:fldChar w:fldCharType="separate"/>
      </w:r>
      <w:r>
        <w:rPr>
          <w:rStyle w:val="48"/>
          <w:rFonts w:hint="default" w:ascii="Arial" w:hAnsi="Arial" w:cs="Arial"/>
          <w:caps w:val="0"/>
          <w:color w:val="auto"/>
          <w:spacing w:val="0"/>
          <w:szCs w:val="21"/>
          <w:u w:val="none"/>
          <w:shd w:val="clear" w:fill="FFFFFF"/>
        </w:rPr>
        <w:t>起重机手势信号</w:t>
      </w:r>
      <w:r>
        <w:rPr>
          <w:rFonts w:hint="default"/>
          <w:color w:val="auto"/>
          <w:u w:val="none"/>
        </w:rPr>
        <w:fldChar w:fldCharType="end"/>
      </w:r>
      <w:r>
        <w:rPr>
          <w:rFonts w:hint="eastAsia"/>
          <w:color w:val="auto"/>
          <w:u w:val="none"/>
          <w:lang w:eastAsia="zh-CN"/>
        </w:rPr>
        <w:t>》</w:t>
      </w:r>
      <w:r>
        <w:rPr>
          <w:rFonts w:hint="eastAsia"/>
          <w:u w:val="none"/>
          <w:lang w:val="en-US" w:eastAsia="zh-CN"/>
        </w:rPr>
        <w:t>GB5</w:t>
      </w:r>
      <w:r>
        <w:rPr>
          <w:rFonts w:hint="eastAsia"/>
          <w:lang w:val="en-US" w:eastAsia="zh-CN"/>
        </w:rPr>
        <w:t>082-2019规定。</w:t>
      </w:r>
    </w:p>
    <w:p>
      <w:pPr>
        <w:pStyle w:val="5"/>
        <w:bidi w:val="0"/>
        <w:rPr>
          <w:rFonts w:hint="eastAsia" w:ascii="宋体" w:hAnsi="宋体" w:eastAsia="宋体" w:cs="宋体"/>
          <w:lang w:val="en-US" w:eastAsia="zh-CN"/>
        </w:rPr>
      </w:pPr>
      <w:r>
        <w:rPr>
          <w:rFonts w:hint="eastAsia" w:ascii="宋体" w:hAnsi="宋体" w:eastAsia="宋体" w:cs="宋体"/>
          <w:lang w:val="en-US" w:eastAsia="zh-CN"/>
        </w:rPr>
        <w:t>司机必须认真做好起重机的使用、维修、保养和交接班的记录工作。</w:t>
      </w:r>
    </w:p>
    <w:p>
      <w:pPr>
        <w:pStyle w:val="5"/>
        <w:bidi w:val="0"/>
        <w:rPr>
          <w:rFonts w:hint="eastAsia" w:ascii="宋体" w:hAnsi="宋体" w:eastAsia="宋体" w:cs="宋体"/>
          <w:lang w:val="en-US" w:eastAsia="zh-CN"/>
        </w:rPr>
      </w:pPr>
      <w:r>
        <w:rPr>
          <w:rFonts w:hint="eastAsia" w:ascii="宋体" w:hAnsi="宋体" w:eastAsia="宋体" w:cs="宋体"/>
          <w:lang w:val="en-US" w:eastAsia="zh-CN"/>
        </w:rPr>
        <w:t>塔机在非工作状态时应处于安全状态。即起重臂转到与风向一致，将吊钩提升至超过周围障碍物的高度，将所有手柄回到零位，左控制台的回转制动开关转到松开位置，并将总电源切断。</w:t>
      </w:r>
    </w:p>
    <w:p>
      <w:pPr>
        <w:pStyle w:val="5"/>
        <w:bidi w:val="0"/>
        <w:rPr>
          <w:rFonts w:hint="eastAsia"/>
          <w:lang w:val="en-US" w:eastAsia="zh-CN"/>
        </w:rPr>
      </w:pPr>
      <w:r>
        <w:rPr>
          <w:rFonts w:hint="eastAsia"/>
          <w:lang w:val="en-US" w:eastAsia="zh-CN"/>
        </w:rPr>
        <w:t>严禁司机酒后上机操作</w:t>
      </w:r>
    </w:p>
    <w:p>
      <w:pPr>
        <w:pStyle w:val="5"/>
        <w:bidi w:val="0"/>
        <w:rPr>
          <w:rFonts w:hint="eastAsia" w:ascii="宋体" w:hAnsi="宋体" w:eastAsia="宋体" w:cs="宋体"/>
          <w:lang w:val="en-US" w:eastAsia="zh-CN"/>
        </w:rPr>
      </w:pPr>
      <w:r>
        <w:rPr>
          <w:rFonts w:hint="eastAsia" w:ascii="宋体" w:hAnsi="宋体" w:eastAsia="宋体" w:cs="宋体"/>
          <w:lang w:val="en-US" w:eastAsia="zh-CN"/>
        </w:rPr>
        <w:t>吊钩、吊环有下列情形之一的，应更换：</w:t>
      </w:r>
    </w:p>
    <w:p>
      <w:pPr>
        <w:pStyle w:val="6"/>
        <w:bidi w:val="0"/>
        <w:rPr>
          <w:rFonts w:hint="eastAsia"/>
          <w:lang w:val="en-US" w:eastAsia="zh-CN"/>
        </w:rPr>
      </w:pPr>
      <w:r>
        <w:rPr>
          <w:rFonts w:hint="eastAsia"/>
          <w:lang w:val="en-US" w:eastAsia="zh-CN"/>
        </w:rPr>
        <w:t>表面有裂纹、破口，严禁补焊，应更换。</w:t>
      </w:r>
    </w:p>
    <w:p>
      <w:pPr>
        <w:pStyle w:val="6"/>
        <w:bidi w:val="0"/>
        <w:rPr>
          <w:rFonts w:hint="eastAsia"/>
          <w:lang w:val="en-US" w:eastAsia="zh-CN"/>
        </w:rPr>
      </w:pPr>
      <w:r>
        <w:rPr>
          <w:rFonts w:hint="eastAsia"/>
          <w:lang w:val="en-US" w:eastAsia="zh-CN"/>
        </w:rPr>
        <w:t>危险断面及钩颈有永久变形。</w:t>
      </w:r>
    </w:p>
    <w:p>
      <w:pPr>
        <w:pStyle w:val="6"/>
        <w:bidi w:val="0"/>
        <w:rPr>
          <w:rFonts w:hint="eastAsia"/>
          <w:lang w:val="en-US" w:eastAsia="zh-CN"/>
        </w:rPr>
      </w:pPr>
      <w:r>
        <w:rPr>
          <w:rFonts w:hint="eastAsia"/>
          <w:lang w:val="en-US" w:eastAsia="zh-CN"/>
        </w:rPr>
        <w:t>挂绳面磨损超过10%。</w:t>
      </w:r>
    </w:p>
    <w:p>
      <w:pPr>
        <w:pStyle w:val="6"/>
        <w:bidi w:val="0"/>
        <w:rPr>
          <w:rFonts w:hint="eastAsia"/>
          <w:lang w:val="en-US" w:eastAsia="zh-CN"/>
        </w:rPr>
      </w:pPr>
      <w:r>
        <w:rPr>
          <w:rFonts w:hint="eastAsia"/>
          <w:lang w:val="en-US" w:eastAsia="zh-CN"/>
        </w:rPr>
        <w:t>心轴（销子）磨损超过其直径的3~5%。</w:t>
      </w:r>
    </w:p>
    <w:p>
      <w:pPr>
        <w:pStyle w:val="5"/>
        <w:bidi w:val="0"/>
        <w:rPr>
          <w:rFonts w:hint="eastAsia" w:ascii="宋体" w:hAnsi="宋体" w:eastAsia="宋体" w:cs="宋体"/>
          <w:lang w:val="en-US" w:eastAsia="zh-CN"/>
        </w:rPr>
      </w:pPr>
      <w:r>
        <w:rPr>
          <w:rFonts w:hint="eastAsia" w:ascii="宋体" w:hAnsi="宋体" w:eastAsia="宋体" w:cs="宋体"/>
          <w:lang w:val="en-US" w:eastAsia="zh-CN"/>
        </w:rPr>
        <w:t>起重“十不吊”内容：</w:t>
      </w:r>
    </w:p>
    <w:p>
      <w:pPr>
        <w:pStyle w:val="6"/>
        <w:bidi w:val="0"/>
        <w:rPr>
          <w:rFonts w:hint="eastAsia"/>
        </w:rPr>
      </w:pPr>
      <w:r>
        <w:rPr>
          <w:rFonts w:hint="eastAsia"/>
        </w:rPr>
        <w:t>指挥信号不明或违章指挥不吊；</w:t>
      </w:r>
    </w:p>
    <w:p>
      <w:pPr>
        <w:pStyle w:val="6"/>
        <w:bidi w:val="0"/>
        <w:rPr>
          <w:rFonts w:hint="eastAsia"/>
        </w:rPr>
      </w:pPr>
      <w:r>
        <w:rPr>
          <w:rFonts w:hint="eastAsia"/>
        </w:rPr>
        <w:t>载荷不明不吊；</w:t>
      </w:r>
    </w:p>
    <w:p>
      <w:pPr>
        <w:pStyle w:val="6"/>
        <w:bidi w:val="0"/>
        <w:rPr>
          <w:rFonts w:hint="eastAsia"/>
        </w:rPr>
      </w:pPr>
      <w:r>
        <w:rPr>
          <w:rFonts w:hint="eastAsia"/>
        </w:rPr>
        <w:t>工件捆绑不良不吊；</w:t>
      </w:r>
    </w:p>
    <w:p>
      <w:pPr>
        <w:pStyle w:val="6"/>
        <w:bidi w:val="0"/>
        <w:rPr>
          <w:rFonts w:hint="eastAsia"/>
        </w:rPr>
      </w:pPr>
      <w:r>
        <w:rPr>
          <w:rFonts w:hint="eastAsia"/>
        </w:rPr>
        <w:t>吊物上面有人不吊；</w:t>
      </w:r>
    </w:p>
    <w:p>
      <w:pPr>
        <w:pStyle w:val="6"/>
        <w:bidi w:val="0"/>
        <w:rPr>
          <w:rFonts w:hint="eastAsia"/>
        </w:rPr>
      </w:pPr>
      <w:r>
        <w:rPr>
          <w:rFonts w:hint="eastAsia"/>
        </w:rPr>
        <w:t>安全装置不灵不吊；</w:t>
      </w:r>
    </w:p>
    <w:p>
      <w:pPr>
        <w:pStyle w:val="6"/>
        <w:bidi w:val="0"/>
        <w:rPr>
          <w:rFonts w:hint="eastAsia"/>
        </w:rPr>
      </w:pPr>
      <w:r>
        <w:rPr>
          <w:rFonts w:hint="eastAsia"/>
        </w:rPr>
        <w:t>光线阴暗视线不清不吊；</w:t>
      </w:r>
    </w:p>
    <w:p>
      <w:pPr>
        <w:pStyle w:val="6"/>
        <w:bidi w:val="0"/>
        <w:rPr>
          <w:rFonts w:hint="eastAsia"/>
        </w:rPr>
      </w:pPr>
      <w:r>
        <w:rPr>
          <w:rFonts w:hint="eastAsia"/>
        </w:rPr>
        <w:t>工件埋在地下不吊；</w:t>
      </w:r>
    </w:p>
    <w:p>
      <w:pPr>
        <w:pStyle w:val="6"/>
        <w:bidi w:val="0"/>
        <w:rPr>
          <w:rFonts w:hint="eastAsia"/>
        </w:rPr>
      </w:pPr>
      <w:r>
        <w:rPr>
          <w:rFonts w:hint="eastAsia"/>
        </w:rPr>
        <w:t>棱角物件无防护措施不吊；</w:t>
      </w:r>
    </w:p>
    <w:p>
      <w:pPr>
        <w:pStyle w:val="6"/>
        <w:bidi w:val="0"/>
        <w:rPr>
          <w:rFonts w:hint="eastAsia"/>
        </w:rPr>
      </w:pPr>
      <w:r>
        <w:rPr>
          <w:rFonts w:hint="eastAsia"/>
        </w:rPr>
        <w:t>斜拉工件不吊；</w:t>
      </w:r>
    </w:p>
    <w:p>
      <w:pPr>
        <w:pStyle w:val="6"/>
        <w:bidi w:val="0"/>
        <w:rPr>
          <w:rFonts w:hint="eastAsia"/>
        </w:rPr>
      </w:pPr>
      <w:r>
        <w:rPr>
          <w:rFonts w:hint="eastAsia"/>
        </w:rPr>
        <w:t>六级以上强风不吊。</w:t>
      </w:r>
    </w:p>
    <w:p>
      <w:pPr>
        <w:pStyle w:val="2"/>
        <w:keepNext w:val="0"/>
        <w:widowControl w:val="0"/>
        <w:numPr>
          <w:ilvl w:val="0"/>
          <w:numId w:val="18"/>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72" w:name="_Toc32389"/>
      <w:r>
        <w:rPr>
          <w:rFonts w:hint="eastAsia" w:ascii="宋体" w:hAnsi="宋体" w:eastAsia="宋体" w:cs="宋体"/>
          <w:sz w:val="24"/>
          <w:szCs w:val="24"/>
        </w:rPr>
        <w:t>施工管理及作业人员配备和分工</w:t>
      </w:r>
      <w:bookmarkEnd w:id="72"/>
    </w:p>
    <w:p>
      <w:pPr>
        <w:pStyle w:val="129"/>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为确保承台施工安全、优质、高效、如期地完成，成立以项目经理为首的管理团队进行项目的统筹管理。现场施工主要管理人员由具有丰富施工经验的人员组成，选择专业的施工劳务队伍进行施工。</w:t>
      </w:r>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73" w:name="_Toc122514842"/>
      <w:bookmarkStart w:id="74" w:name="_Toc7272"/>
      <w:bookmarkStart w:id="75" w:name="_Toc51089991"/>
      <w:bookmarkStart w:id="76" w:name="_Toc3462"/>
      <w:r>
        <w:rPr>
          <w:rFonts w:hint="eastAsia" w:ascii="宋体" w:hAnsi="宋体" w:eastAsia="宋体" w:cs="宋体"/>
          <w:sz w:val="24"/>
          <w:szCs w:val="24"/>
        </w:rPr>
        <w:t>施工管理人员配备和分工</w:t>
      </w:r>
      <w:bookmarkEnd w:id="73"/>
      <w:bookmarkEnd w:id="74"/>
      <w:bookmarkEnd w:id="75"/>
      <w:bookmarkEnd w:id="76"/>
    </w:p>
    <w:p>
      <w:pPr>
        <w:pStyle w:val="129"/>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b w:val="0"/>
          <w:bCs w:val="0"/>
          <w:sz w:val="24"/>
          <w:szCs w:val="24"/>
        </w:rPr>
      </w:pPr>
      <w:r>
        <w:rPr>
          <w:rFonts w:hint="eastAsia" w:ascii="宋体" w:hAnsi="宋体" w:eastAsia="宋体" w:cs="宋体"/>
          <w:sz w:val="24"/>
          <w:szCs w:val="24"/>
        </w:rPr>
        <w:t>根据施工安排，施工管理人员配备和分工见</w:t>
      </w:r>
      <w:r>
        <w:rPr>
          <w:rFonts w:hint="eastAsia" w:ascii="宋体" w:hAnsi="宋体" w:eastAsia="宋体" w:cs="宋体"/>
          <w:b w:val="0"/>
          <w:bCs w:val="0"/>
          <w:sz w:val="24"/>
          <w:szCs w:val="24"/>
        </w:rPr>
        <w:t>表7.1-1。</w:t>
      </w:r>
    </w:p>
    <w:p>
      <w:pPr>
        <w:pStyle w:val="38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表</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STYLEREF 2\s</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SEQ表\*ARABIC\s 2</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t>施工管理人员配备和分工表</w:t>
      </w:r>
    </w:p>
    <w:tbl>
      <w:tblPr>
        <w:tblStyle w:val="42"/>
        <w:tblW w:w="498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2591"/>
        <w:gridCol w:w="1271"/>
        <w:gridCol w:w="4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岗位</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人数</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项目经理</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项目总负责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项目总工</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全面负责项目技术管理工作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生产副经理</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组织、协调现场生产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技术员</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现场技术管理及技术资料收集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质检员</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质量监督、检查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测量员</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测量、放线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试验员</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试验、检验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材料员</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材料管理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设备员</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机械设备管理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工长</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施工安排及现场调度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起重指挥</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塔机安装现场总指挥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塔机起重机司机</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塔机安装过程中操作塔机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p>
        </w:tc>
        <w:tc>
          <w:tcPr>
            <w:tcW w:w="131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辅助机械司机</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415"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塔机安装过程中上操作</w:t>
            </w:r>
            <w:r>
              <w:rPr>
                <w:rFonts w:hint="eastAsia" w:cs="宋体"/>
                <w:color w:val="auto"/>
                <w:sz w:val="21"/>
                <w:szCs w:val="21"/>
                <w:lang w:val="en-US" w:eastAsia="zh-CN"/>
              </w:rPr>
              <w:t>汽车吊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38" w:type="pct"/>
            <w:gridSpan w:val="2"/>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合计</w:t>
            </w:r>
          </w:p>
        </w:tc>
        <w:tc>
          <w:tcPr>
            <w:tcW w:w="646" w:type="pct"/>
            <w:tcBorders>
              <w:tl2br w:val="nil"/>
              <w:tr2bl w:val="nil"/>
            </w:tcBorders>
            <w:shd w:val="clear" w:color="auto" w:fill="auto"/>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4</w:t>
            </w:r>
          </w:p>
        </w:tc>
        <w:tc>
          <w:tcPr>
            <w:tcW w:w="2415" w:type="pct"/>
            <w:tcBorders>
              <w:tl2br w:val="nil"/>
              <w:tr2bl w:val="nil"/>
            </w:tcBorders>
            <w:shd w:val="clear" w:color="auto" w:fill="auto"/>
            <w:vAlign w:val="center"/>
          </w:tcPr>
          <w:p>
            <w:pPr>
              <w:kinsoku/>
              <w:overflowPunct/>
              <w:topLinePunct w:val="0"/>
              <w:bidi w:val="0"/>
              <w:spacing w:line="360" w:lineRule="atLeast"/>
              <w:ind w:firstLine="420"/>
              <w:jc w:val="center"/>
              <w:rPr>
                <w:rFonts w:hint="eastAsia" w:ascii="宋体" w:hAnsi="宋体" w:eastAsia="宋体" w:cs="宋体"/>
                <w:sz w:val="21"/>
                <w:szCs w:val="21"/>
              </w:rPr>
            </w:pPr>
          </w:p>
        </w:tc>
      </w:tr>
    </w:tbl>
    <w:p>
      <w:pPr>
        <w:pStyle w:val="3"/>
        <w:keepNext w:val="0"/>
        <w:pageBreakBefore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77" w:name="_Toc122514843"/>
      <w:bookmarkStart w:id="78" w:name="_Toc294"/>
      <w:bookmarkStart w:id="79" w:name="_Toc32318"/>
      <w:bookmarkStart w:id="80" w:name="_Toc51089992"/>
      <w:r>
        <w:rPr>
          <w:rFonts w:hint="eastAsia" w:ascii="宋体" w:hAnsi="宋体" w:eastAsia="宋体" w:cs="宋体"/>
          <w:sz w:val="24"/>
          <w:szCs w:val="24"/>
        </w:rPr>
        <w:t>专职安全生产管理人员配备和分工</w:t>
      </w:r>
      <w:bookmarkEnd w:id="77"/>
      <w:bookmarkEnd w:id="78"/>
      <w:bookmarkEnd w:id="79"/>
      <w:bookmarkEnd w:id="80"/>
    </w:p>
    <w:p>
      <w:pPr>
        <w:bidi w:val="0"/>
        <w:rPr>
          <w:rFonts w:hint="eastAsia"/>
        </w:rPr>
      </w:pPr>
      <w:r>
        <w:rPr>
          <w:rFonts w:hint="eastAsia"/>
        </w:rPr>
        <w:t>施工专职安全生产管理人员配备和分工见表7.2-1。</w:t>
      </w:r>
    </w:p>
    <w:p>
      <w:pPr>
        <w:pStyle w:val="382"/>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表</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STYLEREF 2\s</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SEQ表\*ARABIC\s 2</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t>专职安全生产管理人员配备和分工表</w:t>
      </w:r>
    </w:p>
    <w:tbl>
      <w:tblPr>
        <w:tblStyle w:val="42"/>
        <w:tblW w:w="983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348"/>
        <w:gridCol w:w="2295"/>
        <w:gridCol w:w="1185"/>
        <w:gridCol w:w="50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1348"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295"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岗位</w:t>
            </w:r>
          </w:p>
        </w:tc>
        <w:tc>
          <w:tcPr>
            <w:tcW w:w="1185"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人数</w:t>
            </w:r>
          </w:p>
        </w:tc>
        <w:tc>
          <w:tcPr>
            <w:tcW w:w="5006"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责任分工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1348"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295"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安全总监</w:t>
            </w:r>
          </w:p>
        </w:tc>
        <w:tc>
          <w:tcPr>
            <w:tcW w:w="1185"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006"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全面负责安全生产工作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1348"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295"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专职安全员</w:t>
            </w:r>
          </w:p>
        </w:tc>
        <w:tc>
          <w:tcPr>
            <w:tcW w:w="1185"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5006"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现场安全、文明施工监督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3643" w:type="dxa"/>
            <w:gridSpan w:val="2"/>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合计</w:t>
            </w:r>
          </w:p>
        </w:tc>
        <w:tc>
          <w:tcPr>
            <w:tcW w:w="1185"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006" w:type="dxa"/>
            <w:tcBorders>
              <w:tl2br w:val="nil"/>
              <w:tr2bl w:val="nil"/>
            </w:tcBorders>
            <w:shd w:val="clear" w:color="auto" w:fill="FFFFFF"/>
            <w:vAlign w:val="center"/>
          </w:tcPr>
          <w:p>
            <w:pPr>
              <w:kinsoku/>
              <w:overflowPunct/>
              <w:topLinePunct w:val="0"/>
              <w:bidi w:val="0"/>
              <w:spacing w:line="360" w:lineRule="atLeast"/>
              <w:ind w:left="0" w:leftChars="0" w:firstLine="0" w:firstLineChars="0"/>
              <w:jc w:val="center"/>
              <w:rPr>
                <w:rFonts w:hint="eastAsia" w:ascii="宋体" w:hAnsi="宋体" w:eastAsia="宋体" w:cs="宋体"/>
                <w:sz w:val="21"/>
                <w:szCs w:val="21"/>
              </w:rPr>
            </w:pPr>
          </w:p>
        </w:tc>
      </w:tr>
    </w:tbl>
    <w:p>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sz w:val="24"/>
          <w:szCs w:val="24"/>
        </w:rPr>
        <w:t>表7.2-2</w:t>
      </w:r>
      <w:r>
        <w:rPr>
          <w:rFonts w:hint="eastAsia" w:ascii="宋体" w:hAnsi="宋体" w:eastAsia="宋体" w:cs="宋体"/>
          <w:bCs/>
          <w:color w:val="000000" w:themeColor="text1"/>
          <w:sz w:val="24"/>
          <w:szCs w:val="24"/>
          <w:lang w:eastAsia="zh-CN"/>
          <w14:textFill>
            <w14:solidFill>
              <w14:schemeClr w14:val="tx1"/>
            </w14:solidFill>
          </w14:textFill>
        </w:rPr>
        <w:t>安装</w:t>
      </w:r>
      <w:r>
        <w:rPr>
          <w:rFonts w:hint="eastAsia" w:ascii="宋体" w:hAnsi="宋体" w:eastAsia="宋体" w:cs="宋体"/>
          <w:bCs/>
          <w:color w:val="000000" w:themeColor="text1"/>
          <w:sz w:val="24"/>
          <w:szCs w:val="24"/>
          <w14:textFill>
            <w14:solidFill>
              <w14:schemeClr w14:val="tx1"/>
            </w14:solidFill>
          </w14:textFill>
        </w:rPr>
        <w:t>专业分包单位管理人员及</w:t>
      </w:r>
      <w:r>
        <w:rPr>
          <w:rFonts w:hint="eastAsia" w:ascii="宋体" w:hAnsi="宋体" w:eastAsia="宋体" w:cs="宋体"/>
          <w:bCs/>
          <w:color w:val="000000" w:themeColor="text1"/>
          <w:sz w:val="24"/>
          <w:szCs w:val="24"/>
          <w:lang w:eastAsia="zh-CN"/>
          <w14:textFill>
            <w14:solidFill>
              <w14:schemeClr w14:val="tx1"/>
            </w14:solidFill>
          </w14:textFill>
        </w:rPr>
        <w:t>安装</w:t>
      </w:r>
      <w:r>
        <w:rPr>
          <w:rFonts w:hint="eastAsia" w:ascii="宋体" w:hAnsi="宋体" w:eastAsia="宋体" w:cs="宋体"/>
          <w:bCs/>
          <w:color w:val="000000" w:themeColor="text1"/>
          <w:sz w:val="24"/>
          <w:szCs w:val="24"/>
          <w14:textFill>
            <w14:solidFill>
              <w14:schemeClr w14:val="tx1"/>
            </w14:solidFill>
          </w14:textFill>
        </w:rPr>
        <w:t>人员名单汇总表</w:t>
      </w:r>
    </w:p>
    <w:tbl>
      <w:tblPr>
        <w:tblStyle w:val="15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09"/>
        <w:gridCol w:w="900"/>
        <w:gridCol w:w="1691"/>
        <w:gridCol w:w="2112"/>
        <w:gridCol w:w="2292"/>
        <w:gridCol w:w="20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9855" w:type="dxa"/>
            <w:gridSpan w:val="6"/>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rPr>
            </w:pPr>
            <w:r>
              <w:rPr>
                <w:rStyle w:val="215"/>
                <w:rFonts w:hint="eastAsia" w:ascii="宋体" w:hAnsi="宋体" w:eastAsia="宋体" w:cs="宋体"/>
                <w:b/>
                <w:i w:val="0"/>
                <w:sz w:val="21"/>
                <w:szCs w:val="21"/>
              </w:rPr>
              <w:t>拟投入安全管理人员及技术人员名单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序号</w:t>
            </w:r>
          </w:p>
        </w:tc>
        <w:tc>
          <w:tcPr>
            <w:tcW w:w="900"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b w:val="0"/>
                <w:i w:val="0"/>
                <w:sz w:val="21"/>
                <w:szCs w:val="21"/>
              </w:rPr>
              <w:t>姓名</w:t>
            </w:r>
          </w:p>
        </w:tc>
        <w:tc>
          <w:tcPr>
            <w:tcW w:w="1691"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职务/工种</w:t>
            </w:r>
          </w:p>
        </w:tc>
        <w:tc>
          <w:tcPr>
            <w:tcW w:w="2112"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身份证号码</w:t>
            </w:r>
          </w:p>
        </w:tc>
        <w:tc>
          <w:tcPr>
            <w:tcW w:w="2292"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作业证号</w:t>
            </w:r>
          </w:p>
        </w:tc>
        <w:tc>
          <w:tcPr>
            <w:tcW w:w="2051"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工作内容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1</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lang w:val="en-US" w:eastAsia="zh-CN"/>
              </w:rPr>
            </w:pPr>
            <w:r>
              <w:rPr>
                <w:rFonts w:hint="eastAsia" w:ascii="宋体" w:hAnsi="宋体" w:eastAsia="宋体" w:cs="宋体"/>
                <w:b w:val="0"/>
                <w:i w:val="0"/>
                <w:color w:val="auto"/>
                <w:sz w:val="21"/>
                <w:szCs w:val="21"/>
                <w:lang w:eastAsia="zh-CN"/>
              </w:rPr>
              <w:t>张存祥</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技术指导</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330327198611011219</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Z330100039684</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lang w:val="en-US" w:eastAsia="zh-CN"/>
              </w:rPr>
            </w:pPr>
            <w:r>
              <w:rPr>
                <w:rStyle w:val="49"/>
                <w:rFonts w:hint="eastAsia" w:ascii="宋体" w:hAnsi="宋体" w:eastAsia="宋体" w:cs="宋体"/>
                <w:sz w:val="21"/>
                <w:szCs w:val="21"/>
                <w:lang w:val="en-US" w:eastAsia="zh-CN"/>
              </w:rPr>
              <w:t>塔机安拆技术指导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2</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rPr>
              <w:t>吕仕昌</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现场负责人</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500381198606081511</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500381198606081511</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负责现场</w:t>
            </w:r>
            <w:r>
              <w:rPr>
                <w:rFonts w:hint="eastAsia" w:ascii="宋体" w:hAnsi="宋体" w:eastAsia="宋体" w:cs="宋体"/>
                <w:color w:val="auto"/>
                <w:sz w:val="21"/>
                <w:szCs w:val="21"/>
                <w:lang w:eastAsia="zh-CN"/>
              </w:rPr>
              <w:t>安装</w:t>
            </w:r>
            <w:r>
              <w:rPr>
                <w:rFonts w:hint="eastAsia" w:ascii="宋体" w:hAnsi="宋体" w:eastAsia="宋体" w:cs="宋体"/>
                <w:color w:val="auto"/>
                <w:sz w:val="21"/>
                <w:szCs w:val="21"/>
              </w:rPr>
              <w:t>管理</w:t>
            </w:r>
            <w:r>
              <w:rPr>
                <w:rFonts w:hint="eastAsia" w:ascii="宋体" w:hAnsi="宋体" w:eastAsia="宋体" w:cs="宋体"/>
                <w:color w:val="auto"/>
                <w:sz w:val="21"/>
                <w:szCs w:val="21"/>
                <w:lang w:eastAsia="zh-CN"/>
              </w:rPr>
              <w:t>总负责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3</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罗乾龙</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专职安全管理人员</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500240198909025231</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500240198909025231</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负责现场安拆指导及安全管理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9855" w:type="dxa"/>
            <w:gridSpan w:val="6"/>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rPr>
            </w:pPr>
            <w:r>
              <w:rPr>
                <w:rStyle w:val="215"/>
                <w:rFonts w:hint="eastAsia" w:ascii="宋体" w:hAnsi="宋体" w:eastAsia="宋体" w:cs="宋体"/>
                <w:b/>
                <w:bCs/>
                <w:i w:val="0"/>
                <w:sz w:val="21"/>
                <w:szCs w:val="21"/>
                <w:lang w:eastAsia="zh-CN"/>
              </w:rPr>
              <w:t>安装</w:t>
            </w:r>
            <w:r>
              <w:rPr>
                <w:rStyle w:val="215"/>
                <w:rFonts w:hint="eastAsia" w:ascii="宋体" w:hAnsi="宋体" w:eastAsia="宋体" w:cs="宋体"/>
                <w:b/>
                <w:bCs/>
                <w:i w:val="0"/>
                <w:sz w:val="21"/>
                <w:szCs w:val="21"/>
              </w:rPr>
              <w:t>施工特种设备作业人员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4</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张川</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建筑起重机械安装拆卸工（塔式起重机）</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511324199211252718</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川</w:t>
            </w:r>
            <w:r>
              <w:rPr>
                <w:rFonts w:hint="eastAsia" w:ascii="宋体" w:hAnsi="宋体" w:eastAsia="宋体" w:cs="宋体"/>
                <w:color w:val="auto"/>
                <w:sz w:val="21"/>
                <w:szCs w:val="21"/>
                <w:lang w:val="en-US" w:eastAsia="zh-CN"/>
              </w:rPr>
              <w:t>Y082020508699</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5</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rPr>
              <w:t>孔令波</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建筑起重机械安装拆卸工（塔式起重机）</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500383198410214135</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黔N0</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20220</w:t>
            </w:r>
            <w:r>
              <w:rPr>
                <w:rFonts w:hint="eastAsia" w:ascii="宋体" w:hAnsi="宋体" w:eastAsia="宋体" w:cs="宋体"/>
                <w:color w:val="auto"/>
                <w:sz w:val="21"/>
                <w:szCs w:val="21"/>
                <w:lang w:val="en-US" w:eastAsia="zh-CN"/>
              </w:rPr>
              <w:t>13109</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6</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rPr>
              <w:t>孔令德</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建筑起重机械安装拆卸工（塔式起重机）</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500383198609204137</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黔N0</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20220</w:t>
            </w:r>
            <w:r>
              <w:rPr>
                <w:rFonts w:hint="eastAsia" w:ascii="宋体" w:hAnsi="宋体" w:eastAsia="宋体" w:cs="宋体"/>
                <w:color w:val="auto"/>
                <w:sz w:val="21"/>
                <w:szCs w:val="21"/>
                <w:lang w:val="en-US" w:eastAsia="zh-CN"/>
              </w:rPr>
              <w:t>13190</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7</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何小兵</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建筑起重机械安装拆卸工（塔式起重机）</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513723198610154237</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川</w:t>
            </w:r>
            <w:r>
              <w:rPr>
                <w:rFonts w:hint="eastAsia" w:ascii="宋体" w:hAnsi="宋体" w:eastAsia="宋体" w:cs="宋体"/>
                <w:color w:val="auto"/>
                <w:sz w:val="21"/>
                <w:szCs w:val="21"/>
                <w:lang w:val="en-US" w:eastAsia="zh-CN"/>
              </w:rPr>
              <w:t>Y082020501730</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8</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匡彬</w:t>
            </w:r>
          </w:p>
        </w:tc>
        <w:tc>
          <w:tcPr>
            <w:tcW w:w="169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起重机司机</w:t>
            </w:r>
            <w:r>
              <w:rPr>
                <w:rFonts w:hint="eastAsia" w:ascii="宋体" w:hAnsi="宋体" w:eastAsia="宋体" w:cs="宋体"/>
                <w:color w:val="auto"/>
                <w:sz w:val="21"/>
                <w:szCs w:val="21"/>
              </w:rPr>
              <w:t>（塔式起重机）</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522131197411106674</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522131197411106674</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sz w:val="21"/>
                <w:szCs w:val="21"/>
              </w:rPr>
              <w:t>负责设备安装作业过程中的起重操作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9</w:t>
            </w:r>
          </w:p>
        </w:tc>
        <w:tc>
          <w:tcPr>
            <w:tcW w:w="900"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杨龙群</w:t>
            </w:r>
          </w:p>
        </w:tc>
        <w:tc>
          <w:tcPr>
            <w:tcW w:w="1691" w:type="dxa"/>
            <w:tcBorders>
              <w:tl2br w:val="nil"/>
              <w:tr2bl w:val="nil"/>
            </w:tcBorders>
            <w:shd w:val="clear" w:color="auto" w:fill="auto"/>
            <w:vAlign w:val="center"/>
          </w:tcPr>
          <w:p>
            <w:pPr>
              <w:spacing w:line="240" w:lineRule="auto"/>
              <w:ind w:firstLine="0" w:firstLineChars="0"/>
              <w:rPr>
                <w:rStyle w:val="215"/>
                <w:rFonts w:hint="eastAsia" w:ascii="宋体" w:hAnsi="宋体" w:eastAsia="宋体" w:cs="宋体"/>
                <w:sz w:val="21"/>
                <w:szCs w:val="21"/>
              </w:rPr>
            </w:pPr>
            <w:r>
              <w:rPr>
                <w:rFonts w:hint="eastAsia" w:ascii="宋体" w:hAnsi="宋体" w:eastAsia="宋体" w:cs="宋体"/>
                <w:color w:val="auto"/>
                <w:sz w:val="21"/>
                <w:szCs w:val="21"/>
                <w:lang w:eastAsia="zh-CN"/>
              </w:rPr>
              <w:t>起重机指挥</w:t>
            </w:r>
          </w:p>
        </w:tc>
        <w:tc>
          <w:tcPr>
            <w:tcW w:w="211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500232199311075802</w:t>
            </w:r>
          </w:p>
        </w:tc>
        <w:tc>
          <w:tcPr>
            <w:tcW w:w="2292"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500232199311075802</w:t>
            </w:r>
          </w:p>
        </w:tc>
        <w:tc>
          <w:tcPr>
            <w:tcW w:w="2051" w:type="dxa"/>
            <w:tcBorders>
              <w:tl2br w:val="nil"/>
              <w:tr2bl w:val="nil"/>
            </w:tcBorders>
            <w:shd w:val="clear" w:color="auto" w:fill="auto"/>
            <w:vAlign w:val="center"/>
          </w:tcPr>
          <w:p>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sz w:val="21"/>
                <w:szCs w:val="21"/>
              </w:rPr>
              <w:t>负责现场起重作业的指挥与协调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10</w:t>
            </w:r>
          </w:p>
        </w:tc>
        <w:tc>
          <w:tcPr>
            <w:tcW w:w="900"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b w:val="0"/>
                <w:i w:val="0"/>
                <w:sz w:val="21"/>
                <w:szCs w:val="21"/>
              </w:rPr>
              <w:t>张腾万</w:t>
            </w:r>
          </w:p>
        </w:tc>
        <w:tc>
          <w:tcPr>
            <w:tcW w:w="1691"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建筑电工（维保人员）</w:t>
            </w:r>
          </w:p>
        </w:tc>
        <w:tc>
          <w:tcPr>
            <w:tcW w:w="2112"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511324199311134276</w:t>
            </w:r>
          </w:p>
        </w:tc>
        <w:tc>
          <w:tcPr>
            <w:tcW w:w="2292"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川R012016000132</w:t>
            </w:r>
          </w:p>
        </w:tc>
        <w:tc>
          <w:tcPr>
            <w:tcW w:w="2051" w:type="dxa"/>
            <w:tcBorders>
              <w:tl2br w:val="nil"/>
              <w:tr2bl w:val="nil"/>
            </w:tcBorders>
            <w:shd w:val="clear" w:color="auto" w:fill="auto"/>
            <w:vAlign w:val="center"/>
          </w:tcPr>
          <w:p>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负责设备</w:t>
            </w:r>
            <w:r>
              <w:rPr>
                <w:rStyle w:val="215"/>
                <w:rFonts w:hint="eastAsia" w:ascii="宋体" w:hAnsi="宋体" w:eastAsia="宋体" w:cs="宋体"/>
                <w:sz w:val="21"/>
                <w:szCs w:val="21"/>
                <w:lang w:eastAsia="zh-CN"/>
              </w:rPr>
              <w:t>安装</w:t>
            </w:r>
            <w:r>
              <w:rPr>
                <w:rStyle w:val="215"/>
                <w:rFonts w:hint="eastAsia" w:ascii="宋体" w:hAnsi="宋体" w:eastAsia="宋体" w:cs="宋体"/>
                <w:sz w:val="21"/>
                <w:szCs w:val="21"/>
              </w:rPr>
              <w:t>电气调试及维保</w:t>
            </w:r>
          </w:p>
        </w:tc>
      </w:tr>
    </w:tbl>
    <w:p>
      <w:pPr>
        <w:pStyle w:val="2"/>
        <w:keepNext w:val="0"/>
        <w:widowControl w:val="0"/>
        <w:numPr>
          <w:ilvl w:val="0"/>
          <w:numId w:val="18"/>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1" w:name="_Toc22224"/>
      <w:r>
        <w:rPr>
          <w:rFonts w:hint="eastAsia" w:ascii="宋体" w:hAnsi="宋体" w:eastAsia="宋体" w:cs="宋体"/>
          <w:sz w:val="24"/>
          <w:szCs w:val="24"/>
        </w:rPr>
        <w:t>验收要求</w:t>
      </w:r>
      <w:bookmarkEnd w:id="81"/>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2" w:name="_Toc19681"/>
      <w:r>
        <w:rPr>
          <w:rFonts w:hint="eastAsia" w:ascii="宋体" w:hAnsi="宋体" w:eastAsia="宋体" w:cs="宋体"/>
          <w:sz w:val="24"/>
          <w:szCs w:val="24"/>
        </w:rPr>
        <w:t>验收标准</w:t>
      </w:r>
      <w:bookmarkEnd w:id="82"/>
    </w:p>
    <w:p>
      <w:pPr>
        <w:pStyle w:val="4"/>
        <w:bidi w:val="0"/>
        <w:rPr>
          <w:rFonts w:hint="eastAsia"/>
        </w:rPr>
      </w:pPr>
      <w:r>
        <w:rPr>
          <w:rFonts w:hint="eastAsia"/>
        </w:rPr>
        <w:t>《建筑施工塔式起重机安装、使用、拆卸安全技术规程》（JGJ 196-2010）</w:t>
      </w:r>
    </w:p>
    <w:p>
      <w:pPr>
        <w:pStyle w:val="4"/>
        <w:bidi w:val="0"/>
        <w:rPr>
          <w:rFonts w:hint="eastAsia"/>
        </w:rPr>
      </w:pPr>
      <w:r>
        <w:rPr>
          <w:rFonts w:hint="eastAsia"/>
        </w:rPr>
        <w:t>《塔式起重机》（GB/T 5031-2019）</w:t>
      </w:r>
    </w:p>
    <w:p>
      <w:pPr>
        <w:pStyle w:val="4"/>
        <w:bidi w:val="0"/>
        <w:rPr>
          <w:rFonts w:hint="eastAsia"/>
        </w:rPr>
      </w:pPr>
      <w:r>
        <w:rPr>
          <w:rFonts w:hint="eastAsia"/>
        </w:rPr>
        <w:t>《塔式起重机混凝土基础工程技术规程》（JGJ/T187-2009）</w:t>
      </w:r>
    </w:p>
    <w:p>
      <w:pPr>
        <w:pStyle w:val="4"/>
        <w:bidi w:val="0"/>
        <w:rPr>
          <w:rFonts w:hint="eastAsia"/>
        </w:rPr>
      </w:pPr>
      <w:r>
        <w:rPr>
          <w:rFonts w:hint="eastAsia"/>
        </w:rPr>
        <w:t>《起重机钢丝绳保养、维护、检验和报废》（GB/T 5972-2016）</w:t>
      </w:r>
    </w:p>
    <w:p>
      <w:pPr>
        <w:pStyle w:val="4"/>
        <w:bidi w:val="0"/>
        <w:rPr>
          <w:rFonts w:hint="eastAsia"/>
        </w:rPr>
      </w:pPr>
      <w:r>
        <w:rPr>
          <w:rFonts w:hint="eastAsia"/>
        </w:rPr>
        <w:t>《施工现场机械设备检查技术规程》（JGJ 160-2016）</w:t>
      </w:r>
    </w:p>
    <w:p>
      <w:pPr>
        <w:pStyle w:val="4"/>
        <w:bidi w:val="0"/>
        <w:rPr>
          <w:rFonts w:hint="eastAsia"/>
        </w:rPr>
      </w:pPr>
      <w:r>
        <w:rPr>
          <w:rFonts w:hint="eastAsia"/>
        </w:rPr>
        <w:t>《起重机械超载保护装置》（GB/T 12602-2020）</w:t>
      </w:r>
    </w:p>
    <w:p>
      <w:pPr>
        <w:pStyle w:val="4"/>
        <w:bidi w:val="0"/>
        <w:rPr>
          <w:rFonts w:hint="eastAsia"/>
        </w:rPr>
      </w:pPr>
      <w:r>
        <w:rPr>
          <w:rFonts w:hint="eastAsia"/>
        </w:rPr>
        <w:t>《机械安全机械电气设备第1部分-通用技术条件》（GB 5226.1-2002）</w:t>
      </w:r>
    </w:p>
    <w:p>
      <w:pPr>
        <w:pStyle w:val="4"/>
        <w:bidi w:val="0"/>
        <w:rPr>
          <w:rFonts w:hint="eastAsia"/>
        </w:rPr>
      </w:pPr>
      <w:r>
        <w:rPr>
          <w:rFonts w:hint="eastAsia"/>
        </w:rPr>
        <w:t>《塔式起重机安全规程》（GB 5144-2006）</w:t>
      </w:r>
    </w:p>
    <w:p>
      <w:pPr>
        <w:pStyle w:val="4"/>
        <w:bidi w:val="0"/>
        <w:rPr>
          <w:rFonts w:hint="eastAsia"/>
        </w:rPr>
      </w:pPr>
      <w:r>
        <w:rPr>
          <w:rFonts w:hint="eastAsia"/>
        </w:rPr>
        <w:t>《塔式起重机设计规范》（GB/T 13752-2017）</w:t>
      </w:r>
    </w:p>
    <w:p>
      <w:pPr>
        <w:pStyle w:val="4"/>
        <w:bidi w:val="0"/>
        <w:rPr>
          <w:rFonts w:hint="eastAsia"/>
          <w:lang w:val="en-US" w:eastAsia="zh-CN"/>
        </w:rPr>
      </w:pPr>
      <w:r>
        <w:rPr>
          <w:rFonts w:hint="eastAsia"/>
          <w:lang w:val="en-US" w:eastAsia="zh-CN"/>
        </w:rPr>
        <w:t>《起重机械安全技术规程》TSG51-2023</w:t>
      </w:r>
    </w:p>
    <w:p>
      <w:pPr>
        <w:pStyle w:val="4"/>
        <w:bidi w:val="0"/>
        <w:rPr>
          <w:rFonts w:hint="eastAsia"/>
          <w:lang w:val="en-US" w:eastAsia="zh-CN"/>
        </w:rPr>
      </w:pPr>
      <w:r>
        <w:rPr>
          <w:rFonts w:hint="eastAsia"/>
          <w:lang w:val="en-US" w:eastAsia="zh-CN"/>
        </w:rPr>
        <w:t>《起重机械安装改造重大修理监督检验规则》（TSG Q7016-2016）</w:t>
      </w:r>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3" w:name="_Toc11117"/>
      <w:r>
        <w:rPr>
          <w:rFonts w:hint="eastAsia" w:ascii="宋体" w:hAnsi="宋体" w:eastAsia="宋体" w:cs="宋体"/>
          <w:sz w:val="24"/>
          <w:szCs w:val="24"/>
        </w:rPr>
        <w:t>验收程序和使用登记程序</w:t>
      </w:r>
      <w:bookmarkEnd w:id="83"/>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塔吊的检验验收</w:t>
      </w:r>
    </w:p>
    <w:p>
      <w:pPr>
        <w:pStyle w:val="5"/>
        <w:bidi w:val="0"/>
        <w:rPr>
          <w:rFonts w:hint="eastAsia" w:ascii="宋体" w:hAnsi="宋体" w:eastAsia="宋体" w:cs="宋体"/>
        </w:rPr>
      </w:pPr>
      <w:r>
        <w:rPr>
          <w:rFonts w:hint="eastAsia" w:ascii="宋体" w:hAnsi="宋体" w:eastAsia="宋体" w:cs="宋体"/>
        </w:rPr>
        <w:t>检验验收前，用户应当按照设备操作规程要求，完成塔吊的安装、调试、考核，并根据技术要求安装完成塔吊检验标志。</w:t>
      </w:r>
    </w:p>
    <w:p>
      <w:pPr>
        <w:pStyle w:val="5"/>
        <w:bidi w:val="0"/>
        <w:rPr>
          <w:rFonts w:hint="eastAsia" w:ascii="宋体" w:hAnsi="宋体" w:eastAsia="宋体" w:cs="宋体"/>
        </w:rPr>
      </w:pPr>
      <w:r>
        <w:rPr>
          <w:rFonts w:hint="eastAsia" w:ascii="宋体" w:hAnsi="宋体" w:eastAsia="宋体" w:cs="宋体"/>
        </w:rPr>
        <w:t>经技术人员验收塔吊安装质量，确认吊物、索具、限位器、安全钳、安全装置等安装质量符合要求后，可以进行检验验收。</w:t>
      </w:r>
    </w:p>
    <w:p>
      <w:pPr>
        <w:pStyle w:val="5"/>
        <w:bidi w:val="0"/>
        <w:rPr>
          <w:rFonts w:hint="eastAsia" w:ascii="宋体" w:hAnsi="宋体" w:eastAsia="宋体" w:cs="宋体"/>
        </w:rPr>
      </w:pPr>
      <w:r>
        <w:rPr>
          <w:rFonts w:hint="eastAsia" w:ascii="宋体" w:hAnsi="宋体" w:eastAsia="宋体" w:cs="宋体"/>
        </w:rPr>
        <w:t>检验验收实施前，用户应当提供塔吊设备的技术参数、设备型号、出厂日期、出厂编号、安装地点等相关信息。</w:t>
      </w:r>
    </w:p>
    <w:p>
      <w:pPr>
        <w:pStyle w:val="5"/>
        <w:bidi w:val="0"/>
        <w:rPr>
          <w:rFonts w:hint="eastAsia" w:ascii="宋体" w:hAnsi="宋体" w:eastAsia="宋体" w:cs="宋体"/>
        </w:rPr>
      </w:pPr>
      <w:r>
        <w:rPr>
          <w:rFonts w:hint="eastAsia" w:ascii="宋体" w:hAnsi="宋体" w:eastAsia="宋体" w:cs="宋体"/>
        </w:rPr>
        <w:t>检验验收实施时，用户应当提供技术人员必要的检验工具、检验标准件等。</w:t>
      </w:r>
    </w:p>
    <w:p>
      <w:pPr>
        <w:pStyle w:val="5"/>
        <w:bidi w:val="0"/>
        <w:rPr>
          <w:rFonts w:hint="eastAsia" w:ascii="宋体" w:hAnsi="宋体" w:eastAsia="宋体" w:cs="宋体"/>
        </w:rPr>
      </w:pPr>
      <w:r>
        <w:rPr>
          <w:rFonts w:hint="eastAsia" w:ascii="宋体" w:hAnsi="宋体" w:eastAsia="宋体" w:cs="宋体"/>
        </w:rPr>
        <w:t>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pPr>
        <w:pStyle w:val="5"/>
        <w:bidi w:val="0"/>
        <w:rPr>
          <w:rFonts w:hint="eastAsia" w:ascii="宋体" w:hAnsi="宋体" w:eastAsia="宋体" w:cs="宋体"/>
        </w:rPr>
      </w:pPr>
      <w:r>
        <w:rPr>
          <w:rFonts w:hint="eastAsia" w:ascii="宋体" w:hAnsi="宋体" w:eastAsia="宋体" w:cs="宋体"/>
        </w:rPr>
        <w:t>检验验收完毕后，用户应当完成检验验收证书，交付给技术人员签字确认。</w:t>
      </w:r>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使用登记程序</w:t>
      </w:r>
    </w:p>
    <w:p>
      <w:pPr>
        <w:pStyle w:val="5"/>
        <w:bidi w:val="0"/>
        <w:rPr>
          <w:rFonts w:hint="eastAsia" w:ascii="宋体" w:hAnsi="宋体" w:eastAsia="宋体" w:cs="宋体"/>
        </w:rPr>
      </w:pPr>
      <w:r>
        <w:rPr>
          <w:rFonts w:hint="eastAsia" w:ascii="宋体" w:hAnsi="宋体" w:eastAsia="宋体" w:cs="宋体"/>
        </w:rPr>
        <w:t>用户应当按照有关规定，按照要求填写塔吊使用登记表，并填写安装地点、塔吊型号、出厂日期、出厂编号、经营单位等相关信息。</w:t>
      </w:r>
    </w:p>
    <w:p>
      <w:pPr>
        <w:pStyle w:val="5"/>
        <w:bidi w:val="0"/>
        <w:rPr>
          <w:rFonts w:hint="eastAsia" w:ascii="宋体" w:hAnsi="宋体" w:eastAsia="宋体" w:cs="宋体"/>
          <w:color w:val="auto"/>
        </w:rPr>
      </w:pPr>
      <w:r>
        <w:rPr>
          <w:rFonts w:hint="eastAsia" w:ascii="宋体" w:hAnsi="宋体" w:eastAsia="宋体" w:cs="宋体"/>
        </w:rPr>
        <w:t>用户应当提供塔吊检验验收证书，经营单位安全生产许可证，塔吊安全操作规程、技术规程等文件。</w:t>
      </w:r>
    </w:p>
    <w:p>
      <w:pPr>
        <w:pStyle w:val="5"/>
        <w:bidi w:val="0"/>
        <w:rPr>
          <w:rFonts w:hint="eastAsia" w:ascii="宋体" w:hAnsi="宋体" w:eastAsia="宋体" w:cs="宋体"/>
          <w:color w:val="auto"/>
        </w:rPr>
      </w:pPr>
      <w:r>
        <w:rPr>
          <w:rFonts w:hint="eastAsia" w:ascii="宋体" w:hAnsi="宋体" w:eastAsia="宋体" w:cs="宋体"/>
          <w:color w:val="auto"/>
        </w:rPr>
        <w:t>用户应当按照有关规定，定期对塔吊设备进行安全检查，并将检查结果记录在案。</w:t>
      </w:r>
    </w:p>
    <w:p>
      <w:pPr>
        <w:pStyle w:val="5"/>
        <w:bidi w:val="0"/>
        <w:rPr>
          <w:rFonts w:hint="eastAsia" w:ascii="宋体" w:hAnsi="宋体" w:eastAsia="宋体" w:cs="宋体"/>
          <w:color w:val="auto"/>
          <w:sz w:val="24"/>
          <w:szCs w:val="24"/>
        </w:rPr>
      </w:pPr>
      <w:r>
        <w:rPr>
          <w:rFonts w:hint="eastAsia" w:ascii="宋体" w:hAnsi="宋体" w:eastAsia="宋体" w:cs="宋体"/>
          <w:color w:val="auto"/>
        </w:rPr>
        <w:t>将塔吊使用登记表及相关文件上报监督管理部门审核，完成使用登记</w:t>
      </w:r>
      <w:r>
        <w:rPr>
          <w:rFonts w:hint="eastAsia" w:ascii="宋体" w:hAnsi="宋体" w:eastAsia="宋体" w:cs="宋体"/>
          <w:color w:val="auto"/>
          <w:lang w:eastAsia="zh-CN"/>
        </w:rPr>
        <w:t>，</w:t>
      </w:r>
      <w:r>
        <w:rPr>
          <w:rFonts w:hint="eastAsia" w:ascii="宋体" w:hAnsi="宋体" w:eastAsia="宋体" w:cs="宋体"/>
          <w:color w:val="auto"/>
          <w:sz w:val="24"/>
          <w:szCs w:val="24"/>
          <w:lang w:val="en-US" w:eastAsia="zh-CN"/>
        </w:rPr>
        <w:t>并领取</w:t>
      </w:r>
      <w:r>
        <w:rPr>
          <w:rFonts w:hint="eastAsia" w:ascii="宋体" w:hAnsi="宋体" w:eastAsia="宋体" w:cs="宋体"/>
          <w:i w:val="0"/>
          <w:iCs w:val="0"/>
          <w:caps w:val="0"/>
          <w:color w:val="auto"/>
          <w:spacing w:val="0"/>
          <w:sz w:val="24"/>
          <w:szCs w:val="24"/>
          <w:shd w:val="clear" w:fill="FFFFFF"/>
        </w:rPr>
        <w:t>《特种设备使用登记证》</w:t>
      </w:r>
      <w:r>
        <w:rPr>
          <w:rFonts w:hint="eastAsia" w:ascii="宋体" w:hAnsi="宋体" w:eastAsia="宋体" w:cs="宋体"/>
          <w:color w:val="auto"/>
          <w:sz w:val="24"/>
          <w:szCs w:val="24"/>
        </w:rPr>
        <w:t>。</w:t>
      </w:r>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color w:val="auto"/>
          <w:sz w:val="24"/>
          <w:szCs w:val="24"/>
        </w:rPr>
      </w:pPr>
      <w:bookmarkStart w:id="84" w:name="_Toc7104"/>
      <w:r>
        <w:rPr>
          <w:rFonts w:hint="eastAsia" w:ascii="宋体" w:hAnsi="宋体" w:eastAsia="宋体" w:cs="宋体"/>
          <w:color w:val="auto"/>
          <w:sz w:val="24"/>
          <w:szCs w:val="24"/>
        </w:rPr>
        <w:t>验收内容</w:t>
      </w:r>
      <w:bookmarkEnd w:id="84"/>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安装单位自检验收</w:t>
      </w:r>
    </w:p>
    <w:p>
      <w:pPr>
        <w:pStyle w:val="15"/>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8.3.1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塔吊</w:t>
      </w:r>
      <w:r>
        <w:rPr>
          <w:rFonts w:hint="eastAsia" w:ascii="宋体" w:hAnsi="宋体" w:cs="宋体"/>
          <w:sz w:val="24"/>
          <w:szCs w:val="24"/>
          <w:lang w:val="en-US" w:eastAsia="zh-CN"/>
        </w:rPr>
        <w:t>拆卸</w:t>
      </w:r>
      <w:r>
        <w:rPr>
          <w:rFonts w:hint="eastAsia" w:ascii="宋体" w:hAnsi="宋体" w:eastAsia="宋体" w:cs="宋体"/>
          <w:sz w:val="24"/>
          <w:szCs w:val="24"/>
        </w:rPr>
        <w:t>自检表</w:t>
      </w:r>
    </w:p>
    <w:tbl>
      <w:tblPr>
        <w:tblStyle w:val="42"/>
        <w:tblW w:w="95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26"/>
        <w:gridCol w:w="3056"/>
        <w:gridCol w:w="1026"/>
        <w:gridCol w:w="15"/>
        <w:gridCol w:w="1603"/>
        <w:gridCol w:w="1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379"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工程名称</w:t>
            </w:r>
          </w:p>
        </w:tc>
        <w:tc>
          <w:tcPr>
            <w:tcW w:w="5408" w:type="dxa"/>
            <w:gridSpan w:val="3"/>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cs="宋体"/>
                <w:b/>
                <w:bCs w:val="0"/>
                <w:i w:val="0"/>
                <w:sz w:val="21"/>
                <w:szCs w:val="21"/>
                <w:lang w:val="en-US" w:eastAsia="zh-CN"/>
              </w:rPr>
              <w:t>G9221杭甬高速宁波段三期工程威海路至柴桥段SG02 标跨港区及甬江特大桥</w:t>
            </w:r>
            <w:r>
              <w:rPr>
                <w:rFonts w:hint="eastAsia" w:ascii="宋体" w:hAnsi="宋体" w:eastAsia="宋体" w:cs="宋体"/>
                <w:b/>
                <w:bCs w:val="0"/>
                <w:i w:val="0"/>
                <w:sz w:val="21"/>
                <w:szCs w:val="21"/>
                <w:lang w:val="en-US" w:eastAsia="zh-CN"/>
              </w:rPr>
              <w:t>项目</w:t>
            </w:r>
          </w:p>
        </w:tc>
        <w:tc>
          <w:tcPr>
            <w:tcW w:w="1618"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施工地址</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项目工地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379"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出租单位</w:t>
            </w:r>
          </w:p>
        </w:tc>
        <w:tc>
          <w:tcPr>
            <w:tcW w:w="8142" w:type="dxa"/>
            <w:gridSpan w:val="6"/>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cs="宋体"/>
                <w:b/>
                <w:bCs/>
                <w:sz w:val="21"/>
                <w:szCs w:val="21"/>
                <w:lang w:val="en-US" w:eastAsia="zh-CN"/>
              </w:rPr>
              <w:t>重庆桥渝工程机械租赁有限公司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379"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型号</w:t>
            </w:r>
          </w:p>
        </w:tc>
        <w:tc>
          <w:tcPr>
            <w:tcW w:w="132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c>
          <w:tcPr>
            <w:tcW w:w="305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设备编号</w:t>
            </w:r>
          </w:p>
        </w:tc>
        <w:tc>
          <w:tcPr>
            <w:tcW w:w="1041"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c>
          <w:tcPr>
            <w:tcW w:w="16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施工高度</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379"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附墙个数</w:t>
            </w:r>
          </w:p>
        </w:tc>
        <w:tc>
          <w:tcPr>
            <w:tcW w:w="132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c>
          <w:tcPr>
            <w:tcW w:w="305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最大载重量</w:t>
            </w:r>
          </w:p>
        </w:tc>
        <w:tc>
          <w:tcPr>
            <w:tcW w:w="1041"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吨</w:t>
            </w:r>
          </w:p>
        </w:tc>
        <w:tc>
          <w:tcPr>
            <w:tcW w:w="16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检查日期</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6787" w:type="dxa"/>
            <w:gridSpan w:val="4"/>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检查内容</w:t>
            </w:r>
          </w:p>
        </w:tc>
        <w:tc>
          <w:tcPr>
            <w:tcW w:w="1618"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参照标准</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（一）基</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础</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1.稳定性；</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JBJ/T187-2009</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2.排水措施；</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3.沉降量不大于50mm。</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0"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（二）塔</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身结构</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1.结构无变形、开焊、裂纹；</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2.过渡节、销轴、高强度螺栓等零部件配置齐全、无松动、缺损、无严重锈蚀；</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3.垂直</w:t>
            </w:r>
            <w:r>
              <w:rPr>
                <w:rFonts w:hint="eastAsia" w:ascii="宋体" w:hAnsi="宋体" w:eastAsia="宋体" w:cs="宋体"/>
                <w:color w:val="auto"/>
                <w:sz w:val="21"/>
                <w:szCs w:val="21"/>
              </w:rPr>
              <w:t>度≤</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4.爬梯设置防护圈应符合国家标准；</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5.开口销不得用金属丝等代替。</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（三）钢</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丝绳</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1.完好、无断股；</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GBT5972-2016</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2.断丝不超过10％；</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3.型号、规格、长度符合本机说明书规定；</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4.固定绳卡数量与绳径匹配，卡间距为6-7倍绳径；</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5.钢绳磨损量不超过钢丝绳的10%；</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6.捆绑起重索具符合要求。</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（四）吊</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钩</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1.无裂纹、变形、严重磨损；</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2.钩身无补焊、钻孔现象；</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3.具有防脱装置</w:t>
            </w:r>
            <w:r>
              <w:rPr>
                <w:rFonts w:hint="eastAsia" w:ascii="宋体" w:hAnsi="宋体" w:eastAsia="宋体" w:cs="宋体"/>
                <w:sz w:val="21"/>
                <w:szCs w:val="21"/>
                <w:lang w:eastAsia="zh-CN"/>
              </w:rPr>
              <w:t>；</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4.挂绳处截面磨损量不超过原高度的10%；</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（五）高度限位</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1.吊钩顶部距起重臂下端800mm，能立即停止起升，但有向下、向内变幅运动；</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2.吊钩不能再下降或卷筒上钢丝绳只剩3圈时，应能立即停止下降运动；</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3.钢丝绳松弛可能造成卷筒上钢丝绳乱绳或反卷，设置下限位。</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（六）幅度限位装置</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1.小车前后两端应设置限位开关和缓冲装置；</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2.限位开关距小车停车时其端部缓冲装置最小距离200mm。</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（七）力矩限制器</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1.应设置力矩限制器；</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GB12602-2020</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2.起重量达到90%-95%时，能发出报警信号；</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3.起重量达到105%-110%时，能停止向不安全方向继续动作</w:t>
            </w:r>
            <w:r>
              <w:rPr>
                <w:rFonts w:hint="eastAsia" w:ascii="宋体" w:hAnsi="宋体" w:eastAsia="宋体" w:cs="宋体"/>
                <w:sz w:val="21"/>
                <w:szCs w:val="21"/>
                <w:lang w:eastAsia="zh-CN"/>
              </w:rPr>
              <w:t>；</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4.力矩限制器综合误差不超过±8%。</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（八）附</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着架</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1.框架、附着杆安装正确、牢固；无开焊、变形、裂纹；</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JGJ196-2010</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2.各处螺栓、轴销齐全牢固；</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3.间距、数量、安装固定符合说明书要求；</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4.架体不得擅自改动。</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（九）电</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气</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1.电缆无破损，无老化；</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GB5226.1-2002</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2.各接地、接零保护装置符合要求；</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3.开关等配电装置齐全有效；</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4.绝缘良好；</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5.接闪器、避雷等接地装置良好</w:t>
            </w:r>
            <w:r>
              <w:rPr>
                <w:rFonts w:hint="eastAsia" w:ascii="宋体" w:hAnsi="宋体" w:eastAsia="宋体" w:cs="宋体"/>
                <w:sz w:val="21"/>
                <w:szCs w:val="21"/>
                <w:lang w:eastAsia="zh-CN"/>
              </w:rPr>
              <w:t>，</w:t>
            </w:r>
            <w:r>
              <w:rPr>
                <w:rFonts w:hint="eastAsia" w:ascii="宋体" w:hAnsi="宋体" w:eastAsia="宋体" w:cs="宋体"/>
                <w:sz w:val="21"/>
                <w:szCs w:val="21"/>
              </w:rPr>
              <w:t>；</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6.动力电路和控制电路对地绝缘值不超过0.5兆欧；</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（十）机构油类</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1.减速机、卷扬机、回转机构、液压顶升系统部件齐全、工作正常；</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2.传动部位有防护罩；</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3.油箱有足够容量；</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4.油路无泄露、堵塞现象。</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十一</w:t>
            </w:r>
            <w:r>
              <w:rPr>
                <w:rFonts w:hint="eastAsia" w:ascii="宋体" w:hAnsi="宋体" w:eastAsia="宋体" w:cs="宋体"/>
                <w:sz w:val="21"/>
                <w:szCs w:val="21"/>
                <w:lang w:eastAsia="zh-CN"/>
              </w:rPr>
              <w:t>）</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制动器</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1.无可见裂纹</w:t>
            </w:r>
            <w:r>
              <w:rPr>
                <w:rFonts w:hint="eastAsia" w:ascii="宋体" w:hAnsi="宋体" w:eastAsia="宋体" w:cs="宋体"/>
                <w:sz w:val="21"/>
                <w:szCs w:val="21"/>
                <w:lang w:eastAsia="zh-CN"/>
              </w:rPr>
              <w:t>；</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GB5144-2006</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2.制动块摩擦衬垫磨损量未达原厚度的50%</w:t>
            </w:r>
            <w:r>
              <w:rPr>
                <w:rFonts w:hint="eastAsia" w:ascii="宋体" w:hAnsi="宋体" w:eastAsia="宋体" w:cs="宋体"/>
                <w:sz w:val="21"/>
                <w:szCs w:val="21"/>
                <w:lang w:eastAsia="zh-CN"/>
              </w:rPr>
              <w:t>；</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3.制动轮表面磨损量未达1.5 mm~2mm</w:t>
            </w:r>
            <w:r>
              <w:rPr>
                <w:rFonts w:hint="eastAsia" w:ascii="宋体" w:hAnsi="宋体" w:eastAsia="宋体" w:cs="宋体"/>
                <w:sz w:val="21"/>
                <w:szCs w:val="21"/>
                <w:lang w:eastAsia="zh-CN"/>
              </w:rPr>
              <w:t>；</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4.弹簧未出现塑性变形</w:t>
            </w:r>
            <w:r>
              <w:rPr>
                <w:rFonts w:hint="eastAsia" w:ascii="宋体" w:hAnsi="宋体" w:eastAsia="宋体" w:cs="宋体"/>
                <w:sz w:val="21"/>
                <w:szCs w:val="21"/>
                <w:lang w:eastAsia="zh-CN"/>
              </w:rPr>
              <w:t>；</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十二</w:t>
            </w:r>
            <w:r>
              <w:rPr>
                <w:rFonts w:hint="eastAsia" w:ascii="宋体" w:hAnsi="宋体" w:eastAsia="宋体" w:cs="宋体"/>
                <w:sz w:val="21"/>
                <w:szCs w:val="21"/>
                <w:lang w:eastAsia="zh-CN"/>
              </w:rPr>
              <w:t>）</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安全距</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离</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1.与建筑物周围施工设施之间距离≥0.5米；</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JGJ196-2010</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2.多塔作业相互间应符合要求，有防碰撞措施；</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3.各部位与外电线路保持安全距离，达不到要求的必须按规定采取防护措施，防护措施应达到电业部门规定要求。</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379"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十三</w:t>
            </w:r>
            <w:r>
              <w:rPr>
                <w:rFonts w:hint="eastAsia" w:ascii="宋体" w:hAnsi="宋体" w:eastAsia="宋体" w:cs="宋体"/>
                <w:sz w:val="21"/>
                <w:szCs w:val="21"/>
                <w:lang w:eastAsia="zh-CN"/>
              </w:rPr>
              <w:t>）</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卷筒</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滑轮</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1.卷筒两侧边沿的高度大于钢丝绳直径2倍；</w:t>
            </w:r>
          </w:p>
        </w:tc>
        <w:tc>
          <w:tcPr>
            <w:tcW w:w="1618" w:type="dxa"/>
            <w:gridSpan w:val="2"/>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GBT13752-2017</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2.卷筒上的钢丝绳至少保留3圈；</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3.滑轮应设有防绳跳槽装置，且与滑轮最外沿间隙不得超过钢丝绳直径的20％；</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79"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4.滑轮转动灵活、无卡塞现象。</w:t>
            </w:r>
          </w:p>
        </w:tc>
        <w:tc>
          <w:tcPr>
            <w:tcW w:w="1618" w:type="dxa"/>
            <w:gridSpan w:val="2"/>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1" w:hRule="atLeast"/>
        </w:trPr>
        <w:tc>
          <w:tcPr>
            <w:tcW w:w="1379"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十四</w:t>
            </w:r>
            <w:r>
              <w:rPr>
                <w:rFonts w:hint="eastAsia" w:ascii="宋体" w:hAnsi="宋体" w:eastAsia="宋体" w:cs="宋体"/>
                <w:sz w:val="21"/>
                <w:szCs w:val="21"/>
                <w:lang w:eastAsia="zh-CN"/>
              </w:rPr>
              <w:t>）</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持证上岗</w:t>
            </w:r>
          </w:p>
        </w:tc>
        <w:tc>
          <w:tcPr>
            <w:tcW w:w="5408" w:type="dxa"/>
            <w:gridSpan w:val="3"/>
            <w:tcBorders>
              <w:tl2br w:val="nil"/>
              <w:tr2bl w:val="nil"/>
            </w:tcBorders>
            <w:vAlign w:val="center"/>
          </w:tcPr>
          <w:p>
            <w:pPr>
              <w:pStyle w:val="16"/>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使用过程中塔吊司机必须持证上岗。</w:t>
            </w:r>
          </w:p>
        </w:tc>
        <w:tc>
          <w:tcPr>
            <w:tcW w:w="1618"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JGJ196-2010</w:t>
            </w:r>
          </w:p>
        </w:tc>
        <w:tc>
          <w:tcPr>
            <w:tcW w:w="111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30" w:hRule="atLeast"/>
        </w:trPr>
        <w:tc>
          <w:tcPr>
            <w:tcW w:w="1379"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十五</w:t>
            </w:r>
            <w:r>
              <w:rPr>
                <w:rFonts w:hint="eastAsia" w:ascii="宋体" w:hAnsi="宋体" w:eastAsia="宋体" w:cs="宋体"/>
                <w:sz w:val="21"/>
                <w:szCs w:val="21"/>
                <w:lang w:eastAsia="zh-CN"/>
              </w:rPr>
              <w:t>）</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检查结论及整改措施</w:t>
            </w:r>
          </w:p>
        </w:tc>
        <w:tc>
          <w:tcPr>
            <w:tcW w:w="8142" w:type="dxa"/>
            <w:gridSpan w:val="6"/>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tc>
      </w:tr>
    </w:tbl>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联合验收</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塔式起重机安装工程验收内容详见</w:t>
      </w:r>
    </w:p>
    <w:p>
      <w:pPr>
        <w:pStyle w:val="15"/>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8.3.2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塔式起重机工程验收内容</w:t>
      </w:r>
    </w:p>
    <w:tbl>
      <w:tblPr>
        <w:tblStyle w:val="42"/>
        <w:tblW w:w="95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工程名称</w:t>
            </w:r>
          </w:p>
        </w:tc>
        <w:tc>
          <w:tcPr>
            <w:tcW w:w="3551" w:type="dxa"/>
            <w:gridSpan w:val="4"/>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c>
          <w:tcPr>
            <w:tcW w:w="190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安装日期</w:t>
            </w:r>
          </w:p>
        </w:tc>
        <w:tc>
          <w:tcPr>
            <w:tcW w:w="2195"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安装单位</w:t>
            </w:r>
          </w:p>
        </w:tc>
        <w:tc>
          <w:tcPr>
            <w:tcW w:w="3551" w:type="dxa"/>
            <w:gridSpan w:val="4"/>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p>
        </w:tc>
        <w:tc>
          <w:tcPr>
            <w:tcW w:w="190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rPr>
              <w:t>安装资质编号</w:t>
            </w:r>
          </w:p>
        </w:tc>
        <w:tc>
          <w:tcPr>
            <w:tcW w:w="2195"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rPr>
              <w:t>制造厂家</w:t>
            </w:r>
          </w:p>
        </w:tc>
        <w:tc>
          <w:tcPr>
            <w:tcW w:w="3551" w:type="dxa"/>
            <w:gridSpan w:val="4"/>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p>
        </w:tc>
        <w:tc>
          <w:tcPr>
            <w:tcW w:w="190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rPr>
              <w:t>使用单位</w:t>
            </w:r>
          </w:p>
        </w:tc>
        <w:tc>
          <w:tcPr>
            <w:tcW w:w="2195"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rPr>
              <w:t>规格型号</w:t>
            </w:r>
          </w:p>
        </w:tc>
        <w:tc>
          <w:tcPr>
            <w:tcW w:w="3551" w:type="dxa"/>
            <w:gridSpan w:val="4"/>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p>
        </w:tc>
        <w:tc>
          <w:tcPr>
            <w:tcW w:w="190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使用登记</w:t>
            </w:r>
            <w:r>
              <w:rPr>
                <w:rFonts w:hint="eastAsia" w:ascii="宋体" w:hAnsi="宋体" w:eastAsia="宋体" w:cs="宋体"/>
                <w:b/>
                <w:bCs/>
                <w:color w:val="auto"/>
                <w:sz w:val="21"/>
                <w:szCs w:val="21"/>
              </w:rPr>
              <w:t>编号</w:t>
            </w:r>
          </w:p>
        </w:tc>
        <w:tc>
          <w:tcPr>
            <w:tcW w:w="2195"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初始安装高度</w:t>
            </w:r>
          </w:p>
        </w:tc>
        <w:tc>
          <w:tcPr>
            <w:tcW w:w="2034"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c>
          <w:tcPr>
            <w:tcW w:w="1517"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本次自检高度</w:t>
            </w:r>
          </w:p>
        </w:tc>
        <w:tc>
          <w:tcPr>
            <w:tcW w:w="190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计划安装</w:t>
            </w:r>
          </w:p>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高度</w:t>
            </w: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代号说明</w:t>
            </w:r>
          </w:p>
        </w:tc>
        <w:tc>
          <w:tcPr>
            <w:tcW w:w="7648" w:type="dxa"/>
            <w:gridSpan w:val="7"/>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“√”=合格“○”=整改后合格“×”=不合格“/”=无此项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名称</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序号</w:t>
            </w:r>
          </w:p>
        </w:tc>
        <w:tc>
          <w:tcPr>
            <w:tcW w:w="2034"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检查项目</w:t>
            </w:r>
          </w:p>
        </w:tc>
        <w:tc>
          <w:tcPr>
            <w:tcW w:w="3419" w:type="dxa"/>
            <w:gridSpan w:val="3"/>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要求</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资料</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基础验收表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val="en-US" w:eastAsia="zh-CN"/>
              </w:rPr>
            </w:pPr>
            <w:r>
              <w:rPr>
                <w:rFonts w:hint="eastAsia" w:ascii="宋体" w:hAnsi="宋体" w:eastAsia="宋体" w:cs="宋体"/>
                <w:sz w:val="21"/>
                <w:szCs w:val="21"/>
              </w:rPr>
              <w:t>检查或实测记录、应附资料及签章齐全</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安装方案、安全技术交底记录</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内容及签章齐全</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塔式起重机进场检查核验表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内容及签章齐全</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基础</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塔式起重机底架水平度</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符合使用说明书要求</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行走式塔式起重机导轨的水平度</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符合使用说明书要求</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塔式起重机接地装置的设置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符合规范要求</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7</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排水措施</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有排水措施，且无积水</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标识与环境</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8</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产品标牌</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符合使用说明书和规范要求</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9</w:t>
            </w:r>
          </w:p>
        </w:tc>
        <w:tc>
          <w:tcPr>
            <w:tcW w:w="2034" w:type="dxa"/>
            <w:gridSpan w:val="2"/>
            <w:vMerge w:val="restart"/>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塔式起重机与周围环境关系</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尾部与建(构)筑物及施工设施之间的距离不小于0.6m</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2034" w:type="dxa"/>
            <w:gridSpan w:val="2"/>
            <w:vMerge w:val="continue"/>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11*</w:t>
            </w:r>
          </w:p>
        </w:tc>
        <w:tc>
          <w:tcPr>
            <w:tcW w:w="2034" w:type="dxa"/>
            <w:gridSpan w:val="2"/>
            <w:vMerge w:val="continue"/>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与输电线的距离应不小于《施工现场临时用电安全技术规范》JGJ46的规定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金属结构件</w:t>
            </w: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金属结构件</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12</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主要结构件</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无可见裂纹和明显变形</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13</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主要连接螺栓</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齐全，规格和预紧力达到使用说明书要求</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14</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主要连接销轴</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销轴符合出厂要求，连接可靠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15</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过道、平台、栏杆、踏板</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符合《塔式起重机安全规程》（GB5144-2006）的规定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16</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梯子、护圈、休息平台</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符合《塔式起重机安全规程》（GB5144-2006）的规定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17</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塔身高度</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塔身独立状态下的高度符合使用说明书要求</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18</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平衡重、压重</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平衡重、压重的重量与位置符合使用说明书要求，且安装牢固。</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19</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塔身垂直度偏差</w:t>
            </w:r>
          </w:p>
        </w:tc>
        <w:tc>
          <w:tcPr>
            <w:tcW w:w="3419" w:type="dxa"/>
            <w:gridSpan w:val="3"/>
            <w:tcBorders>
              <w:tl2br w:val="nil"/>
              <w:tr2bl w:val="nil"/>
            </w:tcBorders>
            <w:vAlign w:val="center"/>
          </w:tcPr>
          <w:p>
            <w:pPr>
              <w:pStyle w:val="16"/>
              <w:kinsoku/>
              <w:overflowPunct/>
              <w:topLinePunct w:val="0"/>
              <w:bidi w:val="0"/>
              <w:adjustRightInd w:val="0"/>
              <w:snapToGrid w:val="0"/>
              <w:spacing w:line="360" w:lineRule="atLeast"/>
              <w:jc w:val="left"/>
              <w:rPr>
                <w:rFonts w:hint="eastAsia" w:ascii="宋体" w:hAnsi="宋体" w:eastAsia="宋体" w:cs="宋体"/>
                <w:color w:val="000000" w:themeColor="text1"/>
                <w:spacing w:val="9"/>
                <w:sz w:val="21"/>
                <w:szCs w:val="21"/>
                <w:lang w:val="en-US"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空载、风速不大于3m/s状态下，独立状态塔身（或附着状态下最高附着点以上塔身）轴心线的</w:t>
            </w:r>
          </w:p>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侧向垂直度误差不大于0.4%，最高附着点以下塔身轴心线的垂直度误差不大于0.2%。</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20</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11"/>
                <w:sz w:val="21"/>
                <w:szCs w:val="21"/>
                <w14:textFill>
                  <w14:solidFill>
                    <w14:schemeClr w14:val="tx1"/>
                  </w14:solidFill>
                </w14:textFill>
              </w:rPr>
              <w:t>内爬式塔式起重机的爬升框与支承钢梁、支承钢梁与建筑结构之间的连接</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爬升与回转</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21</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平衡阀或液压锁与油缸间连接</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设平衡阀或液压锁，且与油缸用硬管连接</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22</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爬升装置防脱功能</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自升式塔式起重在正常加节、降节作业时，具有可靠的防止爬升装置在塔身支承中或油缸端头从其连接结构中自行(非人为操作)脱出的功能</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23</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回转限位器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对回转处不设集电器供电的塔式起重机，设置正反两个方向回转限位开关。开关动作时臂架旋转角度不大于±540°</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起升系统</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24</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起重力矩限制器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灵敏可靠，限制值＜额定载荷ll0％，且显示误差≤±5%</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25</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起升高度限位</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对动臂变幅和小车变幅的塔式起重机，当吊钩装置顶部升至起重臂下端的最小距离为800mm处时，能立即停止起升运动</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26</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起重量限制器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灵敏可靠，限制值＜额定载荷110％，且显示误差≤±5％</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变幅系统</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27</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小车断绳保护装置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双向均设置</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28</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小车断轴保护装置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齐全，设置位置合理</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29</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小车变幅检修挂篮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30</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小车变幅限位和终端止挡装置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对小车变幅的塔机，设置小车行程限位开关和终端缓冲装置。限位开关动作后应保证小车停车时其端部距缓冲装置最小距离为200mm</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31</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动臂式变幅限位和防臂架后翻装置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动臂变幅有最大和最小幅度限位器，限制范围符合使用说明书要求；防止臂架反弹后翻的装置牢固可靠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机构及</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零部件</w:t>
            </w: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机构及</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零部件</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32</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吊钩</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钩体无裂纹、磨损、补焊，危险截面，钩筋无塑性变形</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33</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吊钩防钢丝绳脱钩装置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完整、可靠</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34</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滑轮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滑轮转动良好，出现下列情况应报废：</w:t>
            </w:r>
            <w:r>
              <w:rPr>
                <w:rFonts w:hint="eastAsia" w:ascii="宋体" w:hAnsi="宋体" w:eastAsia="宋体" w:cs="宋体"/>
                <w:sz w:val="21"/>
                <w:szCs w:val="21"/>
                <w:lang w:val="en-US" w:eastAsia="zh-CN"/>
              </w:rPr>
              <w:t>1</w:t>
            </w:r>
            <w:r>
              <w:rPr>
                <w:rFonts w:hint="eastAsia" w:ascii="宋体" w:hAnsi="宋体" w:eastAsia="宋体" w:cs="宋体"/>
                <w:sz w:val="21"/>
                <w:szCs w:val="21"/>
              </w:rPr>
              <w:t>.裂纹或轮缘破损；2.滑轮绳槽壁厚磨损量达原壁厚的20％；</w:t>
            </w:r>
            <w:r>
              <w:rPr>
                <w:rFonts w:hint="eastAsia" w:ascii="宋体" w:hAnsi="宋体" w:eastAsia="宋体" w:cs="宋体"/>
                <w:sz w:val="21"/>
                <w:szCs w:val="21"/>
                <w:lang w:val="en-US" w:eastAsia="zh-CN"/>
              </w:rPr>
              <w:t>3</w:t>
            </w:r>
            <w:r>
              <w:rPr>
                <w:rFonts w:hint="eastAsia" w:ascii="宋体" w:hAnsi="宋体" w:eastAsia="宋体" w:cs="宋体"/>
                <w:sz w:val="21"/>
                <w:szCs w:val="21"/>
              </w:rPr>
              <w:t>.滑轮槽底的磨损量超过相应钢丝绳直径的25％</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35</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滑轮上钢丝绳防脱装置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完整、可靠，该装置与滑轮最外缘的间隙不应超过钢丝绳直径的20％</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36</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卷筒</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卷筒壁不应有裂纹。筒壁磨损量不应大于原壁厚的10％；多层缠绕的卷筒，端部应有比最外层钢丝绳高出2倍钢丝绳直径的凸缘</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37</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卷筒上钢丝绳防脱装置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卷筒上钢丝绳</w:t>
            </w:r>
            <w:r>
              <w:rPr>
                <w:rFonts w:hint="eastAsia" w:ascii="宋体" w:hAnsi="宋体" w:eastAsia="宋体" w:cs="宋体"/>
                <w:sz w:val="21"/>
                <w:szCs w:val="21"/>
                <w:lang w:eastAsia="zh-CN"/>
              </w:rPr>
              <w:t>，</w:t>
            </w:r>
            <w:r>
              <w:rPr>
                <w:rFonts w:hint="eastAsia" w:ascii="宋体" w:hAnsi="宋体" w:eastAsia="宋体" w:cs="宋体"/>
                <w:sz w:val="21"/>
                <w:szCs w:val="21"/>
              </w:rPr>
              <w:t>应排列有序，设有防钢丝绳脱槽装置。该装置与卷筒最外缘的间隙不应超过钢丝绳直径的20%</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38</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钢丝绳端部固定</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符合使用说明书规定</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39</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钢丝绳穿绕方式、润</w:t>
            </w:r>
          </w:p>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滑与干涉</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穿绕正确，润滑良好，无干涉</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40</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钢丝绳磨损量</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钢丝绳实测直径相对于公称直径减小7％或更多时，应报废</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41</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常用规格钢丝绳规定长度内达到报废标准的断丝数</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钢制滑轮上工作的圆股钢丝绳、抗扭钢丝绳中断丝根数的控制标准参照《起重</w:t>
            </w:r>
            <w:r>
              <w:rPr>
                <w:rFonts w:hint="eastAsia" w:ascii="宋体" w:hAnsi="宋体" w:eastAsia="宋体" w:cs="宋体"/>
                <w:color w:val="auto"/>
                <w:sz w:val="21"/>
                <w:szCs w:val="21"/>
              </w:rPr>
              <w:t>机用钢丝绳检验和报废实用规范》GB/T 5972</w:t>
            </w:r>
            <w:r>
              <w:rPr>
                <w:rFonts w:hint="eastAsia" w:ascii="宋体" w:hAnsi="宋体" w:eastAsia="宋体" w:cs="宋体"/>
                <w:color w:val="auto"/>
                <w:sz w:val="21"/>
                <w:szCs w:val="21"/>
                <w:lang w:val="en-US" w:eastAsia="zh-CN"/>
              </w:rPr>
              <w:t>-2023</w:t>
            </w:r>
            <w:r>
              <w:rPr>
                <w:rFonts w:hint="eastAsia" w:ascii="宋体" w:hAnsi="宋体" w:eastAsia="宋体" w:cs="宋体"/>
                <w:color w:val="auto"/>
                <w:sz w:val="21"/>
                <w:szCs w:val="21"/>
              </w:rPr>
              <w:t>，达到报废标准应报废</w:t>
            </w:r>
            <w:r>
              <w:rPr>
                <w:rFonts w:hint="eastAsia" w:ascii="宋体" w:hAnsi="宋体" w:eastAsia="宋体" w:cs="宋体"/>
                <w:color w:val="auto"/>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42</w:t>
            </w:r>
          </w:p>
        </w:tc>
        <w:tc>
          <w:tcPr>
            <w:tcW w:w="2034" w:type="dxa"/>
            <w:gridSpan w:val="2"/>
            <w:vMerge w:val="restart"/>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钢丝绳的变形</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出现波浪形时，在钢丝绳长度不超过25d范围内，若波形幅度值达到4d／3或以上，则钢丝绳应报废</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2034" w:type="dxa"/>
            <w:gridSpan w:val="2"/>
            <w:vMerge w:val="continue"/>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笼状畸变、绳股挤出或钢丝挤出变形严重的钢丝绳应报废</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2034" w:type="dxa"/>
            <w:gridSpan w:val="2"/>
            <w:vMerge w:val="continue"/>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钢丝绳出现严重的扭结、压扁和弯折现象应报废</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2034" w:type="dxa"/>
            <w:gridSpan w:val="2"/>
            <w:vMerge w:val="continue"/>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绳径局部严重增大或减小均应报废</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43</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制动器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起升、回转、变幅、行走机构都应配备制动器，制动器不应有裂纹、过度磨损、塑性变形、缺件等缺陷。调整适宜，制动平稳可靠</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44</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传动装置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固定牢固，运行平稳</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45</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有可能伤人的活动零部件外露部分</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防护罩齐全</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电气及保护</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46</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紧急断电开关</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非自动复位，有效，且便于司机操作</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47</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绝缘电阻</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主电路和控制电路的对地绝缘电阻不应小于0.5MΩ</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48</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接地电阻</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接地系统应便于复核检查，接地电阻不大于4Ω</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49</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专用开关箱</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单独设置并有警示标志</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声响信号器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完好</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51</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保护零线</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绿/黄双色绝缘铜芯线，且不得作为载流回路</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52</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电源电缆与电缆保护</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无破损，老化。与金属接触处有绝缘材料隔离，移动电缆有电缆卷筒或其他防止磨损措施</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53</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障碍指示灯</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回转塔身高度大于30m且高于周围建筑物时应安装，该指示灯的供电不应受停机的影响</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轨道</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54</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行走轨道端部止挡装置与缓冲</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齐全，有效</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55</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行走限位装置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制停后距止档装置≥1m</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56</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防风夹轨器</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齐全，有效</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57</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排障清轨板</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清孰板与轨道之目的间隙不应大于5mm</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58</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钢轨接头位置及误差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支承在道木或路基箱上时，两侧错开≥1.5m；间隙≤4mm；高差≤2mm</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59</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轨距误差及轨距拉杆设置</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＜1／1000且最大应＜6mm；相邻两根间距≤6m</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司机室</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60</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性能标牌(显示屏)</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齐全，清晰</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61</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门窗和灭火器、雨刷</w:t>
            </w:r>
          </w:p>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等附属设施</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齐全，有效</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其他</w:t>
            </w:r>
          </w:p>
        </w:tc>
        <w:tc>
          <w:tcPr>
            <w:tcW w:w="666"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62</w:t>
            </w:r>
          </w:p>
        </w:tc>
        <w:tc>
          <w:tcPr>
            <w:tcW w:w="2034" w:type="dxa"/>
            <w:gridSpan w:val="2"/>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风速仪</w:t>
            </w:r>
          </w:p>
        </w:tc>
        <w:tc>
          <w:tcPr>
            <w:tcW w:w="3419" w:type="dxa"/>
            <w:gridSpan w:val="3"/>
            <w:tcBorders>
              <w:tl2br w:val="nil"/>
              <w:tr2bl w:val="nil"/>
            </w:tcBorders>
            <w:vAlign w:val="center"/>
          </w:tcPr>
          <w:p>
            <w:pPr>
              <w:pStyle w:val="16"/>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臂架根部铰点高于50m时应设置</w:t>
            </w:r>
            <w:r>
              <w:rPr>
                <w:rFonts w:hint="eastAsia" w:ascii="宋体" w:hAnsi="宋体" w:eastAsia="宋体" w:cs="宋体"/>
                <w:sz w:val="21"/>
                <w:szCs w:val="21"/>
                <w:lang w:eastAsia="zh-CN"/>
              </w:rPr>
              <w:t>。</w:t>
            </w:r>
          </w:p>
        </w:tc>
        <w:tc>
          <w:tcPr>
            <w:tcW w:w="1103"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00" w:type="dxa"/>
            <w:gridSpan w:val="9"/>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6" w:type="dxa"/>
            <w:gridSpan w:val="3"/>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保证项目不合格项数</w:t>
            </w:r>
          </w:p>
        </w:tc>
        <w:tc>
          <w:tcPr>
            <w:tcW w:w="2522"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c>
          <w:tcPr>
            <w:tcW w:w="2337"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一般项目不合格项数</w:t>
            </w:r>
          </w:p>
        </w:tc>
        <w:tc>
          <w:tcPr>
            <w:tcW w:w="2195" w:type="dxa"/>
            <w:gridSpan w:val="2"/>
            <w:tcBorders>
              <w:tl2br w:val="nil"/>
              <w:tr2bl w:val="nil"/>
            </w:tcBorders>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8" w:type="dxa"/>
            <w:gridSpan w:val="5"/>
            <w:tcBorders>
              <w:tl2br w:val="nil"/>
              <w:tr2bl w:val="nil"/>
            </w:tcBorders>
            <w:vAlign w:val="center"/>
          </w:tcPr>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租赁单位意见：</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租赁负责人（签字）：（盖章）</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年月日</w:t>
            </w:r>
          </w:p>
        </w:tc>
        <w:tc>
          <w:tcPr>
            <w:tcW w:w="4532" w:type="dxa"/>
            <w:gridSpan w:val="4"/>
            <w:tcBorders>
              <w:tl2br w:val="nil"/>
              <w:tr2bl w:val="nil"/>
            </w:tcBorders>
            <w:vAlign w:val="center"/>
          </w:tcPr>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使用单位意见：</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项目技术负责人或机械员（签字）（盖章）</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8" w:type="dxa"/>
            <w:gridSpan w:val="5"/>
            <w:tcBorders>
              <w:tl2br w:val="nil"/>
              <w:tr2bl w:val="nil"/>
            </w:tcBorders>
            <w:vAlign w:val="center"/>
          </w:tcPr>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安装单位意见：</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技术负责人（或受委托负责人）（签字）（盖章）</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年月日</w:t>
            </w:r>
          </w:p>
        </w:tc>
        <w:tc>
          <w:tcPr>
            <w:tcW w:w="4532" w:type="dxa"/>
            <w:gridSpan w:val="4"/>
            <w:tcBorders>
              <w:tl2br w:val="nil"/>
              <w:tr2bl w:val="nil"/>
            </w:tcBorders>
            <w:vAlign w:val="center"/>
          </w:tcPr>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监理单位意见：</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总监或专业监理工程师（签字）：（盖章）</w:t>
            </w:r>
          </w:p>
          <w:p>
            <w:pPr>
              <w:pStyle w:val="16"/>
              <w:kinsoku/>
              <w:overflowPunct/>
              <w:topLinePunct w:val="0"/>
              <w:bidi w:val="0"/>
              <w:spacing w:line="360" w:lineRule="atLeast"/>
              <w:rPr>
                <w:rFonts w:hint="eastAsia" w:ascii="宋体" w:hAnsi="宋体" w:eastAsia="宋体" w:cs="宋体"/>
                <w:kern w:val="0"/>
                <w:sz w:val="21"/>
                <w:szCs w:val="21"/>
                <w:lang w:bidi="ar"/>
              </w:rPr>
            </w:pPr>
          </w:p>
          <w:p>
            <w:pPr>
              <w:pStyle w:val="16"/>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年月日</w:t>
            </w:r>
          </w:p>
        </w:tc>
      </w:tr>
    </w:tbl>
    <w:p>
      <w:pPr>
        <w:pStyle w:val="2"/>
        <w:keepNext w:val="0"/>
        <w:widowControl w:val="0"/>
        <w:numPr>
          <w:ilvl w:val="0"/>
          <w:numId w:val="18"/>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5" w:name="_Toc31828"/>
      <w:r>
        <w:rPr>
          <w:rFonts w:hint="eastAsia" w:ascii="宋体" w:hAnsi="宋体" w:eastAsia="宋体" w:cs="宋体"/>
          <w:sz w:val="24"/>
          <w:szCs w:val="24"/>
        </w:rPr>
        <w:t>应急处置措施</w:t>
      </w:r>
      <w:bookmarkEnd w:id="85"/>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6" w:name="_Toc1443"/>
      <w:r>
        <w:rPr>
          <w:rFonts w:hint="eastAsia" w:ascii="宋体" w:hAnsi="宋体" w:eastAsia="宋体" w:cs="宋体"/>
          <w:sz w:val="24"/>
          <w:szCs w:val="24"/>
        </w:rPr>
        <w:t>风险源辨识及分析</w:t>
      </w:r>
      <w:bookmarkEnd w:id="86"/>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LEC风险评估方法简介</w:t>
      </w:r>
    </w:p>
    <w:p>
      <w:pPr>
        <w:bidi w:val="0"/>
        <w:rPr>
          <w:rFonts w:hint="eastAsia"/>
        </w:rPr>
      </w:pPr>
      <w:r>
        <w:rPr>
          <w:rFonts w:hint="eastAsia"/>
        </w:rPr>
        <w:t>本项目施工风险评估采用“LEC风险法”，其考虑的危险因素有三个：发生事故或危险事件的可能性，危险作业出现频率和事故的后果。主要是评估人员根据实际经验，对评估对象的现状情况进行分析，然后根据公式计算其危险性分数值，再按经验将危险性分数值划分危险程度等级表。</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“LEC风险法”事故风险大小计算公式为：D=L×E×C</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D——事故风险大小</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L——事故发生的可能性</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E——暴露于风险环境的频率</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C——发生事故的可能后果</w:t>
      </w:r>
    </w:p>
    <w:p>
      <w:pPr>
        <w:bidi w:val="0"/>
        <w:rPr>
          <w:rFonts w:hint="eastAsia"/>
        </w:rPr>
      </w:pPr>
      <w:r>
        <w:rPr>
          <w:rFonts w:hint="eastAsia"/>
        </w:rPr>
        <w:t>事故发生的可能性L定性表达了事故发生的概率。必然发生的事故的概率为1，规定对应得分值为10；实际上不可能事故发生的情况对应得分值为0.5；以此为基础确定，其取值范围如</w:t>
      </w:r>
      <w:r>
        <w:rPr>
          <w:rFonts w:hint="eastAsia"/>
        </w:rPr>
        <w:fldChar w:fldCharType="begin"/>
      </w:r>
      <w:r>
        <w:rPr>
          <w:rFonts w:hint="eastAsia"/>
        </w:rPr>
        <w:instrText xml:space="preserve">REF_Ref67577224\h\*MERGEFORMAT</w:instrText>
      </w:r>
      <w:r>
        <w:rPr>
          <w:rFonts w:hint="eastAsia"/>
        </w:rPr>
        <w:fldChar w:fldCharType="separate"/>
      </w:r>
      <w:r>
        <w:rPr>
          <w:rFonts w:hint="eastAsia"/>
        </w:rPr>
        <w:t>表9.1</w:t>
      </w:r>
      <w:r>
        <w:rPr>
          <w:rFonts w:hint="eastAsia"/>
          <w:lang w:val="en-US" w:eastAsia="zh-CN"/>
        </w:rPr>
        <w:t>.1</w:t>
      </w:r>
      <w:r>
        <w:rPr>
          <w:rFonts w:hint="eastAsia"/>
          <w:lang w:eastAsia="zh-CN"/>
        </w:rPr>
        <w:t>-</w:t>
      </w:r>
      <w:r>
        <w:rPr>
          <w:rFonts w:hint="eastAsia"/>
        </w:rPr>
        <w:t>1</w:t>
      </w:r>
      <w:r>
        <w:rPr>
          <w:rFonts w:hint="eastAsia"/>
        </w:rPr>
        <w:fldChar w:fldCharType="end"/>
      </w:r>
      <w:r>
        <w:rPr>
          <w:rFonts w:hint="eastAsia"/>
        </w:rPr>
        <w:t>。</w:t>
      </w:r>
    </w:p>
    <w:p>
      <w:pPr>
        <w:pStyle w:val="15"/>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color w:val="000000" w:themeColor="text1"/>
          <w:sz w:val="24"/>
          <w:szCs w:val="24"/>
          <w14:textFill>
            <w14:solidFill>
              <w14:schemeClr w14:val="tx1"/>
            </w14:solidFill>
          </w14:textFill>
        </w:rPr>
      </w:pPr>
      <w:bookmarkStart w:id="87" w:name="_Ref67577224"/>
      <w:r>
        <w:rPr>
          <w:rFonts w:hint="eastAsia" w:ascii="宋体" w:hAnsi="宋体" w:eastAsia="宋体" w:cs="宋体"/>
          <w:color w:val="000000" w:themeColor="text1"/>
          <w:sz w:val="24"/>
          <w:szCs w:val="24"/>
          <w14:textFill>
            <w14:solidFill>
              <w14:schemeClr w14:val="tx1"/>
            </w14:solidFill>
          </w14:textFill>
        </w:rPr>
        <w:t>表</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STYLEREF 3\s</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9.1.1</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SEQ表\*ARABIC\s 3</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fldChar w:fldCharType="end"/>
      </w:r>
      <w:bookmarkEnd w:id="87"/>
      <w:r>
        <w:rPr>
          <w:rFonts w:hint="eastAsia" w:ascii="宋体" w:hAnsi="宋体" w:eastAsia="宋体" w:cs="宋体"/>
          <w:color w:val="000000" w:themeColor="text1"/>
          <w:sz w:val="24"/>
          <w:szCs w:val="24"/>
          <w14:textFill>
            <w14:solidFill>
              <w14:schemeClr w14:val="tx1"/>
            </w14:solidFill>
          </w14:textFill>
        </w:rPr>
        <w:t>事故发生可能性（L）</w:t>
      </w:r>
    </w:p>
    <w:tbl>
      <w:tblPr>
        <w:tblStyle w:val="68"/>
        <w:tblW w:w="493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874"/>
        <w:gridCol w:w="1165"/>
        <w:gridCol w:w="2888"/>
        <w:gridCol w:w="874"/>
        <w:gridCol w:w="1165"/>
        <w:gridCol w:w="27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pPr>
              <w:pStyle w:val="16"/>
              <w:kinsoku/>
              <w:overflowPunct/>
              <w:topLinePunct w:val="0"/>
              <w:bidi w:val="0"/>
              <w:spacing w:line="360" w:lineRule="atLeast"/>
              <w:jc w:val="center"/>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序号</w:t>
            </w:r>
          </w:p>
        </w:tc>
        <w:tc>
          <w:tcPr>
            <w:tcW w:w="598" w:type="pct"/>
            <w:tcBorders>
              <w:tl2br w:val="nil"/>
              <w:tr2bl w:val="nil"/>
            </w:tcBorders>
            <w:shd w:val="clear" w:color="auto" w:fill="auto"/>
            <w:vAlign w:val="center"/>
          </w:tcPr>
          <w:p>
            <w:pPr>
              <w:pStyle w:val="16"/>
              <w:kinsoku/>
              <w:overflowPunct/>
              <w:topLinePunct w:val="0"/>
              <w:bidi w:val="0"/>
              <w:spacing w:line="360" w:lineRule="atLeast"/>
              <w:jc w:val="center"/>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分数值</w:t>
            </w:r>
          </w:p>
        </w:tc>
        <w:tc>
          <w:tcPr>
            <w:tcW w:w="1483"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事故发生的可能性</w:t>
            </w:r>
          </w:p>
        </w:tc>
        <w:tc>
          <w:tcPr>
            <w:tcW w:w="449"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序号</w:t>
            </w:r>
          </w:p>
        </w:tc>
        <w:tc>
          <w:tcPr>
            <w:tcW w:w="598"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分数值</w:t>
            </w:r>
          </w:p>
        </w:tc>
        <w:tc>
          <w:tcPr>
            <w:tcW w:w="1420"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事故发生的可能性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color w:val="000000" w:themeColor="text1"/>
                <w:sz w:val="21"/>
                <w:szCs w:val="21"/>
                <w14:textFill>
                  <w14:solidFill>
                    <w14:schemeClr w14:val="tx1"/>
                  </w14:solidFill>
                </w14:textFill>
              </w:rPr>
            </w:pPr>
            <w:r>
              <w:rPr>
                <w:rFonts w:hint="eastAsia" w:ascii="宋体" w:hAnsi="宋体" w:eastAsia="宋体" w:cs="宋体"/>
                <w:b w:val="0"/>
                <w:i w:val="0"/>
                <w:color w:val="000000" w:themeColor="text1"/>
                <w:sz w:val="21"/>
                <w:szCs w:val="21"/>
                <w14:textFill>
                  <w14:solidFill>
                    <w14:schemeClr w14:val="tx1"/>
                  </w14:solidFill>
                </w14:textFill>
              </w:rPr>
              <w:t>1</w:t>
            </w:r>
          </w:p>
        </w:tc>
        <w:tc>
          <w:tcPr>
            <w:tcW w:w="598"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1483"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完全可以预料</w:t>
            </w:r>
          </w:p>
        </w:tc>
        <w:tc>
          <w:tcPr>
            <w:tcW w:w="449"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598"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1420"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很不可能，可以设想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color w:val="000000" w:themeColor="text1"/>
                <w:sz w:val="21"/>
                <w:szCs w:val="21"/>
                <w14:textFill>
                  <w14:solidFill>
                    <w14:schemeClr w14:val="tx1"/>
                  </w14:solidFill>
                </w14:textFill>
              </w:rPr>
            </w:pPr>
            <w:r>
              <w:rPr>
                <w:rFonts w:hint="eastAsia" w:ascii="宋体" w:hAnsi="宋体" w:eastAsia="宋体" w:cs="宋体"/>
                <w:b w:val="0"/>
                <w:i w:val="0"/>
                <w:color w:val="000000" w:themeColor="text1"/>
                <w:sz w:val="21"/>
                <w:szCs w:val="21"/>
                <w14:textFill>
                  <w14:solidFill>
                    <w14:schemeClr w14:val="tx1"/>
                  </w14:solidFill>
                </w14:textFill>
              </w:rPr>
              <w:t>2</w:t>
            </w:r>
          </w:p>
        </w:tc>
        <w:tc>
          <w:tcPr>
            <w:tcW w:w="598"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483"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相当可能</w:t>
            </w:r>
          </w:p>
        </w:tc>
        <w:tc>
          <w:tcPr>
            <w:tcW w:w="449"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598"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1420"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极不可能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color w:val="000000" w:themeColor="text1"/>
                <w:sz w:val="21"/>
                <w:szCs w:val="21"/>
                <w14:textFill>
                  <w14:solidFill>
                    <w14:schemeClr w14:val="tx1"/>
                  </w14:solidFill>
                </w14:textFill>
              </w:rPr>
            </w:pPr>
            <w:r>
              <w:rPr>
                <w:rFonts w:hint="eastAsia" w:ascii="宋体" w:hAnsi="宋体" w:eastAsia="宋体" w:cs="宋体"/>
                <w:b w:val="0"/>
                <w:i w:val="0"/>
                <w:color w:val="000000" w:themeColor="text1"/>
                <w:sz w:val="21"/>
                <w:szCs w:val="21"/>
                <w14:textFill>
                  <w14:solidFill>
                    <w14:schemeClr w14:val="tx1"/>
                  </w14:solidFill>
                </w14:textFill>
              </w:rPr>
              <w:t>3</w:t>
            </w:r>
          </w:p>
        </w:tc>
        <w:tc>
          <w:tcPr>
            <w:tcW w:w="598"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483"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可能，但不经常</w:t>
            </w:r>
          </w:p>
        </w:tc>
        <w:tc>
          <w:tcPr>
            <w:tcW w:w="449"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p>
        </w:tc>
        <w:tc>
          <w:tcPr>
            <w:tcW w:w="598"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p>
        </w:tc>
        <w:tc>
          <w:tcPr>
            <w:tcW w:w="1420"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598"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483"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sz w:val="21"/>
                <w:szCs w:val="21"/>
              </w:rPr>
            </w:pPr>
            <w:r>
              <w:rPr>
                <w:rFonts w:hint="eastAsia" w:ascii="宋体" w:hAnsi="宋体" w:eastAsia="宋体" w:cs="宋体"/>
                <w:sz w:val="21"/>
                <w:szCs w:val="21"/>
              </w:rPr>
              <w:t>可能性小，完全意外</w:t>
            </w:r>
          </w:p>
        </w:tc>
        <w:tc>
          <w:tcPr>
            <w:tcW w:w="449"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sz w:val="21"/>
                <w:szCs w:val="21"/>
              </w:rPr>
            </w:pPr>
          </w:p>
        </w:tc>
        <w:tc>
          <w:tcPr>
            <w:tcW w:w="598"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sz w:val="21"/>
                <w:szCs w:val="21"/>
              </w:rPr>
            </w:pPr>
          </w:p>
        </w:tc>
        <w:tc>
          <w:tcPr>
            <w:tcW w:w="1420" w:type="pct"/>
            <w:tcBorders>
              <w:tl2br w:val="nil"/>
              <w:tr2bl w:val="nil"/>
            </w:tcBorders>
            <w:shd w:val="clear" w:color="auto" w:fill="auto"/>
            <w:vAlign w:val="center"/>
          </w:tcPr>
          <w:p>
            <w:pPr>
              <w:pStyle w:val="16"/>
              <w:kinsoku/>
              <w:overflowPunct/>
              <w:topLinePunct w:val="0"/>
              <w:bidi w:val="0"/>
              <w:spacing w:line="360" w:lineRule="atLeast"/>
              <w:ind w:firstLine="480"/>
              <w:rPr>
                <w:rFonts w:hint="eastAsia" w:ascii="宋体" w:hAnsi="宋体" w:eastAsia="宋体" w:cs="宋体"/>
                <w:sz w:val="21"/>
                <w:szCs w:val="21"/>
              </w:rPr>
            </w:pPr>
          </w:p>
        </w:tc>
      </w:tr>
    </w:tbl>
    <w:p>
      <w:pPr>
        <w:bidi w:val="0"/>
        <w:rPr>
          <w:rFonts w:hint="eastAsia"/>
        </w:rPr>
      </w:pPr>
      <w:r>
        <w:rPr>
          <w:rFonts w:hint="eastAsia"/>
        </w:rPr>
        <w:t>人员出现在危险环境中的时间越多，则危险性越大规定连续出现在危险环境的情况，分数定为10，而非常罕见地出现在危险环境中分数定为0.5，将介于两者之间的各种情况规定若干个中间值，具体</w:t>
      </w:r>
      <w:r>
        <w:rPr>
          <w:rFonts w:hint="eastAsia" w:ascii="宋体" w:hAnsi="宋体" w:eastAsia="宋体" w:cs="宋体"/>
        </w:rPr>
        <w:t>见</w:t>
      </w:r>
      <w:r>
        <w:rPr>
          <w:rFonts w:hint="eastAsia" w:ascii="宋体" w:hAnsi="宋体" w:eastAsia="宋体" w:cs="宋体"/>
        </w:rPr>
        <w:fldChar w:fldCharType="begin"/>
      </w:r>
      <w:r>
        <w:rPr>
          <w:rFonts w:hint="eastAsia" w:ascii="宋体" w:hAnsi="宋体" w:eastAsia="宋体" w:cs="宋体"/>
        </w:rPr>
        <w:instrText xml:space="preserve">REF_Ref67577237\h\*MERGEFORMAT</w:instrText>
      </w:r>
      <w:r>
        <w:rPr>
          <w:rFonts w:hint="eastAsia" w:ascii="宋体" w:hAnsi="宋体" w:eastAsia="宋体" w:cs="宋体"/>
        </w:rPr>
        <w:fldChar w:fldCharType="separate"/>
      </w:r>
      <w:r>
        <w:rPr>
          <w:rFonts w:hint="eastAsia" w:ascii="宋体" w:hAnsi="宋体" w:eastAsia="宋体" w:cs="宋体"/>
        </w:rPr>
        <w:t>表9.1</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w:t>
      </w:r>
    </w:p>
    <w:p>
      <w:pPr>
        <w:pStyle w:val="15"/>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1"/>
          <w:szCs w:val="21"/>
        </w:rPr>
      </w:pPr>
      <w:bookmarkStart w:id="88" w:name="_Ref67577237"/>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9.1.1</w:t>
      </w:r>
      <w:r>
        <w:rPr>
          <w:rFonts w:hint="eastAsia" w:ascii="宋体" w:hAnsi="宋体" w:eastAsia="宋体" w:cs="宋体"/>
          <w:sz w:val="24"/>
          <w:szCs w:val="24"/>
        </w:rPr>
        <w:fldChar w:fldCharType="end"/>
      </w:r>
      <w:bookmarkEnd w:id="88"/>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eastAsia="宋体" w:cs="宋体"/>
          <w:sz w:val="24"/>
          <w:szCs w:val="24"/>
        </w:rPr>
        <w:t>人员暴露时间（E）</w:t>
      </w:r>
    </w:p>
    <w:tbl>
      <w:tblPr>
        <w:tblStyle w:val="68"/>
        <w:tblW w:w="493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62"/>
        <w:gridCol w:w="959"/>
        <w:gridCol w:w="3192"/>
        <w:gridCol w:w="797"/>
        <w:gridCol w:w="955"/>
        <w:gridCol w:w="30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blHeader/>
        </w:trPr>
        <w:tc>
          <w:tcPr>
            <w:tcW w:w="3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49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分数值</w:t>
            </w:r>
          </w:p>
        </w:tc>
        <w:tc>
          <w:tcPr>
            <w:tcW w:w="164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暴露于危险环境的频繁程度</w:t>
            </w:r>
          </w:p>
        </w:tc>
        <w:tc>
          <w:tcPr>
            <w:tcW w:w="4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49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分数值</w:t>
            </w:r>
          </w:p>
        </w:tc>
        <w:tc>
          <w:tcPr>
            <w:tcW w:w="156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暴露于危险环境的频繁程度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49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164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连续暴露</w:t>
            </w:r>
          </w:p>
        </w:tc>
        <w:tc>
          <w:tcPr>
            <w:tcW w:w="4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49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156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每月一次暴露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49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164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每天工作时间内暴露</w:t>
            </w:r>
          </w:p>
        </w:tc>
        <w:tc>
          <w:tcPr>
            <w:tcW w:w="4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49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56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每年几次暴露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49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164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每周一次或偶然暴露</w:t>
            </w:r>
          </w:p>
        </w:tc>
        <w:tc>
          <w:tcPr>
            <w:tcW w:w="4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49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0.5</w:t>
            </w:r>
          </w:p>
        </w:tc>
        <w:tc>
          <w:tcPr>
            <w:tcW w:w="156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几乎不暴露</w:t>
            </w:r>
          </w:p>
        </w:tc>
      </w:tr>
    </w:tbl>
    <w:p>
      <w:pPr>
        <w:bidi w:val="0"/>
        <w:rPr>
          <w:rFonts w:hint="eastAsia"/>
        </w:rPr>
      </w:pPr>
      <w:r>
        <w:rPr>
          <w:rFonts w:hint="eastAsia"/>
        </w:rPr>
        <w:t>事故造成的人身伤害与财产损失变化范围很大，对伤亡事故来说，可从极小的轻伤直到多人死亡的严重后果。由于范围广阔，所以规定的分数值为1～100，轻伤规定分数值1，把造成十人以上死亡的可能性分数规定为100，其它情况的数值在1～100之间，具体见</w:t>
      </w:r>
      <w:r>
        <w:rPr>
          <w:rFonts w:hint="eastAsia"/>
        </w:rPr>
        <w:fldChar w:fldCharType="begin"/>
      </w:r>
      <w:r>
        <w:rPr>
          <w:rFonts w:hint="eastAsia"/>
        </w:rPr>
        <w:instrText xml:space="preserve">REF_Ref67577249\h</w:instrText>
      </w:r>
      <w:r>
        <w:rPr>
          <w:rFonts w:hint="eastAsia"/>
        </w:rPr>
        <w:fldChar w:fldCharType="separate"/>
      </w:r>
      <w:r>
        <w:rPr>
          <w:rFonts w:hint="eastAsia"/>
        </w:rPr>
        <w:t>表9.1</w:t>
      </w:r>
      <w:r>
        <w:rPr>
          <w:rFonts w:hint="eastAsia"/>
          <w:lang w:val="en-US" w:eastAsia="zh-CN"/>
        </w:rPr>
        <w:t>.1</w:t>
      </w:r>
      <w:r>
        <w:rPr>
          <w:rFonts w:hint="eastAsia"/>
          <w:lang w:eastAsia="zh-CN"/>
        </w:rPr>
        <w:t>-</w:t>
      </w:r>
      <w:r>
        <w:rPr>
          <w:rFonts w:hint="eastAsia"/>
        </w:rPr>
        <w:t>3</w:t>
      </w:r>
      <w:r>
        <w:rPr>
          <w:rFonts w:hint="eastAsia"/>
        </w:rPr>
        <w:fldChar w:fldCharType="end"/>
      </w:r>
      <w:r>
        <w:rPr>
          <w:rFonts w:hint="eastAsia"/>
        </w:rPr>
        <w:t>。</w:t>
      </w:r>
    </w:p>
    <w:p>
      <w:pPr>
        <w:pStyle w:val="15"/>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1"/>
          <w:szCs w:val="21"/>
        </w:rPr>
      </w:pPr>
      <w:bookmarkStart w:id="89" w:name="_Ref67577249"/>
      <w:r>
        <w:rPr>
          <w:rFonts w:hint="eastAsia" w:ascii="宋体" w:hAnsi="宋体" w:eastAsia="宋体" w:cs="宋体"/>
          <w:sz w:val="24"/>
          <w:szCs w:val="24"/>
        </w:rPr>
        <w:t>表9.1.1</w:t>
      </w:r>
      <w:bookmarkEnd w:id="89"/>
      <w:r>
        <w:rPr>
          <w:rFonts w:hint="eastAsia" w:ascii="宋体" w:hAnsi="宋体" w:eastAsia="宋体" w:cs="宋体"/>
          <w:sz w:val="24"/>
          <w:szCs w:val="24"/>
        </w:rPr>
        <w:t>-</w:t>
      </w:r>
      <w:r>
        <w:rPr>
          <w:rFonts w:hint="eastAsia" w:ascii="宋体" w:hAnsi="宋体" w:cs="宋体"/>
          <w:sz w:val="24"/>
          <w:szCs w:val="24"/>
          <w:lang w:val="en-US" w:eastAsia="zh-CN"/>
        </w:rPr>
        <w:t>3</w:t>
      </w:r>
      <w:r>
        <w:rPr>
          <w:rFonts w:hint="eastAsia" w:ascii="宋体" w:hAnsi="宋体" w:eastAsia="宋体" w:cs="宋体"/>
          <w:sz w:val="24"/>
          <w:szCs w:val="24"/>
        </w:rPr>
        <w:t>事故后果严重程度（C）</w:t>
      </w:r>
    </w:p>
    <w:tbl>
      <w:tblPr>
        <w:tblStyle w:val="68"/>
        <w:tblW w:w="491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142"/>
        <w:gridCol w:w="1520"/>
        <w:gridCol w:w="3784"/>
        <w:gridCol w:w="32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序号</w:t>
            </w:r>
          </w:p>
        </w:tc>
        <w:tc>
          <w:tcPr>
            <w:tcW w:w="7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分数值</w:t>
            </w:r>
          </w:p>
        </w:tc>
        <w:tc>
          <w:tcPr>
            <w:tcW w:w="195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发生事故产生的后果</w:t>
            </w:r>
          </w:p>
        </w:tc>
        <w:tc>
          <w:tcPr>
            <w:tcW w:w="167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经济损失（万元）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100</w:t>
            </w:r>
          </w:p>
        </w:tc>
        <w:tc>
          <w:tcPr>
            <w:tcW w:w="195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10人以上死亡</w:t>
            </w:r>
          </w:p>
        </w:tc>
        <w:tc>
          <w:tcPr>
            <w:tcW w:w="167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7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40</w:t>
            </w:r>
          </w:p>
        </w:tc>
        <w:tc>
          <w:tcPr>
            <w:tcW w:w="195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3～9人死亡</w:t>
            </w:r>
          </w:p>
        </w:tc>
        <w:tc>
          <w:tcPr>
            <w:tcW w:w="167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1000～5000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7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15</w:t>
            </w:r>
          </w:p>
        </w:tc>
        <w:tc>
          <w:tcPr>
            <w:tcW w:w="195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1～2人死亡</w:t>
            </w:r>
          </w:p>
        </w:tc>
        <w:tc>
          <w:tcPr>
            <w:tcW w:w="167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100～1000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7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7</w:t>
            </w:r>
          </w:p>
        </w:tc>
        <w:tc>
          <w:tcPr>
            <w:tcW w:w="195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多人重伤</w:t>
            </w:r>
          </w:p>
        </w:tc>
        <w:tc>
          <w:tcPr>
            <w:tcW w:w="167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5</w:t>
            </w:r>
          </w:p>
        </w:tc>
        <w:tc>
          <w:tcPr>
            <w:tcW w:w="7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195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至少1人伤残</w:t>
            </w:r>
          </w:p>
        </w:tc>
        <w:tc>
          <w:tcPr>
            <w:tcW w:w="167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6</w:t>
            </w:r>
          </w:p>
        </w:tc>
        <w:tc>
          <w:tcPr>
            <w:tcW w:w="78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95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轻伤</w:t>
            </w:r>
          </w:p>
        </w:tc>
        <w:tc>
          <w:tcPr>
            <w:tcW w:w="167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1～10</w:t>
            </w:r>
          </w:p>
        </w:tc>
      </w:tr>
    </w:tbl>
    <w:p>
      <w:pPr>
        <w:bidi w:val="0"/>
        <w:rPr>
          <w:rFonts w:hint="eastAsia"/>
        </w:rPr>
      </w:pPr>
      <w:r>
        <w:rPr>
          <w:rFonts w:hint="eastAsia"/>
        </w:rPr>
        <w:t>根据公式D＝LEC，求出风险值D。该方法规定D值在70以内时为Ⅰ级风险；在70~160之间为Ⅱ级风险；在160~320之间为Ⅲ级风险；D值大于320时为Ⅳ级风险。</w:t>
      </w:r>
    </w:p>
    <w:p>
      <w:pPr>
        <w:bidi w:val="0"/>
        <w:rPr>
          <w:rFonts w:hint="eastAsia"/>
        </w:rPr>
      </w:pPr>
      <w:r>
        <w:rPr>
          <w:rFonts w:hint="eastAsia"/>
        </w:rPr>
        <w:t>风险等级划分如</w:t>
      </w:r>
      <w:r>
        <w:rPr>
          <w:rFonts w:hint="eastAsia"/>
        </w:rPr>
        <w:fldChar w:fldCharType="begin"/>
      </w:r>
      <w:r>
        <w:rPr>
          <w:rFonts w:hint="eastAsia"/>
        </w:rPr>
        <w:instrText xml:space="preserve">REF_Ref67577256\h</w:instrText>
      </w:r>
      <w:r>
        <w:rPr>
          <w:rFonts w:hint="eastAsia"/>
        </w:rPr>
        <w:fldChar w:fldCharType="separate"/>
      </w:r>
      <w:r>
        <w:rPr>
          <w:rFonts w:hint="eastAsia"/>
        </w:rPr>
        <w:t>表9.1</w:t>
      </w:r>
      <w:r>
        <w:rPr>
          <w:rFonts w:hint="eastAsia"/>
          <w:lang w:val="en-US" w:eastAsia="zh-CN"/>
        </w:rPr>
        <w:t>.1</w:t>
      </w:r>
      <w:r>
        <w:rPr>
          <w:rFonts w:hint="eastAsia"/>
          <w:lang w:eastAsia="zh-CN"/>
        </w:rPr>
        <w:t>-</w:t>
      </w:r>
      <w:r>
        <w:rPr>
          <w:rFonts w:hint="eastAsia"/>
        </w:rPr>
        <w:t>4</w:t>
      </w:r>
      <w:r>
        <w:rPr>
          <w:rFonts w:hint="eastAsia"/>
        </w:rPr>
        <w:fldChar w:fldCharType="end"/>
      </w:r>
      <w:r>
        <w:rPr>
          <w:rFonts w:hint="eastAsia"/>
        </w:rPr>
        <w:t>所示。</w:t>
      </w:r>
    </w:p>
    <w:p>
      <w:pPr>
        <w:keepNext w:val="0"/>
        <w:keepLines w:val="0"/>
        <w:pageBreakBefore w:val="0"/>
        <w:widowControl w:val="0"/>
        <w:kinsoku/>
        <w:wordWrap/>
        <w:overflowPunct/>
        <w:topLinePunct w:val="0"/>
        <w:autoSpaceDE/>
        <w:autoSpaceDN/>
        <w:bidi w:val="0"/>
        <w:adjustRightInd/>
        <w:snapToGrid/>
        <w:spacing w:line="480" w:lineRule="atLeast"/>
        <w:ind w:firstLine="0" w:firstLineChars="0"/>
        <w:jc w:val="center"/>
        <w:textAlignment w:val="auto"/>
        <w:rPr>
          <w:rFonts w:hint="eastAsia" w:ascii="宋体" w:hAnsi="宋体" w:eastAsia="宋体" w:cs="宋体"/>
          <w:kern w:val="2"/>
          <w:sz w:val="24"/>
          <w:szCs w:val="24"/>
          <w:lang w:val="en-US" w:eastAsia="zh-CN" w:bidi="ar-SA"/>
        </w:rPr>
      </w:pPr>
      <w:bookmarkStart w:id="90" w:name="_Ref67577256"/>
      <w:r>
        <w:rPr>
          <w:rFonts w:hint="eastAsia" w:ascii="宋体" w:hAnsi="宋体" w:eastAsia="宋体" w:cs="宋体"/>
          <w:kern w:val="2"/>
          <w:sz w:val="24"/>
          <w:szCs w:val="24"/>
          <w:lang w:val="en-US" w:eastAsia="zh-CN" w:bidi="ar-SA"/>
        </w:rPr>
        <w:t>表</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9.1.1</w:t>
      </w:r>
      <w:r>
        <w:rPr>
          <w:rFonts w:hint="eastAsia" w:ascii="宋体" w:hAnsi="宋体" w:eastAsia="宋体" w:cs="宋体"/>
          <w:kern w:val="2"/>
          <w:sz w:val="24"/>
          <w:szCs w:val="24"/>
          <w:lang w:val="en-US" w:eastAsia="zh-CN" w:bidi="ar-SA"/>
        </w:rPr>
        <w:fldChar w:fldCharType="end"/>
      </w:r>
      <w:bookmarkEnd w:id="90"/>
      <w:r>
        <w:rPr>
          <w:rFonts w:hint="eastAsia" w:ascii="宋体" w:hAnsi="宋体" w:eastAsia="宋体" w:cs="宋体"/>
          <w:kern w:val="2"/>
          <w:sz w:val="24"/>
          <w:szCs w:val="24"/>
          <w:lang w:val="en-US" w:eastAsia="zh-CN" w:bidi="ar-SA"/>
        </w:rPr>
        <w:t>-</w:t>
      </w: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 xml:space="preserve"> LEC法评估结果分级</w:t>
      </w:r>
    </w:p>
    <w:tbl>
      <w:tblPr>
        <w:tblStyle w:val="42"/>
        <w:tblW w:w="963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892"/>
        <w:gridCol w:w="3738"/>
        <w:gridCol w:w="20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pPr>
              <w:pStyle w:val="389"/>
              <w:rPr>
                <w:rFonts w:hint="eastAsia" w:ascii="宋体" w:hAnsi="宋体" w:eastAsia="宋体" w:cs="宋体"/>
                <w:b/>
                <w:bCs w:val="0"/>
                <w:color w:val="auto"/>
              </w:rPr>
            </w:pPr>
            <w:r>
              <w:rPr>
                <w:rFonts w:hint="eastAsia" w:ascii="宋体" w:hAnsi="宋体" w:eastAsia="宋体" w:cs="宋体"/>
                <w:b/>
                <w:bCs w:val="0"/>
                <w:color w:val="auto"/>
              </w:rPr>
              <w:t>分数值</w:t>
            </w:r>
          </w:p>
        </w:tc>
        <w:tc>
          <w:tcPr>
            <w:tcW w:w="3738" w:type="dxa"/>
            <w:tcBorders>
              <w:tl2br w:val="nil"/>
              <w:tr2bl w:val="nil"/>
            </w:tcBorders>
            <w:shd w:val="clear" w:color="auto" w:fill="auto"/>
            <w:noWrap w:val="0"/>
            <w:vAlign w:val="center"/>
          </w:tcPr>
          <w:p>
            <w:pPr>
              <w:pStyle w:val="389"/>
              <w:rPr>
                <w:rFonts w:hint="eastAsia" w:ascii="宋体" w:hAnsi="宋体" w:eastAsia="宋体" w:cs="宋体"/>
                <w:b/>
                <w:bCs w:val="0"/>
                <w:color w:val="auto"/>
              </w:rPr>
            </w:pPr>
            <w:r>
              <w:rPr>
                <w:rFonts w:hint="eastAsia" w:ascii="宋体" w:hAnsi="宋体" w:eastAsia="宋体" w:cs="宋体"/>
                <w:b/>
                <w:bCs w:val="0"/>
                <w:color w:val="auto"/>
              </w:rPr>
              <w:t>风险程度</w:t>
            </w:r>
          </w:p>
        </w:tc>
        <w:tc>
          <w:tcPr>
            <w:tcW w:w="2003" w:type="dxa"/>
            <w:tcBorders>
              <w:tl2br w:val="nil"/>
              <w:tr2bl w:val="nil"/>
            </w:tcBorders>
            <w:shd w:val="clear" w:color="auto" w:fill="auto"/>
            <w:noWrap w:val="0"/>
            <w:vAlign w:val="center"/>
          </w:tcPr>
          <w:p>
            <w:pPr>
              <w:pStyle w:val="389"/>
              <w:rPr>
                <w:rFonts w:hint="eastAsia" w:ascii="宋体" w:hAnsi="宋体" w:eastAsia="宋体" w:cs="宋体"/>
                <w:b/>
                <w:bCs w:val="0"/>
                <w:color w:val="auto"/>
              </w:rPr>
            </w:pPr>
            <w:r>
              <w:rPr>
                <w:rFonts w:hint="eastAsia" w:ascii="宋体" w:hAnsi="宋体" w:eastAsia="宋体" w:cs="宋体"/>
                <w:b/>
                <w:bCs w:val="0"/>
                <w:color w:val="auto"/>
              </w:rPr>
              <w:t>风险等级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&gt;320</w:t>
            </w:r>
          </w:p>
        </w:tc>
        <w:tc>
          <w:tcPr>
            <w:tcW w:w="3738"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lang w:val="en-US" w:eastAsia="zh-CN"/>
              </w:rPr>
              <w:t>特别重大风险</w:t>
            </w:r>
          </w:p>
        </w:tc>
        <w:tc>
          <w:tcPr>
            <w:tcW w:w="2003"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160~320</w:t>
            </w:r>
          </w:p>
        </w:tc>
        <w:tc>
          <w:tcPr>
            <w:tcW w:w="3738"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lang w:val="en-US" w:eastAsia="zh-CN"/>
              </w:rPr>
              <w:t>重大风险</w:t>
            </w:r>
          </w:p>
        </w:tc>
        <w:tc>
          <w:tcPr>
            <w:tcW w:w="2003"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70~160</w:t>
            </w:r>
          </w:p>
        </w:tc>
        <w:tc>
          <w:tcPr>
            <w:tcW w:w="3738"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lang w:val="en-US" w:eastAsia="zh-CN"/>
              </w:rPr>
              <w:t>较大风险</w:t>
            </w:r>
          </w:p>
        </w:tc>
        <w:tc>
          <w:tcPr>
            <w:tcW w:w="2003"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20~70</w:t>
            </w:r>
          </w:p>
        </w:tc>
        <w:tc>
          <w:tcPr>
            <w:tcW w:w="3738"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一般危险</w:t>
            </w:r>
          </w:p>
        </w:tc>
        <w:tc>
          <w:tcPr>
            <w:tcW w:w="2003"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&lt;20</w:t>
            </w:r>
          </w:p>
        </w:tc>
        <w:tc>
          <w:tcPr>
            <w:tcW w:w="3738"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lang w:val="en-US" w:eastAsia="zh-CN"/>
              </w:rPr>
              <w:t>低风险</w:t>
            </w:r>
          </w:p>
        </w:tc>
        <w:tc>
          <w:tcPr>
            <w:tcW w:w="2003" w:type="dxa"/>
            <w:tcBorders>
              <w:tl2br w:val="nil"/>
              <w:tr2bl w:val="nil"/>
            </w:tcBorders>
            <w:shd w:val="clear" w:color="auto" w:fill="auto"/>
            <w:noWrap w:val="0"/>
            <w:vAlign w:val="center"/>
          </w:tcPr>
          <w:p>
            <w:pPr>
              <w:pStyle w:val="389"/>
              <w:rPr>
                <w:rFonts w:hint="eastAsia" w:ascii="宋体" w:hAnsi="宋体" w:eastAsia="宋体" w:cs="宋体"/>
                <w:color w:val="auto"/>
              </w:rPr>
            </w:pPr>
            <w:r>
              <w:rPr>
                <w:rFonts w:hint="eastAsia" w:ascii="宋体" w:hAnsi="宋体" w:eastAsia="宋体" w:cs="宋体"/>
                <w:color w:val="auto"/>
              </w:rPr>
              <w:t>1</w:t>
            </w:r>
          </w:p>
        </w:tc>
      </w:tr>
    </w:tbl>
    <w:p>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低风险</w:t>
      </w:r>
      <w:r>
        <w:rPr>
          <w:rFonts w:hint="eastAsia" w:ascii="宋体" w:hAnsi="宋体" w:eastAsia="宋体" w:cs="宋体"/>
          <w:sz w:val="24"/>
          <w:szCs w:val="24"/>
        </w:rPr>
        <w:t>：安全的，不需要采取措施；</w:t>
      </w:r>
    </w:p>
    <w:p>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一般风险：临界的，有可能</w:t>
      </w:r>
      <w:r>
        <w:rPr>
          <w:rFonts w:hint="eastAsia" w:ascii="宋体" w:hAnsi="宋体" w:eastAsia="宋体" w:cs="宋体"/>
          <w:sz w:val="24"/>
          <w:szCs w:val="24"/>
          <w:lang w:val="en-US" w:eastAsia="zh-CN"/>
        </w:rPr>
        <w:t>造成</w:t>
      </w:r>
      <w:r>
        <w:rPr>
          <w:rFonts w:hint="eastAsia" w:ascii="宋体" w:hAnsi="宋体" w:eastAsia="宋体" w:cs="宋体"/>
          <w:sz w:val="24"/>
          <w:szCs w:val="24"/>
        </w:rPr>
        <w:t>较轻的伤害和损坏，应采取措施；</w:t>
      </w:r>
    </w:p>
    <w:p>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较大风险</w:t>
      </w:r>
      <w:r>
        <w:rPr>
          <w:rFonts w:hint="eastAsia" w:ascii="宋体" w:hAnsi="宋体" w:eastAsia="宋体" w:cs="宋体"/>
          <w:sz w:val="24"/>
          <w:szCs w:val="24"/>
        </w:rPr>
        <w:t>：危险的，会造成人员伤亡和系统破坏，要立即采取措施；</w:t>
      </w:r>
    </w:p>
    <w:p>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重大风险</w:t>
      </w:r>
      <w:r>
        <w:rPr>
          <w:rFonts w:hint="eastAsia" w:ascii="宋体" w:hAnsi="宋体" w:eastAsia="宋体" w:cs="宋体"/>
          <w:sz w:val="24"/>
          <w:szCs w:val="24"/>
        </w:rPr>
        <w:t>：破坏性的，会造成灾难性事故，必须立即排除。</w:t>
      </w:r>
    </w:p>
    <w:p>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特别重大风险：极其危险，应编制专项方案及应急预案，施工期间，严格落实领导带班制度，当风险涉及正在进行中的工作并暂时不能控制时，必须停止作业，采取应急措施。</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风险源辨识与评价</w:t>
      </w:r>
    </w:p>
    <w:p>
      <w:pPr>
        <w:bidi w:val="0"/>
        <w:rPr>
          <w:rFonts w:hint="eastAsia"/>
        </w:rPr>
      </w:pPr>
      <w:r>
        <w:rPr>
          <w:rFonts w:hint="eastAsia"/>
        </w:rPr>
        <w:t>根据以上风险估测方法，对塔吊</w:t>
      </w:r>
      <w:r>
        <w:rPr>
          <w:rFonts w:hint="eastAsia"/>
          <w:lang w:eastAsia="zh-CN"/>
        </w:rPr>
        <w:t>拆卸</w:t>
      </w:r>
      <w:r>
        <w:rPr>
          <w:rFonts w:hint="eastAsia"/>
        </w:rPr>
        <w:t>施工过程主要危险源进行分析和风险估测，从而得出塔吊</w:t>
      </w:r>
      <w:r>
        <w:rPr>
          <w:rFonts w:hint="eastAsia"/>
          <w:lang w:eastAsia="zh-CN"/>
        </w:rPr>
        <w:t>拆卸</w:t>
      </w:r>
      <w:r>
        <w:rPr>
          <w:rFonts w:hint="eastAsia"/>
        </w:rPr>
        <w:t>施工危险有害因素辨识及评价一览表见表9.1.2-1。</w:t>
      </w:r>
    </w:p>
    <w:p>
      <w:pPr>
        <w:kinsoku/>
        <w:overflowPunct/>
        <w:topLinePunct w:val="0"/>
        <w:bidi w:val="0"/>
        <w:spacing w:line="360" w:lineRule="atLeast"/>
        <w:ind w:firstLine="480"/>
        <w:rPr>
          <w:rFonts w:hint="eastAsia" w:ascii="宋体" w:hAnsi="宋体" w:eastAsia="宋体" w:cs="宋体"/>
          <w:sz w:val="21"/>
          <w:szCs w:val="21"/>
        </w:rPr>
        <w:sectPr>
          <w:headerReference r:id="rId7" w:type="default"/>
          <w:footerReference r:id="rId8" w:type="default"/>
          <w:pgSz w:w="11906" w:h="16838"/>
          <w:pgMar w:top="1134" w:right="850" w:bottom="1134" w:left="1417" w:header="851" w:footer="624" w:gutter="0"/>
          <w:pgBorders>
            <w:top w:val="none" w:sz="0" w:space="0"/>
            <w:left w:val="none" w:sz="0" w:space="0"/>
            <w:bottom w:val="none" w:sz="0" w:space="0"/>
            <w:right w:val="none" w:sz="0" w:space="0"/>
          </w:pgBorders>
          <w:pgNumType w:fmt="decimal" w:start="1"/>
          <w:cols w:space="425" w:num="1"/>
          <w:rtlGutter w:val="0"/>
          <w:docGrid w:type="lines" w:linePitch="326" w:charSpace="0"/>
        </w:sectPr>
      </w:pPr>
    </w:p>
    <w:p>
      <w:pPr>
        <w:pStyle w:val="15"/>
        <w:kinsoku/>
        <w:overflowPunct/>
        <w:topLinePunct w:val="0"/>
        <w:bidi w:val="0"/>
        <w:spacing w:line="360" w:lineRule="atLeast"/>
        <w:rPr>
          <w:rFonts w:hint="eastAsia" w:ascii="宋体" w:hAnsi="宋体" w:eastAsia="宋体" w:cs="宋体"/>
          <w:b w:val="0"/>
          <w:bCs/>
          <w:sz w:val="24"/>
          <w:szCs w:val="24"/>
        </w:rPr>
      </w:pPr>
      <w:bookmarkStart w:id="91" w:name="_Ref123196482"/>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9.1.2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End w:id="91"/>
      <w:r>
        <w:rPr>
          <w:rFonts w:hint="eastAsia" w:ascii="宋体" w:hAnsi="宋体" w:eastAsia="宋体" w:cs="宋体"/>
          <w:sz w:val="24"/>
          <w:szCs w:val="24"/>
        </w:rPr>
        <w:t>塔吊</w:t>
      </w:r>
      <w:r>
        <w:rPr>
          <w:rFonts w:hint="eastAsia" w:ascii="宋体" w:hAnsi="宋体" w:cs="宋体"/>
          <w:bCs/>
          <w:sz w:val="24"/>
          <w:szCs w:val="24"/>
          <w:lang w:eastAsia="zh-CN"/>
        </w:rPr>
        <w:t>拆卸</w:t>
      </w:r>
      <w:r>
        <w:rPr>
          <w:rFonts w:hint="eastAsia" w:ascii="宋体" w:hAnsi="宋体" w:eastAsia="宋体" w:cs="宋体"/>
          <w:bCs/>
          <w:sz w:val="24"/>
          <w:szCs w:val="24"/>
        </w:rPr>
        <w:t>施工危险有害因素辨识及评价一览表</w:t>
      </w:r>
    </w:p>
    <w:tbl>
      <w:tblPr>
        <w:tblStyle w:val="1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03"/>
        <w:gridCol w:w="931"/>
        <w:gridCol w:w="2106"/>
        <w:gridCol w:w="4832"/>
        <w:gridCol w:w="1546"/>
        <w:gridCol w:w="520"/>
        <w:gridCol w:w="520"/>
        <w:gridCol w:w="727"/>
        <w:gridCol w:w="727"/>
        <w:gridCol w:w="728"/>
        <w:gridCol w:w="728"/>
        <w:gridCol w:w="7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blHeader/>
        </w:trPr>
        <w:tc>
          <w:tcPr>
            <w:tcW w:w="271"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序号</w:t>
            </w:r>
          </w:p>
        </w:tc>
        <w:tc>
          <w:tcPr>
            <w:tcW w:w="348"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作业活动单元</w:t>
            </w:r>
          </w:p>
        </w:tc>
        <w:tc>
          <w:tcPr>
            <w:tcW w:w="348"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活动</w:t>
            </w:r>
          </w:p>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内容</w:t>
            </w:r>
          </w:p>
        </w:tc>
        <w:tc>
          <w:tcPr>
            <w:tcW w:w="1667"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可能存在的隐患</w:t>
            </w:r>
          </w:p>
        </w:tc>
        <w:tc>
          <w:tcPr>
            <w:tcW w:w="556"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潜在事故</w:t>
            </w:r>
          </w:p>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类型</w:t>
            </w:r>
          </w:p>
        </w:tc>
        <w:tc>
          <w:tcPr>
            <w:tcW w:w="1532" w:type="pct"/>
            <w:gridSpan w:val="6"/>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危险、有害因素评价</w:t>
            </w:r>
          </w:p>
        </w:tc>
        <w:tc>
          <w:tcPr>
            <w:tcW w:w="279"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危害</w:t>
            </w:r>
          </w:p>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blHeader/>
        </w:trPr>
        <w:tc>
          <w:tcPr>
            <w:tcW w:w="271"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1667"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417" w:type="pct"/>
            <w:gridSpan w:val="2"/>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直接</w:t>
            </w:r>
          </w:p>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判断</w:t>
            </w:r>
          </w:p>
        </w:tc>
        <w:tc>
          <w:tcPr>
            <w:tcW w:w="1114" w:type="pct"/>
            <w:gridSpan w:val="4"/>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D=LEC</w:t>
            </w:r>
          </w:p>
        </w:tc>
        <w:tc>
          <w:tcPr>
            <w:tcW w:w="279"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blHeader/>
        </w:trPr>
        <w:tc>
          <w:tcPr>
            <w:tcW w:w="271"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1667"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非</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L</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E</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C</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D</w:t>
            </w:r>
          </w:p>
        </w:tc>
        <w:tc>
          <w:tcPr>
            <w:tcW w:w="279"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b/>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348"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lang w:eastAsia="zh-CN"/>
              </w:rPr>
            </w:pPr>
            <w:r>
              <w:rPr>
                <w:rStyle w:val="215"/>
                <w:rFonts w:hint="eastAsia" w:ascii="宋体" w:hAnsi="宋体" w:eastAsia="宋体" w:cs="宋体"/>
                <w:sz w:val="21"/>
                <w:szCs w:val="21"/>
              </w:rPr>
              <w:t>塔吊基础及塔吊</w:t>
            </w:r>
            <w:r>
              <w:rPr>
                <w:rStyle w:val="215"/>
                <w:rFonts w:hint="eastAsia" w:cs="宋体"/>
                <w:sz w:val="21"/>
                <w:szCs w:val="21"/>
                <w:lang w:eastAsia="zh-CN"/>
              </w:rPr>
              <w:t>拆卸</w:t>
            </w:r>
          </w:p>
        </w:tc>
        <w:tc>
          <w:tcPr>
            <w:tcW w:w="348" w:type="pct"/>
            <w:vMerge w:val="restar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施工</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准备</w:t>
            </w: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作业人员进场未进行安全培训教育和风险告知</w:t>
            </w:r>
          </w:p>
        </w:tc>
        <w:tc>
          <w:tcPr>
            <w:tcW w:w="556"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车辆伤害</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触电</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等</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48</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未对作业人员进行安全技术交底或交底不充分</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48</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作业人员未进行体检或带病作业</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18</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作业人员进入施工现场未正确使用安全防护用品</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特种作业人员未持证上岗或证件过期</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现场场所警戒、封闭不到位</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8</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未办理危险作业施工许可证</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塔吊构件运输、转场</w:t>
            </w: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司机违规驾驶</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机械伤害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运输车辆行驶速度过快</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交通事故</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11</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运输车辆超载</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交通事故</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运输车辆急走急停</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物体打击、机械伤害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13</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塔吊安装、拆除</w:t>
            </w: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塔吊安装前未对基础位置、标高、尺寸、预埋件进行检查验收。</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14</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安装过程中塔身垂直度</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坍塌</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作业人员高处作业时未系安全带</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16</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作业人员在起重臂下弦行走时未交替悬挂安全带</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17</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作业人员未站位于牢固可靠的地方</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18</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塔吊构件未按方案和说明书顺序进行安装或拆除</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倒塌</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80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19</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变幅钢丝绳及起重钢丝绳未连接牢固</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20</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塔吊构件之间未连接牢固</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21</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高处作业时，作业人员注意力不集中，麻痹大意</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22</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顶升前未检查系统是否完好</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23</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顶升前，塔吊下支座未与爬升架进行连接</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24</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顶升前，未将塔吊进行配平</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25</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顶升过程中，进行起升、回转、变幅等动作</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26</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顶升结束后，未将标准节与回转总成进行连接</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27</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拆除作业时，工索具未连接牢固就拆除连接销轴</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物体打击、高处坠落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28</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安装或拆除时塔吊最高处的风速不符合使用说明书的要求</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29</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当遇特殊情况，安装或拆除作业不能连续进行时，没有将已安装的部位固定牢固，并达到安全状态。</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30</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塔吊未经第三方检验机构检验合格就投入使用</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起重伤害等</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31</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拆除前塔吊未配平</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倒塌</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80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32</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附墙安装及拆除</w:t>
            </w: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附墙预埋件安装定位不准，安装质量较差</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坍塌</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33</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附墙杆件质量不满足要求，或位置设置不准确</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坍塌</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34</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附墙杆件安装时未按要求设置操作平台或操作平台不满足要求</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35</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人员在附墙杆件上进行行走</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36</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起重作业</w:t>
            </w: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起吊钢丝绳规格未经验算</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37</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吊物吊点设置不合理或不牢固</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38</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起重设备吊钩安全销损坏、吊钩限位器损坏、钢丝绳磨损或连接销轴松动</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39</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cs="宋体"/>
                <w:sz w:val="21"/>
                <w:szCs w:val="21"/>
                <w:lang w:eastAsia="zh-CN"/>
              </w:rPr>
              <w:t>汽车吊</w:t>
            </w:r>
            <w:r>
              <w:rPr>
                <w:rStyle w:val="215"/>
                <w:rFonts w:hint="eastAsia" w:ascii="宋体" w:hAnsi="宋体" w:eastAsia="宋体" w:cs="宋体"/>
                <w:sz w:val="21"/>
                <w:szCs w:val="21"/>
              </w:rPr>
              <w:t>与汽车吊支腿下方未进行支垫</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cs="宋体"/>
                <w:sz w:val="21"/>
                <w:szCs w:val="21"/>
                <w:lang w:eastAsia="zh-CN"/>
              </w:rPr>
              <w:t>汽车吊</w:t>
            </w:r>
            <w:r>
              <w:rPr>
                <w:rStyle w:val="215"/>
                <w:rFonts w:hint="eastAsia" w:ascii="宋体" w:hAnsi="宋体" w:eastAsia="宋体" w:cs="宋体"/>
                <w:sz w:val="21"/>
                <w:szCs w:val="21"/>
              </w:rPr>
              <w:t>与汽车吊站位不合理</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41</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起重设备未检验或检验证书过期</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起重作业无专人指挥</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起重伤害、物体打击</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起重指挥员违章指挥</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43</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起重吊装时未设置溜绳控制构件摆动</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44</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起重操作人员作业失误</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吊物重量不明或未进行试吊就直接吊装</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46</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起重设备超负荷起吊</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47</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起重吊装未设置警戒区，人员在起吊物、臂杆下方停留、作业</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起重伤害、物体打击</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48</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大雨及六级以上大风等恶劣天气进行吊装作业</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49</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临时用电</w:t>
            </w: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配电箱配置不符合要求</w:t>
            </w:r>
          </w:p>
        </w:tc>
        <w:tc>
          <w:tcPr>
            <w:tcW w:w="556"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触电</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50</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配电箱固定不牢</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51</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配电系统未按“三级配电、二级防护”进行设置</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52</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用电设备未做到“一机一闸一漏一箱”</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53</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非专业电工进行操作</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54</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电路配置与用电设备功率不匹配</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55</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随意拖拽电缆</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56</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用电设备雨天未防雨遮盖，雨后未检查就使用</w:t>
            </w:r>
          </w:p>
        </w:tc>
        <w:tc>
          <w:tcPr>
            <w:tcW w:w="556"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57</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夜间作业</w:t>
            </w: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夜间照明不充足</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高空坠落</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58</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工作人员未按要求穿着反光衣</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59</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未安排专人指挥</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高空坠落</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60</w:t>
            </w: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夜间作业施工区域设置标志标牌</w:t>
            </w:r>
          </w:p>
        </w:tc>
        <w:tc>
          <w:tcPr>
            <w:tcW w:w="556"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其他</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pPr>
              <w:pStyle w:val="16"/>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bl>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风险分析结论</w:t>
      </w:r>
    </w:p>
    <w:p>
      <w:pPr>
        <w:bidi w:val="0"/>
        <w:rPr>
          <w:rFonts w:hint="eastAsia"/>
        </w:rPr>
      </w:pPr>
      <w:r>
        <w:rPr>
          <w:rFonts w:hint="eastAsia"/>
        </w:rPr>
        <w:t>根据塔吊</w:t>
      </w:r>
      <w:r>
        <w:rPr>
          <w:rFonts w:hint="eastAsia"/>
          <w:lang w:eastAsia="zh-CN"/>
        </w:rPr>
        <w:t>拆卸</w:t>
      </w:r>
      <w:r>
        <w:rPr>
          <w:rFonts w:hint="eastAsia"/>
        </w:rPr>
        <w:t>施工作业风险LEC法评估结果表，Ⅱ级以上危险有害因素的有18项，主要潜在事故类型：触电、起重伤害、机械伤害、物体打击、高处坠落、倒塌及触电，需要制定针对性安全措施，施工期间，严格落实领导带班制度。</w:t>
      </w:r>
    </w:p>
    <w:p>
      <w:pPr>
        <w:pStyle w:val="15"/>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表9.1.3</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显著危害因素清单</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2"/>
        <w:gridCol w:w="991"/>
        <w:gridCol w:w="1449"/>
        <w:gridCol w:w="6178"/>
        <w:gridCol w:w="1346"/>
        <w:gridCol w:w="991"/>
        <w:gridCol w:w="3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blHeader/>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作业活动单元</w:t>
            </w:r>
          </w:p>
        </w:tc>
        <w:tc>
          <w:tcPr>
            <w:tcW w:w="49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活动的内容</w:t>
            </w: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危害因素</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潜在事故类型</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危害级别</w:t>
            </w:r>
          </w:p>
        </w:tc>
        <w:tc>
          <w:tcPr>
            <w:tcW w:w="108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rPr>
              <w:t>塔吊基础及塔吊</w:t>
            </w:r>
            <w:r>
              <w:rPr>
                <w:rFonts w:hint="eastAsia" w:ascii="宋体" w:hAnsi="宋体" w:eastAsia="宋体" w:cs="宋体"/>
                <w:sz w:val="21"/>
                <w:szCs w:val="21"/>
                <w:lang w:eastAsia="zh-CN"/>
              </w:rPr>
              <w:t>安装</w:t>
            </w:r>
          </w:p>
        </w:tc>
        <w:tc>
          <w:tcPr>
            <w:tcW w:w="49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施工准备</w:t>
            </w: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作业人员进入施工现场未正确使用安全防护用品</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物体打击</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加强施工作业人员安全教育，安全人员现场巡查发现未正确使用安全防护用品的立即要求整改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塔吊安装、拆除</w:t>
            </w: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作业人员高处作业时未系安全带</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作业人员在起重臂下弦行走时未交替悬挂安全带</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作业人员未站位于牢固可靠的地方</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塔吊构件未按方案和说明书顺序进行安装或拆除</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倒塌</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顶升前未检查系统是否完好</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加强施工安全技术交底教育、现场管理人员加强施工现场巡查，发现问题立即整改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7</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顶升前，塔吊下支座未与爬升架进行连接</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8</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顶升前，未将塔吊进行配平</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9</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顶升结束后，未将标准节与回转总成进行连接</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拆除作业时，工索具未连接牢固就拆除连接销轴</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物体打击、高处坠落</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11</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拆除前塔吊未配平</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倒塌</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12</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起重作业</w:t>
            </w: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cs="宋体"/>
                <w:sz w:val="21"/>
                <w:szCs w:val="21"/>
                <w:lang w:eastAsia="zh-CN"/>
              </w:rPr>
              <w:t>汽车吊</w:t>
            </w:r>
            <w:r>
              <w:rPr>
                <w:rFonts w:hint="eastAsia" w:ascii="宋体" w:hAnsi="宋体" w:eastAsia="宋体" w:cs="宋体"/>
                <w:sz w:val="21"/>
                <w:szCs w:val="21"/>
              </w:rPr>
              <w:t>与汽车吊站位不合理</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加强施工安全技术交底教育、现场管理人员加强施工现场巡查，发现问题立即整改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13</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起重指挥员违章指挥</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14</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起重吊装时未设置溜绳控制构件摆动</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15</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起重操作人员作业失误</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16</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临时用电</w:t>
            </w: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配电系统未按“三级配电、二级防护”进行设置</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触电</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加强施工安全技术交底教育、现场管理人员加强施工现场巡查，发现问题立即整改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17</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用电设备未做到“一机一闸一漏一箱”</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触电</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18</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非专业电工进行操作</w:t>
            </w:r>
          </w:p>
        </w:tc>
        <w:tc>
          <w:tcPr>
            <w:tcW w:w="45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触电</w:t>
            </w:r>
          </w:p>
        </w:tc>
        <w:tc>
          <w:tcPr>
            <w:tcW w:w="335"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bl>
    <w:p>
      <w:pPr>
        <w:tabs>
          <w:tab w:val="left" w:pos="1870"/>
        </w:tabs>
        <w:kinsoku/>
        <w:overflowPunct/>
        <w:topLinePunct w:val="0"/>
        <w:bidi w:val="0"/>
        <w:spacing w:line="360" w:lineRule="atLeast"/>
        <w:ind w:firstLine="480"/>
        <w:rPr>
          <w:rFonts w:hint="eastAsia" w:ascii="宋体" w:hAnsi="宋体" w:eastAsia="宋体" w:cs="宋体"/>
          <w:sz w:val="21"/>
          <w:szCs w:val="21"/>
        </w:rPr>
        <w:sectPr>
          <w:pgSz w:w="16838" w:h="11906" w:orient="landscape"/>
          <w:pgMar w:top="1134" w:right="850" w:bottom="1134" w:left="1417" w:header="851" w:footer="992" w:gutter="0"/>
          <w:pgBorders>
            <w:top w:val="none" w:sz="0" w:space="0"/>
            <w:left w:val="none" w:sz="0" w:space="0"/>
            <w:bottom w:val="none" w:sz="0" w:space="0"/>
            <w:right w:val="none" w:sz="0" w:space="0"/>
          </w:pgBorders>
          <w:pgNumType w:fmt="decimal"/>
          <w:cols w:space="425" w:num="1"/>
          <w:rtlGutter w:val="0"/>
          <w:docGrid w:type="lines" w:linePitch="326" w:charSpace="0"/>
        </w:sectPr>
      </w:pPr>
    </w:p>
    <w:p>
      <w:pPr>
        <w:pStyle w:val="3"/>
        <w:keepNext w:val="0"/>
        <w:pageBreakBefore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92" w:name="_Toc27010"/>
      <w:bookmarkStart w:id="93" w:name="_Toc102825399"/>
      <w:bookmarkStart w:id="94" w:name="_Toc40778454"/>
      <w:bookmarkStart w:id="95" w:name="_Toc121344359"/>
      <w:bookmarkStart w:id="96" w:name="_Toc102481275"/>
      <w:bookmarkStart w:id="97" w:name="_Toc102481224"/>
      <w:bookmarkStart w:id="98" w:name="_Toc23556"/>
      <w:bookmarkStart w:id="99" w:name="_Toc28613977"/>
      <w:r>
        <w:rPr>
          <w:rFonts w:hint="eastAsia" w:ascii="宋体" w:hAnsi="宋体" w:eastAsia="宋体" w:cs="宋体"/>
          <w:sz w:val="24"/>
          <w:szCs w:val="24"/>
        </w:rPr>
        <w:t>组织机构</w:t>
      </w:r>
      <w:bookmarkEnd w:id="92"/>
      <w:bookmarkEnd w:id="93"/>
      <w:bookmarkEnd w:id="94"/>
      <w:bookmarkEnd w:id="95"/>
      <w:bookmarkEnd w:id="96"/>
      <w:bookmarkEnd w:id="97"/>
      <w:bookmarkEnd w:id="98"/>
      <w:bookmarkEnd w:id="99"/>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项目部成立以项目经理为组长的应急领导小组，建立健全各级安全生产责任制，负责对施工过程中各类突发事件应急响应和组织协调。</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应急办负责各类应急预案的落实和管理。安监部负责监督、管理项目部现场安全的具体工作。</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各班组成立由班组长负责的应急小组，落实具体防范措施，做到常备不懈，有条不紊。</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应急领导小组</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color w:val="auto"/>
          <w:sz w:val="24"/>
          <w:szCs w:val="24"/>
        </w:rPr>
      </w:pPr>
      <w:bookmarkStart w:id="100" w:name="_Hlk65068807"/>
      <w:r>
        <w:rPr>
          <w:rFonts w:hint="eastAsia" w:ascii="宋体" w:hAnsi="宋体" w:eastAsia="宋体" w:cs="宋体"/>
          <w:color w:val="auto"/>
          <w:sz w:val="24"/>
          <w:szCs w:val="24"/>
        </w:rPr>
        <w:t>项目部成立以项目经理为组长，项目其他领导及安全负责人为副组长，各部门负责人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安装单位负责人</w:t>
      </w:r>
      <w:r>
        <w:rPr>
          <w:rFonts w:hint="eastAsia" w:ascii="宋体" w:hAnsi="宋体" w:eastAsia="宋体" w:cs="宋体"/>
          <w:color w:val="auto"/>
          <w:sz w:val="24"/>
          <w:szCs w:val="24"/>
        </w:rPr>
        <w:t>为组员的应急领导小组，进行事故应急处理。</w:t>
      </w:r>
    </w:p>
    <w:bookmarkEnd w:id="100"/>
    <w:tbl>
      <w:tblPr>
        <w:tblStyle w:val="126"/>
        <w:tblW w:w="4998" w:type="pct"/>
        <w:tblInd w:w="0" w:type="dxa"/>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Layout w:type="autofit"/>
        <w:tblCellMar>
          <w:top w:w="0" w:type="dxa"/>
          <w:left w:w="108" w:type="dxa"/>
          <w:bottom w:w="0" w:type="dxa"/>
          <w:right w:w="108" w:type="dxa"/>
        </w:tblCellMar>
      </w:tblPr>
      <w:tblGrid>
        <w:gridCol w:w="465"/>
        <w:gridCol w:w="1779"/>
        <w:gridCol w:w="1838"/>
        <w:gridCol w:w="1495"/>
        <w:gridCol w:w="2138"/>
        <w:gridCol w:w="2136"/>
      </w:tblGrid>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cantSplit/>
          <w:trHeight w:val="90" w:hRule="atLeast"/>
          <w:tblHeader/>
        </w:trPr>
        <w:tc>
          <w:tcPr>
            <w:tcW w:w="236"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bookmarkStart w:id="101" w:name="_Hlk110020747"/>
            <w:bookmarkStart w:id="102" w:name="_Toc102825400"/>
            <w:bookmarkStart w:id="103" w:name="_Toc28613979"/>
            <w:bookmarkStart w:id="104" w:name="_Toc9735"/>
            <w:bookmarkStart w:id="105" w:name="_Toc102481225"/>
            <w:bookmarkStart w:id="106" w:name="_Toc102481276"/>
            <w:bookmarkStart w:id="107" w:name="_Toc40778455"/>
            <w:r>
              <w:rPr>
                <w:rFonts w:hint="eastAsia" w:ascii="宋体" w:hAnsi="宋体" w:eastAsia="宋体" w:cs="宋体"/>
                <w:b/>
                <w:bCs w:val="0"/>
                <w:iCs/>
                <w:sz w:val="21"/>
                <w:szCs w:val="22"/>
                <w:lang w:val="en-US" w:eastAsia="zh-CN" w:bidi="ar-SA"/>
              </w:rPr>
              <w:t>序</w:t>
            </w:r>
            <w:r>
              <w:rPr>
                <w:rFonts w:hint="eastAsia" w:ascii="宋体" w:hAnsi="宋体" w:eastAsia="Times New Roman" w:cs="宋体"/>
                <w:b/>
                <w:bCs w:val="0"/>
                <w:iCs/>
                <w:sz w:val="21"/>
                <w:szCs w:val="22"/>
                <w:lang w:val="en-US" w:eastAsia="zh-CN" w:bidi="ar-SA"/>
              </w:rPr>
              <w:t>号</w:t>
            </w:r>
          </w:p>
        </w:tc>
        <w:tc>
          <w:tcPr>
            <w:tcW w:w="1835" w:type="pct"/>
            <w:gridSpan w:val="2"/>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职务</w:t>
            </w:r>
          </w:p>
        </w:tc>
        <w:tc>
          <w:tcPr>
            <w:tcW w:w="759"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姓名</w:t>
            </w:r>
          </w:p>
        </w:tc>
        <w:tc>
          <w:tcPr>
            <w:tcW w:w="1085"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电话号码</w:t>
            </w:r>
          </w:p>
        </w:tc>
        <w:tc>
          <w:tcPr>
            <w:tcW w:w="1085"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ascii="Times New Roman" w:hAnsi="Times New Roman" w:eastAsia="宋体" w:cs="Times New Roman"/>
                <w:b/>
                <w:bCs/>
                <w:iCs/>
                <w:sz w:val="21"/>
                <w:szCs w:val="22"/>
                <w:lang w:val="en-US" w:eastAsia="zh-CN" w:bidi="ar-SA"/>
              </w:rPr>
              <w:t>工作内容</w:t>
            </w: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1</w:t>
            </w:r>
          </w:p>
        </w:tc>
        <w:tc>
          <w:tcPr>
            <w:tcW w:w="903" w:type="pct"/>
            <w:vMerge w:val="restar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一分部</w:t>
            </w: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项目经理</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倪兵</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13958500571</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2</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项目技术负责人</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赵超</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18171030099</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3</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生产副经理</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董泊宁</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18020117430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4</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邵威</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18867931625</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5</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副总工</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宋体" w:cs="宋体"/>
                <w:bCs/>
                <w:iCs/>
                <w:sz w:val="21"/>
                <w:szCs w:val="22"/>
                <w:lang w:val="en-US" w:eastAsia="zh-CN" w:bidi="ar-SA"/>
              </w:rPr>
              <w:t>李道伟</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13866177365</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6</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工程部部长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王传发</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15057489351</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7</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朱黄林</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18756052928</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8</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谢振说</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18757742885</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9</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合同部部长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郑晓轶</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15676149857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10</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机料部部长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朱遂</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17338926820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11</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赵俊武</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13588261016</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12</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袁卫平</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15996832107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13</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杨发明</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15355439177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14</w:t>
            </w:r>
          </w:p>
        </w:tc>
        <w:tc>
          <w:tcPr>
            <w:tcW w:w="903" w:type="pct"/>
            <w:vMerge w:val="restar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二分部</w:t>
            </w: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常务副经理</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肖冰</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18679669600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15</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桥梁负责人</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刘盼</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18876699584</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16</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王瑜</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19106865569</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17</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欧阳孝桂</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18175844740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18</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庞令</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18817006177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19</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技术部部长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张学伟</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13016485367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20</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陈慰贤</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18982453272</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21</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于全志</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15184241298</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22</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安全环保部部长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刘旭东</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15135228642</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23</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张林华</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18434164658</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bookmarkEnd w:id="101"/>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24</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合约部部长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刘齐</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13970458997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25</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物资部部长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李科</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17602636886</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26</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王佳龙</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18785745749</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27</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毛文峰</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15707303737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bl>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应急领导小组办公室</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应急救援领导小组下设办公室，办公室设在安监部，由安监部长任办公室主任。应急领导小组办公室办负责各类应急预案的落实和管理。安监部负责监督、管理项目部现场安全的具体工作。</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108" w:name="_Toc26421"/>
      <w:bookmarkStart w:id="109" w:name="_Toc11976"/>
      <w:bookmarkStart w:id="110" w:name="_Toc5984"/>
      <w:bookmarkStart w:id="111" w:name="_Toc16016"/>
      <w:bookmarkStart w:id="112" w:name="_Toc7193"/>
      <w:bookmarkStart w:id="113" w:name="_Toc14014"/>
      <w:r>
        <w:rPr>
          <w:rFonts w:hint="eastAsia" w:ascii="宋体" w:hAnsi="宋体" w:eastAsia="宋体" w:cs="宋体"/>
          <w:sz w:val="24"/>
          <w:szCs w:val="24"/>
        </w:rPr>
        <w:t>应急救援职责</w:t>
      </w:r>
      <w:bookmarkEnd w:id="108"/>
      <w:bookmarkEnd w:id="109"/>
      <w:bookmarkEnd w:id="110"/>
      <w:bookmarkEnd w:id="111"/>
      <w:bookmarkEnd w:id="112"/>
      <w:bookmarkEnd w:id="113"/>
    </w:p>
    <w:p>
      <w:pPr>
        <w:pStyle w:val="5"/>
        <w:bidi w:val="0"/>
        <w:rPr>
          <w:rFonts w:hint="eastAsia" w:ascii="宋体" w:hAnsi="宋体" w:eastAsia="宋体" w:cs="宋体"/>
        </w:rPr>
      </w:pPr>
      <w:r>
        <w:rPr>
          <w:rFonts w:hint="eastAsia" w:ascii="宋体" w:hAnsi="宋体" w:eastAsia="宋体" w:cs="宋体"/>
        </w:rPr>
        <w:t>组长为事故应急处理小组总指挥，负责应急预案的启动实施，小组人员分工必要时向上级单位请示启动上级部门应急预案等。</w:t>
      </w:r>
    </w:p>
    <w:p>
      <w:pPr>
        <w:pStyle w:val="5"/>
        <w:bidi w:val="0"/>
        <w:rPr>
          <w:rFonts w:hint="eastAsia" w:ascii="宋体" w:hAnsi="宋体" w:eastAsia="宋体" w:cs="宋体"/>
        </w:rPr>
      </w:pPr>
      <w:r>
        <w:rPr>
          <w:rFonts w:hint="eastAsia" w:ascii="宋体" w:hAnsi="宋体" w:eastAsia="宋体" w:cs="宋体"/>
        </w:rPr>
        <w:t>副组长协助组长工作，在组长不在场的情况下行使组长职责，具体负责应急抢险抢救过程的组织和协调以及事后恢复生产。</w:t>
      </w:r>
    </w:p>
    <w:p>
      <w:pPr>
        <w:pStyle w:val="5"/>
        <w:bidi w:val="0"/>
        <w:rPr>
          <w:rFonts w:hint="eastAsia"/>
        </w:rPr>
      </w:pPr>
      <w:r>
        <w:rPr>
          <w:rFonts w:hint="eastAsia"/>
        </w:rPr>
        <w:t>在事故处理过程中，各成员必须无条件服从组长或副组长的安排，积极协助事故应急的处理。应急处理领导小组成员的手机要24小时开通，并向全体员工公布，具体如下表所示：</w:t>
      </w:r>
    </w:p>
    <w:p>
      <w:pPr>
        <w:pStyle w:val="15"/>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14" w:name="_Ref67579035"/>
      <w:bookmarkStart w:id="115" w:name="_Hlk101683358"/>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9.2.3</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End w:id="114"/>
      <w:r>
        <w:rPr>
          <w:rFonts w:hint="eastAsia" w:ascii="宋体" w:hAnsi="宋体" w:eastAsia="宋体" w:cs="宋体"/>
          <w:sz w:val="24"/>
          <w:szCs w:val="24"/>
        </w:rPr>
        <w:t>应急救援领导小组职责表</w:t>
      </w:r>
    </w:p>
    <w:bookmarkEnd w:id="115"/>
    <w:tbl>
      <w:tblPr>
        <w:tblStyle w:val="68"/>
        <w:tblpPr w:leftFromText="180" w:rightFromText="180" w:vertAnchor="text" w:horzAnchor="margin" w:tblpXSpec="center" w:tblpY="16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942"/>
        <w:gridCol w:w="2210"/>
        <w:gridCol w:w="5307"/>
        <w:gridCol w:w="13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tblHeader/>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姓名</w:t>
            </w:r>
          </w:p>
        </w:tc>
        <w:tc>
          <w:tcPr>
            <w:tcW w:w="26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部门/职务</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项目经理</w:t>
            </w:r>
          </w:p>
        </w:tc>
        <w:tc>
          <w:tcPr>
            <w:tcW w:w="26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负责全面工作、制定应急方案</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项目书记</w:t>
            </w:r>
          </w:p>
        </w:tc>
        <w:tc>
          <w:tcPr>
            <w:tcW w:w="2692"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在各自职责范围内负责项目部应急管理</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项目副经理</w:t>
            </w:r>
          </w:p>
        </w:tc>
        <w:tc>
          <w:tcPr>
            <w:tcW w:w="269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安全总监</w:t>
            </w:r>
          </w:p>
        </w:tc>
        <w:tc>
          <w:tcPr>
            <w:tcW w:w="269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5</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项目总工</w:t>
            </w:r>
          </w:p>
        </w:tc>
        <w:tc>
          <w:tcPr>
            <w:tcW w:w="269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6</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物资部</w:t>
            </w:r>
          </w:p>
        </w:tc>
        <w:tc>
          <w:tcPr>
            <w:tcW w:w="2692"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召集人员，联络有关部门提供应急资金、物资支持</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7</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综合办公室</w:t>
            </w:r>
          </w:p>
        </w:tc>
        <w:tc>
          <w:tcPr>
            <w:tcW w:w="269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8</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工程部</w:t>
            </w:r>
          </w:p>
        </w:tc>
        <w:tc>
          <w:tcPr>
            <w:tcW w:w="26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确定临时处置方案，组织伤员送医救治</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9</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w:t>
            </w:r>
          </w:p>
        </w:tc>
        <w:tc>
          <w:tcPr>
            <w:tcW w:w="26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组织设备抢险方案的实施，在需要设备辅助救援时，联络相关设备</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1</w:t>
            </w:r>
            <w:r>
              <w:rPr>
                <w:rFonts w:hint="eastAsia" w:ascii="宋体" w:hAnsi="宋体" w:eastAsia="宋体" w:cs="宋体"/>
                <w:b w:val="0"/>
                <w:i w:val="0"/>
                <w:sz w:val="21"/>
                <w:szCs w:val="21"/>
                <w:lang w:val="en-US" w:eastAsia="zh-CN"/>
              </w:rPr>
              <w:t>0</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2692"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组织疏散、撤离、危险区域内的人员、物资；严格控制进出人员及车辆，维护现场治安</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1</w:t>
            </w:r>
            <w:r>
              <w:rPr>
                <w:rFonts w:hint="eastAsia" w:ascii="宋体" w:hAnsi="宋体" w:eastAsia="宋体" w:cs="宋体"/>
                <w:b w:val="0"/>
                <w:i w:val="0"/>
                <w:sz w:val="21"/>
                <w:szCs w:val="21"/>
                <w:lang w:val="en-US" w:eastAsia="zh-CN"/>
              </w:rPr>
              <w:t>1</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合同部</w:t>
            </w:r>
          </w:p>
        </w:tc>
        <w:tc>
          <w:tcPr>
            <w:tcW w:w="2692" w:type="pct"/>
            <w:vMerge w:val="restar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负责伤亡人员身份确认，联络家属，事后处理，将事故处理动态上报项目</w:t>
            </w: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1</w:t>
            </w:r>
            <w:r>
              <w:rPr>
                <w:rFonts w:hint="eastAsia" w:ascii="宋体" w:hAnsi="宋体" w:eastAsia="宋体" w:cs="宋体"/>
                <w:b w:val="0"/>
                <w:i w:val="0"/>
                <w:sz w:val="21"/>
                <w:szCs w:val="21"/>
                <w:lang w:val="en-US" w:eastAsia="zh-CN"/>
              </w:rPr>
              <w:t>2</w:t>
            </w:r>
          </w:p>
        </w:tc>
        <w:tc>
          <w:tcPr>
            <w:tcW w:w="112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财务部</w:t>
            </w:r>
          </w:p>
        </w:tc>
        <w:tc>
          <w:tcPr>
            <w:tcW w:w="2692" w:type="pct"/>
            <w:vMerge w:val="continue"/>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r>
    </w:tbl>
    <w:p>
      <w:pPr>
        <w:pStyle w:val="3"/>
        <w:keepNext w:val="0"/>
        <w:pageBreakBefore w:val="0"/>
        <w:widowControl w:val="0"/>
        <w:numPr>
          <w:ilvl w:val="1"/>
          <w:numId w:val="18"/>
        </w:numPr>
        <w:tabs>
          <w:tab w:val="left" w:pos="420"/>
        </w:tabs>
        <w:kinsoku/>
        <w:wordWrap/>
        <w:overflowPunct/>
        <w:topLinePunct w:val="0"/>
        <w:autoSpaceDE/>
        <w:autoSpaceDN/>
        <w:bidi w:val="0"/>
        <w:adjustRightInd/>
        <w:snapToGrid/>
        <w:spacing w:before="120" w:beforeLines="50" w:line="480" w:lineRule="atLeast"/>
        <w:textAlignment w:val="auto"/>
        <w:rPr>
          <w:rFonts w:hint="eastAsia" w:ascii="宋体" w:hAnsi="宋体" w:eastAsia="宋体" w:cs="宋体"/>
          <w:sz w:val="24"/>
          <w:szCs w:val="24"/>
        </w:rPr>
      </w:pPr>
      <w:bookmarkStart w:id="116" w:name="_Toc31661"/>
      <w:bookmarkStart w:id="117" w:name="_Toc121344360"/>
      <w:r>
        <w:rPr>
          <w:rFonts w:hint="eastAsia" w:ascii="宋体" w:hAnsi="宋体" w:eastAsia="宋体" w:cs="宋体"/>
          <w:sz w:val="24"/>
          <w:szCs w:val="24"/>
        </w:rPr>
        <w:t>处置流程</w:t>
      </w:r>
      <w:bookmarkEnd w:id="102"/>
      <w:bookmarkEnd w:id="103"/>
      <w:bookmarkEnd w:id="104"/>
      <w:bookmarkEnd w:id="105"/>
      <w:bookmarkEnd w:id="106"/>
      <w:bookmarkEnd w:id="107"/>
      <w:bookmarkEnd w:id="116"/>
      <w:bookmarkEnd w:id="117"/>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应急响应程序</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事故应急救援系统的应急响应程序按照过程可分为接警、响应级别的确定、应急启动、救援行动、应急恢复和应急结束等几个过程。</w:t>
      </w:r>
    </w:p>
    <w:p>
      <w:pPr>
        <w:pStyle w:val="5"/>
        <w:bidi w:val="0"/>
        <w:rPr>
          <w:rFonts w:hint="eastAsia" w:ascii="宋体" w:hAnsi="宋体" w:eastAsia="宋体" w:cs="宋体"/>
        </w:rPr>
      </w:pPr>
      <w:r>
        <w:rPr>
          <w:rFonts w:hint="eastAsia" w:ascii="宋体" w:hAnsi="宋体" w:eastAsia="宋体" w:cs="宋体"/>
        </w:rPr>
        <w:tab/>
      </w:r>
      <w:r>
        <w:rPr>
          <w:rFonts w:hint="eastAsia" w:ascii="宋体" w:hAnsi="宋体" w:eastAsia="宋体" w:cs="宋体"/>
        </w:rPr>
        <w:t>三级响应。事故事件类别为：一般等级以下事故。应急救援及处置由项目部主导和具体实施，所属分公司协助处理。</w:t>
      </w:r>
    </w:p>
    <w:p>
      <w:pPr>
        <w:pStyle w:val="5"/>
        <w:bidi w:val="0"/>
        <w:rPr>
          <w:rFonts w:hint="eastAsia" w:ascii="宋体" w:hAnsi="宋体" w:eastAsia="宋体" w:cs="宋体"/>
        </w:rPr>
      </w:pPr>
      <w:r>
        <w:rPr>
          <w:rFonts w:hint="eastAsia" w:ascii="宋体" w:hAnsi="宋体" w:eastAsia="宋体" w:cs="宋体"/>
        </w:rPr>
        <w:t>二级紧急情况。事故事件类别为：发生重伤事故或者可能造成较大伤害和影响的事故，且事态得以控制，不会造成严重社会影响。应急救援及处置协调由分公司主导，局综合协调，项目部具体实施。</w:t>
      </w:r>
    </w:p>
    <w:p>
      <w:pPr>
        <w:pStyle w:val="5"/>
        <w:bidi w:val="0"/>
        <w:rPr>
          <w:rFonts w:hint="eastAsia" w:ascii="宋体" w:hAnsi="宋体" w:eastAsia="宋体" w:cs="宋体"/>
        </w:rPr>
      </w:pPr>
      <w:r>
        <w:rPr>
          <w:rFonts w:hint="eastAsia" w:ascii="宋体" w:hAnsi="宋体" w:eastAsia="宋体" w:cs="宋体"/>
        </w:rPr>
        <w:tab/>
      </w:r>
      <w:r>
        <w:rPr>
          <w:rFonts w:hint="eastAsia" w:ascii="宋体" w:hAnsi="宋体" w:eastAsia="宋体" w:cs="宋体"/>
        </w:rPr>
        <w:t>一级紧急情况。事故事件类别为：发生较大及以上等级生产安全事故；发生一般等级生产安全事故，但可能造成进一步损失或严重社会影响。应急救援及处置协调由总公司主导，分公司配合，项目部具体实施。</w:t>
      </w:r>
    </w:p>
    <w:p>
      <w:pPr>
        <w:pStyle w:val="4"/>
        <w:keepNext w:val="0"/>
        <w:pageBreakBefore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应急处置程序</w:t>
      </w:r>
    </w:p>
    <w:p>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1"/>
          <w:szCs w:val="21"/>
        </w:rPr>
      </w:pPr>
      <w:r>
        <w:rPr>
          <w:rFonts w:hint="eastAsia" w:ascii="宋体" w:hAnsi="宋体" w:eastAsia="宋体" w:cs="宋体"/>
          <w:sz w:val="24"/>
          <w:szCs w:val="24"/>
        </w:rPr>
        <w:t>施工过程中事故发生，应急处置流程见下图：</w:t>
      </w:r>
    </w:p>
    <w:p>
      <w:pPr>
        <w:kinsoku/>
        <w:overflowPunct/>
        <w:topLinePunct w:val="0"/>
        <w:bidi w:val="0"/>
        <w:spacing w:line="360" w:lineRule="atLeast"/>
        <w:ind w:firstLine="480"/>
        <w:jc w:val="center"/>
        <w:rPr>
          <w:rFonts w:hint="eastAsia" w:ascii="宋体" w:hAnsi="宋体" w:eastAsia="宋体" w:cs="宋体"/>
          <w:sz w:val="21"/>
          <w:szCs w:val="21"/>
        </w:rPr>
      </w:pPr>
      <w:r>
        <w:rPr>
          <w:rFonts w:hint="eastAsia" w:ascii="宋体" w:hAnsi="宋体" w:eastAsia="宋体" w:cs="宋体"/>
          <w:sz w:val="21"/>
          <w:szCs w:val="21"/>
        </w:rPr>
        <w:pict>
          <v:shape id="_x0000_i1026" o:spt="75" type="#_x0000_t75" style="height:317.45pt;width:366.25pt;" filled="f" o:preferrelative="t" stroked="f" coordsize="21600,21600">
            <v:path/>
            <v:fill on="f" focussize="0,0"/>
            <v:stroke on="f"/>
            <v:imagedata r:id="rId53" o:title=""/>
            <o:lock v:ext="edit" aspectratio="f"/>
            <w10:wrap type="none"/>
            <w10:anchorlock/>
          </v:shape>
        </w:pict>
      </w:r>
    </w:p>
    <w:p>
      <w:pPr>
        <w:pStyle w:val="15"/>
        <w:keepNext w:val="0"/>
        <w:pageBreakBefore w:val="0"/>
        <w:kinsoku/>
        <w:wordWrap/>
        <w:overflowPunct/>
        <w:topLinePunct w:val="0"/>
        <w:autoSpaceDE/>
        <w:autoSpaceDN/>
        <w:bidi w:val="0"/>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SEQ图\*ARABIC\s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事故应急处置流程</w:t>
      </w:r>
    </w:p>
    <w:p>
      <w:pPr>
        <w:pStyle w:val="4"/>
        <w:keepNext w:val="0"/>
        <w:pageBreakBefore w:val="0"/>
        <w:numPr>
          <w:ilvl w:val="2"/>
          <w:numId w:val="18"/>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事故报告及内容</w:t>
      </w:r>
    </w:p>
    <w:p>
      <w:pPr>
        <w:bidi w:val="0"/>
        <w:rPr>
          <w:rFonts w:hint="eastAsia"/>
        </w:rPr>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pPr>
        <w:bidi w:val="0"/>
        <w:rPr>
          <w:rFonts w:hint="eastAsia"/>
        </w:rPr>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pPr>
        <w:bidi w:val="0"/>
        <w:rPr>
          <w:rFonts w:hint="eastAsia"/>
        </w:rPr>
      </w:pPr>
      <w:r>
        <w:rPr>
          <w:rFonts w:hint="eastAsia"/>
        </w:rPr>
        <w:t>生产安全事故报告内容包括：</w:t>
      </w:r>
    </w:p>
    <w:p>
      <w:pPr>
        <w:pStyle w:val="5"/>
        <w:bidi w:val="0"/>
        <w:rPr>
          <w:rFonts w:hint="eastAsia" w:ascii="宋体" w:hAnsi="宋体" w:eastAsia="宋体" w:cs="宋体"/>
        </w:rPr>
      </w:pPr>
      <w:r>
        <w:rPr>
          <w:rFonts w:hint="eastAsia" w:ascii="宋体" w:hAnsi="宋体" w:eastAsia="宋体" w:cs="宋体"/>
        </w:rPr>
        <w:t>事故发生单位概况；</w:t>
      </w:r>
    </w:p>
    <w:p>
      <w:pPr>
        <w:pStyle w:val="5"/>
        <w:bidi w:val="0"/>
        <w:rPr>
          <w:rFonts w:hint="eastAsia" w:ascii="宋体" w:hAnsi="宋体" w:eastAsia="宋体" w:cs="宋体"/>
        </w:rPr>
      </w:pPr>
      <w:r>
        <w:rPr>
          <w:rFonts w:hint="eastAsia" w:ascii="宋体" w:hAnsi="宋体" w:eastAsia="宋体" w:cs="宋体"/>
        </w:rPr>
        <w:t>事故发生的时间、地点以及事故现场情况；</w:t>
      </w:r>
    </w:p>
    <w:p>
      <w:pPr>
        <w:pStyle w:val="5"/>
        <w:bidi w:val="0"/>
        <w:rPr>
          <w:rFonts w:hint="eastAsia" w:ascii="宋体" w:hAnsi="宋体" w:eastAsia="宋体" w:cs="宋体"/>
        </w:rPr>
      </w:pPr>
      <w:r>
        <w:rPr>
          <w:rFonts w:hint="eastAsia" w:ascii="宋体" w:hAnsi="宋体" w:eastAsia="宋体" w:cs="宋体"/>
        </w:rPr>
        <w:t>事故的简要经过；</w:t>
      </w:r>
    </w:p>
    <w:p>
      <w:pPr>
        <w:pStyle w:val="5"/>
        <w:bidi w:val="0"/>
        <w:rPr>
          <w:rFonts w:hint="eastAsia" w:ascii="宋体" w:hAnsi="宋体" w:eastAsia="宋体" w:cs="宋体"/>
        </w:rPr>
      </w:pPr>
      <w:r>
        <w:rPr>
          <w:rFonts w:hint="eastAsia" w:ascii="宋体" w:hAnsi="宋体" w:eastAsia="宋体" w:cs="宋体"/>
        </w:rPr>
        <w:t>事故已经造成或者可能造成的伤亡人数和初步估计的直接经济损失；</w:t>
      </w:r>
    </w:p>
    <w:p>
      <w:pPr>
        <w:pStyle w:val="5"/>
        <w:bidi w:val="0"/>
        <w:rPr>
          <w:rFonts w:hint="eastAsia" w:ascii="宋体" w:hAnsi="宋体" w:eastAsia="宋体" w:cs="宋体"/>
        </w:rPr>
      </w:pPr>
      <w:r>
        <w:rPr>
          <w:rFonts w:hint="eastAsia" w:ascii="宋体" w:hAnsi="宋体" w:eastAsia="宋体" w:cs="宋体"/>
        </w:rPr>
        <w:t>已经采取的措施；</w:t>
      </w:r>
    </w:p>
    <w:p>
      <w:pPr>
        <w:pStyle w:val="5"/>
        <w:bidi w:val="0"/>
        <w:rPr>
          <w:rFonts w:hint="eastAsia" w:ascii="宋体" w:hAnsi="宋体" w:eastAsia="宋体" w:cs="宋体"/>
        </w:rPr>
      </w:pPr>
      <w:r>
        <w:rPr>
          <w:rFonts w:hint="eastAsia" w:ascii="宋体" w:hAnsi="宋体" w:eastAsia="宋体" w:cs="宋体"/>
        </w:rPr>
        <w:t>其他应当报告的情况。</w:t>
      </w:r>
    </w:p>
    <w:p>
      <w:pPr>
        <w:pStyle w:val="3"/>
        <w:keepNext w:val="0"/>
        <w:pageBreakBefore w:val="0"/>
        <w:numPr>
          <w:ilvl w:val="1"/>
          <w:numId w:val="18"/>
        </w:numPr>
        <w:tabs>
          <w:tab w:val="left" w:pos="420"/>
        </w:tabs>
        <w:kinsoku/>
        <w:wordWrap/>
        <w:overflowPunct/>
        <w:topLinePunct w:val="0"/>
        <w:autoSpaceDE/>
        <w:autoSpaceDN/>
        <w:bidi w:val="0"/>
        <w:spacing w:line="480" w:lineRule="atLeast"/>
        <w:textAlignment w:val="auto"/>
        <w:rPr>
          <w:rFonts w:hint="eastAsia" w:ascii="宋体" w:hAnsi="宋体" w:eastAsia="宋体" w:cs="宋体"/>
          <w:sz w:val="24"/>
          <w:szCs w:val="24"/>
        </w:rPr>
      </w:pPr>
      <w:bookmarkStart w:id="118" w:name="_Toc121344361"/>
      <w:bookmarkStart w:id="119" w:name="_Toc40778456"/>
      <w:bookmarkStart w:id="120" w:name="_Toc102481226"/>
      <w:bookmarkStart w:id="121" w:name="_Toc102481277"/>
      <w:bookmarkStart w:id="122" w:name="_Toc102825401"/>
      <w:bookmarkStart w:id="123" w:name="_Toc22714"/>
      <w:bookmarkStart w:id="124" w:name="_Toc5189"/>
      <w:r>
        <w:rPr>
          <w:rFonts w:hint="eastAsia" w:ascii="宋体" w:hAnsi="宋体" w:eastAsia="宋体" w:cs="宋体"/>
          <w:sz w:val="24"/>
          <w:szCs w:val="24"/>
        </w:rPr>
        <w:t>应急处置措施</w:t>
      </w:r>
      <w:bookmarkEnd w:id="118"/>
      <w:bookmarkEnd w:id="119"/>
      <w:bookmarkEnd w:id="120"/>
      <w:bookmarkEnd w:id="121"/>
      <w:bookmarkEnd w:id="122"/>
      <w:bookmarkEnd w:id="123"/>
      <w:bookmarkEnd w:id="124"/>
    </w:p>
    <w:p>
      <w:pPr>
        <w:pStyle w:val="4"/>
        <w:keepNext w:val="0"/>
        <w:pageBreakBefore w:val="0"/>
        <w:numPr>
          <w:ilvl w:val="2"/>
          <w:numId w:val="18"/>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bookmarkStart w:id="125" w:name="_Toc113274132"/>
      <w:bookmarkStart w:id="126" w:name="_Toc113272900"/>
      <w:r>
        <w:rPr>
          <w:rFonts w:hint="eastAsia" w:ascii="宋体" w:hAnsi="宋体" w:eastAsia="宋体" w:cs="宋体"/>
          <w:sz w:val="24"/>
          <w:szCs w:val="24"/>
        </w:rPr>
        <w:t>高处坠落应急处置措施</w:t>
      </w:r>
      <w:bookmarkEnd w:id="125"/>
      <w:bookmarkEnd w:id="126"/>
    </w:p>
    <w:p>
      <w:pPr>
        <w:pStyle w:val="5"/>
        <w:bidi w:val="0"/>
        <w:rPr>
          <w:rFonts w:hint="eastAsia"/>
        </w:rPr>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pPr>
        <w:pStyle w:val="5"/>
        <w:bidi w:val="0"/>
        <w:rPr>
          <w:rFonts w:hint="eastAsia" w:ascii="宋体" w:hAnsi="宋体" w:eastAsia="宋体" w:cs="宋体"/>
        </w:rPr>
      </w:pPr>
      <w:r>
        <w:rPr>
          <w:rFonts w:hint="eastAsia" w:ascii="宋体" w:hAnsi="宋体" w:eastAsia="宋体" w:cs="宋体"/>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pPr>
        <w:pStyle w:val="5"/>
        <w:bidi w:val="0"/>
        <w:rPr>
          <w:rFonts w:hint="eastAsia" w:ascii="宋体" w:hAnsi="宋体" w:eastAsia="宋体" w:cs="宋体"/>
        </w:rPr>
      </w:pPr>
      <w:r>
        <w:rPr>
          <w:rFonts w:hint="eastAsia" w:ascii="宋体" w:hAnsi="宋体" w:eastAsia="宋体" w:cs="宋体"/>
        </w:rPr>
        <w:t>颌面部伤员首先应保持呼吸道畅通，清除移位的组织碎片、血凝块、口腔分泌物等，同时松解伤员的颈、胸部纽扣。</w:t>
      </w:r>
    </w:p>
    <w:p>
      <w:pPr>
        <w:pStyle w:val="5"/>
        <w:bidi w:val="0"/>
        <w:rPr>
          <w:rFonts w:hint="eastAsia" w:ascii="宋体" w:hAnsi="宋体" w:eastAsia="宋体" w:cs="宋体"/>
        </w:rPr>
      </w:pPr>
      <w:r>
        <w:rPr>
          <w:rFonts w:hint="eastAsia" w:ascii="宋体" w:hAnsi="宋体" w:eastAsia="宋体" w:cs="宋体"/>
        </w:rPr>
        <w:t>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pPr>
        <w:pStyle w:val="5"/>
        <w:bidi w:val="0"/>
        <w:rPr>
          <w:rFonts w:hint="eastAsia" w:ascii="宋体" w:hAnsi="宋体" w:eastAsia="宋体" w:cs="宋体"/>
        </w:rPr>
      </w:pPr>
      <w:r>
        <w:rPr>
          <w:rFonts w:hint="eastAsia" w:ascii="宋体" w:hAnsi="宋体" w:eastAsia="宋体" w:cs="宋体"/>
        </w:rPr>
        <w:t>发现伤者手足骨折，不要盲目搬动伤者。应在骨折部位用夹板把受伤位置临时固定，使断端不再移位或刺伤肌肉、神经或血管。固定方法：以固定骨折处上下关节为原则，可就地取材，用木板、竹片等。</w:t>
      </w:r>
    </w:p>
    <w:p>
      <w:pPr>
        <w:pStyle w:val="5"/>
        <w:bidi w:val="0"/>
        <w:rPr>
          <w:rFonts w:hint="eastAsia" w:ascii="宋体" w:hAnsi="宋体" w:eastAsia="宋体" w:cs="宋体"/>
        </w:rPr>
      </w:pPr>
      <w:r>
        <w:rPr>
          <w:rFonts w:hint="eastAsia" w:ascii="宋体" w:hAnsi="宋体" w:eastAsia="宋体" w:cs="宋体"/>
        </w:rPr>
        <w:t>复合伤要求平仰卧位，保持呼吸道畅通，解开衣领扣。</w:t>
      </w:r>
    </w:p>
    <w:p>
      <w:pPr>
        <w:pStyle w:val="5"/>
        <w:bidi w:val="0"/>
        <w:rPr>
          <w:rFonts w:hint="eastAsia" w:ascii="宋体" w:hAnsi="宋体" w:eastAsia="宋体" w:cs="宋体"/>
        </w:rPr>
      </w:pPr>
      <w:r>
        <w:rPr>
          <w:rFonts w:hint="eastAsia" w:ascii="宋体" w:hAnsi="宋体" w:eastAsia="宋体" w:cs="宋体"/>
        </w:rPr>
        <w:t>遇有创伤性出血的伤员，应迅速包扎止血，使伤员保持在头低脚高的卧位，并注意保暖。及时把伤者送往邻近医院抢救，运送途中应尽量减少颠簸。同时，密切注意伤者的呼吸、脉搏、血压及伤口的情况。</w:t>
      </w:r>
    </w:p>
    <w:p>
      <w:pPr>
        <w:pStyle w:val="5"/>
        <w:bidi w:val="0"/>
        <w:rPr>
          <w:rFonts w:hint="eastAsia" w:ascii="宋体" w:hAnsi="宋体" w:eastAsia="宋体" w:cs="宋体"/>
        </w:rPr>
      </w:pPr>
      <w:r>
        <w:rPr>
          <w:rFonts w:hint="eastAsia" w:ascii="宋体" w:hAnsi="宋体" w:eastAsia="宋体" w:cs="宋体"/>
        </w:rPr>
        <w:t>配合上级主管部门和调查组开展调查处理，并做好伤员及家属善后工作。</w:t>
      </w:r>
    </w:p>
    <w:p>
      <w:pPr>
        <w:pStyle w:val="4"/>
        <w:keepNext w:val="0"/>
        <w:pageBreakBefore w:val="0"/>
        <w:numPr>
          <w:ilvl w:val="2"/>
          <w:numId w:val="18"/>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bookmarkStart w:id="127" w:name="_Toc113274133"/>
      <w:bookmarkStart w:id="128" w:name="_Toc113272901"/>
      <w:r>
        <w:rPr>
          <w:rFonts w:hint="eastAsia" w:ascii="宋体" w:hAnsi="宋体" w:eastAsia="宋体" w:cs="宋体"/>
          <w:sz w:val="24"/>
          <w:szCs w:val="24"/>
        </w:rPr>
        <w:t>物体打击应急处置措施</w:t>
      </w:r>
      <w:bookmarkEnd w:id="127"/>
      <w:bookmarkEnd w:id="128"/>
    </w:p>
    <w:p>
      <w:pPr>
        <w:pStyle w:val="5"/>
        <w:bidi w:val="0"/>
        <w:rPr>
          <w:rFonts w:hint="eastAsia"/>
        </w:rPr>
      </w:pPr>
      <w:r>
        <w:rPr>
          <w:rFonts w:hint="eastAsia"/>
        </w:rPr>
        <w:t>当发生物体打击事故时，根据现场和受伤者的伤情的具体情况，立即打“120”急救电话，详细报告事故发生地址、人员受伤的情况和可能需要配合救援的设备。</w:t>
      </w:r>
    </w:p>
    <w:p>
      <w:pPr>
        <w:pStyle w:val="5"/>
        <w:bidi w:val="0"/>
        <w:rPr>
          <w:rFonts w:hint="eastAsia" w:ascii="宋体" w:hAnsi="宋体" w:eastAsia="宋体" w:cs="宋体"/>
        </w:rPr>
      </w:pPr>
      <w:r>
        <w:rPr>
          <w:rFonts w:hint="eastAsia" w:ascii="宋体" w:hAnsi="宋体" w:eastAsia="宋体" w:cs="宋体"/>
        </w:rPr>
        <w:t>在急救中心专业人员未到达之前，应根据事故现场的整体情况、位置和伤者的伤情、部位，在排除人为加重伤者伤情的情况下，立即组织人员进行抢救。</w:t>
      </w:r>
    </w:p>
    <w:p>
      <w:pPr>
        <w:pStyle w:val="5"/>
        <w:bidi w:val="0"/>
        <w:rPr>
          <w:rFonts w:hint="eastAsia"/>
        </w:rPr>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pPr>
        <w:pStyle w:val="5"/>
        <w:bidi w:val="0"/>
        <w:rPr>
          <w:rFonts w:hint="eastAsia" w:ascii="宋体" w:hAnsi="宋体" w:eastAsia="宋体" w:cs="宋体"/>
        </w:rPr>
      </w:pPr>
      <w:r>
        <w:rPr>
          <w:rFonts w:hint="eastAsia" w:ascii="宋体" w:hAnsi="宋体" w:eastAsia="宋体" w:cs="宋体"/>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pPr>
        <w:pStyle w:val="5"/>
        <w:bidi w:val="0"/>
        <w:rPr>
          <w:rFonts w:hint="eastAsia" w:ascii="宋体" w:hAnsi="宋体" w:eastAsia="宋体" w:cs="宋体"/>
        </w:rPr>
      </w:pPr>
      <w:r>
        <w:rPr>
          <w:rFonts w:hint="eastAsia" w:ascii="宋体" w:hAnsi="宋体" w:eastAsia="宋体" w:cs="宋体"/>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pPr>
        <w:pStyle w:val="5"/>
        <w:bidi w:val="0"/>
        <w:rPr>
          <w:rFonts w:hint="eastAsia" w:ascii="宋体" w:hAnsi="宋体" w:eastAsia="宋体" w:cs="宋体"/>
        </w:rPr>
      </w:pPr>
      <w:r>
        <w:rPr>
          <w:rFonts w:hint="eastAsia" w:ascii="宋体" w:hAnsi="宋体" w:eastAsia="宋体" w:cs="宋体"/>
        </w:rPr>
        <w:t>发现伤者手足骨折或其他部位骨折的，不要盲目搬动伤者，应在骨折部位用夹板临时固定，使断端不再移位或刺伤肌肉、神经或血管。</w:t>
      </w:r>
    </w:p>
    <w:p>
      <w:pPr>
        <w:pStyle w:val="5"/>
        <w:bidi w:val="0"/>
        <w:rPr>
          <w:rFonts w:hint="eastAsia" w:ascii="宋体" w:hAnsi="宋体" w:eastAsia="宋体" w:cs="宋体"/>
        </w:rPr>
      </w:pPr>
      <w:r>
        <w:rPr>
          <w:rFonts w:hint="eastAsia" w:ascii="宋体" w:hAnsi="宋体" w:eastAsia="宋体" w:cs="宋体"/>
        </w:rPr>
        <w:t>遇有创伤性出血的伤员，应迅速包扎止血，使伤员保持头低脚高的卧位，并注意保暖；若伤员有断肢情况发生应尽早用干净的干布（灭菌敷料）包裹装入塑料袋内，随伤员一起转送。</w:t>
      </w:r>
    </w:p>
    <w:p>
      <w:pPr>
        <w:pStyle w:val="5"/>
        <w:bidi w:val="0"/>
        <w:rPr>
          <w:rFonts w:hint="eastAsia" w:ascii="宋体" w:hAnsi="宋体" w:eastAsia="宋体" w:cs="宋体"/>
        </w:rPr>
      </w:pPr>
      <w:r>
        <w:rPr>
          <w:rFonts w:hint="eastAsia" w:ascii="宋体" w:hAnsi="宋体" w:eastAsia="宋体" w:cs="宋体"/>
        </w:rPr>
        <w:t>在施救的同时应尽快送往就近医院；伤者送往医院抢救时，途中尽量减少颠簸，同时，密切注意伤者的呼吸、脉搏、血压及伤口的情况。</w:t>
      </w:r>
    </w:p>
    <w:p>
      <w:pPr>
        <w:pStyle w:val="5"/>
        <w:bidi w:val="0"/>
        <w:rPr>
          <w:rFonts w:hint="eastAsia" w:ascii="宋体" w:hAnsi="宋体" w:eastAsia="宋体" w:cs="宋体"/>
        </w:rPr>
      </w:pPr>
      <w:r>
        <w:rPr>
          <w:rFonts w:hint="eastAsia" w:ascii="宋体" w:hAnsi="宋体" w:eastAsia="宋体" w:cs="宋体"/>
        </w:rPr>
        <w:t>如因长方形构件（钢管）打击（压倒）致伤，要根据现场的实际情况迅速调动起重机、手提点工具等机械设备配合施救。</w:t>
      </w:r>
    </w:p>
    <w:p>
      <w:pPr>
        <w:pStyle w:val="5"/>
        <w:bidi w:val="0"/>
        <w:rPr>
          <w:rFonts w:hint="eastAsia" w:ascii="宋体" w:hAnsi="宋体" w:eastAsia="宋体" w:cs="宋体"/>
        </w:rPr>
      </w:pPr>
      <w:r>
        <w:rPr>
          <w:rFonts w:hint="eastAsia" w:ascii="宋体" w:hAnsi="宋体" w:eastAsia="宋体" w:cs="宋体"/>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pPr>
        <w:pStyle w:val="4"/>
        <w:keepNext w:val="0"/>
        <w:pageBreakBefore w:val="0"/>
        <w:numPr>
          <w:ilvl w:val="2"/>
          <w:numId w:val="18"/>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bookmarkStart w:id="129" w:name="_Toc113272902"/>
      <w:bookmarkStart w:id="130" w:name="_Toc113274134"/>
      <w:r>
        <w:rPr>
          <w:rFonts w:hint="eastAsia" w:ascii="宋体" w:hAnsi="宋体" w:eastAsia="宋体" w:cs="宋体"/>
          <w:sz w:val="24"/>
          <w:szCs w:val="24"/>
        </w:rPr>
        <w:t>起重伤害应急处置措施</w:t>
      </w:r>
      <w:bookmarkEnd w:id="129"/>
      <w:bookmarkEnd w:id="130"/>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起重伤害事故目击者应高声呼救，并立即向安全人员报告，各单位其他管理人员也都有认真接收报告和向上级反映事故情况的责任。</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事故发生后，应立即向当地救援机构、公安部门求援。</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安全人员应准确判断事故影响范围，协调各组之间的工作，派专人进行检查，确定抢救方案，保证事故现场相对安全和稳定时，抢救队员才可进入现场抢救受伤人员。</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安全人员做好应急状态下现场所有设施和物资的安全，支援和保障现场抢救组的工作，负责事故现场的保护，并检查事故现场有无其它安全隐患。</w:t>
      </w:r>
    </w:p>
    <w:p>
      <w:pPr>
        <w:pStyle w:val="4"/>
        <w:keepNext w:val="0"/>
        <w:pageBreakBefore w:val="0"/>
        <w:numPr>
          <w:ilvl w:val="2"/>
          <w:numId w:val="18"/>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触电事故应急处置措施</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首先要根据现场情况，使触电者迅速脱离电源，越快越好。</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触电者未脱离电源前，救护人员不准直接用手触及伤员，防止再次触电。</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救护触电伤员切除电源时，有时会同时使照明失电，应事故照明、应急灯等临时照明，新照明要符合使用场所防火、防爆要求，但不能因此延误切除电源和进行急救。</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伤员脱离电源后，如神志清醒，应使其就地躺平，严密观察，暂时不要站立或走动；如神志不清，应就地仰面躺平，且确保气道通畅，并用5s时间用看、听、试的方法检查受伤情况，看受伤部位，听心跳，试脉搏，呼叫伤员或轻拍其肩部，以判定伤员是否意识丧失，禁止摇动伤员头部呼叫伤员。</w:t>
      </w:r>
    </w:p>
    <w:p>
      <w:pPr>
        <w:pStyle w:val="5"/>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需要抢救的伤员，应立即就地坚持正确抢救。</w:t>
      </w:r>
    </w:p>
    <w:p>
      <w:pPr>
        <w:pStyle w:val="4"/>
        <w:keepNext w:val="0"/>
        <w:pageBreakBefore w:val="0"/>
        <w:numPr>
          <w:ilvl w:val="2"/>
          <w:numId w:val="18"/>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机械伤害应急处置措施</w:t>
      </w:r>
    </w:p>
    <w:p>
      <w:pPr>
        <w:keepNext w:val="0"/>
        <w:pageBreakBefore w:val="0"/>
        <w:kinsoku/>
        <w:wordWrap/>
        <w:overflowPunct/>
        <w:topLinePunct w:val="0"/>
        <w:autoSpaceDE/>
        <w:autoSpaceDN/>
        <w:bidi w:val="0"/>
        <w:spacing w:line="480" w:lineRule="atLeast"/>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pPr>
        <w:pStyle w:val="5"/>
        <w:bidi w:val="0"/>
        <w:rPr>
          <w:rFonts w:hint="eastAsia" w:ascii="宋体" w:hAnsi="宋体" w:eastAsia="宋体" w:cs="宋体"/>
        </w:rPr>
      </w:pPr>
      <w:r>
        <w:rPr>
          <w:rFonts w:hint="eastAsia" w:ascii="宋体" w:hAnsi="宋体" w:eastAsia="宋体" w:cs="宋体"/>
        </w:rPr>
        <w:t>休克、昏迷急救</w:t>
      </w:r>
    </w:p>
    <w:p>
      <w:pPr>
        <w:keepNext w:val="0"/>
        <w:pageBreakBefore w:val="0"/>
        <w:kinsoku/>
        <w:wordWrap/>
        <w:overflowPunct/>
        <w:topLinePunct w:val="0"/>
        <w:autoSpaceDE/>
        <w:autoSpaceDN/>
        <w:bidi w:val="0"/>
        <w:spacing w:line="480" w:lineRule="atLeast"/>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pPr>
        <w:pStyle w:val="5"/>
        <w:bidi w:val="0"/>
        <w:rPr>
          <w:rFonts w:hint="eastAsia" w:ascii="宋体" w:hAnsi="宋体" w:eastAsia="宋体" w:cs="宋体"/>
        </w:rPr>
      </w:pPr>
      <w:r>
        <w:rPr>
          <w:rFonts w:hint="eastAsia" w:ascii="宋体" w:hAnsi="宋体" w:eastAsia="宋体" w:cs="宋体"/>
        </w:rPr>
        <w:t>骨折急救</w:t>
      </w:r>
    </w:p>
    <w:p>
      <w:pPr>
        <w:pStyle w:val="6"/>
        <w:bidi w:val="0"/>
        <w:rPr>
          <w:rFonts w:hint="eastAsia" w:ascii="宋体" w:hAnsi="宋体" w:eastAsia="宋体" w:cs="宋体"/>
        </w:rPr>
      </w:pPr>
      <w:r>
        <w:rPr>
          <w:rFonts w:hint="eastAsia" w:ascii="宋体" w:hAnsi="宋体" w:eastAsia="宋体" w:cs="宋体"/>
        </w:rPr>
        <w:t>固定断骨的材料可就地取材，如棍、木板、拐杖、硬纸板等都可作为固定材料，长短要以能固定住骨折处上下两个关节或不使断骨错动为准。</w:t>
      </w:r>
    </w:p>
    <w:p>
      <w:pPr>
        <w:pStyle w:val="6"/>
        <w:bidi w:val="0"/>
        <w:rPr>
          <w:rFonts w:hint="eastAsia" w:ascii="宋体" w:hAnsi="宋体" w:eastAsia="宋体" w:cs="宋体"/>
        </w:rPr>
      </w:pPr>
      <w:r>
        <w:rPr>
          <w:rFonts w:hint="eastAsia" w:ascii="宋体" w:hAnsi="宋体" w:eastAsia="宋体" w:cs="宋体"/>
        </w:rPr>
        <w:t>脊柱骨折或颈部骨折时，除非是特殊情况如室内失火，否则应让伤者留在原地，等待携有医疗器材的医护人员来搬动。</w:t>
      </w:r>
    </w:p>
    <w:p>
      <w:pPr>
        <w:pStyle w:val="6"/>
        <w:bidi w:val="0"/>
        <w:rPr>
          <w:rFonts w:hint="eastAsia" w:ascii="宋体" w:hAnsi="宋体" w:eastAsia="宋体" w:cs="宋体"/>
        </w:rPr>
      </w:pPr>
      <w:r>
        <w:rPr>
          <w:rFonts w:hint="eastAsia" w:ascii="宋体" w:hAnsi="宋体" w:eastAsia="宋体" w:cs="宋体"/>
        </w:rPr>
        <w:t>抬运伤者，从地上抬起时，要多人同时缓缓用力平托；运送时，必须用木板或硬材料，不能用布担架或绳床。木板上可垫棉被，但不能用枕头，颈椎骨骨折伤者的头须放正，两旁用沙袋将头夹住，不能让头随便晃动。</w:t>
      </w:r>
    </w:p>
    <w:p>
      <w:pPr>
        <w:pStyle w:val="5"/>
        <w:bidi w:val="0"/>
        <w:rPr>
          <w:rFonts w:hint="eastAsia" w:ascii="宋体" w:hAnsi="宋体" w:eastAsia="宋体" w:cs="宋体"/>
        </w:rPr>
      </w:pPr>
      <w:r>
        <w:rPr>
          <w:rFonts w:hint="eastAsia" w:ascii="宋体" w:hAnsi="宋体" w:eastAsia="宋体" w:cs="宋体"/>
        </w:rPr>
        <w:t>严重出血的急救</w:t>
      </w:r>
    </w:p>
    <w:p>
      <w:pPr>
        <w:pStyle w:val="6"/>
        <w:bidi w:val="0"/>
        <w:rPr>
          <w:rFonts w:hint="eastAsia"/>
        </w:rPr>
      </w:pPr>
      <w:r>
        <w:rPr>
          <w:rFonts w:hint="eastAsia"/>
        </w:rPr>
        <w:t>一般止血法：一般伤口小的出血，先用生理盐水涂上红汞药水，然后盖上消毒纱布，用绷带较紧地包扎。</w:t>
      </w:r>
    </w:p>
    <w:p>
      <w:pPr>
        <w:pStyle w:val="6"/>
        <w:bidi w:val="0"/>
        <w:rPr>
          <w:rFonts w:hint="eastAsia"/>
        </w:rPr>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pPr>
        <w:pStyle w:val="5"/>
        <w:bidi w:val="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肢体切断断肢(指)后，有时即刻造成伤者因流血或疼</w:t>
      </w:r>
      <w:r>
        <w:rPr>
          <w:rFonts w:hint="eastAsia" w:ascii="宋体" w:hAnsi="宋体" w:eastAsia="宋体" w:cs="宋体"/>
          <w:sz w:val="24"/>
          <w:szCs w:val="24"/>
        </w:rPr>
        <w:t>痛而发生休克，所以应设法首先止血，防止伤员休克。其急救要点为：</w:t>
      </w:r>
    </w:p>
    <w:p>
      <w:pPr>
        <w:pStyle w:val="6"/>
        <w:bidi w:val="0"/>
        <w:rPr>
          <w:rFonts w:hint="eastAsia"/>
        </w:rPr>
      </w:pPr>
      <w:r>
        <w:rPr>
          <w:rFonts w:hint="eastAsia"/>
        </w:rPr>
        <w:t>让伤者躺下，用一块纱布或清洁布块(如翻出干净手帕的内面)，放在断肢伤口上，再用绷带固定位置。如果找不到绷带，也可用围巾包扎。</w:t>
      </w:r>
    </w:p>
    <w:p>
      <w:pPr>
        <w:pStyle w:val="6"/>
        <w:bidi w:val="0"/>
        <w:rPr>
          <w:rFonts w:hint="eastAsia"/>
        </w:rPr>
      </w:pPr>
      <w:r>
        <w:rPr>
          <w:rFonts w:hint="eastAsia"/>
        </w:rPr>
        <w:t>如是手臂切断，用绷带把断臂挂在胸前，固定位置；若是一条腿断了，则与另一条腿扎在一起。</w:t>
      </w:r>
    </w:p>
    <w:p>
      <w:pPr>
        <w:pStyle w:val="6"/>
        <w:bidi w:val="0"/>
        <w:rPr>
          <w:rFonts w:hint="eastAsia"/>
        </w:rPr>
      </w:pPr>
      <w:r>
        <w:rPr>
          <w:rFonts w:hint="eastAsia"/>
        </w:rPr>
        <w:t>料理好伤者后，设法找回断肢。倘若离断的伤肢(指)仍在机器中，千万不能将肢体强行拉出，或将机器倒开(转)，以免增加损伤的机会。正确的方法应是拆开机器后取出。</w:t>
      </w:r>
    </w:p>
    <w:p>
      <w:pPr>
        <w:pStyle w:val="6"/>
        <w:bidi w:val="0"/>
        <w:rPr>
          <w:rFonts w:hint="eastAsia"/>
        </w:rPr>
      </w:pPr>
      <w:r>
        <w:rPr>
          <w:rFonts w:hint="eastAsia"/>
        </w:rPr>
        <w:t>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w:t>
      </w:r>
    </w:p>
    <w:p>
      <w:pPr>
        <w:pStyle w:val="6"/>
        <w:bidi w:val="0"/>
        <w:rPr>
          <w:rFonts w:hint="eastAsia"/>
        </w:rPr>
      </w:pPr>
      <w:r>
        <w:rPr>
          <w:rFonts w:hint="eastAsia"/>
        </w:rPr>
        <w:t>离断后的伤肢，如有少许皮肤或其他肌腱相连，不能将其离断，应放在夹板或阔竹片上，然后包扎，立即送到医院作紧急处理。</w:t>
      </w:r>
    </w:p>
    <w:p>
      <w:pPr>
        <w:pStyle w:val="6"/>
        <w:bidi w:val="0"/>
        <w:rPr>
          <w:rFonts w:hint="eastAsia"/>
        </w:rPr>
      </w:pPr>
      <w:r>
        <w:rPr>
          <w:rFonts w:hint="eastAsia"/>
        </w:rPr>
        <w:t>严禁在离断伤肢(指)的断端涂抹各种药物及药水(包括消毒剂)，更不能涂抹牙膏、灶灰之类试图止血。</w:t>
      </w:r>
    </w:p>
    <w:p>
      <w:pPr>
        <w:pStyle w:val="5"/>
        <w:bidi w:val="0"/>
        <w:rPr>
          <w:rFonts w:hint="eastAsia" w:ascii="宋体" w:hAnsi="宋体" w:eastAsia="宋体" w:cs="宋体"/>
        </w:rPr>
      </w:pPr>
      <w:r>
        <w:rPr>
          <w:rFonts w:hint="eastAsia" w:ascii="宋体" w:hAnsi="宋体" w:eastAsia="宋体" w:cs="宋体"/>
        </w:rPr>
        <w:t>一般性外伤</w:t>
      </w:r>
    </w:p>
    <w:p>
      <w:pPr>
        <w:pStyle w:val="6"/>
        <w:bidi w:val="0"/>
        <w:rPr>
          <w:rFonts w:hint="eastAsia"/>
        </w:rPr>
      </w:pPr>
      <w:r>
        <w:rPr>
          <w:rFonts w:hint="eastAsia"/>
        </w:rPr>
        <w:t>视伤情送往医院，防止破伤风。</w:t>
      </w:r>
    </w:p>
    <w:p>
      <w:pPr>
        <w:pStyle w:val="6"/>
        <w:bidi w:val="0"/>
        <w:rPr>
          <w:rFonts w:hint="eastAsia"/>
        </w:rPr>
      </w:pPr>
      <w:r>
        <w:rPr>
          <w:rFonts w:hint="eastAsia"/>
        </w:rPr>
        <w:t>轻微内伤，送医院检查。</w:t>
      </w:r>
    </w:p>
    <w:p>
      <w:pPr>
        <w:pStyle w:val="4"/>
        <w:keepNext w:val="0"/>
        <w:pageBreakBefore w:val="0"/>
        <w:numPr>
          <w:ilvl w:val="2"/>
          <w:numId w:val="18"/>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交通事故应急处置措施</w:t>
      </w:r>
    </w:p>
    <w:p>
      <w:pPr>
        <w:pStyle w:val="5"/>
        <w:bidi w:val="0"/>
        <w:rPr>
          <w:rFonts w:hint="eastAsia" w:ascii="宋体" w:hAnsi="宋体" w:eastAsia="宋体" w:cs="宋体"/>
        </w:rPr>
      </w:pPr>
      <w:r>
        <w:rPr>
          <w:rFonts w:hint="eastAsia" w:ascii="宋体" w:hAnsi="宋体" w:eastAsia="宋体" w:cs="宋体"/>
        </w:rPr>
        <w:t>发生车辆伤害事故，驾驶员立即停车，拉紧手制动，关闭钥匙，开启双闪警示灯；</w:t>
      </w:r>
    </w:p>
    <w:p>
      <w:pPr>
        <w:pStyle w:val="5"/>
        <w:bidi w:val="0"/>
        <w:rPr>
          <w:rFonts w:hint="eastAsia" w:ascii="宋体" w:hAnsi="宋体" w:eastAsia="宋体" w:cs="宋体"/>
        </w:rPr>
      </w:pPr>
      <w:r>
        <w:rPr>
          <w:rFonts w:hint="eastAsia" w:ascii="宋体" w:hAnsi="宋体" w:eastAsia="宋体" w:cs="宋体"/>
        </w:rPr>
        <w:t>进入现场处置人员必须经过应急救援培训和安全知识培训；事故造成人身伤亡的，驾驶员和乘车人员应当立即抢救受伤人员，伤势严重立即送往医院，并通知医院做好抢救准备；</w:t>
      </w:r>
    </w:p>
    <w:p>
      <w:pPr>
        <w:pStyle w:val="5"/>
        <w:bidi w:val="0"/>
        <w:rPr>
          <w:rFonts w:hint="eastAsia" w:ascii="宋体" w:hAnsi="宋体" w:eastAsia="宋体" w:cs="宋体"/>
        </w:rPr>
      </w:pPr>
      <w:r>
        <w:rPr>
          <w:rFonts w:hint="eastAsia" w:ascii="宋体" w:hAnsi="宋体" w:eastAsia="宋体" w:cs="宋体"/>
        </w:rPr>
        <w:t>事故造成车辆燃烧时，应迅速确认火源，火灾初期立即灭火，并做好预防爆炸的安全措施；</w:t>
      </w:r>
    </w:p>
    <w:p>
      <w:pPr>
        <w:pStyle w:val="5"/>
        <w:bidi w:val="0"/>
        <w:rPr>
          <w:rFonts w:hint="eastAsia" w:ascii="宋体" w:hAnsi="宋体" w:eastAsia="宋体" w:cs="宋体"/>
        </w:rPr>
      </w:pPr>
      <w:r>
        <w:rPr>
          <w:rFonts w:hint="eastAsia" w:ascii="宋体" w:hAnsi="宋体" w:eastAsia="宋体" w:cs="宋体"/>
        </w:rPr>
        <w:t>使用各类灭火器材灭火。</w:t>
      </w:r>
    </w:p>
    <w:p>
      <w:pPr>
        <w:pStyle w:val="3"/>
        <w:keepNext w:val="0"/>
        <w:pageBreakBefore w:val="0"/>
        <w:numPr>
          <w:ilvl w:val="1"/>
          <w:numId w:val="18"/>
        </w:numPr>
        <w:tabs>
          <w:tab w:val="left" w:pos="420"/>
        </w:tabs>
        <w:kinsoku/>
        <w:wordWrap/>
        <w:overflowPunct/>
        <w:topLinePunct w:val="0"/>
        <w:autoSpaceDE/>
        <w:autoSpaceDN/>
        <w:bidi w:val="0"/>
        <w:spacing w:line="480" w:lineRule="atLeast"/>
        <w:textAlignment w:val="auto"/>
        <w:rPr>
          <w:rFonts w:hint="eastAsia" w:ascii="宋体" w:hAnsi="宋体" w:eastAsia="宋体" w:cs="宋体"/>
          <w:sz w:val="24"/>
          <w:szCs w:val="24"/>
        </w:rPr>
      </w:pPr>
      <w:bookmarkStart w:id="131" w:name="_Toc102825402"/>
      <w:bookmarkStart w:id="132" w:name="_Toc4255"/>
      <w:bookmarkStart w:id="133" w:name="_Toc991"/>
      <w:bookmarkStart w:id="134" w:name="_Toc102481227"/>
      <w:bookmarkStart w:id="135" w:name="_Toc40778457"/>
      <w:bookmarkStart w:id="136" w:name="_Toc102481278"/>
      <w:bookmarkStart w:id="137" w:name="_Toc121344362"/>
      <w:r>
        <w:rPr>
          <w:rFonts w:hint="eastAsia" w:ascii="宋体" w:hAnsi="宋体" w:eastAsia="宋体" w:cs="宋体"/>
          <w:sz w:val="24"/>
          <w:szCs w:val="24"/>
        </w:rPr>
        <w:t>应急车辆、物资及设备</w:t>
      </w:r>
      <w:bookmarkEnd w:id="131"/>
      <w:bookmarkEnd w:id="132"/>
      <w:bookmarkEnd w:id="133"/>
      <w:bookmarkEnd w:id="134"/>
      <w:bookmarkEnd w:id="135"/>
      <w:bookmarkEnd w:id="136"/>
      <w:bookmarkEnd w:id="137"/>
    </w:p>
    <w:p>
      <w:pPr>
        <w:bidi w:val="0"/>
        <w:rPr>
          <w:rFonts w:hint="eastAsia"/>
        </w:rPr>
      </w:pPr>
      <w:r>
        <w:rPr>
          <w:rFonts w:hint="eastAsia"/>
        </w:rPr>
        <w:t>应急资源的准备是应急救援工作的重要保障，项目部根据潜在事故性质和后果分析，配备足量应急救援中所需的救援机械和设备、交通工具、医疗设备和药品、生活保障物资。详见</w:t>
      </w:r>
      <w:r>
        <w:rPr>
          <w:rFonts w:hint="eastAsia"/>
        </w:rPr>
        <w:fldChar w:fldCharType="begin"/>
      </w:r>
      <w:r>
        <w:rPr>
          <w:rFonts w:hint="eastAsia"/>
        </w:rPr>
        <w:instrText xml:space="preserve">REF_Ref114664593\h</w:instrText>
      </w:r>
      <w:r>
        <w:rPr>
          <w:rFonts w:hint="eastAsia"/>
        </w:rPr>
        <w:fldChar w:fldCharType="separate"/>
      </w:r>
      <w:r>
        <w:rPr>
          <w:rFonts w:hint="eastAsia"/>
        </w:rPr>
        <w:t>表9.5</w:t>
      </w:r>
      <w:r>
        <w:rPr>
          <w:rFonts w:hint="eastAsia"/>
          <w:lang w:eastAsia="zh-CN"/>
        </w:rPr>
        <w:t>-</w:t>
      </w:r>
      <w:r>
        <w:rPr>
          <w:rFonts w:hint="eastAsia"/>
        </w:rPr>
        <w:t>1</w:t>
      </w:r>
      <w:r>
        <w:rPr>
          <w:rFonts w:hint="eastAsia"/>
        </w:rPr>
        <w:fldChar w:fldCharType="end"/>
      </w:r>
      <w:r>
        <w:rPr>
          <w:rFonts w:hint="eastAsia"/>
        </w:rPr>
        <w:t>、</w:t>
      </w:r>
      <w:r>
        <w:rPr>
          <w:rFonts w:hint="eastAsia"/>
        </w:rPr>
        <w:fldChar w:fldCharType="begin"/>
      </w:r>
      <w:r>
        <w:rPr>
          <w:rFonts w:hint="eastAsia"/>
        </w:rPr>
        <w:instrText xml:space="preserve">REF_Ref114664595\h</w:instrText>
      </w:r>
      <w:r>
        <w:rPr>
          <w:rFonts w:hint="eastAsia"/>
        </w:rPr>
        <w:fldChar w:fldCharType="separate"/>
      </w:r>
      <w:r>
        <w:rPr>
          <w:rFonts w:hint="eastAsia"/>
        </w:rPr>
        <w:t>表9.5</w:t>
      </w:r>
      <w:r>
        <w:rPr>
          <w:rFonts w:hint="eastAsia"/>
          <w:lang w:eastAsia="zh-CN"/>
        </w:rPr>
        <w:t>-</w:t>
      </w:r>
      <w:r>
        <w:rPr>
          <w:rFonts w:hint="eastAsia"/>
        </w:rPr>
        <w:t>2</w:t>
      </w:r>
      <w:r>
        <w:rPr>
          <w:rFonts w:hint="eastAsia"/>
        </w:rPr>
        <w:fldChar w:fldCharType="end"/>
      </w:r>
      <w:r>
        <w:rPr>
          <w:rFonts w:hint="eastAsia"/>
        </w:rPr>
        <w:t>。</w:t>
      </w:r>
    </w:p>
    <w:p>
      <w:pPr>
        <w:pStyle w:val="15"/>
        <w:keepNext w:val="0"/>
        <w:pageBreakBefore w:val="0"/>
        <w:kinsoku/>
        <w:wordWrap/>
        <w:overflowPunct/>
        <w:topLinePunct w:val="0"/>
        <w:autoSpaceDE/>
        <w:autoSpaceDN/>
        <w:bidi w:val="0"/>
        <w:spacing w:line="480" w:lineRule="atLeast"/>
        <w:textAlignment w:val="auto"/>
        <w:rPr>
          <w:rFonts w:hint="eastAsia" w:ascii="宋体" w:hAnsi="宋体" w:eastAsia="宋体" w:cs="宋体"/>
          <w:sz w:val="24"/>
          <w:szCs w:val="24"/>
        </w:rPr>
      </w:pPr>
      <w:bookmarkStart w:id="138" w:name="_Ref114664593"/>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2\s</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SEQ表_\*ARABIC\s 2</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End w:id="138"/>
      <w:r>
        <w:rPr>
          <w:rFonts w:hint="eastAsia" w:ascii="宋体" w:hAnsi="宋体" w:eastAsia="宋体" w:cs="宋体"/>
          <w:sz w:val="24"/>
          <w:szCs w:val="24"/>
        </w:rPr>
        <w:t>项目部应急车辆</w:t>
      </w:r>
    </w:p>
    <w:tbl>
      <w:tblPr>
        <w:tblStyle w:val="6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641"/>
        <w:gridCol w:w="1642"/>
        <w:gridCol w:w="1642"/>
        <w:gridCol w:w="1642"/>
        <w:gridCol w:w="1644"/>
        <w:gridCol w:w="16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编号</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设备名称</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单位</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投入数量</w:t>
            </w:r>
          </w:p>
        </w:tc>
        <w:tc>
          <w:tcPr>
            <w:tcW w:w="83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性能</w:t>
            </w:r>
          </w:p>
        </w:tc>
        <w:tc>
          <w:tcPr>
            <w:tcW w:w="83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存放地点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轿车</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83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83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皮卡车</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8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83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834"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bl>
    <w:p>
      <w:pPr>
        <w:pStyle w:val="15"/>
        <w:kinsoku/>
        <w:overflowPunct/>
        <w:topLinePunct w:val="0"/>
        <w:bidi w:val="0"/>
        <w:spacing w:before="120" w:beforeLines="50" w:line="360" w:lineRule="atLeast"/>
        <w:rPr>
          <w:rFonts w:hint="eastAsia" w:ascii="宋体" w:hAnsi="宋体" w:eastAsia="宋体" w:cs="宋体"/>
          <w:sz w:val="24"/>
          <w:szCs w:val="24"/>
        </w:rPr>
      </w:pPr>
      <w:bookmarkStart w:id="139" w:name="_Ref114664595"/>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2\s</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SEQ表_\*ARABIC\s 2</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bookmarkEnd w:id="139"/>
      <w:r>
        <w:rPr>
          <w:rFonts w:hint="eastAsia" w:ascii="宋体" w:hAnsi="宋体" w:eastAsia="宋体" w:cs="宋体"/>
          <w:sz w:val="24"/>
          <w:szCs w:val="24"/>
        </w:rPr>
        <w:t>应急设备、物资保障</w:t>
      </w:r>
    </w:p>
    <w:tbl>
      <w:tblPr>
        <w:tblStyle w:val="6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25"/>
        <w:gridCol w:w="4795"/>
        <w:gridCol w:w="725"/>
        <w:gridCol w:w="1204"/>
        <w:gridCol w:w="1203"/>
        <w:gridCol w:w="12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编号</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设备名称</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单位</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投入数量</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性能</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存放地点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挖掘机</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50t汽车吊</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400KW发电机</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铁锹</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把</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20</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5</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编织袋</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个</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6</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灭火器</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瓶</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7</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手电筒</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个</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8</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指挥车辆</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9</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对讲机</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10</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装备器材（仓库内备有安全帽、安全带、切</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割机、气焊设备、小型电动工具、一般五金</w:t>
            </w:r>
          </w:p>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工具、雨衣、雨靴、手电筒、撬棍等）</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数量满足</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11</w:t>
            </w:r>
          </w:p>
        </w:tc>
        <w:tc>
          <w:tcPr>
            <w:tcW w:w="2433"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医疗器材（应急药品、氧气袋、担架等）</w:t>
            </w:r>
          </w:p>
        </w:tc>
        <w:tc>
          <w:tcPr>
            <w:tcW w:w="368"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套</w:t>
            </w:r>
          </w:p>
        </w:tc>
        <w:tc>
          <w:tcPr>
            <w:tcW w:w="611"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pPr>
              <w:pStyle w:val="16"/>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bl>
    <w:p>
      <w:pPr>
        <w:pStyle w:val="3"/>
        <w:keepNext w:val="0"/>
        <w:pageBreakBefore w:val="0"/>
        <w:widowControl w:val="0"/>
        <w:numPr>
          <w:ilvl w:val="1"/>
          <w:numId w:val="18"/>
        </w:numPr>
        <w:tabs>
          <w:tab w:val="left" w:pos="420"/>
        </w:tabs>
        <w:kinsoku/>
        <w:wordWrap/>
        <w:overflowPunct/>
        <w:topLinePunct w:val="0"/>
        <w:autoSpaceDE/>
        <w:autoSpaceDN/>
        <w:bidi w:val="0"/>
        <w:adjustRightInd/>
        <w:snapToGrid/>
        <w:spacing w:before="120" w:beforeLines="50" w:line="480" w:lineRule="atLeast"/>
        <w:textAlignment w:val="auto"/>
        <w:rPr>
          <w:rFonts w:hint="eastAsia" w:ascii="宋体" w:hAnsi="宋体" w:eastAsia="宋体" w:cs="宋体"/>
          <w:sz w:val="24"/>
          <w:szCs w:val="24"/>
        </w:rPr>
      </w:pPr>
      <w:bookmarkStart w:id="140" w:name="_Toc102481228"/>
      <w:bookmarkStart w:id="141" w:name="_Toc40778458"/>
      <w:bookmarkStart w:id="142" w:name="_Toc77771648"/>
      <w:bookmarkStart w:id="143" w:name="_Toc102825403"/>
      <w:bookmarkStart w:id="144" w:name="_Toc121344363"/>
      <w:bookmarkStart w:id="145" w:name="_Toc102481279"/>
      <w:bookmarkStart w:id="146" w:name="_Toc12896"/>
      <w:bookmarkStart w:id="147" w:name="_Toc21723"/>
      <w:bookmarkStart w:id="148" w:name="_Toc1146"/>
      <w:bookmarkStart w:id="149" w:name="_Toc40778459"/>
      <w:r>
        <w:rPr>
          <w:rFonts w:hint="eastAsia" w:ascii="宋体" w:hAnsi="宋体" w:eastAsia="宋体" w:cs="宋体"/>
          <w:sz w:val="24"/>
          <w:szCs w:val="24"/>
        </w:rPr>
        <w:t>应急医院及线路图</w:t>
      </w:r>
      <w:bookmarkEnd w:id="140"/>
      <w:bookmarkEnd w:id="141"/>
      <w:bookmarkEnd w:id="142"/>
      <w:bookmarkEnd w:id="143"/>
      <w:bookmarkEnd w:id="144"/>
      <w:bookmarkEnd w:id="145"/>
      <w:bookmarkEnd w:id="146"/>
      <w:bookmarkEnd w:id="147"/>
    </w:p>
    <w:p>
      <w:pPr>
        <w:bidi w:val="0"/>
        <w:rPr>
          <w:rFonts w:hint="eastAsia"/>
        </w:rPr>
      </w:pPr>
      <w:bookmarkStart w:id="150" w:name="_Toc121344364"/>
      <w:bookmarkStart w:id="151" w:name="_Toc102481229"/>
      <w:bookmarkStart w:id="152" w:name="_Toc102825404"/>
      <w:bookmarkStart w:id="153" w:name="_Toc102481280"/>
      <w:r>
        <w:rPr>
          <w:rFonts w:hint="eastAsia"/>
        </w:rPr>
        <w:t>地方应急部门联系北仑区第三人民医院。如发生人员伤亡事故，应急小组根据伤情及时联络医疗机构并在第一时间将受伤人员送往</w:t>
      </w:r>
      <w:r>
        <w:rPr>
          <w:rFonts w:hint="eastAsia"/>
          <w:lang w:val="en-US" w:eastAsia="zh-CN"/>
        </w:rPr>
        <w:t>医院</w:t>
      </w:r>
      <w:r>
        <w:rPr>
          <w:rFonts w:hint="eastAsia"/>
        </w:rPr>
        <w:t>。</w:t>
      </w:r>
    </w:p>
    <w:p>
      <w:pPr>
        <w:bidi w:val="0"/>
        <w:rPr>
          <w:rFonts w:hint="default"/>
        </w:rPr>
      </w:pPr>
      <w:r>
        <w:rPr>
          <w:rFonts w:hint="eastAsia"/>
        </w:rPr>
        <w:t>救援线路：</w:t>
      </w:r>
      <w:r>
        <w:rPr>
          <w:rFonts w:hint="eastAsia"/>
          <w:lang w:val="en-US" w:eastAsia="zh-CN"/>
        </w:rPr>
        <w:t>从</w:t>
      </w:r>
      <w:r>
        <w:rPr>
          <w:rFonts w:hint="eastAsia"/>
        </w:rPr>
        <w:t>施工便道</w:t>
      </w:r>
      <w:r>
        <w:rPr>
          <w:rFonts w:hint="default"/>
          <w:lang w:val="en-US" w:eastAsia="zh-CN"/>
        </w:rPr>
        <w:t>进入江滨支路，行驶1.5公里</w:t>
      </w:r>
      <w:r>
        <w:rPr>
          <w:rFonts w:hint="eastAsia"/>
          <w:lang w:val="en-US" w:eastAsia="zh-CN"/>
        </w:rPr>
        <w:t>；</w:t>
      </w:r>
      <w:r>
        <w:rPr>
          <w:rFonts w:hint="default"/>
        </w:rPr>
        <w:drawing>
          <wp:inline distT="0" distB="0" distL="114300" distR="114300">
            <wp:extent cx="9525" cy="9525"/>
            <wp:effectExtent l="0" t="0" r="0" b="0"/>
            <wp:docPr id="127" name="图片 64" descr="IMG_25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4" descr="IMG_256"/>
                    <pic:cNvPicPr>
                      <a:picLocks noChangeAspect="1"/>
                    </pic:cNvPicPr>
                  </pic:nvPicPr>
                  <pic:blipFill>
                    <a:blip r:embed="rId55"/>
                    <a:stretch>
                      <a:fillRect/>
                    </a:stretch>
                  </pic:blipFill>
                  <pic:spPr>
                    <a:xfrm>
                      <a:off x="0" y="0"/>
                      <a:ext cx="9525" cy="9525"/>
                    </a:xfrm>
                    <a:prstGeom prst="rect">
                      <a:avLst/>
                    </a:prstGeom>
                    <a:noFill/>
                    <a:ln w="9525">
                      <a:noFill/>
                    </a:ln>
                  </pic:spPr>
                </pic:pic>
              </a:graphicData>
            </a:graphic>
          </wp:inline>
        </w:drawing>
      </w:r>
      <w:r>
        <w:rPr>
          <w:rFonts w:hint="default"/>
          <w:lang w:val="en-US" w:eastAsia="zh-CN"/>
        </w:rPr>
        <w:t>请直行，进入金鸡路，行驶50米</w:t>
      </w:r>
      <w:r>
        <w:rPr>
          <w:rFonts w:hint="eastAsia"/>
          <w:lang w:val="en-US" w:eastAsia="zh-CN"/>
        </w:rPr>
        <w:t>；</w:t>
      </w:r>
      <w:r>
        <w:rPr>
          <w:rFonts w:hint="default"/>
          <w:lang w:val="en-US" w:eastAsia="zh-CN"/>
        </w:rPr>
        <w:t>右转，进入江滨路，行驶1.2公里</w:t>
      </w:r>
      <w:r>
        <w:rPr>
          <w:rFonts w:hint="eastAsia"/>
          <w:lang w:val="en-US" w:eastAsia="zh-CN"/>
        </w:rPr>
        <w:t>；</w:t>
      </w:r>
      <w:r>
        <w:rPr>
          <w:rFonts w:hint="default"/>
          <w:lang w:val="en-US" w:eastAsia="zh-CN"/>
        </w:rPr>
        <w:t>右转，进入江南东路，行驶1.2公里</w:t>
      </w:r>
      <w:r>
        <w:rPr>
          <w:rFonts w:hint="eastAsia"/>
          <w:lang w:val="en-US" w:eastAsia="zh-CN"/>
        </w:rPr>
        <w:t>；</w:t>
      </w:r>
      <w:r>
        <w:rPr>
          <w:rFonts w:hint="default"/>
          <w:lang w:val="en-US" w:eastAsia="zh-CN"/>
        </w:rPr>
        <w:t>右转，从江南东路到北仑区第三人民医院，行驶20米</w:t>
      </w:r>
      <w:r>
        <w:rPr>
          <w:rFonts w:hint="eastAsia"/>
          <w:lang w:val="en-US" w:eastAsia="zh-CN"/>
        </w:rPr>
        <w:t>；</w:t>
      </w:r>
      <w:r>
        <w:rPr>
          <w:rFonts w:hint="default"/>
          <w:lang w:val="en-US" w:eastAsia="zh-CN"/>
        </w:rPr>
        <w:t>北仑区第三人民医院</w:t>
      </w:r>
      <w:r>
        <w:rPr>
          <w:rFonts w:hint="eastAsia"/>
          <w:lang w:val="en-US" w:eastAsia="zh-CN"/>
        </w:rPr>
        <w:t>。</w:t>
      </w:r>
    </w:p>
    <w:p>
      <w:pPr>
        <w:bidi w:val="0"/>
        <w:rPr>
          <w:rFonts w:hint="eastAsia"/>
          <w:color w:val="auto"/>
          <w:highlight w:val="none"/>
        </w:rPr>
      </w:pPr>
      <w:r>
        <w:rPr>
          <w:rFonts w:hint="eastAsia"/>
          <w:color w:val="auto"/>
          <w:highlight w:val="none"/>
        </w:rPr>
        <w:t>救援具体路线见下图。</w:t>
      </w:r>
    </w:p>
    <w:p>
      <w:pPr>
        <w:pStyle w:val="14"/>
        <w:spacing w:line="240" w:lineRule="auto"/>
        <w:jc w:val="center"/>
        <w:rPr>
          <w:rFonts w:hint="eastAsia"/>
        </w:rPr>
      </w:pPr>
      <w:r>
        <w:drawing>
          <wp:inline distT="0" distB="0" distL="114300" distR="114300">
            <wp:extent cx="4072890" cy="4214495"/>
            <wp:effectExtent l="0" t="0" r="11430" b="6985"/>
            <wp:docPr id="12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2"/>
                    <pic:cNvPicPr>
                      <a:picLocks noChangeAspect="1"/>
                    </pic:cNvPicPr>
                  </pic:nvPicPr>
                  <pic:blipFill>
                    <a:blip r:embed="rId56"/>
                    <a:stretch>
                      <a:fillRect/>
                    </a:stretch>
                  </pic:blipFill>
                  <pic:spPr>
                    <a:xfrm>
                      <a:off x="0" y="0"/>
                      <a:ext cx="4072890" cy="4214495"/>
                    </a:xfrm>
                    <a:prstGeom prst="rect">
                      <a:avLst/>
                    </a:prstGeom>
                    <a:noFill/>
                    <a:ln>
                      <a:noFill/>
                    </a:ln>
                  </pic:spPr>
                </pic:pic>
              </a:graphicData>
            </a:graphic>
          </wp:inline>
        </w:drawing>
      </w:r>
    </w:p>
    <w:p>
      <w:pPr>
        <w:keepNext w:val="0"/>
        <w:widowControl w:val="0"/>
        <w:kinsoku/>
        <w:wordWrap/>
        <w:overflowPunct/>
        <w:topLinePunct w:val="0"/>
        <w:autoSpaceDE/>
        <w:autoSpaceDN/>
        <w:bidi w:val="0"/>
        <w:adjustRightInd/>
        <w:snapToGrid/>
        <w:spacing w:line="480" w:lineRule="atLeast"/>
        <w:ind w:firstLine="422"/>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图</w:t>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STYLEREF 2\s</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SEQ图\*ARABIC\s 2</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t>外部救援路线图</w:t>
      </w:r>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54" w:name="_Toc24252"/>
      <w:r>
        <w:rPr>
          <w:rFonts w:hint="eastAsia" w:ascii="宋体" w:hAnsi="宋体" w:eastAsia="宋体" w:cs="宋体"/>
          <w:sz w:val="24"/>
          <w:szCs w:val="24"/>
        </w:rPr>
        <w:t>事故善后及恢复生产</w:t>
      </w:r>
      <w:bookmarkEnd w:id="148"/>
      <w:bookmarkEnd w:id="149"/>
      <w:bookmarkEnd w:id="150"/>
      <w:bookmarkEnd w:id="151"/>
      <w:bookmarkEnd w:id="152"/>
      <w:bookmarkEnd w:id="153"/>
      <w:bookmarkEnd w:id="154"/>
    </w:p>
    <w:p>
      <w:pPr>
        <w:bidi w:val="0"/>
        <w:rPr>
          <w:rFonts w:hint="eastAsia"/>
        </w:rPr>
      </w:pPr>
      <w:r>
        <w:rPr>
          <w:rFonts w:hint="eastAsia"/>
        </w:rPr>
        <w:t>应急小组在抢援工作结束后，对发生人员伤亡、机损事故和财产损失等事故的，遵循下列原则进行处理。</w:t>
      </w:r>
    </w:p>
    <w:p>
      <w:pPr>
        <w:pStyle w:val="4"/>
        <w:bidi w:val="0"/>
        <w:rPr>
          <w:rFonts w:hint="eastAsia" w:ascii="宋体" w:hAnsi="宋体" w:eastAsia="宋体" w:cs="宋体"/>
        </w:rPr>
      </w:pPr>
      <w:r>
        <w:rPr>
          <w:rFonts w:hint="eastAsia" w:ascii="宋体" w:hAnsi="宋体" w:eastAsia="宋体" w:cs="宋体"/>
        </w:rPr>
        <w:t>伤员处理</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按国家有关规定，做好事后伤亡家属的接待、安抚和善后处理以及保险赔偿工作。</w:t>
      </w:r>
    </w:p>
    <w:p>
      <w:pPr>
        <w:pStyle w:val="4"/>
        <w:bidi w:val="0"/>
        <w:rPr>
          <w:rFonts w:hint="eastAsia" w:ascii="宋体" w:hAnsi="宋体" w:eastAsia="宋体" w:cs="宋体"/>
        </w:rPr>
      </w:pPr>
      <w:r>
        <w:rPr>
          <w:rFonts w:hint="eastAsia" w:ascii="宋体" w:hAnsi="宋体" w:eastAsia="宋体" w:cs="宋体"/>
        </w:rPr>
        <w:t>调查分析</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对事故原因调查分析，确定责任和应该吸取的教训。</w:t>
      </w:r>
    </w:p>
    <w:p>
      <w:pPr>
        <w:pStyle w:val="4"/>
        <w:bidi w:val="0"/>
        <w:rPr>
          <w:rFonts w:hint="eastAsia" w:ascii="宋体" w:hAnsi="宋体" w:eastAsia="宋体" w:cs="宋体"/>
        </w:rPr>
      </w:pPr>
      <w:r>
        <w:rPr>
          <w:rFonts w:hint="eastAsia" w:ascii="宋体" w:hAnsi="宋体" w:eastAsia="宋体" w:cs="宋体"/>
        </w:rPr>
        <w:t>事故处理</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根据事故调查结果，按“四不放过”原则，认真总结事故经验教训，对发生事故的责任人或责任部门依照相关法律法规，提出事故处理意见。</w:t>
      </w:r>
    </w:p>
    <w:p>
      <w:pPr>
        <w:pStyle w:val="4"/>
        <w:bidi w:val="0"/>
        <w:rPr>
          <w:rFonts w:hint="eastAsia" w:ascii="宋体" w:hAnsi="宋体" w:eastAsia="宋体" w:cs="宋体"/>
        </w:rPr>
      </w:pPr>
      <w:r>
        <w:rPr>
          <w:rFonts w:hint="eastAsia" w:ascii="宋体" w:hAnsi="宋体" w:eastAsia="宋体" w:cs="宋体"/>
        </w:rPr>
        <w:t>事故总结</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事故处理完毕后，认真总结经验教训，完善管理，对事故后的处理过程认真分析总结、防范措施及应急预案进行补充和修改。</w:t>
      </w:r>
    </w:p>
    <w:p>
      <w:pPr>
        <w:pStyle w:val="4"/>
        <w:bidi w:val="0"/>
        <w:rPr>
          <w:rFonts w:hint="eastAsia" w:ascii="宋体" w:hAnsi="宋体" w:eastAsia="宋体" w:cs="宋体"/>
        </w:rPr>
      </w:pPr>
      <w:r>
        <w:rPr>
          <w:rFonts w:hint="eastAsia" w:ascii="宋体" w:hAnsi="宋体" w:eastAsia="宋体" w:cs="宋体"/>
        </w:rPr>
        <w:t>恢复生产</w:t>
      </w:r>
    </w:p>
    <w:p>
      <w:pPr>
        <w:bidi w:val="0"/>
        <w:rPr>
          <w:rFonts w:hint="eastAsia"/>
        </w:rPr>
      </w:pPr>
      <w:r>
        <w:rPr>
          <w:rFonts w:hint="eastAsia"/>
        </w:rPr>
        <w:t>对现场隐患进行全面排查，整改完毕后报请业主、监理单位审批，同意后方可组织恢复生产工作。</w:t>
      </w:r>
    </w:p>
    <w:p>
      <w:pPr>
        <w:pStyle w:val="2"/>
        <w:keepNext w:val="0"/>
        <w:widowControl w:val="0"/>
        <w:numPr>
          <w:ilvl w:val="0"/>
          <w:numId w:val="18"/>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55" w:name="_Toc30220"/>
      <w:r>
        <w:rPr>
          <w:rFonts w:hint="eastAsia" w:ascii="宋体" w:hAnsi="宋体" w:eastAsia="宋体" w:cs="宋体"/>
          <w:sz w:val="24"/>
          <w:szCs w:val="24"/>
        </w:rPr>
        <w:t>绿色及文明施工</w:t>
      </w:r>
      <w:r>
        <w:rPr>
          <w:rFonts w:hint="eastAsia" w:ascii="宋体" w:hAnsi="宋体" w:eastAsia="宋体" w:cs="宋体"/>
          <w:sz w:val="24"/>
          <w:szCs w:val="24"/>
          <w:lang w:val="en-US" w:eastAsia="zh-CN"/>
        </w:rPr>
        <w:t>措施</w:t>
      </w:r>
      <w:bookmarkEnd w:id="155"/>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56" w:name="_Toc119247042"/>
      <w:bookmarkStart w:id="157" w:name="_Toc20211"/>
      <w:bookmarkStart w:id="158" w:name="_Toc40778460"/>
      <w:bookmarkStart w:id="159" w:name="_Toc27911"/>
      <w:r>
        <w:rPr>
          <w:rFonts w:hint="eastAsia" w:ascii="宋体" w:hAnsi="宋体" w:eastAsia="宋体" w:cs="宋体"/>
          <w:sz w:val="24"/>
          <w:szCs w:val="24"/>
        </w:rPr>
        <w:t>组织机构</w:t>
      </w:r>
      <w:bookmarkEnd w:id="156"/>
      <w:bookmarkEnd w:id="157"/>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项目部成立以项目经理负责人为组长，项目其他领导为副组长，各部门负责人为组员的绿色及文明施工领导小组，制定详细的环保、水保、文明施工措施，从思想、组织、过程、检查、效果、目标、经济七个方面控制绿色及文明施工工作，实现总体环保及文明施工目标。</w:t>
      </w:r>
    </w:p>
    <w:tbl>
      <w:tblPr>
        <w:tblStyle w:val="126"/>
        <w:tblW w:w="4998" w:type="pct"/>
        <w:tblInd w:w="0" w:type="dxa"/>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Layout w:type="autofit"/>
        <w:tblCellMar>
          <w:top w:w="0" w:type="dxa"/>
          <w:left w:w="108" w:type="dxa"/>
          <w:bottom w:w="0" w:type="dxa"/>
          <w:right w:w="108" w:type="dxa"/>
        </w:tblCellMar>
      </w:tblPr>
      <w:tblGrid>
        <w:gridCol w:w="465"/>
        <w:gridCol w:w="1779"/>
        <w:gridCol w:w="1838"/>
        <w:gridCol w:w="1495"/>
        <w:gridCol w:w="2138"/>
        <w:gridCol w:w="2136"/>
      </w:tblGrid>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cantSplit/>
          <w:trHeight w:val="90" w:hRule="atLeast"/>
          <w:tblHeader/>
        </w:trPr>
        <w:tc>
          <w:tcPr>
            <w:tcW w:w="236"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bookmarkStart w:id="160" w:name="_Toc119247044"/>
            <w:bookmarkStart w:id="161" w:name="_Toc28335"/>
            <w:r>
              <w:rPr>
                <w:rFonts w:hint="eastAsia" w:ascii="宋体" w:hAnsi="宋体" w:eastAsia="宋体" w:cs="宋体"/>
                <w:b/>
                <w:bCs w:val="0"/>
                <w:iCs/>
                <w:sz w:val="21"/>
                <w:szCs w:val="22"/>
                <w:lang w:val="en-US" w:eastAsia="zh-CN" w:bidi="ar-SA"/>
              </w:rPr>
              <w:t>序</w:t>
            </w:r>
            <w:r>
              <w:rPr>
                <w:rFonts w:hint="eastAsia" w:ascii="宋体" w:hAnsi="宋体" w:eastAsia="Times New Roman" w:cs="宋体"/>
                <w:b/>
                <w:bCs w:val="0"/>
                <w:iCs/>
                <w:sz w:val="21"/>
                <w:szCs w:val="22"/>
                <w:lang w:val="en-US" w:eastAsia="zh-CN" w:bidi="ar-SA"/>
              </w:rPr>
              <w:t>号</w:t>
            </w:r>
          </w:p>
        </w:tc>
        <w:tc>
          <w:tcPr>
            <w:tcW w:w="1835" w:type="pct"/>
            <w:gridSpan w:val="2"/>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职务</w:t>
            </w:r>
          </w:p>
        </w:tc>
        <w:tc>
          <w:tcPr>
            <w:tcW w:w="759"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姓名</w:t>
            </w:r>
          </w:p>
        </w:tc>
        <w:tc>
          <w:tcPr>
            <w:tcW w:w="1085"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电话号码</w:t>
            </w:r>
          </w:p>
        </w:tc>
        <w:tc>
          <w:tcPr>
            <w:tcW w:w="1085" w:type="pct"/>
            <w:shd w:val="clear" w:color="auto" w:fill="9CC2E5"/>
            <w:vAlign w:val="center"/>
          </w:tcPr>
          <w:p>
            <w:pPr>
              <w:widowControl w:val="0"/>
              <w:jc w:val="center"/>
              <w:rPr>
                <w:rFonts w:ascii="Times New Roman" w:hAnsi="Times New Roman" w:eastAsia="宋体" w:cs="Times New Roman"/>
                <w:b/>
                <w:bCs/>
                <w:iCs/>
                <w:sz w:val="21"/>
                <w:szCs w:val="22"/>
                <w:lang w:val="en-US" w:eastAsia="zh-CN" w:bidi="ar-SA"/>
              </w:rPr>
            </w:pPr>
            <w:r>
              <w:rPr>
                <w:rFonts w:ascii="Times New Roman" w:hAnsi="Times New Roman" w:eastAsia="宋体" w:cs="Times New Roman"/>
                <w:b/>
                <w:bCs/>
                <w:iCs/>
                <w:sz w:val="21"/>
                <w:szCs w:val="22"/>
                <w:lang w:val="en-US" w:eastAsia="zh-CN" w:bidi="ar-SA"/>
              </w:rPr>
              <w:t>工作内容</w:t>
            </w: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1</w:t>
            </w:r>
          </w:p>
        </w:tc>
        <w:tc>
          <w:tcPr>
            <w:tcW w:w="903" w:type="pct"/>
            <w:vMerge w:val="restar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一分部</w:t>
            </w: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项目经理</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倪兵</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13958500571</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2</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项目技术负责人</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赵超</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18171030099</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3</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生产副经理</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董泊宁</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18020117430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4</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邵威</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18867931625</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5</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副总工</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宋体" w:cs="宋体"/>
                <w:bCs/>
                <w:iCs/>
                <w:sz w:val="21"/>
                <w:szCs w:val="22"/>
                <w:lang w:val="en-US" w:eastAsia="zh-CN" w:bidi="ar-SA"/>
              </w:rPr>
              <w:t>李道伟</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13866177365</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6</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工程部部长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王传发</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15057489351</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7</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朱黄林</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18756052928</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8</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谢振说</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18757742885</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9</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合同部部长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郑晓轶</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15676149857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10</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机料部部长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朱遂</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17338926820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11</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赵俊武</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13588261016</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12</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袁卫平</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15996832107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13</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杨发明</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15355439177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14</w:t>
            </w:r>
          </w:p>
        </w:tc>
        <w:tc>
          <w:tcPr>
            <w:tcW w:w="903" w:type="pct"/>
            <w:vMerge w:val="restar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二分部</w:t>
            </w: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常务副经理</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肖冰</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18679669600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15</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桥梁负责人</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刘盼</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18876699584</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16</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王瑜</w:t>
            </w:r>
          </w:p>
        </w:tc>
        <w:tc>
          <w:tcPr>
            <w:tcW w:w="1085" w:type="pct"/>
            <w:shd w:val="clear" w:color="auto" w:fill="BDD6EE"/>
            <w:vAlign w:val="center"/>
          </w:tcPr>
          <w:p>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19106865569</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17</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欧阳孝桂</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18175844740</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18</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庞令</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18817006177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19</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技术部部长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张学伟</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13016485367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20</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陈慰贤</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18982453272</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21</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于全志</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15184241298</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22</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安全环保部部长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刘旭东</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15135228642</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23</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张林华</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18434164658</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24</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合约部部长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刘齐</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13970458997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25</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物资部部长</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李科</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17602636886</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26</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王佳龙</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18785745749</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r>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27</w:t>
            </w:r>
          </w:p>
        </w:tc>
        <w:tc>
          <w:tcPr>
            <w:tcW w:w="903" w:type="pct"/>
            <w:vMerge w:val="continue"/>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毛文峰</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15707303737</w:t>
            </w:r>
          </w:p>
        </w:tc>
        <w:tc>
          <w:tcPr>
            <w:tcW w:w="1085" w:type="pct"/>
            <w:shd w:val="clear" w:color="auto" w:fill="BDD6EE"/>
            <w:vAlign w:val="center"/>
          </w:tcPr>
          <w:p>
            <w:pPr>
              <w:widowControl w:val="0"/>
              <w:jc w:val="center"/>
              <w:rPr>
                <w:rFonts w:ascii="Times New Roman" w:hAnsi="Times New Roman" w:eastAsia="宋体" w:cs="Times New Roman"/>
                <w:bCs/>
                <w:iCs/>
                <w:sz w:val="21"/>
                <w:szCs w:val="22"/>
                <w:lang w:val="en-US" w:eastAsia="zh-CN" w:bidi="ar-SA"/>
              </w:rPr>
            </w:pPr>
          </w:p>
        </w:tc>
      </w:tr>
    </w:tbl>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76" w:name="_GoBack"/>
      <w:bookmarkEnd w:id="176"/>
      <w:r>
        <w:rPr>
          <w:rFonts w:hint="eastAsia" w:ascii="宋体" w:hAnsi="宋体" w:eastAsia="宋体" w:cs="宋体"/>
          <w:sz w:val="24"/>
          <w:szCs w:val="24"/>
        </w:rPr>
        <w:t>保证措施</w:t>
      </w:r>
      <w:bookmarkEnd w:id="160"/>
      <w:bookmarkEnd w:id="161"/>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环保施工保证措施</w:t>
      </w:r>
    </w:p>
    <w:p>
      <w:pPr>
        <w:bidi w:val="0"/>
        <w:rPr>
          <w:rFonts w:hint="eastAsia"/>
        </w:rPr>
      </w:pPr>
      <w:r>
        <w:rPr>
          <w:rFonts w:hint="eastAsia"/>
        </w:rPr>
        <w:t>环境保护是生态平衡的保证，是我国重要国策，我们本着干一项实事工程，造福一方的宗旨，把环境保护作为工程施工的一项重要组成部分，为了减少或避免施工对环境的破坏，通过对本工程周围地理环境，加上我们同类工程施工的环保经验，对于环境保护主要从以下几方面，加强管理和采取具体环境保护措施。</w:t>
      </w:r>
    </w:p>
    <w:p>
      <w:pPr>
        <w:bidi w:val="0"/>
        <w:rPr>
          <w:rFonts w:hint="eastAsia"/>
        </w:rPr>
      </w:pPr>
      <w:r>
        <w:rPr>
          <w:rFonts w:hint="eastAsia"/>
        </w:rPr>
        <w:t>施工期大气及噪声污染对居民基本不产生影响，主要影响施工人员；环境保护的重点是防止对海水的污染和生态环境的保护。施工期的环境影响是短暂的、可逆的，随着施工期的结束而终止。</w:t>
      </w:r>
    </w:p>
    <w:p>
      <w:pPr>
        <w:pStyle w:val="5"/>
        <w:bidi w:val="0"/>
        <w:rPr>
          <w:rFonts w:hint="eastAsia" w:ascii="宋体" w:hAnsi="宋体" w:eastAsia="宋体" w:cs="宋体"/>
        </w:rPr>
      </w:pPr>
      <w:r>
        <w:rPr>
          <w:rFonts w:hint="eastAsia" w:ascii="宋体" w:hAnsi="宋体" w:eastAsia="宋体" w:cs="宋体"/>
        </w:rPr>
        <w:t>大气污染控制</w:t>
      </w:r>
    </w:p>
    <w:p>
      <w:pPr>
        <w:pStyle w:val="6"/>
        <w:bidi w:val="0"/>
        <w:rPr>
          <w:rFonts w:hint="eastAsia" w:ascii="宋体" w:hAnsi="宋体" w:eastAsia="宋体" w:cs="宋体"/>
        </w:rPr>
      </w:pPr>
      <w:r>
        <w:rPr>
          <w:rFonts w:hint="eastAsia" w:ascii="宋体" w:hAnsi="宋体" w:eastAsia="宋体" w:cs="宋体"/>
        </w:rPr>
        <w:t>选用符合国家卫生防护标准的施工机械设备和运输工具，确保其废气排放符合国家有关标准。对易产生粉尘、扬尘的作业面和装卸、运输过程，制定操作规程和洒水降尘制度。</w:t>
      </w:r>
    </w:p>
    <w:p>
      <w:pPr>
        <w:pStyle w:val="6"/>
        <w:bidi w:val="0"/>
        <w:rPr>
          <w:rFonts w:hint="eastAsia" w:ascii="宋体" w:hAnsi="宋体" w:eastAsia="宋体" w:cs="宋体"/>
        </w:rPr>
      </w:pPr>
      <w:r>
        <w:rPr>
          <w:rFonts w:hint="eastAsia" w:ascii="宋体" w:hAnsi="宋体" w:eastAsia="宋体" w:cs="宋体"/>
        </w:rPr>
        <w:t>严禁在施工现场焚烧任何废弃物和会产生有毒有害气体、烟尘，臭气的物质。</w:t>
      </w:r>
    </w:p>
    <w:p>
      <w:pPr>
        <w:pStyle w:val="6"/>
        <w:bidi w:val="0"/>
        <w:rPr>
          <w:rFonts w:hint="eastAsia" w:ascii="宋体" w:hAnsi="宋体" w:eastAsia="宋体" w:cs="宋体"/>
        </w:rPr>
      </w:pPr>
      <w:r>
        <w:rPr>
          <w:rFonts w:hint="eastAsia" w:ascii="宋体" w:hAnsi="宋体" w:eastAsia="宋体" w:cs="宋体"/>
        </w:rPr>
        <w:t>对施工人员采取防护和劳动保护，如缩短工作时间和发放防尘口罩等。</w:t>
      </w:r>
    </w:p>
    <w:p>
      <w:pPr>
        <w:pStyle w:val="6"/>
        <w:bidi w:val="0"/>
        <w:rPr>
          <w:rFonts w:hint="eastAsia" w:ascii="宋体" w:hAnsi="宋体" w:eastAsia="宋体" w:cs="宋体"/>
        </w:rPr>
      </w:pPr>
      <w:r>
        <w:rPr>
          <w:rFonts w:hint="eastAsia" w:ascii="宋体" w:hAnsi="宋体" w:eastAsia="宋体" w:cs="宋体"/>
        </w:rPr>
        <w:t>柴油机废气的排放按国家排放标准。</w:t>
      </w:r>
    </w:p>
    <w:p>
      <w:pPr>
        <w:pStyle w:val="5"/>
        <w:bidi w:val="0"/>
        <w:rPr>
          <w:rFonts w:hint="eastAsia" w:ascii="宋体" w:hAnsi="宋体" w:eastAsia="宋体" w:cs="宋体"/>
        </w:rPr>
      </w:pPr>
      <w:r>
        <w:rPr>
          <w:rFonts w:hint="eastAsia" w:ascii="宋体" w:hAnsi="宋体" w:eastAsia="宋体" w:cs="宋体"/>
        </w:rPr>
        <w:t>固体废弃物排放控制</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固体废弃物的主要来源是施工边角料、生活区垃圾等。固体废弃物的处理不当会对水域及环境卫生造成影响。</w:t>
      </w:r>
    </w:p>
    <w:p>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具体措施：</w:t>
      </w:r>
    </w:p>
    <w:p>
      <w:pPr>
        <w:pStyle w:val="6"/>
        <w:bidi w:val="0"/>
        <w:rPr>
          <w:rFonts w:hint="eastAsia" w:ascii="宋体" w:hAnsi="宋体" w:eastAsia="宋体" w:cs="宋体"/>
        </w:rPr>
      </w:pPr>
      <w:r>
        <w:rPr>
          <w:rFonts w:hint="eastAsia" w:ascii="宋体" w:hAnsi="宋体" w:eastAsia="宋体" w:cs="宋体"/>
        </w:rPr>
        <w:t>制定废渣的处理、处置方案，按照法规要求选择有资质的运输单位，及时清运施工垃圾，建立登记制度，防止中途倾倒事件发生并做到运输途中不撒落。</w:t>
      </w:r>
    </w:p>
    <w:p>
      <w:pPr>
        <w:pStyle w:val="6"/>
        <w:bidi w:val="0"/>
        <w:rPr>
          <w:rFonts w:hint="eastAsia" w:ascii="宋体" w:hAnsi="宋体" w:eastAsia="宋体" w:cs="宋体"/>
        </w:rPr>
      </w:pPr>
      <w:r>
        <w:rPr>
          <w:rFonts w:hint="eastAsia" w:ascii="宋体" w:hAnsi="宋体" w:eastAsia="宋体" w:cs="宋体"/>
        </w:rPr>
        <w:t>选择对外环境影响小的出土口、运输路线和运输时间。弃土不得随意堆放，须运至指定弃土场。</w:t>
      </w:r>
    </w:p>
    <w:p>
      <w:pPr>
        <w:pStyle w:val="6"/>
        <w:bidi w:val="0"/>
        <w:rPr>
          <w:rFonts w:hint="eastAsia" w:ascii="宋体" w:hAnsi="宋体" w:eastAsia="宋体" w:cs="宋体"/>
        </w:rPr>
      </w:pPr>
      <w:r>
        <w:rPr>
          <w:rFonts w:hint="eastAsia" w:ascii="宋体" w:hAnsi="宋体" w:eastAsia="宋体" w:cs="宋体"/>
        </w:rPr>
        <w:t>施工现场设垃圾站，各类垃圾及时清扫、清运，不得随意倾倒，尽量做到每班清扫、每日清运。施工和生活中的废弃物经当地环保部门同意后，运至指定地点。将工地生活区的生活垃圾、工程废料及废油分类堆放处理。</w:t>
      </w:r>
    </w:p>
    <w:p>
      <w:pPr>
        <w:pStyle w:val="6"/>
        <w:bidi w:val="0"/>
        <w:rPr>
          <w:rFonts w:hint="eastAsia" w:ascii="宋体" w:hAnsi="宋体" w:eastAsia="宋体" w:cs="宋体"/>
        </w:rPr>
      </w:pPr>
      <w:r>
        <w:rPr>
          <w:rFonts w:hint="eastAsia" w:ascii="宋体" w:hAnsi="宋体" w:eastAsia="宋体" w:cs="宋体"/>
        </w:rPr>
        <w:t>教育施工人员养成良好的卫生习惯，不随地乱丢垃圾、杂物，保持工作和生活环境的整洁。工地设置厕所，派专人清理打扫，并定期对周围喷药消毒，以防蛀蝇滋生，病毒增生。</w:t>
      </w:r>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文明施工保证措施</w:t>
      </w:r>
    </w:p>
    <w:p>
      <w:pPr>
        <w:pStyle w:val="5"/>
        <w:bidi w:val="0"/>
        <w:rPr>
          <w:rFonts w:hint="eastAsia" w:ascii="宋体" w:hAnsi="宋体" w:eastAsia="宋体" w:cs="宋体"/>
        </w:rPr>
      </w:pPr>
      <w:bookmarkStart w:id="162" w:name="_Hlk101684250"/>
      <w:r>
        <w:rPr>
          <w:rFonts w:hint="eastAsia" w:ascii="宋体" w:hAnsi="宋体" w:eastAsia="宋体" w:cs="宋体"/>
        </w:rPr>
        <w:t>施工现场用电线路、用电设施的安装和使用，必须符合国家规范和用电安全操作规程。</w:t>
      </w:r>
    </w:p>
    <w:p>
      <w:pPr>
        <w:pStyle w:val="5"/>
        <w:bidi w:val="0"/>
        <w:rPr>
          <w:rFonts w:hint="eastAsia" w:ascii="宋体" w:hAnsi="宋体" w:eastAsia="宋体" w:cs="宋体"/>
        </w:rPr>
      </w:pPr>
      <w:r>
        <w:rPr>
          <w:rFonts w:hint="eastAsia" w:ascii="宋体" w:hAnsi="宋体" w:eastAsia="宋体" w:cs="宋体"/>
        </w:rPr>
        <w:t>施工机械的摆放应按照施工总平面布置图规定的位置，不得任意停放。机械操作人员必须建立人机合一责任制，持证上岗，严禁无证操作。</w:t>
      </w:r>
    </w:p>
    <w:p>
      <w:pPr>
        <w:pStyle w:val="5"/>
        <w:bidi w:val="0"/>
        <w:rPr>
          <w:rFonts w:hint="eastAsia" w:ascii="宋体" w:hAnsi="宋体" w:eastAsia="宋体" w:cs="宋体"/>
        </w:rPr>
      </w:pPr>
      <w:r>
        <w:rPr>
          <w:rFonts w:hint="eastAsia" w:ascii="宋体" w:hAnsi="宋体" w:eastAsia="宋体" w:cs="宋体"/>
        </w:rPr>
        <w:t>施工现场道路畅通，排水设施处于良好的使用状态，防止粉尘和噪音。</w:t>
      </w:r>
    </w:p>
    <w:p>
      <w:pPr>
        <w:pStyle w:val="5"/>
        <w:bidi w:val="0"/>
        <w:rPr>
          <w:rFonts w:hint="eastAsia" w:ascii="宋体" w:hAnsi="宋体" w:eastAsia="宋体" w:cs="宋体"/>
        </w:rPr>
      </w:pPr>
      <w:r>
        <w:rPr>
          <w:rFonts w:hint="eastAsia" w:ascii="宋体" w:hAnsi="宋体" w:eastAsia="宋体" w:cs="宋体"/>
        </w:rPr>
        <w:t>所有外露金属结构均需进行防锈处理。</w:t>
      </w:r>
    </w:p>
    <w:p>
      <w:pPr>
        <w:pStyle w:val="5"/>
        <w:bidi w:val="0"/>
        <w:rPr>
          <w:rFonts w:hint="eastAsia" w:ascii="宋体" w:hAnsi="宋体" w:eastAsia="宋体" w:cs="宋体"/>
        </w:rPr>
      </w:pPr>
      <w:r>
        <w:rPr>
          <w:rFonts w:hint="eastAsia" w:ascii="宋体" w:hAnsi="宋体" w:eastAsia="宋体" w:cs="宋体"/>
        </w:rPr>
        <w:t>施工临时设施按业主指定的地点建设，必须要与周围环境协调，做到经济、美观、实用，施工区域有醒目的安全警示标志，做到明显、清晰、规范。</w:t>
      </w:r>
    </w:p>
    <w:p>
      <w:pPr>
        <w:pStyle w:val="5"/>
        <w:bidi w:val="0"/>
        <w:rPr>
          <w:rFonts w:hint="eastAsia" w:ascii="宋体" w:hAnsi="宋体" w:eastAsia="宋体" w:cs="宋体"/>
        </w:rPr>
      </w:pPr>
      <w:r>
        <w:rPr>
          <w:rFonts w:hint="eastAsia" w:ascii="宋体" w:hAnsi="宋体" w:eastAsia="宋体" w:cs="宋体"/>
        </w:rPr>
        <w:t>各种施工材料定点分区分类堆码整齐，各种标识牌清楚明了，特别是摆放到现场的半成品材料、构件决不可乱堆乱放，影响美观。</w:t>
      </w:r>
    </w:p>
    <w:p>
      <w:pPr>
        <w:pStyle w:val="5"/>
        <w:bidi w:val="0"/>
        <w:rPr>
          <w:rFonts w:hint="eastAsia" w:ascii="宋体" w:hAnsi="宋体" w:eastAsia="宋体" w:cs="宋体"/>
        </w:rPr>
      </w:pPr>
      <w:r>
        <w:rPr>
          <w:rFonts w:hint="eastAsia" w:ascii="宋体" w:hAnsi="宋体" w:eastAsia="宋体" w:cs="宋体"/>
        </w:rPr>
        <w:t>施工现场各工种（岗位）安全职责及操作规程张挂于作业地点；各机械设备的安全操作规程张挂于设备上或设备作业地点。</w:t>
      </w:r>
    </w:p>
    <w:p>
      <w:pPr>
        <w:pStyle w:val="5"/>
        <w:bidi w:val="0"/>
        <w:rPr>
          <w:rFonts w:hint="eastAsia" w:ascii="宋体" w:hAnsi="宋体" w:eastAsia="宋体" w:cs="宋体"/>
        </w:rPr>
      </w:pPr>
      <w:r>
        <w:rPr>
          <w:rFonts w:hint="eastAsia" w:ascii="宋体" w:hAnsi="宋体" w:eastAsia="宋体" w:cs="宋体"/>
        </w:rPr>
        <w:t>危险作业的场所应悬挂或张贴危险警示标志，并悬挂灭火器。</w:t>
      </w:r>
    </w:p>
    <w:p>
      <w:pPr>
        <w:pStyle w:val="5"/>
        <w:bidi w:val="0"/>
        <w:rPr>
          <w:rFonts w:hint="eastAsia" w:ascii="宋体" w:hAnsi="宋体" w:eastAsia="宋体" w:cs="宋体"/>
        </w:rPr>
      </w:pPr>
      <w:r>
        <w:rPr>
          <w:rFonts w:hint="eastAsia" w:ascii="宋体" w:hAnsi="宋体" w:eastAsia="宋体" w:cs="宋体"/>
        </w:rPr>
        <w:t>施工现场的所有人员须佩证上岗，安全员的佩证为红色以示醒目。</w:t>
      </w:r>
    </w:p>
    <w:p>
      <w:pPr>
        <w:pStyle w:val="5"/>
        <w:bidi w:val="0"/>
        <w:rPr>
          <w:rFonts w:hint="eastAsia" w:ascii="宋体" w:hAnsi="宋体" w:eastAsia="宋体" w:cs="宋体"/>
        </w:rPr>
      </w:pPr>
      <w:r>
        <w:rPr>
          <w:rFonts w:hint="eastAsia" w:ascii="宋体" w:hAnsi="宋体" w:eastAsia="宋体" w:cs="宋体"/>
        </w:rPr>
        <w:t>所有特种人员（如电工、起重、电气焊、场内机械驾驶等）须持国家主管部门颁发的操作证上岗操作，有关证件报备齐全并经查验合格后方可进行相关作业。</w:t>
      </w:r>
    </w:p>
    <w:p>
      <w:pPr>
        <w:pStyle w:val="5"/>
        <w:bidi w:val="0"/>
        <w:rPr>
          <w:rFonts w:hint="eastAsia" w:ascii="宋体" w:hAnsi="宋体" w:eastAsia="宋体" w:cs="宋体"/>
        </w:rPr>
      </w:pPr>
      <w:r>
        <w:rPr>
          <w:rFonts w:hint="eastAsia" w:ascii="宋体" w:hAnsi="宋体" w:eastAsia="宋体" w:cs="宋体"/>
        </w:rPr>
        <w:t>施工作业范围内设置应明显警示标志，夜间悬挂警示红灯。</w:t>
      </w:r>
    </w:p>
    <w:p>
      <w:pPr>
        <w:pStyle w:val="5"/>
        <w:bidi w:val="0"/>
        <w:rPr>
          <w:rFonts w:hint="eastAsia" w:ascii="宋体" w:hAnsi="宋体" w:eastAsia="宋体" w:cs="宋体"/>
        </w:rPr>
      </w:pPr>
      <w:r>
        <w:rPr>
          <w:rFonts w:hint="eastAsia" w:ascii="宋体" w:hAnsi="宋体" w:eastAsia="宋体" w:cs="宋体"/>
        </w:rPr>
        <w:t>钢筋笼吊装过程中作业人员不得在吊物下方作业。</w:t>
      </w:r>
    </w:p>
    <w:p>
      <w:pPr>
        <w:pStyle w:val="5"/>
        <w:bidi w:val="0"/>
        <w:rPr>
          <w:rFonts w:hint="eastAsia" w:ascii="宋体" w:hAnsi="宋体" w:eastAsia="宋体" w:cs="宋体"/>
        </w:rPr>
      </w:pPr>
      <w:r>
        <w:rPr>
          <w:rFonts w:hint="eastAsia" w:ascii="宋体" w:hAnsi="宋体" w:eastAsia="宋体" w:cs="宋体"/>
        </w:rPr>
        <w:t>钢筋堆放要整齐，割下的内撑要及时转回后场。</w:t>
      </w:r>
    </w:p>
    <w:p>
      <w:pPr>
        <w:pStyle w:val="5"/>
        <w:bidi w:val="0"/>
        <w:rPr>
          <w:rFonts w:hint="eastAsia" w:ascii="宋体" w:hAnsi="宋体" w:eastAsia="宋体" w:cs="宋体"/>
        </w:rPr>
      </w:pPr>
      <w:r>
        <w:rPr>
          <w:rFonts w:hint="eastAsia" w:ascii="宋体" w:hAnsi="宋体" w:eastAsia="宋体" w:cs="宋体"/>
        </w:rPr>
        <w:t>混凝土浇注过程中，对浇注作业范围内场地及时清理，浇注完后对浇注工具清洗。</w:t>
      </w:r>
    </w:p>
    <w:p>
      <w:pPr>
        <w:pStyle w:val="5"/>
        <w:bidi w:val="0"/>
        <w:rPr>
          <w:rFonts w:hint="eastAsia" w:ascii="宋体" w:hAnsi="宋体" w:eastAsia="宋体" w:cs="宋体"/>
        </w:rPr>
      </w:pPr>
      <w:r>
        <w:rPr>
          <w:rFonts w:hint="eastAsia" w:ascii="宋体" w:hAnsi="宋体" w:eastAsia="宋体" w:cs="宋体"/>
        </w:rPr>
        <w:t>电缆线接头应绑扎牢固，不得透水、漏电；电缆线不得浸泡于水、泥浆中，不得挤压电缆线及风水管路。</w:t>
      </w:r>
    </w:p>
    <w:p>
      <w:pPr>
        <w:pStyle w:val="5"/>
        <w:bidi w:val="0"/>
        <w:rPr>
          <w:rFonts w:hint="eastAsia" w:ascii="宋体" w:hAnsi="宋体" w:eastAsia="宋体" w:cs="宋体"/>
        </w:rPr>
      </w:pPr>
      <w:r>
        <w:rPr>
          <w:rFonts w:hint="eastAsia" w:ascii="宋体" w:hAnsi="宋体" w:eastAsia="宋体" w:cs="宋体"/>
        </w:rPr>
        <w:t>钢筋笼在运输过程中须有专人监护，在运输平板车上的固定措施须可靠、有效，钢筋尾端挂设警示标识牌。</w:t>
      </w:r>
    </w:p>
    <w:p>
      <w:pPr>
        <w:pStyle w:val="5"/>
        <w:bidi w:val="0"/>
        <w:rPr>
          <w:rFonts w:hint="eastAsia" w:ascii="宋体" w:hAnsi="宋体" w:eastAsia="宋体" w:cs="宋体"/>
        </w:rPr>
      </w:pPr>
      <w:r>
        <w:rPr>
          <w:rFonts w:hint="eastAsia" w:ascii="宋体" w:hAnsi="宋体" w:eastAsia="宋体" w:cs="宋体"/>
        </w:rPr>
        <w:t>施工作业前及时对施工作业人员进行有针对性的安全教育及安全技术交底，并留存教育及交底签字记录等资料。</w:t>
      </w:r>
      <w:bookmarkEnd w:id="158"/>
      <w:bookmarkEnd w:id="159"/>
      <w:bookmarkEnd w:id="162"/>
    </w:p>
    <w:p>
      <w:pPr>
        <w:pStyle w:val="2"/>
        <w:keepNext w:val="0"/>
        <w:widowControl w:val="0"/>
        <w:numPr>
          <w:ilvl w:val="0"/>
          <w:numId w:val="18"/>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63" w:name="_Toc12062"/>
      <w:bookmarkStart w:id="164" w:name="_Toc15191"/>
      <w:r>
        <w:rPr>
          <w:rFonts w:hint="eastAsia" w:ascii="宋体" w:hAnsi="宋体" w:eastAsia="宋体" w:cs="宋体"/>
          <w:sz w:val="24"/>
          <w:szCs w:val="24"/>
        </w:rPr>
        <w:t>计算书</w:t>
      </w:r>
      <w:bookmarkEnd w:id="163"/>
      <w:bookmarkEnd w:id="164"/>
    </w:p>
    <w:p>
      <w:pPr>
        <w:pStyle w:val="3"/>
        <w:keepNext w:val="0"/>
        <w:widowControl w:val="0"/>
        <w:numPr>
          <w:ilvl w:val="1"/>
          <w:numId w:val="1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65" w:name="_Toc4152"/>
      <w:bookmarkStart w:id="166" w:name="_Toc8152"/>
      <w:r>
        <w:rPr>
          <w:rFonts w:hint="eastAsia" w:ascii="宋体" w:hAnsi="宋体" w:eastAsia="宋体" w:cs="宋体"/>
          <w:sz w:val="24"/>
          <w:szCs w:val="24"/>
        </w:rPr>
        <w:t>选用的吊索受力计算</w:t>
      </w:r>
      <w:bookmarkEnd w:id="165"/>
      <w:bookmarkEnd w:id="166"/>
    </w:p>
    <w:p>
      <w:pPr>
        <w:pStyle w:val="4"/>
        <w:keepNext w:val="0"/>
        <w:widowControl w:val="0"/>
        <w:numPr>
          <w:ilvl w:val="2"/>
          <w:numId w:val="1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167" w:name="_Toc7720"/>
      <w:bookmarkStart w:id="168" w:name="_Toc4403"/>
      <w:bookmarkStart w:id="169" w:name="_Toc21344"/>
      <w:bookmarkStart w:id="170" w:name="_Toc19094"/>
      <w:bookmarkStart w:id="171" w:name="_Toc10409856"/>
      <w:bookmarkStart w:id="172" w:name="_Toc4685"/>
      <w:r>
        <w:rPr>
          <w:rFonts w:hint="eastAsia" w:ascii="宋体" w:hAnsi="宋体" w:eastAsia="宋体" w:cs="宋体"/>
          <w:sz w:val="24"/>
          <w:szCs w:val="24"/>
        </w:rPr>
        <w:t>钢丝绳选型计算</w:t>
      </w:r>
      <w:bookmarkEnd w:id="167"/>
    </w:p>
    <w:p>
      <w:pPr>
        <w:pStyle w:val="5"/>
        <w:bidi w:val="0"/>
        <w:rPr>
          <w:rFonts w:hint="eastAsia" w:ascii="宋体" w:hAnsi="宋体" w:eastAsia="宋体" w:cs="宋体"/>
        </w:rPr>
      </w:pPr>
      <w:bookmarkStart w:id="173" w:name="_Toc16842"/>
      <w:r>
        <w:rPr>
          <w:rFonts w:hint="eastAsia" w:ascii="宋体" w:hAnsi="宋体" w:eastAsia="宋体" w:cs="宋体"/>
        </w:rPr>
        <w:t>钢丝绳选型依据</w:t>
      </w:r>
      <w:bookmarkEnd w:id="173"/>
    </w:p>
    <w:bookmarkEnd w:id="168"/>
    <w:bookmarkEnd w:id="169"/>
    <w:bookmarkEnd w:id="170"/>
    <w:bookmarkEnd w:id="171"/>
    <w:bookmarkEnd w:id="172"/>
    <w:p>
      <w:pPr>
        <w:widowControl w:val="0"/>
        <w:adjustRightInd/>
        <w:snapToGrid/>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根据</w:t>
      </w:r>
      <w:r>
        <w:rPr>
          <w:rFonts w:hint="eastAsia" w:ascii="宋体" w:hAnsi="宋体" w:eastAsia="宋体" w:cs="宋体"/>
          <w:b w:val="0"/>
          <w:bCs w:val="0"/>
          <w:color w:val="auto"/>
          <w:sz w:val="24"/>
          <w:szCs w:val="24"/>
          <w:lang w:eastAsia="zh-CN"/>
        </w:rPr>
        <w:t>塔机说明书得知</w:t>
      </w:r>
      <w:r>
        <w:rPr>
          <w:rFonts w:hint="eastAsia" w:ascii="宋体" w:hAnsi="宋体" w:eastAsia="宋体" w:cs="宋体"/>
          <w:b w:val="0"/>
          <w:bCs w:val="0"/>
          <w:color w:val="auto"/>
          <w:sz w:val="24"/>
          <w:szCs w:val="24"/>
        </w:rPr>
        <w:t>，基础节总成、爬升架、</w:t>
      </w:r>
      <w:r>
        <w:rPr>
          <w:rFonts w:hint="eastAsia" w:ascii="宋体" w:hAnsi="宋体" w:eastAsia="宋体" w:cs="宋体"/>
          <w:b w:val="0"/>
          <w:bCs w:val="0"/>
          <w:color w:val="auto"/>
          <w:sz w:val="24"/>
          <w:szCs w:val="24"/>
          <w:lang w:eastAsia="zh-CN"/>
        </w:rPr>
        <w:t>回转</w:t>
      </w:r>
      <w:r>
        <w:rPr>
          <w:rFonts w:hint="eastAsia" w:ascii="宋体" w:hAnsi="宋体" w:eastAsia="宋体" w:cs="宋体"/>
          <w:b w:val="0"/>
          <w:bCs w:val="0"/>
          <w:color w:val="auto"/>
          <w:sz w:val="24"/>
          <w:szCs w:val="24"/>
        </w:rPr>
        <w:t>总成、</w:t>
      </w:r>
      <w:r>
        <w:rPr>
          <w:rFonts w:hint="eastAsia" w:ascii="宋体" w:hAnsi="宋体" w:eastAsia="宋体" w:cs="宋体"/>
          <w:b w:val="0"/>
          <w:bCs w:val="0"/>
          <w:color w:val="auto"/>
          <w:sz w:val="24"/>
          <w:szCs w:val="24"/>
          <w:lang w:eastAsia="zh-CN"/>
        </w:rPr>
        <w:t>回转</w:t>
      </w:r>
      <w:r>
        <w:rPr>
          <w:rFonts w:hint="eastAsia" w:ascii="宋体" w:hAnsi="宋体" w:eastAsia="宋体" w:cs="宋体"/>
          <w:b w:val="0"/>
          <w:bCs w:val="0"/>
          <w:color w:val="auto"/>
          <w:sz w:val="24"/>
          <w:szCs w:val="24"/>
        </w:rPr>
        <w:t>塔</w:t>
      </w:r>
      <w:r>
        <w:rPr>
          <w:rFonts w:hint="eastAsia" w:ascii="宋体" w:hAnsi="宋体" w:eastAsia="宋体" w:cs="宋体"/>
          <w:b w:val="0"/>
          <w:bCs w:val="0"/>
          <w:color w:val="auto"/>
          <w:sz w:val="24"/>
          <w:szCs w:val="24"/>
          <w:lang w:eastAsia="zh-CN"/>
        </w:rPr>
        <w:t>身</w:t>
      </w:r>
      <w:r>
        <w:rPr>
          <w:rFonts w:hint="eastAsia" w:ascii="宋体" w:hAnsi="宋体" w:eastAsia="宋体" w:cs="宋体"/>
          <w:b w:val="0"/>
          <w:bCs w:val="0"/>
          <w:color w:val="auto"/>
          <w:sz w:val="24"/>
          <w:szCs w:val="24"/>
        </w:rPr>
        <w:t>等构件的结构形形式类似，吊装选用的吊</w:t>
      </w:r>
      <w:r>
        <w:rPr>
          <w:rFonts w:hint="eastAsia" w:ascii="宋体" w:hAnsi="宋体" w:eastAsia="宋体" w:cs="宋体"/>
          <w:b w:val="0"/>
          <w:bCs w:val="0"/>
          <w:color w:val="auto"/>
          <w:sz w:val="24"/>
          <w:szCs w:val="24"/>
          <w:lang w:eastAsia="zh-CN"/>
        </w:rPr>
        <w:t>索</w:t>
      </w:r>
      <w:r>
        <w:rPr>
          <w:rFonts w:hint="eastAsia" w:ascii="宋体" w:hAnsi="宋体" w:eastAsia="宋体" w:cs="宋体"/>
          <w:b w:val="0"/>
          <w:bCs w:val="0"/>
          <w:color w:val="auto"/>
          <w:sz w:val="24"/>
          <w:szCs w:val="24"/>
        </w:rPr>
        <w:t>一样</w:t>
      </w:r>
      <w:r>
        <w:rPr>
          <w:rFonts w:hint="eastAsia" w:ascii="宋体" w:hAnsi="宋体" w:eastAsia="宋体" w:cs="宋体"/>
          <w:b w:val="0"/>
          <w:bCs w:val="0"/>
          <w:color w:val="auto"/>
          <w:sz w:val="24"/>
          <w:szCs w:val="24"/>
          <w:lang w:eastAsia="zh-CN"/>
        </w:rPr>
        <w:t>，回转总成重量最重</w:t>
      </w:r>
      <w:r>
        <w:rPr>
          <w:rFonts w:hint="eastAsia" w:ascii="宋体" w:hAnsi="宋体" w:eastAsia="宋体" w:cs="宋体"/>
          <w:b w:val="0"/>
          <w:bCs w:val="0"/>
          <w:color w:val="auto"/>
          <w:sz w:val="24"/>
          <w:szCs w:val="24"/>
        </w:rPr>
        <w:t>，因此，选择对</w:t>
      </w:r>
      <w:r>
        <w:rPr>
          <w:rFonts w:hint="eastAsia" w:ascii="宋体" w:hAnsi="宋体" w:eastAsia="宋体" w:cs="宋体"/>
          <w:b w:val="0"/>
          <w:bCs w:val="0"/>
          <w:color w:val="auto"/>
          <w:sz w:val="24"/>
          <w:szCs w:val="24"/>
          <w:lang w:eastAsia="zh-CN"/>
        </w:rPr>
        <w:t>回转总成</w:t>
      </w:r>
      <w:r>
        <w:rPr>
          <w:rFonts w:hint="eastAsia" w:ascii="宋体" w:hAnsi="宋体" w:eastAsia="宋体" w:cs="宋体"/>
          <w:b w:val="0"/>
          <w:bCs w:val="0"/>
          <w:color w:val="auto"/>
          <w:sz w:val="24"/>
          <w:szCs w:val="24"/>
        </w:rPr>
        <w:t>吊装时吊</w:t>
      </w:r>
      <w:r>
        <w:rPr>
          <w:rFonts w:hint="eastAsia" w:ascii="宋体" w:hAnsi="宋体" w:eastAsia="宋体" w:cs="宋体"/>
          <w:b w:val="0"/>
          <w:bCs w:val="0"/>
          <w:color w:val="auto"/>
          <w:sz w:val="24"/>
          <w:szCs w:val="24"/>
          <w:lang w:eastAsia="zh-CN"/>
        </w:rPr>
        <w:t>索</w:t>
      </w:r>
      <w:r>
        <w:rPr>
          <w:rFonts w:hint="eastAsia" w:ascii="宋体" w:hAnsi="宋体" w:eastAsia="宋体" w:cs="宋体"/>
          <w:b w:val="0"/>
          <w:bCs w:val="0"/>
          <w:color w:val="auto"/>
          <w:sz w:val="24"/>
          <w:szCs w:val="24"/>
        </w:rPr>
        <w:t>的验算，如果</w:t>
      </w:r>
      <w:r>
        <w:rPr>
          <w:rFonts w:hint="eastAsia" w:ascii="宋体" w:hAnsi="宋体" w:eastAsia="宋体" w:cs="宋体"/>
          <w:b w:val="0"/>
          <w:bCs w:val="0"/>
          <w:color w:val="auto"/>
          <w:sz w:val="24"/>
          <w:szCs w:val="24"/>
          <w:lang w:eastAsia="zh-CN"/>
        </w:rPr>
        <w:t>回转</w:t>
      </w:r>
      <w:r>
        <w:rPr>
          <w:rFonts w:hint="eastAsia" w:ascii="宋体" w:hAnsi="宋体" w:eastAsia="宋体" w:cs="宋体"/>
          <w:b w:val="0"/>
          <w:bCs w:val="0"/>
          <w:color w:val="auto"/>
          <w:sz w:val="24"/>
          <w:szCs w:val="24"/>
        </w:rPr>
        <w:t>的吊</w:t>
      </w:r>
      <w:r>
        <w:rPr>
          <w:rFonts w:hint="eastAsia" w:ascii="宋体" w:hAnsi="宋体" w:eastAsia="宋体" w:cs="宋体"/>
          <w:b w:val="0"/>
          <w:bCs w:val="0"/>
          <w:color w:val="auto"/>
          <w:sz w:val="24"/>
          <w:szCs w:val="24"/>
          <w:lang w:eastAsia="zh-CN"/>
        </w:rPr>
        <w:t>索</w:t>
      </w:r>
      <w:r>
        <w:rPr>
          <w:rFonts w:hint="eastAsia" w:ascii="宋体" w:hAnsi="宋体" w:eastAsia="宋体" w:cs="宋体"/>
          <w:b w:val="0"/>
          <w:bCs w:val="0"/>
          <w:color w:val="auto"/>
          <w:sz w:val="24"/>
          <w:szCs w:val="24"/>
        </w:rPr>
        <w:t>能满足</w:t>
      </w:r>
      <w:r>
        <w:rPr>
          <w:rFonts w:hint="eastAsia" w:ascii="宋体" w:hAnsi="宋体" w:eastAsia="宋体" w:cs="宋体"/>
          <w:b w:val="0"/>
          <w:bCs w:val="0"/>
          <w:color w:val="auto"/>
          <w:sz w:val="24"/>
          <w:szCs w:val="24"/>
          <w:lang w:eastAsia="zh-CN"/>
        </w:rPr>
        <w:t>吊装</w:t>
      </w:r>
      <w:r>
        <w:rPr>
          <w:rFonts w:hint="eastAsia" w:ascii="宋体" w:hAnsi="宋体" w:eastAsia="宋体" w:cs="宋体"/>
          <w:b w:val="0"/>
          <w:bCs w:val="0"/>
          <w:color w:val="auto"/>
          <w:sz w:val="24"/>
          <w:szCs w:val="24"/>
        </w:rPr>
        <w:t>要求，则说明</w:t>
      </w:r>
      <w:r>
        <w:rPr>
          <w:rFonts w:hint="eastAsia" w:ascii="宋体" w:hAnsi="宋体" w:eastAsia="宋体" w:cs="宋体"/>
          <w:b w:val="0"/>
          <w:bCs w:val="0"/>
          <w:color w:val="auto"/>
          <w:sz w:val="24"/>
          <w:szCs w:val="24"/>
          <w:lang w:eastAsia="zh-CN"/>
        </w:rPr>
        <w:t>其它构件</w:t>
      </w:r>
      <w:r>
        <w:rPr>
          <w:rFonts w:hint="eastAsia" w:ascii="宋体" w:hAnsi="宋体" w:eastAsia="宋体" w:cs="宋体"/>
          <w:b w:val="0"/>
          <w:bCs w:val="0"/>
          <w:color w:val="auto"/>
          <w:sz w:val="24"/>
          <w:szCs w:val="24"/>
        </w:rPr>
        <w:t>也能满足</w:t>
      </w:r>
      <w:r>
        <w:rPr>
          <w:rFonts w:hint="eastAsia" w:ascii="宋体" w:hAnsi="宋体" w:eastAsia="宋体" w:cs="宋体"/>
          <w:b w:val="0"/>
          <w:bCs w:val="0"/>
          <w:color w:val="auto"/>
          <w:sz w:val="24"/>
          <w:szCs w:val="24"/>
          <w:lang w:eastAsia="zh-CN"/>
        </w:rPr>
        <w:t>吊装</w:t>
      </w:r>
      <w:r>
        <w:rPr>
          <w:rFonts w:hint="eastAsia" w:ascii="宋体" w:hAnsi="宋体" w:eastAsia="宋体" w:cs="宋体"/>
          <w:b w:val="0"/>
          <w:bCs w:val="0"/>
          <w:color w:val="auto"/>
          <w:sz w:val="24"/>
          <w:szCs w:val="24"/>
        </w:rPr>
        <w:t>要求。</w:t>
      </w:r>
      <w:r>
        <w:rPr>
          <w:rFonts w:hint="eastAsia" w:ascii="宋体" w:hAnsi="宋体" w:eastAsia="宋体" w:cs="宋体"/>
          <w:b w:val="0"/>
          <w:bCs w:val="0"/>
          <w:color w:val="auto"/>
          <w:sz w:val="24"/>
          <w:szCs w:val="24"/>
          <w:lang w:eastAsia="zh-CN"/>
        </w:rPr>
        <w:t>主要部件重量如下表：</w:t>
      </w:r>
    </w:p>
    <w:p>
      <w:pPr>
        <w:widowControl w:val="0"/>
        <w:adjustRightInd/>
        <w:snapToGrid/>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最重部件为套架，含油缸、液压站，最大重量不超过15t。</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cs="宋体"/>
          <w:b w:val="0"/>
          <w:bCs w:val="0"/>
          <w:color w:val="auto"/>
          <w:sz w:val="24"/>
          <w:szCs w:val="24"/>
          <w:lang w:val="en-US" w:eastAsia="zh-CN"/>
        </w:rPr>
        <w:t>起重臂总成约15.02</w:t>
      </w:r>
      <w:r>
        <w:rPr>
          <w:rFonts w:hint="eastAsia" w:ascii="宋体" w:hAnsi="宋体" w:eastAsia="宋体" w:cs="宋体"/>
          <w:b w:val="0"/>
          <w:bCs w:val="0"/>
          <w:color w:val="auto"/>
          <w:sz w:val="24"/>
          <w:szCs w:val="24"/>
        </w:rPr>
        <w:t>t</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按</w:t>
      </w:r>
      <w:r>
        <w:rPr>
          <w:rFonts w:hint="eastAsia" w:ascii="宋体" w:hAnsi="宋体" w:eastAsia="宋体" w:cs="宋体"/>
          <w:b w:val="0"/>
          <w:bCs w:val="0"/>
          <w:color w:val="auto"/>
          <w:sz w:val="24"/>
          <w:szCs w:val="24"/>
          <w:lang w:val="en-US" w:eastAsia="zh-CN"/>
        </w:rPr>
        <w:t>二</w:t>
      </w:r>
      <w:r>
        <w:rPr>
          <w:rFonts w:hint="eastAsia" w:ascii="宋体" w:hAnsi="宋体" w:eastAsia="宋体" w:cs="宋体"/>
          <w:b w:val="0"/>
          <w:bCs w:val="0"/>
          <w:color w:val="auto"/>
          <w:sz w:val="24"/>
          <w:szCs w:val="24"/>
        </w:rPr>
        <w:t>倍率</w:t>
      </w:r>
      <w:r>
        <w:rPr>
          <w:rFonts w:hint="eastAsia" w:ascii="宋体" w:hAnsi="宋体" w:eastAsia="宋体" w:cs="宋体"/>
          <w:b w:val="0"/>
          <w:bCs w:val="0"/>
          <w:color w:val="auto"/>
          <w:sz w:val="24"/>
          <w:szCs w:val="24"/>
          <w:lang w:eastAsia="zh-CN"/>
        </w:rPr>
        <w:t>来计算</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按</w:t>
      </w:r>
      <w:r>
        <w:rPr>
          <w:rFonts w:hint="eastAsia" w:ascii="宋体" w:hAnsi="宋体" w:eastAsia="宋体" w:cs="宋体"/>
          <w:b w:val="0"/>
          <w:bCs w:val="0"/>
          <w:color w:val="auto"/>
          <w:sz w:val="24"/>
          <w:szCs w:val="24"/>
        </w:rPr>
        <w:t>起重量</w:t>
      </w:r>
      <w:r>
        <w:rPr>
          <w:rFonts w:hint="eastAsia" w:ascii="宋体" w:hAnsi="宋体" w:eastAsia="宋体" w:cs="宋体"/>
          <w:b w:val="0"/>
          <w:bCs w:val="0"/>
          <w:color w:val="auto"/>
          <w:sz w:val="24"/>
          <w:szCs w:val="24"/>
          <w:lang w:val="en-US" w:eastAsia="zh-CN"/>
        </w:rPr>
        <w:t>16</w:t>
      </w:r>
      <w:r>
        <w:rPr>
          <w:rFonts w:hint="eastAsia" w:ascii="宋体" w:hAnsi="宋体" w:eastAsia="宋体" w:cs="宋体"/>
          <w:b w:val="0"/>
          <w:bCs w:val="0"/>
          <w:color w:val="auto"/>
          <w:sz w:val="24"/>
          <w:szCs w:val="24"/>
        </w:rPr>
        <w:t>t</w:t>
      </w:r>
      <w:r>
        <w:rPr>
          <w:rFonts w:hint="eastAsia" w:ascii="宋体" w:hAnsi="宋体" w:eastAsia="宋体" w:cs="宋体"/>
          <w:b w:val="0"/>
          <w:bCs w:val="0"/>
          <w:color w:val="auto"/>
          <w:sz w:val="24"/>
          <w:szCs w:val="24"/>
          <w:lang w:val="en-US"/>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考虑，根据《GB/T16762-2009 一般用途钢丝绳吊索特性和技术条件》中额定工作荷载计算公式：</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drawing>
          <wp:inline distT="0" distB="0" distL="0" distR="0">
            <wp:extent cx="1285875" cy="419100"/>
            <wp:effectExtent l="0" t="0" r="9525" b="7620"/>
            <wp:docPr id="52"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5"/>
                    <pic:cNvPicPr>
                      <a:picLocks noChangeAspect="1" noChangeArrowheads="1"/>
                    </pic:cNvPicPr>
                  </pic:nvPicPr>
                  <pic:blipFill>
                    <a:blip r:embed="rId57"/>
                    <a:srcRect/>
                    <a:stretch>
                      <a:fillRect/>
                    </a:stretch>
                  </pic:blipFill>
                  <pic:spPr>
                    <a:xfrm>
                      <a:off x="0" y="0"/>
                      <a:ext cx="1285875" cy="419100"/>
                    </a:xfrm>
                    <a:prstGeom prst="rect">
                      <a:avLst/>
                    </a:prstGeom>
                    <a:noFill/>
                    <a:ln w="9525">
                      <a:noFill/>
                      <a:miter lim="800000"/>
                      <a:headEnd/>
                      <a:tailEnd/>
                    </a:ln>
                  </pic:spPr>
                </pic:pic>
              </a:graphicData>
            </a:graphic>
          </wp:inline>
        </w:drawing>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式中：</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WLL——吊索额定工作荷载，单位为吨（t）；</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Fo——钢丝绳最小破断拉力，单位为千牛（kN）；</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Ke——接头形式效能近似系数，压制接头取0.9，插编接头取0.75，选用压制接头；</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Ku——安全系数，一般取5，本方案按《建筑施工起重吊装安全技术规范》（JGJ_276-2012）中的规定，取值为6；</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Km——质量与力的转换系数，取值为9.80665。</w:t>
      </w:r>
    </w:p>
    <w:p>
      <w:pPr>
        <w:widowControl w:val="0"/>
        <w:adjustRightInd/>
        <w:snapToGrid/>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则计算得出：Fo</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522.6</w:t>
      </w:r>
      <w:r>
        <w:rPr>
          <w:rFonts w:hint="eastAsia" w:ascii="宋体" w:hAnsi="宋体" w:eastAsia="宋体" w:cs="宋体"/>
          <w:b w:val="0"/>
          <w:bCs w:val="0"/>
          <w:color w:val="auto"/>
          <w:sz w:val="24"/>
          <w:szCs w:val="24"/>
        </w:rPr>
        <w:t>（kN）。</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rFonts w:hint="eastAsia" w:ascii="宋体" w:hAnsi="宋体" w:eastAsia="宋体" w:cs="宋体"/>
          <w:b w:val="0"/>
          <w:bCs w:val="0"/>
          <w:color w:val="auto"/>
          <w:sz w:val="24"/>
          <w:szCs w:val="24"/>
          <w:lang w:val="en-US" w:eastAsia="zh-CN" w:bidi="ar-SA"/>
        </w:rPr>
      </w:pPr>
      <w:r>
        <w:rPr>
          <w:rFonts w:hint="eastAsia" w:ascii="宋体" w:hAnsi="宋体" w:eastAsia="宋体" w:cs="宋体"/>
          <w:b w:val="0"/>
          <w:bCs w:val="0"/>
          <w:color w:val="auto"/>
          <w:sz w:val="24"/>
          <w:szCs w:val="24"/>
          <w:lang w:val="en-US" w:eastAsia="zh-CN" w:bidi="ar-SA"/>
        </w:rPr>
        <w:t>　根据《GB 8918-2006重要用途钢丝绳》中表10中查得，抗拉强度为1670MPa、直径为32mm的钢丝绳的破断拉力为564KN＞Fo，说明选用</w:t>
      </w:r>
      <w:r>
        <w:rPr>
          <w:rFonts w:hint="eastAsia" w:ascii="宋体" w:hAnsi="宋体" w:eastAsia="宋体" w:cs="宋体"/>
          <w:b w:val="0"/>
          <w:bCs w:val="0"/>
          <w:color w:val="auto"/>
          <w:sz w:val="24"/>
          <w:szCs w:val="21"/>
          <w:lang w:val="en-US" w:eastAsia="zh-CN" w:bidi="ar-SA"/>
        </w:rPr>
        <w:t>6*19W+FC-1670-32</w:t>
      </w:r>
      <w:r>
        <w:rPr>
          <w:rFonts w:hint="eastAsia" w:ascii="宋体" w:hAnsi="宋体" w:eastAsia="宋体" w:cs="宋体"/>
          <w:b w:val="0"/>
          <w:bCs w:val="0"/>
          <w:color w:val="auto"/>
          <w:sz w:val="24"/>
          <w:szCs w:val="24"/>
          <w:lang w:val="en-US" w:eastAsia="zh-CN" w:bidi="ar-SA"/>
        </w:rPr>
        <w:t>钢丝绳可满足吊装要求。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rFonts w:hint="eastAsia" w:ascii="宋体" w:hAnsi="宋体" w:eastAsia="宋体" w:cs="宋体"/>
          <w:b w:val="0"/>
          <w:bCs w:val="0"/>
          <w:color w:val="auto"/>
          <w:sz w:val="24"/>
          <w:szCs w:val="24"/>
          <w:lang w:val="en-US" w:eastAsia="zh-CN" w:bidi="ar-SA"/>
        </w:rPr>
      </w:pPr>
      <w:r>
        <w:rPr>
          <w:rFonts w:hint="eastAsia" w:ascii="宋体" w:hAnsi="宋体" w:eastAsia="宋体" w:cs="宋体"/>
          <w:b w:val="0"/>
          <w:bCs w:val="0"/>
          <w:color w:val="auto"/>
          <w:sz w:val="24"/>
          <w:szCs w:val="24"/>
          <w:lang w:val="en-US" w:eastAsia="zh-CN" w:bidi="ar-SA"/>
        </w:rPr>
        <w:t>9.2 按吊重为7吨时的吊索验算</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rFonts w:hint="eastAsia" w:ascii="宋体" w:hAnsi="宋体" w:eastAsia="宋体" w:cs="宋体"/>
          <w:b w:val="0"/>
          <w:bCs w:val="0"/>
          <w:color w:val="auto"/>
          <w:sz w:val="24"/>
          <w:szCs w:val="24"/>
          <w:lang w:val="en-US" w:eastAsia="zh-CN" w:bidi="ar-SA"/>
        </w:rPr>
      </w:pPr>
      <w:r>
        <w:rPr>
          <w:rFonts w:hint="eastAsia" w:ascii="宋体" w:hAnsi="宋体" w:eastAsia="宋体" w:cs="宋体"/>
          <w:b w:val="0"/>
          <w:bCs w:val="0"/>
          <w:color w:val="auto"/>
          <w:sz w:val="24"/>
          <w:szCs w:val="24"/>
          <w:lang w:val="en-US" w:eastAsia="zh-CN" w:bidi="ar-SA"/>
        </w:rPr>
        <w:t>按二倍率来计算，按起重量7.0t/2考虑，</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rFonts w:hint="eastAsia" w:ascii="宋体" w:hAnsi="宋体" w:eastAsia="宋体" w:cs="宋体"/>
          <w:b w:val="0"/>
          <w:bCs w:val="0"/>
          <w:color w:val="auto"/>
          <w:sz w:val="24"/>
          <w:szCs w:val="24"/>
          <w:lang w:val="en-US" w:eastAsia="zh-CN" w:bidi="ar-SA"/>
        </w:rPr>
      </w:pPr>
      <w:r>
        <w:rPr>
          <w:rFonts w:hint="eastAsia" w:ascii="宋体" w:hAnsi="宋体" w:eastAsia="宋体" w:cs="宋体"/>
          <w:b w:val="0"/>
          <w:bCs w:val="0"/>
          <w:color w:val="auto"/>
          <w:sz w:val="24"/>
          <w:szCs w:val="24"/>
          <w:lang w:val="en-US" w:eastAsia="zh-CN" w:bidi="ar-SA"/>
        </w:rPr>
        <w:t>根据计算得出：Fo＝274.4（kN）。</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rFonts w:hint="eastAsia" w:ascii="宋体" w:hAnsi="宋体" w:eastAsia="宋体" w:cs="宋体"/>
          <w:b w:val="0"/>
          <w:bCs w:val="0"/>
          <w:color w:val="auto"/>
          <w:sz w:val="24"/>
          <w:szCs w:val="24"/>
          <w:lang w:val="en-US" w:eastAsia="zh-CN" w:bidi="ar-SA"/>
        </w:rPr>
      </w:pPr>
      <w:r>
        <w:rPr>
          <w:rFonts w:hint="eastAsia" w:ascii="宋体" w:hAnsi="宋体" w:eastAsia="宋体" w:cs="宋体"/>
          <w:b w:val="0"/>
          <w:bCs w:val="0"/>
          <w:color w:val="auto"/>
          <w:sz w:val="24"/>
          <w:szCs w:val="24"/>
          <w:lang w:val="en-US" w:eastAsia="zh-CN" w:bidi="ar-SA"/>
        </w:rPr>
        <w:t>　　根据《GB 8918-2006重要用途钢丝绳》中表10中查得，抗拉强度为1670MPa、直径为26mm的钢丝绳的破断拉力为317KN＞Fo，说明选用</w:t>
      </w:r>
      <w:r>
        <w:rPr>
          <w:rFonts w:hint="eastAsia" w:ascii="宋体" w:hAnsi="宋体" w:eastAsia="宋体" w:cs="宋体"/>
          <w:b w:val="0"/>
          <w:bCs w:val="0"/>
          <w:color w:val="auto"/>
          <w:sz w:val="24"/>
          <w:szCs w:val="21"/>
          <w:lang w:val="en-US" w:eastAsia="zh-CN" w:bidi="ar-SA"/>
        </w:rPr>
        <w:t>6*19W+FC-1670-24</w:t>
      </w:r>
      <w:r>
        <w:rPr>
          <w:rFonts w:hint="eastAsia" w:ascii="宋体" w:hAnsi="宋体" w:eastAsia="宋体" w:cs="宋体"/>
          <w:b w:val="0"/>
          <w:bCs w:val="0"/>
          <w:color w:val="auto"/>
          <w:sz w:val="24"/>
          <w:szCs w:val="24"/>
          <w:lang w:val="en-US" w:eastAsia="zh-CN" w:bidi="ar-SA"/>
        </w:rPr>
        <w:t>钢丝绳可满足吊装要求。</w:t>
      </w:r>
    </w:p>
    <w:p>
      <w:pPr>
        <w:widowControl w:val="0"/>
        <w:adjustRightInd/>
        <w:snapToGrid/>
        <w:spacing w:line="360" w:lineRule="auto"/>
        <w:ind w:left="0" w:leftChars="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当塔机部件重量在15t 与7.0t时可选用直径32的钢丝绳 ，当小于或等于7.0t时可选用直径24的钢丝绳。</w:t>
      </w:r>
    </w:p>
    <w:p>
      <w:pPr>
        <w:pStyle w:val="5"/>
        <w:bidi w:val="0"/>
        <w:rPr>
          <w:rFonts w:hint="eastAsia" w:ascii="宋体" w:hAnsi="宋体" w:eastAsia="宋体" w:cs="宋体"/>
          <w:lang w:val="en-US" w:eastAsia="zh-CN"/>
        </w:rPr>
      </w:pPr>
      <w:bookmarkStart w:id="174" w:name="_Toc25359"/>
      <w:r>
        <w:rPr>
          <w:rFonts w:hint="eastAsia" w:ascii="宋体" w:hAnsi="宋体" w:eastAsia="宋体" w:cs="宋体"/>
          <w:lang w:val="en-US" w:eastAsia="zh-CN"/>
        </w:rPr>
        <w:t>卸扣选型</w:t>
      </w:r>
      <w:bookmarkEnd w:id="174"/>
    </w:p>
    <w:p>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szCs w:val="21"/>
        </w:rPr>
        <w:t>卸扣根据《一般起重用D形和弓形锻造卸扣》（GB/T 25854-2010）的规定选用。</w:t>
      </w:r>
    </w:p>
    <w:p>
      <w:pPr>
        <w:widowControl w:val="0"/>
        <w:adjustRightInd w:val="0"/>
        <w:snapToGrid w:val="0"/>
        <w:spacing w:line="360" w:lineRule="auto"/>
        <w:ind w:firstLine="0" w:firstLineChars="0"/>
        <w:jc w:val="center"/>
        <w:rPr>
          <w:rFonts w:hint="eastAsia" w:ascii="宋体" w:hAnsi="宋体" w:eastAsia="宋体" w:cs="宋体"/>
          <w:b/>
          <w:kern w:val="2"/>
          <w:sz w:val="21"/>
          <w:szCs w:val="20"/>
          <w:lang w:val="en-US" w:eastAsia="zh-CN" w:bidi="ar-SA"/>
        </w:rPr>
      </w:pPr>
      <w:r>
        <w:rPr>
          <w:rFonts w:hint="eastAsia" w:ascii="宋体" w:hAnsi="宋体" w:eastAsia="宋体" w:cs="宋体"/>
          <w:b/>
          <w:kern w:val="2"/>
          <w:sz w:val="21"/>
          <w:szCs w:val="20"/>
          <w:lang w:val="en-US" w:eastAsia="zh-CN" w:bidi="ar-SA"/>
        </w:rPr>
        <w:t>表</w:t>
      </w:r>
      <w:r>
        <w:rPr>
          <w:rFonts w:hint="eastAsia" w:cs="宋体"/>
          <w:b/>
          <w:kern w:val="2"/>
          <w:sz w:val="21"/>
          <w:szCs w:val="20"/>
          <w:lang w:val="en-US" w:eastAsia="zh-CN" w:bidi="ar-SA"/>
        </w:rPr>
        <w:t>11.1.1.2-1</w:t>
      </w:r>
      <w:r>
        <w:rPr>
          <w:rFonts w:hint="eastAsia" w:ascii="宋体" w:hAnsi="宋体" w:eastAsia="宋体" w:cs="宋体"/>
          <w:b/>
          <w:kern w:val="2"/>
          <w:sz w:val="21"/>
          <w:szCs w:val="20"/>
          <w:lang w:val="en-US" w:eastAsia="zh-CN" w:bidi="ar-SA"/>
        </w:rPr>
        <w:t xml:space="preserve"> D形卸扣尺寸</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5"/>
        <w:gridCol w:w="1305"/>
        <w:gridCol w:w="1305"/>
        <w:gridCol w:w="1161"/>
        <w:gridCol w:w="1161"/>
        <w:gridCol w:w="1330"/>
        <w:gridCol w:w="1096"/>
        <w:gridCol w:w="11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gridSpan w:val="3"/>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kern w:val="2"/>
                <w:sz w:val="21"/>
                <w:szCs w:val="21"/>
                <w:lang w:val="en-US" w:eastAsia="zh-CN" w:bidi="ar-SA"/>
              </w:rPr>
              <w:t xml:space="preserve">  </w:t>
            </w:r>
            <w:r>
              <w:rPr>
                <w:rFonts w:hint="eastAsia" w:ascii="宋体" w:hAnsi="宋体" w:eastAsia="宋体" w:cs="宋体"/>
                <w:b/>
                <w:bCs/>
                <w:kern w:val="2"/>
                <w:sz w:val="21"/>
                <w:szCs w:val="21"/>
                <w:lang w:val="en-US" w:eastAsia="zh-CN" w:bidi="ar-SA"/>
              </w:rPr>
              <w:t>极限工作荷载WLL</w:t>
            </w:r>
          </w:p>
        </w:tc>
        <w:tc>
          <w:tcPr>
            <w:tcW w:w="589" w:type="pct"/>
            <w:vMerge w:val="restar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d</w:t>
            </w:r>
            <w:r>
              <w:rPr>
                <w:rFonts w:hint="eastAsia" w:ascii="宋体" w:hAnsi="宋体" w:eastAsia="宋体" w:cs="宋体"/>
                <w:b/>
                <w:bCs/>
                <w:kern w:val="2"/>
                <w:sz w:val="21"/>
                <w:szCs w:val="21"/>
                <w:vertAlign w:val="superscript"/>
                <w:lang w:val="en-US" w:eastAsia="zh-CN" w:bidi="ar-SA"/>
              </w:rPr>
              <w:t>a</w:t>
            </w:r>
            <w:r>
              <w:rPr>
                <w:rFonts w:hint="eastAsia" w:ascii="宋体" w:hAnsi="宋体" w:eastAsia="宋体" w:cs="宋体"/>
                <w:b/>
                <w:bCs/>
                <w:kern w:val="2"/>
                <w:sz w:val="21"/>
                <w:szCs w:val="21"/>
                <w:lang w:val="en-US" w:eastAsia="zh-CN" w:bidi="ar-SA"/>
              </w:rPr>
              <w:t xml:space="preserve"> </w:t>
            </w:r>
          </w:p>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max</w:t>
            </w:r>
          </w:p>
        </w:tc>
        <w:tc>
          <w:tcPr>
            <w:tcW w:w="589" w:type="pct"/>
            <w:vMerge w:val="restar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D</w:t>
            </w:r>
            <w:r>
              <w:rPr>
                <w:rFonts w:hint="eastAsia" w:ascii="宋体" w:hAnsi="宋体" w:eastAsia="宋体" w:cs="宋体"/>
                <w:b/>
                <w:bCs/>
                <w:kern w:val="2"/>
                <w:sz w:val="21"/>
                <w:szCs w:val="21"/>
                <w:vertAlign w:val="superscript"/>
                <w:lang w:val="en-US" w:eastAsia="zh-CN" w:bidi="ar-SA"/>
              </w:rPr>
              <w:t>b</w:t>
            </w:r>
            <w:r>
              <w:rPr>
                <w:rFonts w:hint="eastAsia" w:ascii="宋体" w:hAnsi="宋体" w:eastAsia="宋体" w:cs="宋体"/>
                <w:b/>
                <w:bCs/>
                <w:kern w:val="2"/>
                <w:sz w:val="21"/>
                <w:szCs w:val="21"/>
                <w:lang w:val="en-US" w:eastAsia="zh-CN" w:bidi="ar-SA"/>
              </w:rPr>
              <w:t xml:space="preserve"> </w:t>
            </w:r>
          </w:p>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max  </w:t>
            </w:r>
          </w:p>
        </w:tc>
        <w:tc>
          <w:tcPr>
            <w:tcW w:w="675" w:type="pct"/>
            <w:vMerge w:val="restar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vertAlign w:val="superscript"/>
                <w:lang w:val="en-US" w:eastAsia="zh-CN" w:bidi="ar-SA"/>
              </w:rPr>
            </w:pPr>
            <w:r>
              <w:rPr>
                <w:rFonts w:hint="eastAsia" w:ascii="宋体" w:hAnsi="宋体" w:eastAsia="宋体" w:cs="宋体"/>
                <w:b/>
                <w:bCs/>
                <w:kern w:val="2"/>
                <w:sz w:val="21"/>
                <w:szCs w:val="21"/>
                <w:lang w:val="en-US" w:eastAsia="zh-CN" w:bidi="ar-SA"/>
              </w:rPr>
              <w:t>e</w:t>
            </w:r>
            <w:r>
              <w:rPr>
                <w:rFonts w:hint="eastAsia" w:ascii="宋体" w:hAnsi="宋体" w:eastAsia="宋体" w:cs="宋体"/>
                <w:b/>
                <w:bCs/>
                <w:kern w:val="2"/>
                <w:sz w:val="21"/>
                <w:szCs w:val="21"/>
                <w:vertAlign w:val="superscript"/>
                <w:lang w:val="en-US" w:eastAsia="zh-CN" w:bidi="ar-SA"/>
              </w:rPr>
              <w:t>c</w:t>
            </w:r>
          </w:p>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max</w:t>
            </w:r>
          </w:p>
        </w:tc>
        <w:tc>
          <w:tcPr>
            <w:tcW w:w="556" w:type="pct"/>
            <w:vMerge w:val="restar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S</w:t>
            </w:r>
            <w:r>
              <w:rPr>
                <w:rFonts w:hint="eastAsia" w:ascii="宋体" w:hAnsi="宋体" w:eastAsia="宋体" w:cs="宋体"/>
                <w:b/>
                <w:bCs/>
                <w:kern w:val="2"/>
                <w:sz w:val="21"/>
                <w:szCs w:val="21"/>
                <w:vertAlign w:val="superscript"/>
                <w:lang w:val="en-US" w:eastAsia="zh-CN" w:bidi="ar-SA"/>
              </w:rPr>
              <w:t>d</w:t>
            </w:r>
            <w:r>
              <w:rPr>
                <w:rFonts w:hint="eastAsia" w:ascii="宋体" w:hAnsi="宋体" w:eastAsia="宋体" w:cs="宋体"/>
                <w:b/>
                <w:bCs/>
                <w:kern w:val="2"/>
                <w:sz w:val="21"/>
                <w:szCs w:val="21"/>
                <w:lang w:val="en-US" w:eastAsia="zh-CN" w:bidi="ar-SA"/>
              </w:rPr>
              <w:t xml:space="preserve"> </w:t>
            </w:r>
          </w:p>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min</w:t>
            </w:r>
          </w:p>
        </w:tc>
        <w:tc>
          <w:tcPr>
            <w:tcW w:w="605" w:type="pct"/>
            <w:vMerge w:val="restar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vertAlign w:val="superscript"/>
                <w:lang w:val="en-US" w:eastAsia="zh-CN" w:bidi="ar-SA"/>
              </w:rPr>
            </w:pPr>
            <w:r>
              <w:rPr>
                <w:rFonts w:hint="eastAsia" w:ascii="宋体" w:hAnsi="宋体" w:eastAsia="宋体" w:cs="宋体"/>
                <w:b/>
                <w:bCs/>
                <w:kern w:val="2"/>
                <w:sz w:val="21"/>
                <w:szCs w:val="21"/>
                <w:lang w:val="en-US" w:eastAsia="zh-CN" w:bidi="ar-SA"/>
              </w:rPr>
              <w:t>W</w:t>
            </w:r>
            <w:r>
              <w:rPr>
                <w:rFonts w:hint="eastAsia" w:ascii="宋体" w:hAnsi="宋体" w:eastAsia="宋体" w:cs="宋体"/>
                <w:b/>
                <w:bCs/>
                <w:kern w:val="2"/>
                <w:sz w:val="21"/>
                <w:szCs w:val="21"/>
                <w:vertAlign w:val="superscript"/>
                <w:lang w:val="en-US" w:eastAsia="zh-CN" w:bidi="ar-SA"/>
              </w:rPr>
              <w:t>b</w:t>
            </w:r>
          </w:p>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 min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4级</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6级</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8级</w:t>
            </w:r>
          </w:p>
        </w:tc>
        <w:tc>
          <w:tcPr>
            <w:tcW w:w="589" w:type="pct"/>
            <w:vMerge w:val="continue"/>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589" w:type="pct"/>
            <w:vMerge w:val="continue"/>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675" w:type="pct"/>
            <w:vMerge w:val="continue"/>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556" w:type="pct"/>
            <w:vMerge w:val="continue"/>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605" w:type="pct"/>
            <w:vMerge w:val="continue"/>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gridSpan w:val="3"/>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t</w:t>
            </w:r>
          </w:p>
        </w:tc>
        <w:tc>
          <w:tcPr>
            <w:tcW w:w="3014" w:type="pct"/>
            <w:gridSpan w:val="5"/>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31.5</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35.5</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78.1</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35.5</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88</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45</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99</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45</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110</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56</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123.2</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112</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56</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138.6</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156.2</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140</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178</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160</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198</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180</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662"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c>
          <w:tcPr>
            <w:tcW w:w="589"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w:t>
            </w:r>
          </w:p>
        </w:tc>
        <w:tc>
          <w:tcPr>
            <w:tcW w:w="67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220</w:t>
            </w:r>
          </w:p>
        </w:tc>
        <w:tc>
          <w:tcPr>
            <w:tcW w:w="556"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200</w:t>
            </w:r>
          </w:p>
        </w:tc>
        <w:tc>
          <w:tcPr>
            <w:tcW w:w="605" w:type="pct"/>
            <w:vAlign w:val="center"/>
          </w:tcPr>
          <w:p>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w:t>
            </w:r>
          </w:p>
        </w:tc>
      </w:tr>
    </w:tbl>
    <w:p>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四点吊的塔吊主要部件除起重臂外钢丝绳连接卸扣工作荷载：</w:t>
      </w:r>
    </w:p>
    <w:p>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position w:val="-24"/>
          <w:szCs w:val="21"/>
        </w:rPr>
        <w:object>
          <v:shape id="_x0000_i1027" o:spt="75" type="#_x0000_t75" style="height:31.2pt;width:111pt;" o:ole="t" filled="f" o:preferrelative="t" stroked="f" coordsize="21600,21600">
            <v:path/>
            <v:fill on="f" focussize="0,0"/>
            <v:stroke on="f" joinstyle="miter"/>
            <v:imagedata r:id="rId59" o:title=""/>
            <o:lock v:ext="edit" aspectratio="t"/>
            <w10:wrap type="none"/>
            <w10:anchorlock/>
          </v:shape>
          <o:OLEObject Type="Embed" ProgID="Equation.DSMT4" ShapeID="_x0000_i1027" DrawAspect="Content" ObjectID="_1468075726" r:id="rId58">
            <o:LockedField>false</o:LockedField>
          </o:OLEObject>
        </w:object>
      </w:r>
      <w:r>
        <w:rPr>
          <w:rFonts w:hint="eastAsia" w:ascii="宋体" w:hAnsi="宋体" w:eastAsia="宋体" w:cs="宋体"/>
          <w:szCs w:val="21"/>
        </w:rPr>
        <w:t>，选用卸扣GB/T 25854-6-DW8。</w:t>
      </w:r>
    </w:p>
    <w:p>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szCs w:val="21"/>
        </w:rPr>
        <w:t>起重臂吊装钢丝绳连接卸扣工作荷载：</w:t>
      </w:r>
    </w:p>
    <w:p>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position w:val="-24"/>
          <w:szCs w:val="21"/>
        </w:rPr>
        <w:object>
          <v:shape id="_x0000_i1028" o:spt="75" type="#_x0000_t75" style="height:31.2pt;width:112.2pt;" o:ole="t" filled="f" o:preferrelative="t" stroked="f" coordsize="21600,21600">
            <v:path/>
            <v:fill on="f" focussize="0,0"/>
            <v:stroke on="f" joinstyle="miter"/>
            <v:imagedata r:id="rId61" o:title=""/>
            <o:lock v:ext="edit" aspectratio="t"/>
            <w10:wrap type="none"/>
            <w10:anchorlock/>
          </v:shape>
          <o:OLEObject Type="Embed" ProgID="Equation.DSMT4" ShapeID="_x0000_i1028" DrawAspect="Content" ObjectID="_1468075727" r:id="rId60">
            <o:LockedField>false</o:LockedField>
          </o:OLEObject>
        </w:object>
      </w:r>
      <w:r>
        <w:rPr>
          <w:rFonts w:hint="eastAsia" w:ascii="宋体" w:hAnsi="宋体" w:eastAsia="宋体" w:cs="宋体"/>
          <w:szCs w:val="21"/>
        </w:rPr>
        <w:t>，选用卸扣GB/T 25854-6-DW8。</w:t>
      </w:r>
    </w:p>
    <w:p>
      <w:pPr>
        <w:pStyle w:val="3"/>
        <w:bidi w:val="0"/>
        <w:rPr>
          <w:rFonts w:hint="eastAsia"/>
          <w:lang w:val="en-US" w:eastAsia="zh-CN"/>
        </w:rPr>
      </w:pPr>
      <w:bookmarkStart w:id="175" w:name="_Toc26041"/>
      <w:r>
        <w:rPr>
          <w:rFonts w:hint="eastAsia"/>
          <w:lang w:val="en-US" w:eastAsia="zh-CN"/>
        </w:rPr>
        <w:t>汽车吊支反力计算</w:t>
      </w:r>
      <w:bookmarkEnd w:id="175"/>
    </w:p>
    <w:p>
      <w:pPr>
        <w:bidi w:val="0"/>
        <w:rPr>
          <w:rFonts w:hint="default"/>
          <w:lang w:val="en-US" w:eastAsia="zh-CN"/>
        </w:rPr>
      </w:pPr>
      <w:r>
        <w:rPr>
          <w:rFonts w:hint="eastAsia" w:ascii="宋体" w:eastAsia="宋体"/>
          <w:lang w:val="en-US" w:eastAsia="zh-CN"/>
        </w:rPr>
        <w:t>最重件为</w:t>
      </w:r>
      <w:r>
        <w:rPr>
          <w:rFonts w:hint="eastAsia"/>
          <w:lang w:val="en-US" w:eastAsia="zh-CN"/>
        </w:rPr>
        <w:t>起重臂</w:t>
      </w:r>
      <w:r>
        <w:rPr>
          <w:rFonts w:hint="eastAsia" w:ascii="宋体" w:eastAsia="宋体"/>
          <w:lang w:val="en-US" w:eastAsia="zh-CN"/>
        </w:rPr>
        <w:t>，为</w:t>
      </w:r>
      <w:r>
        <w:rPr>
          <w:rFonts w:hint="eastAsia"/>
          <w:lang w:val="en-US" w:eastAsia="zh-CN"/>
        </w:rPr>
        <w:t>15.02</w:t>
      </w:r>
      <w:r>
        <w:rPr>
          <w:rFonts w:hint="eastAsia" w:ascii="宋体" w:eastAsia="宋体"/>
          <w:lang w:val="en-US" w:eastAsia="zh-CN"/>
        </w:rPr>
        <w:t>t，此时汽车吊的幅度为1</w:t>
      </w:r>
      <w:r>
        <w:rPr>
          <w:rFonts w:hint="eastAsia"/>
          <w:lang w:val="en-US" w:eastAsia="zh-CN"/>
        </w:rPr>
        <w:t>0</w:t>
      </w:r>
      <w:r>
        <w:rPr>
          <w:rFonts w:hint="eastAsia" w:ascii="宋体" w:eastAsia="宋体"/>
          <w:lang w:val="en-US" w:eastAsia="zh-CN"/>
        </w:rPr>
        <w:t>m,计算如下:</w:t>
      </w:r>
    </w:p>
    <w:p>
      <w:pPr>
        <w:bidi w:val="0"/>
        <w:rPr>
          <w:rFonts w:hint="eastAsia"/>
          <w:lang w:val="en-US" w:eastAsia="zh-CN"/>
        </w:rPr>
      </w:pPr>
      <w:r>
        <w:rPr>
          <w:rFonts w:hint="eastAsia"/>
          <w:lang w:val="en-US" w:eastAsia="zh-CN"/>
        </w:rPr>
        <w:t>汽车吊选型： 100.0 t</w:t>
      </w:r>
    </w:p>
    <w:p>
      <w:pPr>
        <w:bidi w:val="0"/>
        <w:rPr>
          <w:rFonts w:hint="default"/>
          <w:lang w:val="en-US" w:eastAsia="zh-CN"/>
        </w:rPr>
      </w:pPr>
      <w:r>
        <w:rPr>
          <w:rFonts w:hint="eastAsia"/>
          <w:lang w:val="en-US" w:eastAsia="zh-CN"/>
        </w:rPr>
        <w:t>汽车吊整机重量（带配重）G：  76.0   t</w:t>
      </w:r>
    </w:p>
    <w:p>
      <w:pPr>
        <w:bidi w:val="0"/>
        <w:rPr>
          <w:rFonts w:hint="default"/>
          <w:lang w:val="en-US" w:eastAsia="zh-CN"/>
        </w:rPr>
      </w:pPr>
      <w:r>
        <w:rPr>
          <w:rFonts w:hint="eastAsia"/>
          <w:lang w:val="en-US" w:eastAsia="zh-CN"/>
        </w:rPr>
        <w:t>汽车吊臂长L： 47.1   m</w:t>
      </w:r>
    </w:p>
    <w:p>
      <w:pPr>
        <w:bidi w:val="0"/>
        <w:rPr>
          <w:rFonts w:hint="default"/>
          <w:lang w:val="en-US" w:eastAsia="zh-CN"/>
        </w:rPr>
      </w:pPr>
      <w:r>
        <w:rPr>
          <w:rFonts w:hint="eastAsia"/>
          <w:lang w:val="en-US" w:eastAsia="zh-CN"/>
        </w:rPr>
        <w:t>汽车吊支腿间距（l×b，其中b≤l）  8.1   m×  7.2    m</w:t>
      </w:r>
    </w:p>
    <w:p>
      <w:pPr>
        <w:bidi w:val="0"/>
        <w:rPr>
          <w:rFonts w:hint="eastAsia"/>
          <w:lang w:val="en-US" w:eastAsia="zh-CN"/>
        </w:rPr>
      </w:pPr>
      <w:r>
        <w:rPr>
          <w:rFonts w:hint="eastAsia"/>
          <w:lang w:val="en-US" w:eastAsia="zh-CN"/>
        </w:rPr>
        <w:t>吊物幅度（R）：  14.0  m</w:t>
      </w:r>
    </w:p>
    <w:p>
      <w:pPr>
        <w:bidi w:val="0"/>
        <w:rPr>
          <w:rFonts w:hint="default"/>
          <w:lang w:val="en-US" w:eastAsia="zh-CN"/>
        </w:rPr>
      </w:pPr>
      <w:r>
        <w:rPr>
          <w:rFonts w:hint="eastAsia"/>
          <w:lang w:val="en-US" w:eastAsia="zh-CN"/>
        </w:rPr>
        <w:t>在R幅度下的额定载荷（PQ）：  20.2   t</w:t>
      </w:r>
    </w:p>
    <w:p>
      <w:pPr>
        <w:bidi w:val="0"/>
        <w:rPr>
          <w:rFonts w:hint="eastAsia"/>
          <w:lang w:val="en-US" w:eastAsia="zh-CN"/>
        </w:rPr>
      </w:pPr>
      <w:r>
        <w:rPr>
          <w:rFonts w:hint="eastAsia"/>
          <w:lang w:val="en-US" w:eastAsia="zh-CN"/>
        </w:rPr>
        <w:t>吊物重量GP：  15.02   t</w:t>
      </w:r>
    </w:p>
    <w:p>
      <w:pPr>
        <w:bidi w:val="0"/>
        <w:rPr>
          <w:rFonts w:hint="eastAsia"/>
          <w:lang w:val="en-US" w:eastAsia="zh-CN"/>
        </w:rPr>
      </w:pPr>
      <w:r>
        <w:rPr>
          <w:rFonts w:hint="eastAsia"/>
          <w:lang w:val="en-US" w:eastAsia="zh-CN"/>
        </w:rPr>
        <w:t>作用于起重机上的风力（F）：  4000.0   N（若不确定，则可取0，表示无风）</w:t>
      </w:r>
    </w:p>
    <w:p>
      <w:pPr>
        <w:bidi w:val="0"/>
        <w:rPr>
          <w:rFonts w:hint="default"/>
          <w:lang w:val="en-US" w:eastAsia="zh-CN"/>
        </w:rPr>
      </w:pPr>
      <w:r>
        <w:rPr>
          <w:rFonts w:hint="eastAsia"/>
          <w:lang w:val="en-US" w:eastAsia="zh-CN"/>
        </w:rPr>
        <w:t>若风力F不为0，则需要填写以下信息：</w:t>
      </w:r>
    </w:p>
    <w:p>
      <w:pPr>
        <w:bidi w:val="0"/>
        <w:rPr>
          <w:rFonts w:hint="eastAsia"/>
          <w:lang w:val="en-US" w:eastAsia="zh-CN"/>
        </w:rPr>
      </w:pPr>
      <w:r>
        <w:rPr>
          <w:rFonts w:hint="eastAsia"/>
          <w:lang w:val="en-US" w:eastAsia="zh-CN"/>
        </w:rPr>
        <w:t>起重机挡风面积的形心高度（h2）， 3.0   m</w:t>
      </w:r>
    </w:p>
    <w:p>
      <w:pPr>
        <w:bidi w:val="0"/>
        <w:rPr>
          <w:rFonts w:hint="eastAsia"/>
          <w:lang w:val="en-US" w:eastAsia="zh-CN"/>
        </w:rPr>
      </w:pPr>
      <w:r>
        <w:rPr>
          <w:rFonts w:hint="eastAsia"/>
          <w:lang w:val="en-US" w:eastAsia="zh-CN"/>
        </w:rPr>
        <w:t xml:space="preserve">重物摆动角度（0≤αⅡ≤6），默认为6：   6.0   </w:t>
      </w:r>
    </w:p>
    <w:p>
      <w:pPr>
        <w:bidi w:val="0"/>
        <w:rPr>
          <w:rFonts w:hint="eastAsia"/>
          <w:lang w:val="en-US" w:eastAsia="zh-CN"/>
        </w:rPr>
      </w:pPr>
      <w:r>
        <w:rPr>
          <w:rFonts w:hint="eastAsia"/>
          <w:lang w:val="en-US" w:eastAsia="zh-CN"/>
        </w:rPr>
        <w:t>起重机的起重臂的端部距地面的距离（h3）: 44.97    m</w:t>
      </w:r>
    </w:p>
    <w:p>
      <w:pPr>
        <w:numPr>
          <w:ilvl w:val="0"/>
          <w:numId w:val="0"/>
        </w:numPr>
        <w:spacing w:line="240" w:lineRule="auto"/>
        <w:ind w:firstLine="0" w:firstLineChars="0"/>
        <w:rPr>
          <w:rFonts w:hint="eastAsia" w:ascii="Calibri" w:hAnsi="Calibri" w:eastAsia="宋体" w:cs="Times New Roman"/>
          <w:sz w:val="21"/>
          <w:szCs w:val="21"/>
          <w:lang w:val="en-US" w:eastAsia="zh-CN"/>
        </w:rPr>
      </w:pPr>
      <w:r>
        <w:rPr>
          <w:rFonts w:hint="eastAsia" w:ascii="Calibri" w:hAnsi="Calibri" w:eastAsia="宋体" w:cs="Times New Roman"/>
          <w:sz w:val="24"/>
          <w:szCs w:val="24"/>
          <w:lang w:val="en-US" w:eastAsia="zh-CN"/>
        </w:rPr>
        <w:t xml:space="preserve">    </w:t>
      </w:r>
    </w:p>
    <w:p>
      <w:pPr>
        <w:numPr>
          <w:ilvl w:val="0"/>
          <w:numId w:val="19"/>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根据起重机性能表，按抗倾覆稳定性反算出起重机的重心</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验算工况</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5835"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工况特征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5835"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无风静载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5835"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有风动载</w:t>
            </w:r>
          </w:p>
        </w:tc>
      </w:tr>
    </w:tbl>
    <w:p>
      <w:pPr>
        <w:numPr>
          <w:ilvl w:val="0"/>
          <w:numId w:val="0"/>
        </w:numPr>
        <w:spacing w:line="240" w:lineRule="auto"/>
        <w:ind w:firstLine="42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以上两种工况下载荷系数和载荷组合分别为</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915"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自重系数K</w:t>
            </w:r>
            <w:r>
              <w:rPr>
                <w:rFonts w:hint="eastAsia" w:ascii="Calibri" w:hAnsi="Calibri" w:eastAsia="宋体" w:cs="Times New Roman"/>
                <w:sz w:val="24"/>
                <w:szCs w:val="24"/>
                <w:vertAlign w:val="subscript"/>
                <w:lang w:val="en-US" w:eastAsia="zh-CN"/>
              </w:rPr>
              <w:t>G</w:t>
            </w:r>
          </w:p>
        </w:tc>
        <w:tc>
          <w:tcPr>
            <w:tcW w:w="2026"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起升载荷系数K</w:t>
            </w:r>
            <w:r>
              <w:rPr>
                <w:rFonts w:hint="eastAsia" w:ascii="Calibri" w:hAnsi="Calibri" w:eastAsia="宋体" w:cs="Times New Roman"/>
                <w:sz w:val="24"/>
                <w:szCs w:val="24"/>
                <w:vertAlign w:val="subscript"/>
                <w:lang w:val="en-US" w:eastAsia="zh-CN"/>
              </w:rPr>
              <w:t>P</w:t>
            </w:r>
          </w:p>
        </w:tc>
        <w:tc>
          <w:tcPr>
            <w:tcW w:w="1348"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水平惯性力系数（包括物品K</w:t>
            </w:r>
            <w:r>
              <w:rPr>
                <w:rFonts w:hint="eastAsia" w:ascii="Calibri" w:hAnsi="Calibri" w:eastAsia="宋体" w:cs="Times New Roman"/>
                <w:sz w:val="24"/>
                <w:szCs w:val="24"/>
                <w:vertAlign w:val="subscript"/>
                <w:lang w:val="en-US" w:eastAsia="zh-CN"/>
              </w:rPr>
              <w:t>i</w:t>
            </w:r>
          </w:p>
        </w:tc>
        <w:tc>
          <w:tcPr>
            <w:tcW w:w="879"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风力系数K</w:t>
            </w:r>
            <w:r>
              <w:rPr>
                <w:rFonts w:hint="eastAsia" w:ascii="Calibri" w:hAnsi="Calibri" w:eastAsia="宋体" w:cs="Times New Roman"/>
                <w:sz w:val="24"/>
                <w:szCs w:val="24"/>
                <w:vertAlign w:val="subscript"/>
                <w:lang w:val="en-US" w:eastAsia="zh-CN"/>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915" w:type="dxa"/>
            <w:vMerge w:val="restart"/>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2026"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vertAlign w:val="baseline"/>
                <w:lang w:val="en-US" w:eastAsia="zh-CN"/>
              </w:rPr>
              <w:t>=1.35</w:t>
            </w:r>
          </w:p>
        </w:tc>
        <w:tc>
          <w:tcPr>
            <w:tcW w:w="134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c>
          <w:tcPr>
            <w:tcW w:w="879"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915" w:type="dxa"/>
            <w:vMerge w:val="continue"/>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p>
        </w:tc>
        <w:tc>
          <w:tcPr>
            <w:tcW w:w="2026"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P2</w:t>
            </w:r>
            <w:r>
              <w:rPr>
                <w:rFonts w:hint="eastAsia" w:ascii="Calibri" w:hAnsi="Calibri" w:eastAsia="宋体" w:cs="Times New Roman"/>
                <w:sz w:val="24"/>
                <w:szCs w:val="24"/>
                <w:vertAlign w:val="baseline"/>
                <w:lang w:val="en-US" w:eastAsia="zh-CN"/>
              </w:rPr>
              <w:t>=1.15</w:t>
            </w:r>
          </w:p>
        </w:tc>
        <w:tc>
          <w:tcPr>
            <w:tcW w:w="134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879"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r>
    </w:tbl>
    <w:p>
      <w:pPr>
        <w:numPr>
          <w:ilvl w:val="0"/>
          <w:numId w:val="0"/>
        </w:numPr>
        <w:spacing w:line="240" w:lineRule="auto"/>
        <w:ind w:firstLine="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工况一：根据无风静载下抗倾覆稳定性校验计算式反推起重机的重心</w:t>
      </w:r>
    </w:p>
    <w:p>
      <w:pPr>
        <w:keepNext w:val="0"/>
        <w:keepLines w:val="0"/>
        <w:widowControl/>
        <w:suppressLineNumbers w:val="0"/>
        <w:spacing w:line="240" w:lineRule="auto"/>
        <w:ind w:firstLine="0" w:firstLineChars="0"/>
        <w:jc w:val="center"/>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drawing>
          <wp:inline distT="0" distB="0" distL="114300" distR="114300">
            <wp:extent cx="3565525" cy="2341880"/>
            <wp:effectExtent l="12700" t="12700" r="18415" b="22860"/>
            <wp:docPr id="3" name="图片 3"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68986(1)"/>
                    <pic:cNvPicPr>
                      <a:picLocks noChangeAspect="1"/>
                    </pic:cNvPicPr>
                  </pic:nvPicPr>
                  <pic:blipFill>
                    <a:blip r:embed="rId62"/>
                    <a:stretch>
                      <a:fillRect/>
                    </a:stretch>
                  </pic:blipFill>
                  <pic:spPr>
                    <a:xfrm>
                      <a:off x="0" y="0"/>
                      <a:ext cx="3565525" cy="2341880"/>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无风静载工况的抗倾覆稳定性</w:t>
      </w:r>
    </w:p>
    <w:p>
      <w:pPr>
        <w:numPr>
          <w:ilvl w:val="0"/>
          <w:numId w:val="0"/>
        </w:numPr>
        <w:spacing w:line="240" w:lineRule="auto"/>
        <w:ind w:firstLine="0" w:firstLineChars="0"/>
        <w:rPr>
          <w:rFonts w:hint="eastAsia" w:ascii="Calibri" w:hAnsi="Calibri" w:eastAsia="宋体" w:cs="Times New Roman"/>
          <w:sz w:val="24"/>
          <w:szCs w:val="24"/>
          <w:lang w:val="en-US" w:eastAsia="zh-CN"/>
        </w:rPr>
      </w:pPr>
    </w:p>
    <w:p>
      <w:pPr>
        <w:numPr>
          <w:ilvl w:val="0"/>
          <w:numId w:val="0"/>
        </w:numPr>
        <w:spacing w:line="240" w:lineRule="auto"/>
        <w:ind w:firstLine="0" w:firstLineChars="0"/>
        <w:rPr>
          <w:rFonts w:hint="default" w:ascii="Calibri" w:hAnsi="Calibri" w:eastAsia="宋体" w:cs="Times New Roman"/>
          <w:color w:val="0000FF"/>
          <w:sz w:val="24"/>
          <w:szCs w:val="24"/>
          <w:lang w:val="en-US" w:eastAsia="zh-CN"/>
        </w:rPr>
      </w:pPr>
      <w:r>
        <w:rPr>
          <w:rFonts w:hint="eastAsia" w:ascii="Calibri" w:hAnsi="Calibri" w:eastAsia="宋体" w:cs="Times New Roman"/>
          <w:sz w:val="24"/>
          <w:szCs w:val="24"/>
          <w:lang w:val="en-US" w:eastAsia="zh-CN"/>
        </w:rPr>
        <w:t>其计算式为：</w:t>
      </w:r>
      <w:r>
        <w:rPr>
          <w:rFonts w:hint="eastAsia" w:ascii="Calibri" w:hAnsi="Calibri" w:eastAsia="宋体" w:cs="Times New Roman"/>
          <w:position w:val="-14"/>
          <w:sz w:val="24"/>
          <w:szCs w:val="24"/>
          <w:lang w:val="en-US" w:eastAsia="zh-CN"/>
        </w:rPr>
        <w:drawing>
          <wp:inline distT="0" distB="0" distL="114300" distR="114300">
            <wp:extent cx="2536190" cy="414655"/>
            <wp:effectExtent l="0" t="0" r="8890" b="12065"/>
            <wp:docPr id="6" name="图片 6"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式1"/>
                    <pic:cNvPicPr>
                      <a:picLocks noChangeAspect="1"/>
                    </pic:cNvPicPr>
                  </pic:nvPicPr>
                  <pic:blipFill>
                    <a:blip r:embed="rId63"/>
                    <a:stretch>
                      <a:fillRect/>
                    </a:stretch>
                  </pic:blipFill>
                  <pic:spPr>
                    <a:xfrm>
                      <a:off x="0" y="0"/>
                      <a:ext cx="2536190" cy="414655"/>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70560" cy="369570"/>
            <wp:effectExtent l="0" t="0" r="0" b="11430"/>
            <wp:docPr id="8" name="图片 8"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式2"/>
                    <pic:cNvPicPr>
                      <a:picLocks noChangeAspect="1"/>
                    </pic:cNvPicPr>
                  </pic:nvPicPr>
                  <pic:blipFill>
                    <a:blip r:embed="rId64"/>
                    <a:stretch>
                      <a:fillRect/>
                    </a:stretch>
                  </pic:blipFill>
                  <pic:spPr>
                    <a:xfrm>
                      <a:off x="0" y="0"/>
                      <a:ext cx="670560" cy="369570"/>
                    </a:xfrm>
                    <a:prstGeom prst="rect">
                      <a:avLst/>
                    </a:prstGeom>
                  </pic:spPr>
                </pic:pic>
              </a:graphicData>
            </a:graphic>
          </wp:inline>
        </w:drawing>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692015" cy="1020445"/>
            <wp:effectExtent l="0" t="0" r="1905" b="635"/>
            <wp:docPr id="66" name="图片 66" descr="公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公式3"/>
                    <pic:cNvPicPr>
                      <a:picLocks noChangeAspect="1"/>
                    </pic:cNvPicPr>
                  </pic:nvPicPr>
                  <pic:blipFill>
                    <a:blip r:embed="rId65"/>
                    <a:stretch>
                      <a:fillRect/>
                    </a:stretch>
                  </pic:blipFill>
                  <pic:spPr>
                    <a:xfrm>
                      <a:off x="0" y="0"/>
                      <a:ext cx="4692015" cy="1020445"/>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=0.13  （１）</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式中    K</w:t>
      </w:r>
      <w:r>
        <w:rPr>
          <w:rFonts w:hint="eastAsia" w:ascii="Calibri" w:hAnsi="Calibri" w:eastAsia="宋体" w:cs="Times New Roman"/>
          <w:sz w:val="24"/>
          <w:szCs w:val="24"/>
          <w:vertAlign w:val="subscript"/>
          <w:lang w:val="en-US" w:eastAsia="zh-CN"/>
        </w:rPr>
        <w:t>G</w:t>
      </w:r>
      <w:r>
        <w:rPr>
          <w:rFonts w:hint="eastAsia" w:ascii="Calibri" w:hAnsi="Calibri" w:eastAsia="宋体" w:cs="Times New Roman"/>
          <w:sz w:val="24"/>
          <w:szCs w:val="24"/>
          <w:lang w:val="en-US" w:eastAsia="zh-CN"/>
        </w:rPr>
        <w:t>和K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lang w:val="en-US" w:eastAsia="zh-CN"/>
        </w:rPr>
        <w:t>——分别为起重机自重和起升载荷系数；</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G——起重机重力（N）</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b——起重机轨距（对汽车式和轮胎式起重机为两侧车轮间的横向间距），打支腿作业时为支腿的横向间距（m）；</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c1——起重机重心到回转中心的水平距离（ｍ）；</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R——起升载荷的幅度（m）</w:t>
      </w:r>
    </w:p>
    <w:p>
      <w:pPr>
        <w:numPr>
          <w:ilvl w:val="0"/>
          <w:numId w:val="0"/>
        </w:numPr>
        <w:spacing w:line="240" w:lineRule="auto"/>
        <w:ind w:firstLine="1440" w:firstLineChars="60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——幅度R时的额定起升重量（按起重机性能表中取值，即幅度为R时，其吊重为P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w:t>
      </w:r>
    </w:p>
    <w:p>
      <w:pPr>
        <w:numPr>
          <w:ilvl w:val="0"/>
          <w:numId w:val="0"/>
        </w:numPr>
        <w:spacing w:line="240" w:lineRule="auto"/>
        <w:ind w:firstLine="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工况二：有风动载</w:t>
      </w:r>
    </w:p>
    <w:p>
      <w:pPr>
        <w:numPr>
          <w:ilvl w:val="0"/>
          <w:numId w:val="0"/>
        </w:numPr>
        <w:spacing w:line="240" w:lineRule="auto"/>
        <w:ind w:firstLine="0" w:firstLineChars="0"/>
        <w:rPr>
          <w:rFonts w:hint="eastAsia" w:ascii="Calibri" w:hAnsi="Calibri" w:eastAsia="宋体" w:cs="Times New Roman"/>
          <w:sz w:val="24"/>
          <w:szCs w:val="24"/>
          <w:lang w:val="en-US" w:eastAsia="zh-CN"/>
        </w:rPr>
      </w:pPr>
    </w:p>
    <w:p>
      <w:pPr>
        <w:keepNext w:val="0"/>
        <w:keepLines w:val="0"/>
        <w:widowControl/>
        <w:suppressLineNumbers w:val="0"/>
        <w:spacing w:line="240" w:lineRule="auto"/>
        <w:ind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71770" cy="3723640"/>
            <wp:effectExtent l="12700" t="12700" r="19050" b="12700"/>
            <wp:docPr id="1" name="图片 1"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6736004(1)"/>
                    <pic:cNvPicPr>
                      <a:picLocks noChangeAspect="1"/>
                    </pic:cNvPicPr>
                  </pic:nvPicPr>
                  <pic:blipFill>
                    <a:blip r:embed="rId66"/>
                    <a:stretch>
                      <a:fillRect/>
                    </a:stretch>
                  </pic:blipFill>
                  <pic:spPr>
                    <a:xfrm>
                      <a:off x="0" y="0"/>
                      <a:ext cx="5271770" cy="3723640"/>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起重机定置作业时的抗倾覆稳定性（臂架垂直于倾覆线）</w:t>
      </w:r>
    </w:p>
    <w:p>
      <w:pPr>
        <w:numPr>
          <w:ilvl w:val="0"/>
          <w:numId w:val="2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臂架垂直于危险倾覆线（假定起重机轨距或两侧车轮间的横向间距小于轴距）其稳定性校核计算式为</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color w:val="0000FF"/>
          <w:position w:val="-14"/>
          <w:sz w:val="24"/>
          <w:szCs w:val="24"/>
          <w:lang w:val="en-US" w:eastAsia="zh-CN"/>
        </w:rPr>
        <w:drawing>
          <wp:inline distT="0" distB="0" distL="114300" distR="114300">
            <wp:extent cx="5273040" cy="634365"/>
            <wp:effectExtent l="0" t="0" r="0" b="5715"/>
            <wp:docPr id="10" name="图片 10"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式4"/>
                    <pic:cNvPicPr>
                      <a:picLocks noChangeAspect="1"/>
                    </pic:cNvPicPr>
                  </pic:nvPicPr>
                  <pic:blipFill>
                    <a:blip r:embed="rId67"/>
                    <a:stretch>
                      <a:fillRect/>
                    </a:stretch>
                  </pic:blipFill>
                  <pic:spPr>
                    <a:xfrm>
                      <a:off x="0" y="0"/>
                      <a:ext cx="5273040" cy="634365"/>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706755" cy="389255"/>
            <wp:effectExtent l="0" t="0" r="9525" b="6985"/>
            <wp:docPr id="11" name="图片 11"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式2"/>
                    <pic:cNvPicPr>
                      <a:picLocks noChangeAspect="1"/>
                    </pic:cNvPicPr>
                  </pic:nvPicPr>
                  <pic:blipFill>
                    <a:blip r:embed="rId64"/>
                    <a:stretch>
                      <a:fillRect/>
                    </a:stretch>
                  </pic:blipFill>
                  <pic:spPr>
                    <a:xfrm>
                      <a:off x="0" y="0"/>
                      <a:ext cx="706755" cy="389255"/>
                    </a:xfrm>
                    <a:prstGeom prst="rect">
                      <a:avLst/>
                    </a:prstGeom>
                  </pic:spPr>
                </pic:pic>
              </a:graphicData>
            </a:graphic>
          </wp:inline>
        </w:drawing>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ascii="Calibri" w:hAnsi="Calibri" w:eastAsia="宋体" w:cs="Times New Roman"/>
          <w:sz w:val="21"/>
          <w:szCs w:val="24"/>
        </w:rPr>
        <w:drawing>
          <wp:inline distT="0" distB="0" distL="114300" distR="114300">
            <wp:extent cx="4473575" cy="1563370"/>
            <wp:effectExtent l="0" t="0" r="6985" b="635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pic:cNvPicPr>
                  </pic:nvPicPr>
                  <pic:blipFill>
                    <a:blip r:embed="rId68"/>
                    <a:stretch>
                      <a:fillRect/>
                    </a:stretch>
                  </pic:blipFill>
                  <pic:spPr>
                    <a:xfrm>
                      <a:off x="0" y="0"/>
                      <a:ext cx="4473575" cy="1563370"/>
                    </a:xfrm>
                    <a:prstGeom prst="rect">
                      <a:avLst/>
                    </a:prstGeom>
                    <a:noFill/>
                    <a:ln>
                      <a:noFill/>
                    </a:ln>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line="240" w:lineRule="auto"/>
        <w:ind w:firstLine="240" w:firstLineChars="10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=1.04 （２）其中——工作状态下吊重绳相对铅垂线的最大偏摆角（°），取0°或3°~6°。</w:t>
      </w:r>
      <w:r>
        <w:rPr>
          <w:rFonts w:hint="eastAsia" w:ascii="Calibri" w:hAnsi="Calibri" w:eastAsia="宋体" w:cs="Times New Roman"/>
          <w:sz w:val="24"/>
          <w:szCs w:val="24"/>
          <w:lang w:val="en-US" w:eastAsia="zh-CN"/>
        </w:rPr>
        <w:object>
          <v:shape id="_x0000_i1029" o:spt="75" type="#_x0000_t75" style="height:17pt;width:17pt;" o:ole="t" filled="f" o:preferrelative="t" stroked="f" coordsize="21600,21600">
            <v:path/>
            <v:fill on="f" focussize="0,0"/>
            <v:stroke on="f"/>
            <v:imagedata r:id="rId70" o:title=""/>
            <o:lock v:ext="edit" aspectratio="t"/>
            <w10:wrap type="none"/>
            <w10:anchorlock/>
          </v:shape>
          <o:OLEObject Type="Embed" ProgID="Equation.KSEE3" ShapeID="_x0000_i1029" DrawAspect="Content" ObjectID="_1468075728" r:id="rId69">
            <o:LockedField>false</o:LockedField>
          </o:OLEObject>
        </w:objec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f</w:t>
      </w:r>
      <w:r>
        <w:rPr>
          <w:rFonts w:hint="eastAsia" w:ascii="Calibri" w:hAnsi="Calibri" w:eastAsia="宋体" w:cs="Times New Roman"/>
          <w:sz w:val="24"/>
          <w:szCs w:val="24"/>
          <w:lang w:val="en-US" w:eastAsia="zh-CN"/>
        </w:rPr>
        <w:t>——风力系数</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２</w:t>
      </w:r>
      <w:r>
        <w:rPr>
          <w:rFonts w:hint="eastAsia" w:ascii="Calibri" w:hAnsi="Calibri" w:eastAsia="宋体" w:cs="Times New Roman"/>
          <w:sz w:val="24"/>
          <w:szCs w:val="24"/>
          <w:lang w:val="en-US" w:eastAsia="zh-CN"/>
        </w:rPr>
        <w:t>——起重机挡风面积的形心高度（ｍ）</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３</w:t>
      </w:r>
      <w:r>
        <w:rPr>
          <w:rFonts w:hint="eastAsia" w:ascii="Calibri" w:hAnsi="Calibri" w:eastAsia="宋体" w:cs="Times New Roman"/>
          <w:sz w:val="24"/>
          <w:szCs w:val="24"/>
          <w:lang w:val="en-US" w:eastAsia="zh-CN"/>
        </w:rPr>
        <w:t>——起重机臂架端物品悬吊点的高度</w:t>
      </w:r>
    </w:p>
    <w:p>
      <w:pPr>
        <w:numPr>
          <w:ilvl w:val="0"/>
          <w:numId w:val="0"/>
        </w:numPr>
        <w:spacing w:line="240" w:lineRule="auto"/>
        <w:ind w:firstLine="720" w:firstLineChars="30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F——作用于起重机上的风力（Ｎ）</w:t>
      </w:r>
    </w:p>
    <w:p>
      <w:pPr>
        <w:widowControl w:val="0"/>
        <w:numPr>
          <w:ilvl w:val="0"/>
          <w:numId w:val="0"/>
        </w:numPr>
        <w:spacing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其余符号与上式同。</w:t>
      </w:r>
    </w:p>
    <w:p>
      <w:pPr>
        <w:widowControl w:val="0"/>
        <w:numPr>
          <w:ilvl w:val="0"/>
          <w:numId w:val="0"/>
        </w:numPr>
        <w:spacing w:line="240" w:lineRule="auto"/>
        <w:ind w:firstLine="0" w:firstLineChars="0"/>
        <w:jc w:val="both"/>
        <w:rPr>
          <w:rFonts w:hint="default" w:ascii="Calibri" w:hAnsi="Calibri" w:eastAsia="宋体" w:cs="Times New Roman"/>
          <w:sz w:val="24"/>
          <w:szCs w:val="24"/>
          <w:lang w:val="en-US" w:eastAsia="zh-CN"/>
        </w:rPr>
      </w:pPr>
    </w:p>
    <w:p>
      <w:pPr>
        <w:numPr>
          <w:ilvl w:val="0"/>
          <w:numId w:val="20"/>
        </w:numPr>
        <w:spacing w:line="240" w:lineRule="auto"/>
        <w:ind w:left="0"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臂架与倾覆线成４５</w:t>
      </w:r>
      <w:r>
        <w:rPr>
          <w:rFonts w:hint="eastAsia" w:ascii="微软雅黑" w:hAnsi="微软雅黑" w:eastAsia="微软雅黑" w:cs="微软雅黑"/>
          <w:sz w:val="24"/>
          <w:szCs w:val="24"/>
          <w:lang w:val="en-US" w:eastAsia="zh-CN"/>
        </w:rPr>
        <w:t>°</w:t>
      </w:r>
      <w:r>
        <w:rPr>
          <w:rFonts w:hint="eastAsia" w:ascii="Calibri" w:hAnsi="Calibri" w:eastAsia="宋体" w:cs="Times New Roman"/>
          <w:sz w:val="24"/>
          <w:szCs w:val="24"/>
          <w:lang w:val="en-US" w:eastAsia="zh-CN"/>
        </w:rPr>
        <w:t>时</w:t>
      </w:r>
    </w:p>
    <w:p>
      <w:pPr>
        <w:keepNext w:val="0"/>
        <w:keepLines w:val="0"/>
        <w:widowControl/>
        <w:suppressLineNumbers w:val="0"/>
        <w:spacing w:line="240" w:lineRule="auto"/>
        <w:ind w:firstLine="0" w:firstLineChars="0"/>
        <w:jc w:val="center"/>
        <w:rPr>
          <w:rFonts w:hint="eastAsia" w:ascii="Calibri" w:hAnsi="Calibri" w:eastAsia="宋体" w:cs="Times New Roman"/>
          <w:sz w:val="21"/>
          <w:szCs w:val="24"/>
          <w:lang w:eastAsia="zh-CN"/>
        </w:rPr>
      </w:pPr>
      <w:r>
        <w:rPr>
          <w:rFonts w:hint="eastAsia" w:ascii="Calibri" w:hAnsi="Calibri" w:eastAsia="宋体" w:cs="Times New Roman"/>
          <w:sz w:val="21"/>
          <w:szCs w:val="24"/>
          <w:lang w:eastAsia="zh-CN"/>
        </w:rPr>
        <w:drawing>
          <wp:inline distT="0" distB="0" distL="114300" distR="114300">
            <wp:extent cx="5006340" cy="3718560"/>
            <wp:effectExtent l="12700" t="12700" r="25400" b="17780"/>
            <wp:docPr id="4" name="图片 4"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736993(1)"/>
                    <pic:cNvPicPr>
                      <a:picLocks noChangeAspect="1"/>
                    </pic:cNvPicPr>
                  </pic:nvPicPr>
                  <pic:blipFill>
                    <a:blip r:embed="rId71"/>
                    <a:stretch>
                      <a:fillRect/>
                    </a:stretch>
                  </pic:blipFill>
                  <pic:spPr>
                    <a:xfrm>
                      <a:off x="0" y="0"/>
                      <a:ext cx="5006340" cy="3718560"/>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起重机定置作业时的抗倾覆稳定性（臂架与倾覆线成４５</w:t>
      </w:r>
      <w:r>
        <w:rPr>
          <w:rFonts w:hint="eastAsia" w:ascii="微软雅黑" w:hAnsi="微软雅黑" w:eastAsia="微软雅黑" w:cs="微软雅黑"/>
          <w:sz w:val="24"/>
          <w:szCs w:val="24"/>
          <w:lang w:val="en-US" w:eastAsia="zh-CN"/>
        </w:rPr>
        <w:t>°时</w:t>
      </w:r>
      <w:r>
        <w:rPr>
          <w:rFonts w:hint="eastAsia" w:ascii="Calibri" w:hAnsi="Calibri" w:eastAsia="宋体" w:cs="Times New Roman"/>
          <w:sz w:val="24"/>
          <w:szCs w:val="24"/>
          <w:lang w:val="en-US" w:eastAsia="zh-CN"/>
        </w:rPr>
        <w:t>）</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其稳定性校核公式为：</w:t>
      </w:r>
    </w:p>
    <w:p>
      <w:pPr>
        <w:numPr>
          <w:ilvl w:val="0"/>
          <w:numId w:val="0"/>
        </w:numPr>
        <w:spacing w:line="240" w:lineRule="auto"/>
        <w:ind w:leftChars="0" w:firstLine="0" w:firstLineChars="0"/>
        <w:rPr>
          <w:rFonts w:hint="default" w:ascii="Calibri" w:hAnsi="Calibri" w:eastAsia="宋体" w:cs="Times New Roman"/>
          <w:position w:val="-30"/>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30"/>
          <w:sz w:val="24"/>
          <w:szCs w:val="24"/>
          <w:lang w:val="en-US" w:eastAsia="zh-CN"/>
        </w:rPr>
        <w:drawing>
          <wp:inline distT="0" distB="0" distL="114300" distR="114300">
            <wp:extent cx="5268595" cy="579120"/>
            <wp:effectExtent l="0" t="0" r="4445" b="0"/>
            <wp:docPr id="13" name="图片 13"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公式6"/>
                    <pic:cNvPicPr>
                      <a:picLocks noChangeAspect="1"/>
                    </pic:cNvPicPr>
                  </pic:nvPicPr>
                  <pic:blipFill>
                    <a:blip r:embed="rId72"/>
                    <a:stretch>
                      <a:fillRect/>
                    </a:stretch>
                  </pic:blipFill>
                  <pic:spPr>
                    <a:xfrm>
                      <a:off x="0" y="0"/>
                      <a:ext cx="5268595" cy="579120"/>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89610" cy="379730"/>
            <wp:effectExtent l="0" t="0" r="11430" b="1270"/>
            <wp:docPr id="14" name="图片 14"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公式2"/>
                    <pic:cNvPicPr>
                      <a:picLocks noChangeAspect="1"/>
                    </pic:cNvPicPr>
                  </pic:nvPicPr>
                  <pic:blipFill>
                    <a:blip r:embed="rId64"/>
                    <a:stretch>
                      <a:fillRect/>
                    </a:stretch>
                  </pic:blipFill>
                  <pic:spPr>
                    <a:xfrm>
                      <a:off x="0" y="0"/>
                      <a:ext cx="689610" cy="379730"/>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61205" cy="1590040"/>
            <wp:effectExtent l="0" t="0" r="10795" b="10160"/>
            <wp:docPr id="67" name="图片 67" descr="公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公式7"/>
                    <pic:cNvPicPr>
                      <a:picLocks noChangeAspect="1"/>
                    </pic:cNvPicPr>
                  </pic:nvPicPr>
                  <pic:blipFill>
                    <a:blip r:embed="rId73"/>
                    <a:stretch>
                      <a:fillRect/>
                    </a:stretch>
                  </pic:blipFill>
                  <pic:spPr>
                    <a:xfrm>
                      <a:off x="0" y="0"/>
                      <a:ext cx="4561205" cy="1590040"/>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=-0.5 （３）</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二计算起重机支承反力</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2.1 四点支承的支腿支反力</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取ｃ＝max[c1、c2、c3]= 1.039，可使以下计算偏安全</w:t>
      </w: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29455" cy="4036695"/>
            <wp:effectExtent l="12700" t="12700" r="14605" b="19685"/>
            <wp:docPr id="5" name="图片 5"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6737278(1)"/>
                    <pic:cNvPicPr>
                      <a:picLocks noChangeAspect="1"/>
                    </pic:cNvPicPr>
                  </pic:nvPicPr>
                  <pic:blipFill>
                    <a:blip r:embed="rId74"/>
                    <a:stretch>
                      <a:fillRect/>
                    </a:stretch>
                  </pic:blipFill>
                  <pic:spPr>
                    <a:xfrm>
                      <a:off x="0" y="0"/>
                      <a:ext cx="4529455" cy="4036695"/>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起重机由ABCD四点支承，其重力为G，等效重心为距回转中心的距离为c，夹角为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，货物的重量为Gp，在幅度为R，夹角为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 xml:space="preserve">时，刚性支腿ABCD的垂直反力分别为   </w:t>
      </w:r>
      <w:r>
        <w:rPr>
          <w:rFonts w:hint="eastAsia" w:ascii="Calibri" w:hAnsi="Calibri" w:eastAsia="宋体" w:cs="Times New Roman"/>
          <w:color w:val="0000FF"/>
          <w:sz w:val="24"/>
          <w:szCs w:val="24"/>
          <w:lang w:val="en-US" w:eastAsia="zh-CN"/>
        </w:rPr>
        <w:t xml:space="preserve"> </w:t>
      </w: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52140" cy="713105"/>
            <wp:effectExtent l="0" t="0" r="254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5"/>
                    <a:stretch>
                      <a:fillRect/>
                    </a:stretch>
                  </pic:blipFill>
                  <pic:spPr>
                    <a:xfrm>
                      <a:off x="0" y="0"/>
                      <a:ext cx="3152140" cy="713105"/>
                    </a:xfrm>
                    <a:prstGeom prst="rect">
                      <a:avLst/>
                    </a:prstGeom>
                    <a:noFill/>
                    <a:ln>
                      <a:noFill/>
                    </a:ln>
                  </pic:spPr>
                </pic:pic>
              </a:graphicData>
            </a:graphic>
          </wp:inline>
        </w:drawing>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=213.70000000000002KN</w:t>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32455" cy="671830"/>
            <wp:effectExtent l="0" t="0" r="6985" b="1397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76"/>
                    <a:stretch>
                      <a:fillRect/>
                    </a:stretch>
                  </pic:blipFill>
                  <pic:spPr>
                    <a:xfrm>
                      <a:off x="0" y="0"/>
                      <a:ext cx="3132455" cy="671830"/>
                    </a:xfrm>
                    <a:prstGeom prst="rect">
                      <a:avLst/>
                    </a:prstGeom>
                    <a:noFill/>
                    <a:ln>
                      <a:noFill/>
                    </a:ln>
                  </pic:spPr>
                </pic:pic>
              </a:graphicData>
            </a:graphic>
          </wp:inline>
        </w:drawing>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=349.6KN</w:t>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00705" cy="621665"/>
            <wp:effectExtent l="0" t="0" r="8255" b="317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77"/>
                    <a:stretch>
                      <a:fillRect/>
                    </a:stretch>
                  </pic:blipFill>
                  <pic:spPr>
                    <a:xfrm>
                      <a:off x="0" y="0"/>
                      <a:ext cx="3100705" cy="621665"/>
                    </a:xfrm>
                    <a:prstGeom prst="rect">
                      <a:avLst/>
                    </a:prstGeom>
                    <a:noFill/>
                    <a:ln>
                      <a:noFill/>
                    </a:ln>
                  </pic:spPr>
                </pic:pic>
              </a:graphicData>
            </a:graphic>
          </wp:inline>
        </w:drawing>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=241.4KN</w:t>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021330" cy="669925"/>
            <wp:effectExtent l="0" t="0" r="11430" b="63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78"/>
                    <a:stretch>
                      <a:fillRect/>
                    </a:stretch>
                  </pic:blipFill>
                  <pic:spPr>
                    <a:xfrm>
                      <a:off x="0" y="0"/>
                      <a:ext cx="3021330" cy="669925"/>
                    </a:xfrm>
                    <a:prstGeom prst="rect">
                      <a:avLst/>
                    </a:prstGeom>
                    <a:noFill/>
                    <a:ln>
                      <a:noFill/>
                    </a:ln>
                  </pic:spPr>
                </pic:pic>
              </a:graphicData>
            </a:graphic>
          </wp:inline>
        </w:drawing>
      </w:r>
    </w:p>
    <w:p>
      <w:pPr>
        <w:numPr>
          <w:ilvl w:val="0"/>
          <w:numId w:val="0"/>
        </w:numPr>
        <w:spacing w:line="240" w:lineRule="auto"/>
        <w:ind w:leftChars="0" w:firstLine="0" w:firstLineChars="0"/>
        <w:rPr>
          <w:rFonts w:hint="default"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=105.5KN</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其中</w:t>
      </w:r>
      <w:r>
        <w:rPr>
          <w:rFonts w:hint="default" w:ascii="Calibri" w:hAnsi="Calibri" w:eastAsia="宋体" w:cs="Times New Roman"/>
          <w:position w:val="-14"/>
          <w:sz w:val="24"/>
          <w:szCs w:val="24"/>
          <w:lang w:val="en-US" w:eastAsia="zh-CN"/>
        </w:rPr>
        <w:object>
          <v:shape id="_x0000_i1030" o:spt="75" type="#_x0000_t75" style="height:19pt;width:51pt;" o:ole="t" filled="f" o:preferrelative="t" stroked="f" coordsize="21600,21600">
            <v:path/>
            <v:fill on="f" focussize="0,0"/>
            <v:stroke on="f"/>
            <v:imagedata r:id="rId80" o:title=""/>
            <o:lock v:ext="edit" aspectratio="t"/>
            <w10:wrap type="none"/>
            <w10:anchorlock/>
          </v:shape>
          <o:OLEObject Type="Embed" ProgID="Equation.KSEE3" ShapeID="_x0000_i1030" DrawAspect="Content" ObjectID="_1468075729" r:id="rId79">
            <o:LockedField>false</o:LockedField>
          </o:OLEObject>
        </w:object>
      </w:r>
      <w:r>
        <w:rPr>
          <w:rFonts w:hint="eastAsia" w:ascii="Calibri" w:hAnsi="Calibri" w:eastAsia="宋体" w:cs="Times New Roman"/>
          <w:sz w:val="24"/>
          <w:szCs w:val="24"/>
          <w:lang w:val="en-US" w:eastAsia="zh-CN"/>
        </w:rPr>
        <w:t>为货物向旋转中心转化的力矩在x、y方向的分力矩</w:t>
      </w:r>
    </w:p>
    <w:p>
      <w:pPr>
        <w:numPr>
          <w:ilvl w:val="0"/>
          <w:numId w:val="0"/>
        </w:numPr>
        <w:spacing w:line="240" w:lineRule="auto"/>
        <w:ind w:left="840" w:leftChars="0" w:firstLine="42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499870" cy="480060"/>
            <wp:effectExtent l="0" t="0" r="8890" b="762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81"/>
                    <a:stretch>
                      <a:fillRect/>
                    </a:stretch>
                  </pic:blipFill>
                  <pic:spPr>
                    <a:xfrm>
                      <a:off x="0" y="0"/>
                      <a:ext cx="1499870" cy="480060"/>
                    </a:xfrm>
                    <a:prstGeom prst="rect">
                      <a:avLst/>
                    </a:prstGeom>
                    <a:noFill/>
                    <a:ln>
                      <a:noFill/>
                    </a:ln>
                  </pic:spPr>
                </pic:pic>
              </a:graphicData>
            </a:graphic>
          </wp:inline>
        </w:drawing>
      </w:r>
    </w:p>
    <w:p>
      <w:pPr>
        <w:numPr>
          <w:ilvl w:val="0"/>
          <w:numId w:val="0"/>
        </w:numPr>
        <w:spacing w:line="240" w:lineRule="auto"/>
        <w:ind w:left="840" w:leftChars="0" w:firstLine="42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=156.7tm</w:t>
      </w:r>
    </w:p>
    <w:p>
      <w:pPr>
        <w:numPr>
          <w:ilvl w:val="0"/>
          <w:numId w:val="0"/>
        </w:numPr>
        <w:spacing w:line="240" w:lineRule="auto"/>
        <w:ind w:left="840" w:leftChars="0" w:firstLine="420" w:firstLineChars="0"/>
        <w:rPr>
          <w:rFonts w:hint="eastAsia" w:ascii="Calibri" w:hAnsi="Calibri" w:eastAsia="宋体" w:cs="Times New Roman"/>
          <w:sz w:val="21"/>
          <w:szCs w:val="24"/>
          <w:lang w:val="en-US" w:eastAsia="zh-CN"/>
        </w:rPr>
      </w:pPr>
    </w:p>
    <w:p>
      <w:pPr>
        <w:numPr>
          <w:ilvl w:val="0"/>
          <w:numId w:val="0"/>
        </w:numPr>
        <w:spacing w:line="240" w:lineRule="auto"/>
        <w:ind w:left="840" w:leftChars="0" w:firstLine="42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06855" cy="512445"/>
            <wp:effectExtent l="0" t="0" r="1905" b="571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82"/>
                    <a:stretch>
                      <a:fillRect/>
                    </a:stretch>
                  </pic:blipFill>
                  <pic:spPr>
                    <a:xfrm>
                      <a:off x="0" y="0"/>
                      <a:ext cx="1506855" cy="512445"/>
                    </a:xfrm>
                    <a:prstGeom prst="rect">
                      <a:avLst/>
                    </a:prstGeom>
                    <a:noFill/>
                    <a:ln>
                      <a:noFill/>
                    </a:ln>
                  </pic:spPr>
                </pic:pic>
              </a:graphicData>
            </a:graphic>
          </wp:inline>
        </w:drawing>
      </w:r>
    </w:p>
    <w:p>
      <w:pPr>
        <w:numPr>
          <w:ilvl w:val="0"/>
          <w:numId w:val="0"/>
        </w:numPr>
        <w:spacing w:line="240" w:lineRule="auto"/>
        <w:ind w:left="840" w:leftChars="0" w:firstLine="420" w:firstLineChars="0"/>
        <w:rPr>
          <w:rFonts w:hint="eastAsia"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=140.23tm</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14"/>
          <w:sz w:val="24"/>
          <w:szCs w:val="24"/>
          <w:lang w:val="en-US" w:eastAsia="zh-CN"/>
        </w:rPr>
        <w:object>
          <v:shape id="_x0000_i1031" o:spt="75" type="#_x0000_t75" style="height:19pt;width:54pt;" o:ole="t" filled="f" o:preferrelative="t" stroked="f" coordsize="21600,21600">
            <v:path/>
            <v:fill on="f" focussize="0,0"/>
            <v:stroke on="f"/>
            <v:imagedata r:id="rId84" o:title=""/>
            <o:lock v:ext="edit" aspectratio="t"/>
            <w10:wrap type="none"/>
            <w10:anchorlock/>
          </v:shape>
          <o:OLEObject Type="Embed" ProgID="Equation.KSEE3" ShapeID="_x0000_i1031" DrawAspect="Content" ObjectID="_1468075730" r:id="rId83">
            <o:LockedField>false</o:LockedField>
          </o:OLEObject>
        </w:object>
      </w:r>
      <w:r>
        <w:rPr>
          <w:rFonts w:hint="eastAsia" w:ascii="Calibri" w:hAnsi="Calibri" w:eastAsia="宋体" w:cs="Times New Roman"/>
          <w:sz w:val="24"/>
          <w:szCs w:val="24"/>
          <w:lang w:val="en-US" w:eastAsia="zh-CN"/>
        </w:rPr>
        <w:t>为起重机向旋转中心转化的力矩在x、y方向的分力矩</w:t>
      </w:r>
    </w:p>
    <w:p>
      <w:pPr>
        <w:numPr>
          <w:ilvl w:val="0"/>
          <w:numId w:val="0"/>
        </w:numPr>
        <w:spacing w:line="240" w:lineRule="auto"/>
        <w:ind w:leftChars="0" w:firstLine="1205" w:firstLineChars="574"/>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50035" cy="433705"/>
            <wp:effectExtent l="0" t="0" r="4445" b="825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85"/>
                    <a:stretch>
                      <a:fillRect/>
                    </a:stretch>
                  </pic:blipFill>
                  <pic:spPr>
                    <a:xfrm>
                      <a:off x="0" y="0"/>
                      <a:ext cx="1550035" cy="433705"/>
                    </a:xfrm>
                    <a:prstGeom prst="rect">
                      <a:avLst/>
                    </a:prstGeom>
                    <a:noFill/>
                    <a:ln>
                      <a:noFill/>
                    </a:ln>
                  </pic:spPr>
                </pic:pic>
              </a:graphicData>
            </a:graphic>
          </wp:inline>
        </w:drawing>
      </w:r>
    </w:p>
    <w:p>
      <w:pPr>
        <w:numPr>
          <w:ilvl w:val="0"/>
          <w:numId w:val="0"/>
        </w:numPr>
        <w:spacing w:line="240" w:lineRule="auto"/>
        <w:ind w:leftChars="0" w:firstLine="1205" w:firstLineChars="574"/>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=58.84tm</w:t>
      </w:r>
    </w:p>
    <w:p>
      <w:pPr>
        <w:numPr>
          <w:ilvl w:val="0"/>
          <w:numId w:val="0"/>
        </w:numPr>
        <w:spacing w:line="240" w:lineRule="auto"/>
        <w:ind w:leftChars="0" w:firstLine="1205" w:firstLineChars="574"/>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31620" cy="429260"/>
            <wp:effectExtent l="0" t="0" r="7620" b="1270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86"/>
                    <a:stretch>
                      <a:fillRect/>
                    </a:stretch>
                  </pic:blipFill>
                  <pic:spPr>
                    <a:xfrm>
                      <a:off x="0" y="0"/>
                      <a:ext cx="1531620" cy="429260"/>
                    </a:xfrm>
                    <a:prstGeom prst="rect">
                      <a:avLst/>
                    </a:prstGeom>
                    <a:noFill/>
                    <a:ln>
                      <a:noFill/>
                    </a:ln>
                  </pic:spPr>
                </pic:pic>
              </a:graphicData>
            </a:graphic>
          </wp:inline>
        </w:drawing>
      </w:r>
    </w:p>
    <w:p>
      <w:pPr>
        <w:numPr>
          <w:ilvl w:val="0"/>
          <w:numId w:val="0"/>
        </w:numPr>
        <w:spacing w:line="240" w:lineRule="auto"/>
        <w:ind w:leftChars="0" w:firstLine="1205" w:firstLineChars="574"/>
        <w:rPr>
          <w:rFonts w:hint="default"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=52.66tm</w:t>
      </w:r>
    </w:p>
    <w:p>
      <w:pPr>
        <w:numPr>
          <w:ilvl w:val="0"/>
          <w:numId w:val="0"/>
        </w:numPr>
        <w:spacing w:line="240" w:lineRule="auto"/>
        <w:ind w:leftChars="0" w:firstLine="960" w:firstLineChars="400"/>
        <w:rPr>
          <w:rFonts w:hint="default" w:ascii="Calibri" w:hAnsi="Calibri" w:eastAsia="宋体" w:cs="Times New Roman"/>
          <w:sz w:val="24"/>
          <w:szCs w:val="24"/>
          <w:lang w:val="en-US" w:eastAsia="zh-CN"/>
        </w:rPr>
      </w:pPr>
    </w:p>
    <w:p>
      <w:pPr>
        <w:bidi w:val="0"/>
        <w:rPr>
          <w:rFonts w:hint="default"/>
          <w:lang w:val="en-US" w:eastAsia="zh-CN"/>
        </w:rPr>
      </w:pPr>
      <w:r>
        <w:rPr>
          <w:rFonts w:hint="eastAsia"/>
          <w:lang w:val="en-US" w:eastAsia="zh-CN"/>
        </w:rPr>
        <w:t>当β=β0=arctan(b/l) =0.73度时，即臂架垂直于支承平面的对角线AC时，NB达到最大值，此时ND为最小值。将β0代入工中，即可求出最大支承反力和最小支承反力。最大支承反力为349.6KN，最小支承反力为105.5KN。</w:t>
      </w:r>
    </w:p>
    <w:p>
      <w:pPr>
        <w:bidi w:val="0"/>
        <w:rPr>
          <w:rFonts w:hint="eastAsia"/>
        </w:rPr>
      </w:pPr>
      <w:r>
        <w:rPr>
          <w:rFonts w:hint="eastAsia"/>
        </w:rPr>
        <w:t>根据以上计算数据,支立时,每个支腿下方放好</w:t>
      </w:r>
      <w:r>
        <w:rPr>
          <w:rFonts w:hint="eastAsia"/>
          <w:lang w:val="en-US" w:eastAsia="zh-CN"/>
        </w:rPr>
        <w:t>2</w:t>
      </w:r>
      <w:r>
        <w:rPr>
          <w:rFonts w:hint="eastAsia"/>
        </w:rPr>
        <w:t>m×</w:t>
      </w:r>
      <w:r>
        <w:rPr>
          <w:rFonts w:hint="eastAsia"/>
          <w:lang w:val="en-US" w:eastAsia="zh-CN"/>
        </w:rPr>
        <w:t>2</w:t>
      </w:r>
      <w:r>
        <w:rPr>
          <w:rFonts w:hint="eastAsia"/>
        </w:rPr>
        <w:t>m</w:t>
      </w:r>
      <w:r>
        <w:rPr>
          <w:rFonts w:hint="eastAsia"/>
          <w:lang w:val="en-US" w:eastAsia="zh-CN"/>
        </w:rPr>
        <w:t>路基板</w:t>
      </w:r>
      <w:r>
        <w:rPr>
          <w:rFonts w:hint="eastAsia"/>
        </w:rPr>
        <w:t>。</w:t>
      </w:r>
    </w:p>
    <w:p>
      <w:pPr>
        <w:bidi w:val="0"/>
        <w:rPr>
          <w:rFonts w:hint="default"/>
        </w:rPr>
      </w:pPr>
      <w:r>
        <w:rPr>
          <w:rFonts w:hint="eastAsia"/>
        </w:rPr>
        <w:t>支反力下方：N=F/4=</w:t>
      </w:r>
      <w:r>
        <w:rPr>
          <w:rFonts w:hint="eastAsia"/>
          <w:lang w:val="en-US" w:eastAsia="zh-CN"/>
        </w:rPr>
        <w:t>349.6</w:t>
      </w:r>
      <w:r>
        <w:rPr>
          <w:rFonts w:hint="eastAsia"/>
        </w:rPr>
        <w:t>/</w:t>
      </w:r>
      <w:r>
        <w:rPr>
          <w:rFonts w:hint="eastAsia"/>
          <w:lang w:eastAsia="zh-CN"/>
        </w:rPr>
        <w:t>（</w:t>
      </w:r>
      <w:r>
        <w:rPr>
          <w:rFonts w:hint="eastAsia"/>
          <w:lang w:val="en-US" w:eastAsia="zh-CN"/>
        </w:rPr>
        <w:t xml:space="preserve">2*2) </w:t>
      </w:r>
      <w:r>
        <w:rPr>
          <w:rFonts w:hint="eastAsia"/>
        </w:rPr>
        <w:t>=</w:t>
      </w:r>
      <w:r>
        <w:rPr>
          <w:rFonts w:hint="eastAsia"/>
          <w:lang w:val="en-US" w:eastAsia="zh-CN"/>
        </w:rPr>
        <w:t>87.4</w:t>
      </w:r>
      <w:r>
        <w:rPr>
          <w:rFonts w:hint="eastAsia"/>
        </w:rPr>
        <w:t>Kpa，</w:t>
      </w:r>
      <w:r>
        <w:rPr>
          <w:rFonts w:hint="eastAsia"/>
          <w:lang w:val="en-US" w:eastAsia="zh-CN"/>
        </w:rPr>
        <w:t>小于桥面的承载力，故</w:t>
      </w:r>
      <w:r>
        <w:rPr>
          <w:rFonts w:hint="eastAsia"/>
        </w:rPr>
        <w:t>满足要求。</w:t>
      </w:r>
    </w:p>
    <w:sectPr>
      <w:headerReference r:id="rId9" w:type="default"/>
      <w:footerReference r:id="rId10" w:type="default"/>
      <w:pgSz w:w="11906" w:h="16838"/>
      <w:pgMar w:top="1134" w:right="850" w:bottom="1134" w:left="1417"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ST Kaiti">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7F" w:usb3="00000000" w:csb0="203F01FF" w:csb1="D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0" w:firstLineChars="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3757132"/>
                          </w:sdtPr>
                          <w:sdtContent>
                            <w:p>
                              <w:pPr>
                                <w:pStyle w:val="28"/>
                                <w:ind w:firstLine="0" w:firstLineChars="0"/>
                                <w:jc w:val="center"/>
                              </w:pPr>
                            </w:p>
                          </w:sdtContent>
                        </w:sdt>
                        <w:p>
                          <w:pPr>
                            <w:pStyle w:val="1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1743757132"/>
                    </w:sdtPr>
                    <w:sdtContent>
                      <w:p>
                        <w:pPr>
                          <w:pStyle w:val="28"/>
                          <w:ind w:firstLine="0" w:firstLineChars="0"/>
                          <w:jc w:val="center"/>
                        </w:pPr>
                      </w:p>
                    </w:sdtContent>
                  </w:sdt>
                  <w:p>
                    <w:pPr>
                      <w:pStyle w:val="12"/>
                      <w:ind w:firstLine="48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0" w:firstLineChars="0"/>
      <w:jc w:val="cente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92</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ind w:firstLine="0" w:firstLineChars="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8"/>
                      <w:ind w:firstLine="0" w:firstLineChars="0"/>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spacing w:line="240" w:lineRule="auto"/>
      <w:ind w:firstLine="360"/>
      <w:jc w:val="left"/>
    </w:pPr>
    <w:r>
      <w:rPr>
        <w:rFonts w:hint="eastAsia"/>
        <w:sz w:val="18"/>
        <w:szCs w:val="18"/>
        <w:u w:val="single"/>
      </w:rPr>
      <w:t xml:space="preserve"> </w:t>
    </w:r>
    <w:r>
      <w:rPr>
        <w:rFonts w:hint="eastAsia"/>
        <w:sz w:val="18"/>
        <w:szCs w:val="18"/>
        <w:u w:val="single"/>
        <w:lang w:val="en-US" w:eastAsia="zh-CN"/>
      </w:rPr>
      <w:t xml:space="preserve">             </w:t>
    </w:r>
    <w:r>
      <w:rPr>
        <w:rFonts w:hint="eastAsia"/>
        <w:sz w:val="15"/>
        <w:szCs w:val="15"/>
        <w:u w:val="single"/>
        <w:lang w:eastAsia="zh-CN"/>
      </w:rPr>
      <w:t>G9221杭甬高速宁波段三期工程威海路至柴桥段SG02 标跨港区及甬江特大桥项目P60墩</w:t>
    </w:r>
    <w:r>
      <w:rPr>
        <w:rFonts w:hint="eastAsia"/>
        <w:sz w:val="15"/>
        <w:szCs w:val="15"/>
        <w:u w:val="single"/>
        <w:lang w:val="en-US" w:eastAsia="zh-CN"/>
      </w:rPr>
      <w:t>XGT660-32S</w:t>
    </w:r>
    <w:r>
      <w:rPr>
        <w:rFonts w:hint="eastAsia"/>
        <w:sz w:val="15"/>
        <w:szCs w:val="15"/>
        <w:u w:val="single"/>
      </w:rPr>
      <w:t>塔机</w:t>
    </w:r>
    <w:r>
      <w:rPr>
        <w:rFonts w:hint="eastAsia"/>
        <w:sz w:val="15"/>
        <w:szCs w:val="15"/>
        <w:u w:val="single"/>
        <w:lang w:val="en-US" w:eastAsia="zh-CN"/>
      </w:rPr>
      <w:t>拆卸</w:t>
    </w:r>
    <w:r>
      <w:rPr>
        <w:rFonts w:hint="eastAsia"/>
        <w:sz w:val="15"/>
        <w:szCs w:val="15"/>
        <w:u w:val="single"/>
      </w:rPr>
      <w:t>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spacing w:line="240" w:lineRule="auto"/>
      <w:ind w:left="0" w:leftChars="0" w:firstLine="0" w:firstLineChars="0"/>
      <w:jc w:val="left"/>
      <w:rPr>
        <w:sz w:val="15"/>
        <w:szCs w:val="15"/>
      </w:rPr>
    </w:pPr>
    <w:r>
      <w:rPr>
        <w:rFonts w:hint="eastAsia"/>
        <w:sz w:val="18"/>
        <w:szCs w:val="18"/>
        <w:u w:val="single"/>
      </w:rPr>
      <w:t xml:space="preserve"> </w:t>
    </w:r>
    <w:r>
      <w:rPr>
        <w:rFonts w:hint="eastAsia"/>
        <w:sz w:val="18"/>
        <w:szCs w:val="18"/>
        <w:u w:val="single"/>
        <w:lang w:val="en-US" w:eastAsia="zh-CN"/>
      </w:rPr>
      <w:t xml:space="preserve">                 </w:t>
    </w:r>
    <w:r>
      <w:rPr>
        <w:rFonts w:hint="eastAsia"/>
        <w:sz w:val="15"/>
        <w:szCs w:val="15"/>
        <w:u w:val="single"/>
        <w:lang w:eastAsia="zh-CN"/>
      </w:rPr>
      <w:t>G9221杭甬高速宁波段三期工程威海路至柴桥段SG02 标跨港区及甬江特大桥项目P60墩XGT660-32S</w:t>
    </w:r>
    <w:r>
      <w:rPr>
        <w:rFonts w:hint="eastAsia"/>
        <w:sz w:val="15"/>
        <w:szCs w:val="15"/>
        <w:u w:val="single"/>
      </w:rPr>
      <w:t>塔机</w:t>
    </w:r>
    <w:r>
      <w:rPr>
        <w:rFonts w:hint="eastAsia"/>
        <w:sz w:val="15"/>
        <w:szCs w:val="15"/>
        <w:u w:val="single"/>
        <w:lang w:val="en-US" w:eastAsia="zh-CN"/>
      </w:rPr>
      <w:t>拆卸</w:t>
    </w:r>
    <w:r>
      <w:rPr>
        <w:rFonts w:hint="eastAsia"/>
        <w:sz w:val="15"/>
        <w:szCs w:val="15"/>
        <w:u w:val="single"/>
      </w:rPr>
      <w:t>施工方案</w:t>
    </w:r>
  </w:p>
  <w:p>
    <w:pPr>
      <w:pBdr>
        <w:bottom w:val="none" w:color="auto" w:sz="0" w:space="1"/>
      </w:pBdr>
      <w:tabs>
        <w:tab w:val="center" w:pos="4153"/>
        <w:tab w:val="right" w:pos="8306"/>
      </w:tabs>
      <w:snapToGrid w:val="0"/>
      <w:spacing w:line="240" w:lineRule="auto"/>
      <w:ind w:left="4325" w:leftChars="-117" w:hanging="4606" w:hangingChars="3071"/>
      <w:jc w:val="left"/>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2"/>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B42CBC9F"/>
    <w:multiLevelType w:val="multilevel"/>
    <w:tmpl w:val="B42CBC9F"/>
    <w:lvl w:ilvl="0" w:tentative="0">
      <w:start w:val="1"/>
      <w:numFmt w:val="decimal"/>
      <w:pStyle w:val="2"/>
      <w:lvlText w:val="%1."/>
      <w:lvlJc w:val="left"/>
      <w:pPr>
        <w:ind w:left="432" w:hanging="432"/>
      </w:pPr>
      <w:rPr>
        <w:rFonts w:hint="default"/>
      </w:rPr>
    </w:lvl>
    <w:lvl w:ilvl="1" w:tentative="0">
      <w:start w:val="1"/>
      <w:numFmt w:val="decimal"/>
      <w:pStyle w:val="3"/>
      <w:suff w:val="space"/>
      <w:lvlText w:val="%1.%2"/>
      <w:lvlJc w:val="left"/>
      <w:pPr>
        <w:tabs>
          <w:tab w:val="left" w:pos="420"/>
        </w:tabs>
        <w:ind w:left="575" w:hanging="575"/>
      </w:pPr>
      <w:rPr>
        <w:rFonts w:hint="default" w:ascii="宋体" w:hAnsi="宋体" w:eastAsia="宋体" w:cs="宋体"/>
      </w:rPr>
    </w:lvl>
    <w:lvl w:ilvl="2" w:tentative="0">
      <w:start w:val="1"/>
      <w:numFmt w:val="decimal"/>
      <w:pStyle w:val="4"/>
      <w:lvlText w:val="%1.%2.%3 "/>
      <w:lvlJc w:val="left"/>
      <w:pPr>
        <w:ind w:left="720" w:hanging="720"/>
      </w:pPr>
      <w:rPr>
        <w:rFonts w:hint="default" w:ascii="宋体" w:hAnsi="宋体" w:eastAsia="宋体" w:cs="宋体"/>
      </w:rPr>
    </w:lvl>
    <w:lvl w:ilvl="3" w:tentative="0">
      <w:start w:val="1"/>
      <w:numFmt w:val="decimal"/>
      <w:pStyle w:val="5"/>
      <w:lvlText w:val="%1.%2.%3.%4 "/>
      <w:lvlJc w:val="left"/>
      <w:pPr>
        <w:ind w:left="864" w:hanging="864"/>
      </w:pPr>
      <w:rPr>
        <w:rFonts w:hint="default" w:ascii="宋体" w:hAnsi="宋体" w:eastAsia="宋体" w:cs="宋体"/>
      </w:rPr>
    </w:lvl>
    <w:lvl w:ilvl="4" w:tentative="0">
      <w:start w:val="1"/>
      <w:numFmt w:val="decimal"/>
      <w:pStyle w:val="6"/>
      <w:lvlText w:val="%1.%2.%3.%4.%5 "/>
      <w:lvlJc w:val="left"/>
      <w:pPr>
        <w:ind w:left="1008" w:hanging="1008"/>
      </w:pPr>
      <w:rPr>
        <w:rFonts w:hint="default" w:ascii="宋体" w:hAnsi="宋体" w:eastAsia="宋体" w:cs="宋体"/>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EC8C5676"/>
    <w:multiLevelType w:val="singleLevel"/>
    <w:tmpl w:val="EC8C5676"/>
    <w:lvl w:ilvl="0" w:tentative="0">
      <w:start w:val="1"/>
      <w:numFmt w:val="chineseCounting"/>
      <w:suff w:val="nothing"/>
      <w:lvlText w:val="%1、"/>
      <w:lvlJc w:val="left"/>
      <w:rPr>
        <w:rFonts w:hint="eastAsia"/>
      </w:rPr>
    </w:lvl>
  </w:abstractNum>
  <w:abstractNum w:abstractNumId="3">
    <w:nsid w:val="0580B7F1"/>
    <w:multiLevelType w:val="singleLevel"/>
    <w:tmpl w:val="0580B7F1"/>
    <w:lvl w:ilvl="0" w:tentative="0">
      <w:start w:val="1"/>
      <w:numFmt w:val="decimalFullWidth"/>
      <w:suff w:val="nothing"/>
      <w:lvlText w:val="%1）"/>
      <w:lvlJc w:val="left"/>
      <w:rPr>
        <w:rFonts w:hint="eastAsia"/>
      </w:rPr>
    </w:lvl>
  </w:abstractNum>
  <w:abstractNum w:abstractNumId="4">
    <w:nsid w:val="0A406FC0"/>
    <w:multiLevelType w:val="multilevel"/>
    <w:tmpl w:val="0A406FC0"/>
    <w:lvl w:ilvl="0" w:tentative="0">
      <w:start w:val="1"/>
      <w:numFmt w:val="bullet"/>
      <w:pStyle w:val="11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4BC14A6"/>
    <w:multiLevelType w:val="multilevel"/>
    <w:tmpl w:val="14BC14A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CA1D74B"/>
    <w:multiLevelType w:val="multilevel"/>
    <w:tmpl w:val="1CA1D74B"/>
    <w:lvl w:ilvl="0" w:tentative="0">
      <w:start w:val="1"/>
      <w:numFmt w:val="decimal"/>
      <w:pStyle w:val="75"/>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0212260"/>
    <w:multiLevelType w:val="multilevel"/>
    <w:tmpl w:val="3021226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283101D"/>
    <w:multiLevelType w:val="multilevel"/>
    <w:tmpl w:val="3283101D"/>
    <w:lvl w:ilvl="0" w:tentative="0">
      <w:start w:val="1"/>
      <w:numFmt w:val="decimal"/>
      <w:pStyle w:val="66"/>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6273973"/>
    <w:multiLevelType w:val="multilevel"/>
    <w:tmpl w:val="36273973"/>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D1E613E"/>
    <w:multiLevelType w:val="multilevel"/>
    <w:tmpl w:val="3D1E613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4535BD3"/>
    <w:multiLevelType w:val="multilevel"/>
    <w:tmpl w:val="44535BD3"/>
    <w:lvl w:ilvl="0" w:tentative="0">
      <w:start w:val="1"/>
      <w:numFmt w:val="bullet"/>
      <w:pStyle w:val="151"/>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C6C0D15"/>
    <w:multiLevelType w:val="multilevel"/>
    <w:tmpl w:val="4C6C0D1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D4929C9"/>
    <w:multiLevelType w:val="multilevel"/>
    <w:tmpl w:val="4D4929C9"/>
    <w:lvl w:ilvl="0" w:tentative="0">
      <w:start w:val="1"/>
      <w:numFmt w:val="decimal"/>
      <w:suff w:val="space"/>
      <w:lvlText w:val="%1"/>
      <w:lvlJc w:val="left"/>
      <w:pPr>
        <w:ind w:left="0" w:firstLine="0"/>
      </w:pPr>
      <w:rPr>
        <w:rFonts w:hint="default" w:ascii="Times New Roman" w:hAnsi="Times New Roman" w:eastAsia="宋体"/>
      </w:rPr>
    </w:lvl>
    <w:lvl w:ilvl="1" w:tentative="0">
      <w:start w:val="1"/>
      <w:numFmt w:val="decimal"/>
      <w:isLgl/>
      <w:suff w:val="space"/>
      <w:lvlText w:val="%1.%2"/>
      <w:lvlJc w:val="left"/>
      <w:pPr>
        <w:ind w:left="0" w:firstLine="0"/>
      </w:pPr>
      <w:rPr>
        <w:rFonts w:hint="default" w:ascii="Times New Roman" w:hAnsi="Times New Roman" w:eastAsia="宋体"/>
      </w:rPr>
    </w:lvl>
    <w:lvl w:ilvl="2" w:tentative="0">
      <w:start w:val="1"/>
      <w:numFmt w:val="decimal"/>
      <w:isLgl/>
      <w:suff w:val="space"/>
      <w:lvlText w:val="%1.%2.%3"/>
      <w:lvlJc w:val="left"/>
      <w:pPr>
        <w:ind w:left="0" w:firstLine="0"/>
      </w:pPr>
      <w:rPr>
        <w:rFonts w:hint="default" w:ascii="Times New Roman" w:hAnsi="Times New Roman" w:eastAsia="宋体"/>
      </w:rPr>
    </w:lvl>
    <w:lvl w:ilvl="3" w:tentative="0">
      <w:start w:val="1"/>
      <w:numFmt w:val="decimal"/>
      <w:isLgl/>
      <w:suff w:val="space"/>
      <w:lvlText w:val="%1.%2.%3.%4"/>
      <w:lvlJc w:val="left"/>
      <w:pPr>
        <w:ind w:left="0" w:firstLine="0"/>
      </w:pPr>
      <w:rPr>
        <w:rFonts w:hint="default" w:ascii="Times New Roman" w:hAnsi="Times New Roman" w:eastAsia="宋体"/>
      </w:rPr>
    </w:lvl>
    <w:lvl w:ilvl="4" w:tentative="0">
      <w:start w:val="1"/>
      <w:numFmt w:val="decimal"/>
      <w:pStyle w:val="390"/>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14">
    <w:nsid w:val="500F0A56"/>
    <w:multiLevelType w:val="multilevel"/>
    <w:tmpl w:val="500F0A56"/>
    <w:lvl w:ilvl="0" w:tentative="0">
      <w:start w:val="1"/>
      <w:numFmt w:val="decimal"/>
      <w:pStyle w:val="111"/>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551D0296"/>
    <w:multiLevelType w:val="multilevel"/>
    <w:tmpl w:val="551D02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1C2D68"/>
    <w:multiLevelType w:val="multilevel"/>
    <w:tmpl w:val="771C2D68"/>
    <w:lvl w:ilvl="0" w:tentative="0">
      <w:start w:val="1"/>
      <w:numFmt w:val="bullet"/>
      <w:pStyle w:val="84"/>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74D27EF"/>
    <w:multiLevelType w:val="multilevel"/>
    <w:tmpl w:val="774D27EF"/>
    <w:lvl w:ilvl="0" w:tentative="0">
      <w:start w:val="1"/>
      <w:numFmt w:val="decimal"/>
      <w:pStyle w:val="138"/>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7D04554"/>
    <w:multiLevelType w:val="multilevel"/>
    <w:tmpl w:val="77D0455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8"/>
  </w:num>
  <w:num w:numId="3">
    <w:abstractNumId w:val="6"/>
  </w:num>
  <w:num w:numId="4">
    <w:abstractNumId w:val="16"/>
  </w:num>
  <w:num w:numId="5">
    <w:abstractNumId w:val="14"/>
  </w:num>
  <w:num w:numId="6">
    <w:abstractNumId w:val="4"/>
  </w:num>
  <w:num w:numId="7">
    <w:abstractNumId w:val="17"/>
  </w:num>
  <w:num w:numId="8">
    <w:abstractNumId w:val="11"/>
  </w:num>
  <w:num w:numId="9">
    <w:abstractNumId w:val="0"/>
  </w:num>
  <w:num w:numId="10">
    <w:abstractNumId w:val="13"/>
  </w:num>
  <w:num w:numId="11">
    <w:abstractNumId w:val="9"/>
  </w:num>
  <w:num w:numId="12">
    <w:abstractNumId w:val="10"/>
  </w:num>
  <w:num w:numId="13">
    <w:abstractNumId w:val="12"/>
  </w:num>
  <w:num w:numId="14">
    <w:abstractNumId w:val="15"/>
  </w:num>
  <w:num w:numId="15">
    <w:abstractNumId w:val="5"/>
  </w:num>
  <w:num w:numId="16">
    <w:abstractNumId w:val="7"/>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yNjUxODU0MjY3ODY3YTZjZjA2MjM4NzZiMTU5ZWE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6E97"/>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68FD"/>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780"/>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1A9"/>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D75"/>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97E3E"/>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3F2"/>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547"/>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528"/>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6A4C"/>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379D"/>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252B"/>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58D1"/>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3752"/>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565"/>
    <w:rsid w:val="00EB39E5"/>
    <w:rsid w:val="00EB585B"/>
    <w:rsid w:val="00EB6D74"/>
    <w:rsid w:val="00EB700F"/>
    <w:rsid w:val="00EB73DE"/>
    <w:rsid w:val="00EB7519"/>
    <w:rsid w:val="00EB795B"/>
    <w:rsid w:val="00EB7DCE"/>
    <w:rsid w:val="00EC1304"/>
    <w:rsid w:val="00EC13A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56BA"/>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32B"/>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17364B"/>
    <w:rsid w:val="015B4CA3"/>
    <w:rsid w:val="016B6B19"/>
    <w:rsid w:val="016C11F5"/>
    <w:rsid w:val="01986933"/>
    <w:rsid w:val="019A20D4"/>
    <w:rsid w:val="01D20A5A"/>
    <w:rsid w:val="02025613"/>
    <w:rsid w:val="020E2058"/>
    <w:rsid w:val="021A06B0"/>
    <w:rsid w:val="0224797E"/>
    <w:rsid w:val="02492BD4"/>
    <w:rsid w:val="026659F0"/>
    <w:rsid w:val="027E1587"/>
    <w:rsid w:val="0282156D"/>
    <w:rsid w:val="02B94A31"/>
    <w:rsid w:val="031D18A2"/>
    <w:rsid w:val="033E696D"/>
    <w:rsid w:val="039858F2"/>
    <w:rsid w:val="03A03184"/>
    <w:rsid w:val="03A043CE"/>
    <w:rsid w:val="03BC74A2"/>
    <w:rsid w:val="040231B9"/>
    <w:rsid w:val="040F6C6A"/>
    <w:rsid w:val="044367B0"/>
    <w:rsid w:val="048F6BA5"/>
    <w:rsid w:val="04A378A4"/>
    <w:rsid w:val="04BD3D81"/>
    <w:rsid w:val="05360516"/>
    <w:rsid w:val="054410B6"/>
    <w:rsid w:val="05526D1E"/>
    <w:rsid w:val="05537FF7"/>
    <w:rsid w:val="056A49B4"/>
    <w:rsid w:val="05A827CF"/>
    <w:rsid w:val="05E5600D"/>
    <w:rsid w:val="05F57100"/>
    <w:rsid w:val="06710E08"/>
    <w:rsid w:val="068612E7"/>
    <w:rsid w:val="06870BEB"/>
    <w:rsid w:val="06880164"/>
    <w:rsid w:val="068E324C"/>
    <w:rsid w:val="06BF18EE"/>
    <w:rsid w:val="06CC10CD"/>
    <w:rsid w:val="07586797"/>
    <w:rsid w:val="07811597"/>
    <w:rsid w:val="07811A43"/>
    <w:rsid w:val="07AF256F"/>
    <w:rsid w:val="07B319DE"/>
    <w:rsid w:val="08227352"/>
    <w:rsid w:val="08603A9B"/>
    <w:rsid w:val="0865426F"/>
    <w:rsid w:val="08B618C4"/>
    <w:rsid w:val="08C862B7"/>
    <w:rsid w:val="09146E98"/>
    <w:rsid w:val="09210183"/>
    <w:rsid w:val="092D54BA"/>
    <w:rsid w:val="093B1510"/>
    <w:rsid w:val="098944A3"/>
    <w:rsid w:val="09DB7C18"/>
    <w:rsid w:val="09F9205B"/>
    <w:rsid w:val="0A285139"/>
    <w:rsid w:val="0A2B7BED"/>
    <w:rsid w:val="0A407F4A"/>
    <w:rsid w:val="0A4648CF"/>
    <w:rsid w:val="0A544DB5"/>
    <w:rsid w:val="0A7E3BC1"/>
    <w:rsid w:val="0A8620D5"/>
    <w:rsid w:val="0AD16353"/>
    <w:rsid w:val="0AD448D2"/>
    <w:rsid w:val="0ADE75C3"/>
    <w:rsid w:val="0AE55372"/>
    <w:rsid w:val="0AF20E23"/>
    <w:rsid w:val="0B2F3115"/>
    <w:rsid w:val="0B3454F8"/>
    <w:rsid w:val="0B5D6924"/>
    <w:rsid w:val="0B974DD3"/>
    <w:rsid w:val="0BB83A54"/>
    <w:rsid w:val="0BE001DA"/>
    <w:rsid w:val="0BEE2D71"/>
    <w:rsid w:val="0C1D13F1"/>
    <w:rsid w:val="0C53176E"/>
    <w:rsid w:val="0C5E697A"/>
    <w:rsid w:val="0C5F013D"/>
    <w:rsid w:val="0CA928DF"/>
    <w:rsid w:val="0CC36C0B"/>
    <w:rsid w:val="0D293C18"/>
    <w:rsid w:val="0D41656C"/>
    <w:rsid w:val="0D981F80"/>
    <w:rsid w:val="0DA0704B"/>
    <w:rsid w:val="0DB51F60"/>
    <w:rsid w:val="0DC249EA"/>
    <w:rsid w:val="0DD977B0"/>
    <w:rsid w:val="0E047CEB"/>
    <w:rsid w:val="0E130DFA"/>
    <w:rsid w:val="0E1B78C4"/>
    <w:rsid w:val="0E3D193D"/>
    <w:rsid w:val="0E8D65A6"/>
    <w:rsid w:val="0EAE5958"/>
    <w:rsid w:val="0EC6513C"/>
    <w:rsid w:val="0ED32812"/>
    <w:rsid w:val="0EE54141"/>
    <w:rsid w:val="0F0F6C0B"/>
    <w:rsid w:val="0F467E20"/>
    <w:rsid w:val="0F4E7C62"/>
    <w:rsid w:val="0F546D8C"/>
    <w:rsid w:val="0F5551D9"/>
    <w:rsid w:val="0FA02DE0"/>
    <w:rsid w:val="0FB86BA3"/>
    <w:rsid w:val="0FB96F5D"/>
    <w:rsid w:val="0FD27814"/>
    <w:rsid w:val="10047F1C"/>
    <w:rsid w:val="104B7BFF"/>
    <w:rsid w:val="105552F6"/>
    <w:rsid w:val="105918F4"/>
    <w:rsid w:val="105F0547"/>
    <w:rsid w:val="108C39E7"/>
    <w:rsid w:val="10A26250"/>
    <w:rsid w:val="10B06788"/>
    <w:rsid w:val="10BD494B"/>
    <w:rsid w:val="10CD0C4A"/>
    <w:rsid w:val="111E4C42"/>
    <w:rsid w:val="116B5255"/>
    <w:rsid w:val="118F6932"/>
    <w:rsid w:val="119851E8"/>
    <w:rsid w:val="11E152F9"/>
    <w:rsid w:val="11FA13AD"/>
    <w:rsid w:val="122E5DFF"/>
    <w:rsid w:val="1244192C"/>
    <w:rsid w:val="129841CB"/>
    <w:rsid w:val="12BE6A05"/>
    <w:rsid w:val="12EC09DC"/>
    <w:rsid w:val="131F7213"/>
    <w:rsid w:val="13301502"/>
    <w:rsid w:val="136A7EDD"/>
    <w:rsid w:val="1373302C"/>
    <w:rsid w:val="13A4281C"/>
    <w:rsid w:val="13A92C40"/>
    <w:rsid w:val="13B412C7"/>
    <w:rsid w:val="13E8262A"/>
    <w:rsid w:val="14242C87"/>
    <w:rsid w:val="143A78F7"/>
    <w:rsid w:val="144A2C0E"/>
    <w:rsid w:val="14544E6F"/>
    <w:rsid w:val="14752F62"/>
    <w:rsid w:val="14835342"/>
    <w:rsid w:val="14953546"/>
    <w:rsid w:val="149756FB"/>
    <w:rsid w:val="14EC5659"/>
    <w:rsid w:val="15490627"/>
    <w:rsid w:val="155308F6"/>
    <w:rsid w:val="156600C2"/>
    <w:rsid w:val="15945CB1"/>
    <w:rsid w:val="15CB3A81"/>
    <w:rsid w:val="16194443"/>
    <w:rsid w:val="16195FDE"/>
    <w:rsid w:val="16201F02"/>
    <w:rsid w:val="16243949"/>
    <w:rsid w:val="16265EA9"/>
    <w:rsid w:val="16421E79"/>
    <w:rsid w:val="16504558"/>
    <w:rsid w:val="16583AD2"/>
    <w:rsid w:val="166C2C4F"/>
    <w:rsid w:val="16F86E85"/>
    <w:rsid w:val="17463BEB"/>
    <w:rsid w:val="1767428D"/>
    <w:rsid w:val="17CF7474"/>
    <w:rsid w:val="17D17FE1"/>
    <w:rsid w:val="17E035CB"/>
    <w:rsid w:val="17E864DD"/>
    <w:rsid w:val="1804403A"/>
    <w:rsid w:val="18566322"/>
    <w:rsid w:val="18CF42C0"/>
    <w:rsid w:val="18FE3F9B"/>
    <w:rsid w:val="18FF5B5B"/>
    <w:rsid w:val="196565AA"/>
    <w:rsid w:val="19665CFC"/>
    <w:rsid w:val="19A608D2"/>
    <w:rsid w:val="19CB6AA7"/>
    <w:rsid w:val="19D821D7"/>
    <w:rsid w:val="19E82F2D"/>
    <w:rsid w:val="1A3A174F"/>
    <w:rsid w:val="1A41083B"/>
    <w:rsid w:val="1A61467A"/>
    <w:rsid w:val="1A65131A"/>
    <w:rsid w:val="1A9673CD"/>
    <w:rsid w:val="1AAB5F27"/>
    <w:rsid w:val="1AB35309"/>
    <w:rsid w:val="1B3C2DDB"/>
    <w:rsid w:val="1B590209"/>
    <w:rsid w:val="1B7A1371"/>
    <w:rsid w:val="1B8B28D5"/>
    <w:rsid w:val="1BA8332D"/>
    <w:rsid w:val="1BC05DD4"/>
    <w:rsid w:val="1C3D6A44"/>
    <w:rsid w:val="1C3F1E54"/>
    <w:rsid w:val="1C48194A"/>
    <w:rsid w:val="1C4D7BD0"/>
    <w:rsid w:val="1CC7543F"/>
    <w:rsid w:val="1CEB592D"/>
    <w:rsid w:val="1D046632"/>
    <w:rsid w:val="1D266249"/>
    <w:rsid w:val="1D2D0025"/>
    <w:rsid w:val="1D644DCB"/>
    <w:rsid w:val="1D9D01F9"/>
    <w:rsid w:val="1DEF6368"/>
    <w:rsid w:val="1E015912"/>
    <w:rsid w:val="1E1B0ADF"/>
    <w:rsid w:val="1EE46DE1"/>
    <w:rsid w:val="1EE511F0"/>
    <w:rsid w:val="1EE731A6"/>
    <w:rsid w:val="1EEB1012"/>
    <w:rsid w:val="1EEF0DDB"/>
    <w:rsid w:val="1F280323"/>
    <w:rsid w:val="1F2F4AF6"/>
    <w:rsid w:val="1F3423B7"/>
    <w:rsid w:val="1F4E7F44"/>
    <w:rsid w:val="1F5619DC"/>
    <w:rsid w:val="1F5B41F6"/>
    <w:rsid w:val="1F5D60FD"/>
    <w:rsid w:val="1FC42B64"/>
    <w:rsid w:val="1FCC62D3"/>
    <w:rsid w:val="20097625"/>
    <w:rsid w:val="20214B10"/>
    <w:rsid w:val="2043260B"/>
    <w:rsid w:val="20455E78"/>
    <w:rsid w:val="20542112"/>
    <w:rsid w:val="207C5E84"/>
    <w:rsid w:val="20862B7C"/>
    <w:rsid w:val="20D64231"/>
    <w:rsid w:val="20E65548"/>
    <w:rsid w:val="20F12AC3"/>
    <w:rsid w:val="21060FD7"/>
    <w:rsid w:val="21224749"/>
    <w:rsid w:val="216E5F82"/>
    <w:rsid w:val="218239FA"/>
    <w:rsid w:val="21BA4700"/>
    <w:rsid w:val="21BF6637"/>
    <w:rsid w:val="21D610A3"/>
    <w:rsid w:val="21D7200F"/>
    <w:rsid w:val="21DB22DE"/>
    <w:rsid w:val="22125E5D"/>
    <w:rsid w:val="22361A95"/>
    <w:rsid w:val="224F4AAE"/>
    <w:rsid w:val="225C0F70"/>
    <w:rsid w:val="225E628C"/>
    <w:rsid w:val="22D75817"/>
    <w:rsid w:val="22EE2D79"/>
    <w:rsid w:val="22F94F21"/>
    <w:rsid w:val="22FB4006"/>
    <w:rsid w:val="23052BAC"/>
    <w:rsid w:val="234E65B1"/>
    <w:rsid w:val="235176F4"/>
    <w:rsid w:val="235B4182"/>
    <w:rsid w:val="23616034"/>
    <w:rsid w:val="237C661D"/>
    <w:rsid w:val="23883918"/>
    <w:rsid w:val="238F27DE"/>
    <w:rsid w:val="23AB7918"/>
    <w:rsid w:val="23D5554D"/>
    <w:rsid w:val="23DE5320"/>
    <w:rsid w:val="23DF0D93"/>
    <w:rsid w:val="23DF164F"/>
    <w:rsid w:val="243865C5"/>
    <w:rsid w:val="2439627A"/>
    <w:rsid w:val="244119C2"/>
    <w:rsid w:val="245416F5"/>
    <w:rsid w:val="24575689"/>
    <w:rsid w:val="24612918"/>
    <w:rsid w:val="248C1891"/>
    <w:rsid w:val="249F21F1"/>
    <w:rsid w:val="24E226BD"/>
    <w:rsid w:val="252B1339"/>
    <w:rsid w:val="25A20465"/>
    <w:rsid w:val="25C43E6B"/>
    <w:rsid w:val="25DA6D7E"/>
    <w:rsid w:val="25DF49EB"/>
    <w:rsid w:val="25E649EA"/>
    <w:rsid w:val="25EE078C"/>
    <w:rsid w:val="26241A58"/>
    <w:rsid w:val="262A27C3"/>
    <w:rsid w:val="263952BC"/>
    <w:rsid w:val="266057E0"/>
    <w:rsid w:val="26760048"/>
    <w:rsid w:val="26977FBF"/>
    <w:rsid w:val="26A66101"/>
    <w:rsid w:val="26B5751A"/>
    <w:rsid w:val="26B70C83"/>
    <w:rsid w:val="26CD1C32"/>
    <w:rsid w:val="270205A3"/>
    <w:rsid w:val="27194DB3"/>
    <w:rsid w:val="275A2460"/>
    <w:rsid w:val="27782A92"/>
    <w:rsid w:val="27823EA2"/>
    <w:rsid w:val="27C45A95"/>
    <w:rsid w:val="27CD5305"/>
    <w:rsid w:val="27D82892"/>
    <w:rsid w:val="28584A86"/>
    <w:rsid w:val="28B93C10"/>
    <w:rsid w:val="28C055AB"/>
    <w:rsid w:val="28DB5C1A"/>
    <w:rsid w:val="28E552EB"/>
    <w:rsid w:val="29102574"/>
    <w:rsid w:val="292D2255"/>
    <w:rsid w:val="29A21154"/>
    <w:rsid w:val="29C1466A"/>
    <w:rsid w:val="2A040055"/>
    <w:rsid w:val="2A15414C"/>
    <w:rsid w:val="2A224B27"/>
    <w:rsid w:val="2A8451C8"/>
    <w:rsid w:val="2ABA708D"/>
    <w:rsid w:val="2ADE61D1"/>
    <w:rsid w:val="2B4B5A9E"/>
    <w:rsid w:val="2B7F6CC9"/>
    <w:rsid w:val="2B822FB7"/>
    <w:rsid w:val="2B9D7E25"/>
    <w:rsid w:val="2B9F3B9D"/>
    <w:rsid w:val="2BB47753"/>
    <w:rsid w:val="2BCD7805"/>
    <w:rsid w:val="2BD81B2B"/>
    <w:rsid w:val="2BF734FF"/>
    <w:rsid w:val="2C5C7431"/>
    <w:rsid w:val="2C6646BB"/>
    <w:rsid w:val="2C9760AE"/>
    <w:rsid w:val="2CAD5165"/>
    <w:rsid w:val="2CB72DF0"/>
    <w:rsid w:val="2CBF7578"/>
    <w:rsid w:val="2CC407EF"/>
    <w:rsid w:val="2CC727A2"/>
    <w:rsid w:val="2CF5428C"/>
    <w:rsid w:val="2CFE23A7"/>
    <w:rsid w:val="2D0C7355"/>
    <w:rsid w:val="2D422172"/>
    <w:rsid w:val="2D6D6BDC"/>
    <w:rsid w:val="2DE2232A"/>
    <w:rsid w:val="2DF35E82"/>
    <w:rsid w:val="2DFF799C"/>
    <w:rsid w:val="2E063E89"/>
    <w:rsid w:val="2E0947F8"/>
    <w:rsid w:val="2E11721B"/>
    <w:rsid w:val="2E1524B9"/>
    <w:rsid w:val="2E270479"/>
    <w:rsid w:val="2E32087F"/>
    <w:rsid w:val="2E553E21"/>
    <w:rsid w:val="2E784E90"/>
    <w:rsid w:val="2E984B78"/>
    <w:rsid w:val="2EAE4AFF"/>
    <w:rsid w:val="2ED232DC"/>
    <w:rsid w:val="2EEE7B86"/>
    <w:rsid w:val="2F0B31C5"/>
    <w:rsid w:val="2F1575AA"/>
    <w:rsid w:val="2F1D6FE7"/>
    <w:rsid w:val="2F7E5172"/>
    <w:rsid w:val="2F893F8B"/>
    <w:rsid w:val="2FB16CA4"/>
    <w:rsid w:val="2FC96DDB"/>
    <w:rsid w:val="2FFA55C4"/>
    <w:rsid w:val="30107626"/>
    <w:rsid w:val="3014436D"/>
    <w:rsid w:val="30144EC2"/>
    <w:rsid w:val="303073CE"/>
    <w:rsid w:val="30683654"/>
    <w:rsid w:val="3075135A"/>
    <w:rsid w:val="309C6DB9"/>
    <w:rsid w:val="30B02B5F"/>
    <w:rsid w:val="30D90F9E"/>
    <w:rsid w:val="30E119FE"/>
    <w:rsid w:val="30F24EA9"/>
    <w:rsid w:val="30F721F2"/>
    <w:rsid w:val="3108346C"/>
    <w:rsid w:val="3156044E"/>
    <w:rsid w:val="31676BDA"/>
    <w:rsid w:val="318426FA"/>
    <w:rsid w:val="31A617C0"/>
    <w:rsid w:val="31A8218F"/>
    <w:rsid w:val="31B52962"/>
    <w:rsid w:val="31C14142"/>
    <w:rsid w:val="324B0580"/>
    <w:rsid w:val="324D2D80"/>
    <w:rsid w:val="326D476B"/>
    <w:rsid w:val="327476D7"/>
    <w:rsid w:val="327C2C35"/>
    <w:rsid w:val="32896C84"/>
    <w:rsid w:val="33173602"/>
    <w:rsid w:val="33475512"/>
    <w:rsid w:val="33576B0C"/>
    <w:rsid w:val="33A813C3"/>
    <w:rsid w:val="33C80504"/>
    <w:rsid w:val="33DA6CFB"/>
    <w:rsid w:val="33DF0A00"/>
    <w:rsid w:val="33E20DDF"/>
    <w:rsid w:val="33E60EE4"/>
    <w:rsid w:val="33F15628"/>
    <w:rsid w:val="34134F02"/>
    <w:rsid w:val="348B0379"/>
    <w:rsid w:val="34DA5853"/>
    <w:rsid w:val="34E72BCD"/>
    <w:rsid w:val="34EE35E2"/>
    <w:rsid w:val="350A598E"/>
    <w:rsid w:val="351F07CE"/>
    <w:rsid w:val="353A18E4"/>
    <w:rsid w:val="353E4427"/>
    <w:rsid w:val="357A3BE2"/>
    <w:rsid w:val="3582609F"/>
    <w:rsid w:val="35952AEC"/>
    <w:rsid w:val="35AA2277"/>
    <w:rsid w:val="35AA389E"/>
    <w:rsid w:val="35B704D6"/>
    <w:rsid w:val="35BB38CF"/>
    <w:rsid w:val="35BE5948"/>
    <w:rsid w:val="35C14748"/>
    <w:rsid w:val="35DB7CBD"/>
    <w:rsid w:val="363F7C94"/>
    <w:rsid w:val="36485230"/>
    <w:rsid w:val="365C0720"/>
    <w:rsid w:val="365E7D8D"/>
    <w:rsid w:val="36E431AB"/>
    <w:rsid w:val="36F472A4"/>
    <w:rsid w:val="37023232"/>
    <w:rsid w:val="37432777"/>
    <w:rsid w:val="374C73ED"/>
    <w:rsid w:val="376C4B50"/>
    <w:rsid w:val="37822F66"/>
    <w:rsid w:val="37EF1A09"/>
    <w:rsid w:val="3801771C"/>
    <w:rsid w:val="38032760"/>
    <w:rsid w:val="380753BC"/>
    <w:rsid w:val="380D767A"/>
    <w:rsid w:val="38156F95"/>
    <w:rsid w:val="382D2531"/>
    <w:rsid w:val="38365DB2"/>
    <w:rsid w:val="38410FB9"/>
    <w:rsid w:val="38802488"/>
    <w:rsid w:val="388058A2"/>
    <w:rsid w:val="38993E8F"/>
    <w:rsid w:val="38A90DD4"/>
    <w:rsid w:val="38C04622"/>
    <w:rsid w:val="38C837A7"/>
    <w:rsid w:val="38E5211B"/>
    <w:rsid w:val="38F40FAA"/>
    <w:rsid w:val="391C7782"/>
    <w:rsid w:val="395922E0"/>
    <w:rsid w:val="396101CC"/>
    <w:rsid w:val="396B3311"/>
    <w:rsid w:val="39AB02EF"/>
    <w:rsid w:val="39B01DA0"/>
    <w:rsid w:val="39F655DF"/>
    <w:rsid w:val="3A181899"/>
    <w:rsid w:val="3A1B4F24"/>
    <w:rsid w:val="3A41533A"/>
    <w:rsid w:val="3AAA68C1"/>
    <w:rsid w:val="3AAE7AAF"/>
    <w:rsid w:val="3ACE7D1C"/>
    <w:rsid w:val="3AD33C5B"/>
    <w:rsid w:val="3AD47C5D"/>
    <w:rsid w:val="3AD815D7"/>
    <w:rsid w:val="3AE17505"/>
    <w:rsid w:val="3AF66B34"/>
    <w:rsid w:val="3B13409D"/>
    <w:rsid w:val="3B274807"/>
    <w:rsid w:val="3BFA5E3F"/>
    <w:rsid w:val="3C0E1570"/>
    <w:rsid w:val="3C186B72"/>
    <w:rsid w:val="3C3B59DA"/>
    <w:rsid w:val="3C4131E5"/>
    <w:rsid w:val="3C5223F3"/>
    <w:rsid w:val="3C5E0976"/>
    <w:rsid w:val="3C6140B2"/>
    <w:rsid w:val="3C8753CF"/>
    <w:rsid w:val="3CB43221"/>
    <w:rsid w:val="3D121FE8"/>
    <w:rsid w:val="3D1918F1"/>
    <w:rsid w:val="3D440C38"/>
    <w:rsid w:val="3D4735A4"/>
    <w:rsid w:val="3D6F7148"/>
    <w:rsid w:val="3D7A18A8"/>
    <w:rsid w:val="3DA311B0"/>
    <w:rsid w:val="3DCA3DD5"/>
    <w:rsid w:val="3DCD3561"/>
    <w:rsid w:val="3DE971A9"/>
    <w:rsid w:val="3E242A60"/>
    <w:rsid w:val="3E26436F"/>
    <w:rsid w:val="3E29167F"/>
    <w:rsid w:val="3E3B2B85"/>
    <w:rsid w:val="3E605436"/>
    <w:rsid w:val="3E630A5B"/>
    <w:rsid w:val="3E7B190D"/>
    <w:rsid w:val="3E984A38"/>
    <w:rsid w:val="3EB5522B"/>
    <w:rsid w:val="3F52089A"/>
    <w:rsid w:val="3F5530BC"/>
    <w:rsid w:val="3F7C36DC"/>
    <w:rsid w:val="3F830C89"/>
    <w:rsid w:val="3FA5796D"/>
    <w:rsid w:val="3FC823B0"/>
    <w:rsid w:val="3FE25578"/>
    <w:rsid w:val="3FE37EFD"/>
    <w:rsid w:val="4004136D"/>
    <w:rsid w:val="401849E1"/>
    <w:rsid w:val="40351070"/>
    <w:rsid w:val="408829FA"/>
    <w:rsid w:val="40A67CE5"/>
    <w:rsid w:val="40B26E1E"/>
    <w:rsid w:val="40CB4674"/>
    <w:rsid w:val="40DE0D6C"/>
    <w:rsid w:val="40EF3A24"/>
    <w:rsid w:val="40F059F3"/>
    <w:rsid w:val="41013A16"/>
    <w:rsid w:val="41050FFA"/>
    <w:rsid w:val="4175062D"/>
    <w:rsid w:val="418442E7"/>
    <w:rsid w:val="41884AF2"/>
    <w:rsid w:val="41BD5138"/>
    <w:rsid w:val="41F82507"/>
    <w:rsid w:val="420C3D6E"/>
    <w:rsid w:val="421104FC"/>
    <w:rsid w:val="424109D0"/>
    <w:rsid w:val="425C3BBE"/>
    <w:rsid w:val="426551F3"/>
    <w:rsid w:val="426B5CA4"/>
    <w:rsid w:val="42761AD2"/>
    <w:rsid w:val="427E5F8D"/>
    <w:rsid w:val="42990C13"/>
    <w:rsid w:val="42A91C31"/>
    <w:rsid w:val="42CC7491"/>
    <w:rsid w:val="42D57A4D"/>
    <w:rsid w:val="431214BE"/>
    <w:rsid w:val="436A002C"/>
    <w:rsid w:val="437C55B9"/>
    <w:rsid w:val="4386494F"/>
    <w:rsid w:val="43AC6A00"/>
    <w:rsid w:val="43F86F69"/>
    <w:rsid w:val="4407612D"/>
    <w:rsid w:val="4428042D"/>
    <w:rsid w:val="448970B3"/>
    <w:rsid w:val="44B80DBF"/>
    <w:rsid w:val="44BE322F"/>
    <w:rsid w:val="44BF0E72"/>
    <w:rsid w:val="44C753AB"/>
    <w:rsid w:val="44D16364"/>
    <w:rsid w:val="44DF115C"/>
    <w:rsid w:val="44E563F7"/>
    <w:rsid w:val="44E84810"/>
    <w:rsid w:val="44EE3048"/>
    <w:rsid w:val="450B7FC6"/>
    <w:rsid w:val="450D5D22"/>
    <w:rsid w:val="454F3AE7"/>
    <w:rsid w:val="456C7503"/>
    <w:rsid w:val="459F01B9"/>
    <w:rsid w:val="45ED0EAD"/>
    <w:rsid w:val="45ED3300"/>
    <w:rsid w:val="461B7160"/>
    <w:rsid w:val="463D2AEB"/>
    <w:rsid w:val="464512DE"/>
    <w:rsid w:val="46527E80"/>
    <w:rsid w:val="465D5979"/>
    <w:rsid w:val="466E4D06"/>
    <w:rsid w:val="4690622E"/>
    <w:rsid w:val="46965782"/>
    <w:rsid w:val="46BC17F8"/>
    <w:rsid w:val="46EC1230"/>
    <w:rsid w:val="47017063"/>
    <w:rsid w:val="470864C7"/>
    <w:rsid w:val="477379C1"/>
    <w:rsid w:val="47821604"/>
    <w:rsid w:val="47946129"/>
    <w:rsid w:val="47947446"/>
    <w:rsid w:val="47A00C06"/>
    <w:rsid w:val="47A374E1"/>
    <w:rsid w:val="47E752A2"/>
    <w:rsid w:val="47EF6D41"/>
    <w:rsid w:val="48173DA1"/>
    <w:rsid w:val="481B56EC"/>
    <w:rsid w:val="482F4D73"/>
    <w:rsid w:val="48452D75"/>
    <w:rsid w:val="485A5004"/>
    <w:rsid w:val="48947E12"/>
    <w:rsid w:val="489C2AAD"/>
    <w:rsid w:val="49042511"/>
    <w:rsid w:val="491714BC"/>
    <w:rsid w:val="493F44DB"/>
    <w:rsid w:val="495A4A49"/>
    <w:rsid w:val="495F26F7"/>
    <w:rsid w:val="49654261"/>
    <w:rsid w:val="49725D2E"/>
    <w:rsid w:val="497879AC"/>
    <w:rsid w:val="498212EF"/>
    <w:rsid w:val="499707E5"/>
    <w:rsid w:val="49E24538"/>
    <w:rsid w:val="49E56247"/>
    <w:rsid w:val="4A140DC5"/>
    <w:rsid w:val="4A1D5BD4"/>
    <w:rsid w:val="4A3B3251"/>
    <w:rsid w:val="4A8D1AC5"/>
    <w:rsid w:val="4A98308A"/>
    <w:rsid w:val="4AD83354"/>
    <w:rsid w:val="4AEA3692"/>
    <w:rsid w:val="4B176810"/>
    <w:rsid w:val="4B711D52"/>
    <w:rsid w:val="4BA53C99"/>
    <w:rsid w:val="4BA803F5"/>
    <w:rsid w:val="4BB61D15"/>
    <w:rsid w:val="4BB84AAD"/>
    <w:rsid w:val="4BEE133F"/>
    <w:rsid w:val="4C313A81"/>
    <w:rsid w:val="4C3457E4"/>
    <w:rsid w:val="4C476097"/>
    <w:rsid w:val="4C5E55F6"/>
    <w:rsid w:val="4C7107E7"/>
    <w:rsid w:val="4C995F8F"/>
    <w:rsid w:val="4CC87487"/>
    <w:rsid w:val="4CD3031C"/>
    <w:rsid w:val="4CD33427"/>
    <w:rsid w:val="4CE120C9"/>
    <w:rsid w:val="4CE356C4"/>
    <w:rsid w:val="4CFF33B4"/>
    <w:rsid w:val="4D1C1422"/>
    <w:rsid w:val="4D27785A"/>
    <w:rsid w:val="4D2C6166"/>
    <w:rsid w:val="4D3833E3"/>
    <w:rsid w:val="4D966A3D"/>
    <w:rsid w:val="4D980D26"/>
    <w:rsid w:val="4DE53388"/>
    <w:rsid w:val="4DEB0164"/>
    <w:rsid w:val="4E065E6C"/>
    <w:rsid w:val="4E1A6DB5"/>
    <w:rsid w:val="4E214EB6"/>
    <w:rsid w:val="4E21623C"/>
    <w:rsid w:val="4E4667F5"/>
    <w:rsid w:val="4E563C83"/>
    <w:rsid w:val="4E5C6B50"/>
    <w:rsid w:val="4E7939C1"/>
    <w:rsid w:val="4E9853C5"/>
    <w:rsid w:val="4E9A0B0B"/>
    <w:rsid w:val="4EB06024"/>
    <w:rsid w:val="4EB86BA1"/>
    <w:rsid w:val="4EDE5EDB"/>
    <w:rsid w:val="4EED14A0"/>
    <w:rsid w:val="4EF66C19"/>
    <w:rsid w:val="4EF861DF"/>
    <w:rsid w:val="4F064131"/>
    <w:rsid w:val="4F1A33B7"/>
    <w:rsid w:val="4F3D0E54"/>
    <w:rsid w:val="4F512ED0"/>
    <w:rsid w:val="4F6F0FDC"/>
    <w:rsid w:val="4FC11ABC"/>
    <w:rsid w:val="4FC65B00"/>
    <w:rsid w:val="4FCB1C0C"/>
    <w:rsid w:val="4FF21C3E"/>
    <w:rsid w:val="4FF36048"/>
    <w:rsid w:val="502A587C"/>
    <w:rsid w:val="503A18A0"/>
    <w:rsid w:val="50552435"/>
    <w:rsid w:val="50844865"/>
    <w:rsid w:val="50871D27"/>
    <w:rsid w:val="508F0495"/>
    <w:rsid w:val="50901457"/>
    <w:rsid w:val="50B43C08"/>
    <w:rsid w:val="50EC763F"/>
    <w:rsid w:val="513E0EB3"/>
    <w:rsid w:val="51B04763"/>
    <w:rsid w:val="51BC1EED"/>
    <w:rsid w:val="51BC4C86"/>
    <w:rsid w:val="51CB5293"/>
    <w:rsid w:val="51E1640E"/>
    <w:rsid w:val="51FB09CD"/>
    <w:rsid w:val="51FC0E44"/>
    <w:rsid w:val="520D74BE"/>
    <w:rsid w:val="522377D2"/>
    <w:rsid w:val="52325B83"/>
    <w:rsid w:val="52421C4A"/>
    <w:rsid w:val="52763CF2"/>
    <w:rsid w:val="528C15B3"/>
    <w:rsid w:val="528D5225"/>
    <w:rsid w:val="52927AA2"/>
    <w:rsid w:val="529A026C"/>
    <w:rsid w:val="52B47CFB"/>
    <w:rsid w:val="52CE11C4"/>
    <w:rsid w:val="530E3233"/>
    <w:rsid w:val="53277026"/>
    <w:rsid w:val="53356DEB"/>
    <w:rsid w:val="534A7FE3"/>
    <w:rsid w:val="53532B6D"/>
    <w:rsid w:val="53C21436"/>
    <w:rsid w:val="53CB13EE"/>
    <w:rsid w:val="541615DB"/>
    <w:rsid w:val="54260108"/>
    <w:rsid w:val="543B2308"/>
    <w:rsid w:val="54630FFC"/>
    <w:rsid w:val="547A6F07"/>
    <w:rsid w:val="548C58EB"/>
    <w:rsid w:val="54920CCC"/>
    <w:rsid w:val="54AA6CE7"/>
    <w:rsid w:val="54CA15D7"/>
    <w:rsid w:val="54F61C26"/>
    <w:rsid w:val="54FA1CC7"/>
    <w:rsid w:val="551E44E1"/>
    <w:rsid w:val="552904D3"/>
    <w:rsid w:val="55992AE1"/>
    <w:rsid w:val="559D4B69"/>
    <w:rsid w:val="55AA6CC4"/>
    <w:rsid w:val="55BE0A1F"/>
    <w:rsid w:val="55BF7B5D"/>
    <w:rsid w:val="55E069DD"/>
    <w:rsid w:val="561A74C8"/>
    <w:rsid w:val="56266A73"/>
    <w:rsid w:val="563242F2"/>
    <w:rsid w:val="56735AE5"/>
    <w:rsid w:val="56795EB2"/>
    <w:rsid w:val="56906927"/>
    <w:rsid w:val="56AC6EAD"/>
    <w:rsid w:val="56F03878"/>
    <w:rsid w:val="56F2180E"/>
    <w:rsid w:val="56FE098B"/>
    <w:rsid w:val="57071DEF"/>
    <w:rsid w:val="570B7614"/>
    <w:rsid w:val="57340D8E"/>
    <w:rsid w:val="57395E57"/>
    <w:rsid w:val="574D7F21"/>
    <w:rsid w:val="5751384D"/>
    <w:rsid w:val="576C1626"/>
    <w:rsid w:val="57730905"/>
    <w:rsid w:val="57971D90"/>
    <w:rsid w:val="57B07009"/>
    <w:rsid w:val="57B33E67"/>
    <w:rsid w:val="57B4306F"/>
    <w:rsid w:val="57B82919"/>
    <w:rsid w:val="57E31CD9"/>
    <w:rsid w:val="57E6738D"/>
    <w:rsid w:val="57E971A7"/>
    <w:rsid w:val="57EC4501"/>
    <w:rsid w:val="5825158A"/>
    <w:rsid w:val="588A5924"/>
    <w:rsid w:val="58B7301E"/>
    <w:rsid w:val="58CD607B"/>
    <w:rsid w:val="58D63D1E"/>
    <w:rsid w:val="58FE6895"/>
    <w:rsid w:val="59223A64"/>
    <w:rsid w:val="59382343"/>
    <w:rsid w:val="593924D4"/>
    <w:rsid w:val="59443DCF"/>
    <w:rsid w:val="595B3D64"/>
    <w:rsid w:val="599C0E6D"/>
    <w:rsid w:val="59AD3E0E"/>
    <w:rsid w:val="59C6630F"/>
    <w:rsid w:val="59F0796D"/>
    <w:rsid w:val="59F35F3A"/>
    <w:rsid w:val="5A2E7D17"/>
    <w:rsid w:val="5A322152"/>
    <w:rsid w:val="5A33155A"/>
    <w:rsid w:val="5A3531C6"/>
    <w:rsid w:val="5A4C5F01"/>
    <w:rsid w:val="5A626260"/>
    <w:rsid w:val="5A710EBE"/>
    <w:rsid w:val="5A7A2220"/>
    <w:rsid w:val="5AB665E6"/>
    <w:rsid w:val="5ACA1C7A"/>
    <w:rsid w:val="5B1122D1"/>
    <w:rsid w:val="5B6523ED"/>
    <w:rsid w:val="5B7A63DB"/>
    <w:rsid w:val="5B7F660E"/>
    <w:rsid w:val="5BE621CA"/>
    <w:rsid w:val="5BF5573C"/>
    <w:rsid w:val="5BF8682E"/>
    <w:rsid w:val="5C0977AC"/>
    <w:rsid w:val="5C38462F"/>
    <w:rsid w:val="5C427AAA"/>
    <w:rsid w:val="5C4E644E"/>
    <w:rsid w:val="5CAD2B53"/>
    <w:rsid w:val="5CF27905"/>
    <w:rsid w:val="5D047697"/>
    <w:rsid w:val="5D74263F"/>
    <w:rsid w:val="5D8461E2"/>
    <w:rsid w:val="5D9442F2"/>
    <w:rsid w:val="5DA779D9"/>
    <w:rsid w:val="5DD40BD5"/>
    <w:rsid w:val="5DD77C34"/>
    <w:rsid w:val="5DF42546"/>
    <w:rsid w:val="5DFD06C9"/>
    <w:rsid w:val="5E42338E"/>
    <w:rsid w:val="5E70713D"/>
    <w:rsid w:val="5E8C5CF2"/>
    <w:rsid w:val="5E9706DB"/>
    <w:rsid w:val="5EC24ED2"/>
    <w:rsid w:val="5EF04098"/>
    <w:rsid w:val="5F225970"/>
    <w:rsid w:val="5F264C75"/>
    <w:rsid w:val="5F3D43C4"/>
    <w:rsid w:val="5F553840"/>
    <w:rsid w:val="5F7A7D2B"/>
    <w:rsid w:val="5F954394"/>
    <w:rsid w:val="5F961A50"/>
    <w:rsid w:val="5FD37252"/>
    <w:rsid w:val="5FE137CB"/>
    <w:rsid w:val="5FE64BF0"/>
    <w:rsid w:val="600A7C53"/>
    <w:rsid w:val="6048114B"/>
    <w:rsid w:val="605A1055"/>
    <w:rsid w:val="60900A64"/>
    <w:rsid w:val="609E031F"/>
    <w:rsid w:val="60A471EC"/>
    <w:rsid w:val="60C213F0"/>
    <w:rsid w:val="60EB7DAD"/>
    <w:rsid w:val="611B477F"/>
    <w:rsid w:val="619066B6"/>
    <w:rsid w:val="619C02D4"/>
    <w:rsid w:val="61AE1836"/>
    <w:rsid w:val="61C70459"/>
    <w:rsid w:val="61CB3795"/>
    <w:rsid w:val="61CF0F16"/>
    <w:rsid w:val="61D22C73"/>
    <w:rsid w:val="61D513C0"/>
    <w:rsid w:val="61F361F9"/>
    <w:rsid w:val="61F54E8E"/>
    <w:rsid w:val="620745A3"/>
    <w:rsid w:val="620D389C"/>
    <w:rsid w:val="62652288"/>
    <w:rsid w:val="62707A6A"/>
    <w:rsid w:val="62863C74"/>
    <w:rsid w:val="628644E2"/>
    <w:rsid w:val="62B02D5D"/>
    <w:rsid w:val="62C36E15"/>
    <w:rsid w:val="62E967AF"/>
    <w:rsid w:val="63143346"/>
    <w:rsid w:val="6366012E"/>
    <w:rsid w:val="63E04B73"/>
    <w:rsid w:val="63E903F4"/>
    <w:rsid w:val="63EC7A2E"/>
    <w:rsid w:val="643804CC"/>
    <w:rsid w:val="64586053"/>
    <w:rsid w:val="646564E6"/>
    <w:rsid w:val="646F2DE6"/>
    <w:rsid w:val="64A47615"/>
    <w:rsid w:val="64D85DCB"/>
    <w:rsid w:val="64E00FC2"/>
    <w:rsid w:val="64E252E4"/>
    <w:rsid w:val="64EA6D2F"/>
    <w:rsid w:val="64EF3384"/>
    <w:rsid w:val="653B4192"/>
    <w:rsid w:val="6544741A"/>
    <w:rsid w:val="65AD0C98"/>
    <w:rsid w:val="65AD7695"/>
    <w:rsid w:val="65B8600A"/>
    <w:rsid w:val="65BD1259"/>
    <w:rsid w:val="65CC69C8"/>
    <w:rsid w:val="66211388"/>
    <w:rsid w:val="66580335"/>
    <w:rsid w:val="666656D2"/>
    <w:rsid w:val="66936A04"/>
    <w:rsid w:val="66A479F2"/>
    <w:rsid w:val="66B4253F"/>
    <w:rsid w:val="66E35274"/>
    <w:rsid w:val="66F1093C"/>
    <w:rsid w:val="670A28D3"/>
    <w:rsid w:val="67155778"/>
    <w:rsid w:val="673D4E61"/>
    <w:rsid w:val="675052D7"/>
    <w:rsid w:val="67854AA5"/>
    <w:rsid w:val="678E6585"/>
    <w:rsid w:val="67BB67C7"/>
    <w:rsid w:val="680F4B23"/>
    <w:rsid w:val="681177DB"/>
    <w:rsid w:val="684326A0"/>
    <w:rsid w:val="686139AD"/>
    <w:rsid w:val="686B0A13"/>
    <w:rsid w:val="688F2159"/>
    <w:rsid w:val="68A3085F"/>
    <w:rsid w:val="68C0684E"/>
    <w:rsid w:val="68C8445A"/>
    <w:rsid w:val="69210D43"/>
    <w:rsid w:val="693634DB"/>
    <w:rsid w:val="695053E9"/>
    <w:rsid w:val="69576895"/>
    <w:rsid w:val="69590A12"/>
    <w:rsid w:val="698A0CE2"/>
    <w:rsid w:val="699F29DF"/>
    <w:rsid w:val="69DA1BAC"/>
    <w:rsid w:val="69DB25A5"/>
    <w:rsid w:val="69FF2647"/>
    <w:rsid w:val="6A0678EE"/>
    <w:rsid w:val="6A0B7D21"/>
    <w:rsid w:val="6A3409FC"/>
    <w:rsid w:val="6A38073E"/>
    <w:rsid w:val="6A483EC8"/>
    <w:rsid w:val="6A694D9B"/>
    <w:rsid w:val="6A8B5B43"/>
    <w:rsid w:val="6ACA3056"/>
    <w:rsid w:val="6ACB55EB"/>
    <w:rsid w:val="6AE05BA5"/>
    <w:rsid w:val="6B025828"/>
    <w:rsid w:val="6B112858"/>
    <w:rsid w:val="6B4C0418"/>
    <w:rsid w:val="6B5259F4"/>
    <w:rsid w:val="6B731E5C"/>
    <w:rsid w:val="6B83149A"/>
    <w:rsid w:val="6B9A0376"/>
    <w:rsid w:val="6BA7306E"/>
    <w:rsid w:val="6BC525EA"/>
    <w:rsid w:val="6BE61923"/>
    <w:rsid w:val="6BE77CFD"/>
    <w:rsid w:val="6BE836C3"/>
    <w:rsid w:val="6C1D3FBA"/>
    <w:rsid w:val="6C2E5844"/>
    <w:rsid w:val="6C374C82"/>
    <w:rsid w:val="6C5A7A8C"/>
    <w:rsid w:val="6C5E2B25"/>
    <w:rsid w:val="6CB917F8"/>
    <w:rsid w:val="6CD67310"/>
    <w:rsid w:val="6CF56FE4"/>
    <w:rsid w:val="6D125276"/>
    <w:rsid w:val="6D4514DC"/>
    <w:rsid w:val="6DA877B4"/>
    <w:rsid w:val="6DAB55CC"/>
    <w:rsid w:val="6DAE1443"/>
    <w:rsid w:val="6DC804BC"/>
    <w:rsid w:val="6DD02087"/>
    <w:rsid w:val="6E1D577F"/>
    <w:rsid w:val="6E2214E9"/>
    <w:rsid w:val="6E5768F9"/>
    <w:rsid w:val="6E763603"/>
    <w:rsid w:val="6E8E2821"/>
    <w:rsid w:val="6EE851AF"/>
    <w:rsid w:val="6EF7243E"/>
    <w:rsid w:val="6EF75C78"/>
    <w:rsid w:val="6F0F60E0"/>
    <w:rsid w:val="6F524A2B"/>
    <w:rsid w:val="6F6B1A53"/>
    <w:rsid w:val="6F806E0F"/>
    <w:rsid w:val="6F9C54FA"/>
    <w:rsid w:val="6FA01C3C"/>
    <w:rsid w:val="6FCE213C"/>
    <w:rsid w:val="6FFF3DBF"/>
    <w:rsid w:val="701B50A4"/>
    <w:rsid w:val="70473F3C"/>
    <w:rsid w:val="705C5AA3"/>
    <w:rsid w:val="70696998"/>
    <w:rsid w:val="707E1D6A"/>
    <w:rsid w:val="70904E1F"/>
    <w:rsid w:val="70980188"/>
    <w:rsid w:val="70DB1624"/>
    <w:rsid w:val="710F4BB0"/>
    <w:rsid w:val="712B26EE"/>
    <w:rsid w:val="71433D9E"/>
    <w:rsid w:val="714479C8"/>
    <w:rsid w:val="71860207"/>
    <w:rsid w:val="71A74C23"/>
    <w:rsid w:val="71A83818"/>
    <w:rsid w:val="71CF5C80"/>
    <w:rsid w:val="71D52E2E"/>
    <w:rsid w:val="71D91AF7"/>
    <w:rsid w:val="71DF1ACC"/>
    <w:rsid w:val="71F07908"/>
    <w:rsid w:val="720B5784"/>
    <w:rsid w:val="72233A82"/>
    <w:rsid w:val="722E0C82"/>
    <w:rsid w:val="7244269F"/>
    <w:rsid w:val="72C301CC"/>
    <w:rsid w:val="72D45938"/>
    <w:rsid w:val="72F53670"/>
    <w:rsid w:val="730D4945"/>
    <w:rsid w:val="73131704"/>
    <w:rsid w:val="733C4AB3"/>
    <w:rsid w:val="734372AC"/>
    <w:rsid w:val="73615290"/>
    <w:rsid w:val="7375671F"/>
    <w:rsid w:val="737A5FF9"/>
    <w:rsid w:val="740D6106"/>
    <w:rsid w:val="749472C0"/>
    <w:rsid w:val="74D729D9"/>
    <w:rsid w:val="74E00341"/>
    <w:rsid w:val="74E14BFF"/>
    <w:rsid w:val="75396B10"/>
    <w:rsid w:val="75A87A0B"/>
    <w:rsid w:val="75BB125E"/>
    <w:rsid w:val="75D64A4F"/>
    <w:rsid w:val="7608190C"/>
    <w:rsid w:val="760F2C9B"/>
    <w:rsid w:val="76230C32"/>
    <w:rsid w:val="76296110"/>
    <w:rsid w:val="764A49BA"/>
    <w:rsid w:val="7688740A"/>
    <w:rsid w:val="768E38C7"/>
    <w:rsid w:val="76FF6FBE"/>
    <w:rsid w:val="770854D3"/>
    <w:rsid w:val="774C3CAD"/>
    <w:rsid w:val="778D3032"/>
    <w:rsid w:val="77910C8C"/>
    <w:rsid w:val="779C5154"/>
    <w:rsid w:val="77AB7A17"/>
    <w:rsid w:val="77DE4956"/>
    <w:rsid w:val="77FE499D"/>
    <w:rsid w:val="783207F3"/>
    <w:rsid w:val="78FF4C06"/>
    <w:rsid w:val="792A4B26"/>
    <w:rsid w:val="79376287"/>
    <w:rsid w:val="795B1387"/>
    <w:rsid w:val="79DB0D33"/>
    <w:rsid w:val="79ED50A1"/>
    <w:rsid w:val="79F04AFC"/>
    <w:rsid w:val="7A474837"/>
    <w:rsid w:val="7A5A101B"/>
    <w:rsid w:val="7A5B0994"/>
    <w:rsid w:val="7A776B98"/>
    <w:rsid w:val="7A83793A"/>
    <w:rsid w:val="7A915E47"/>
    <w:rsid w:val="7A950CD9"/>
    <w:rsid w:val="7A9B4AFD"/>
    <w:rsid w:val="7AD231C0"/>
    <w:rsid w:val="7AE555B6"/>
    <w:rsid w:val="7B00266C"/>
    <w:rsid w:val="7B0E3521"/>
    <w:rsid w:val="7B3C57DB"/>
    <w:rsid w:val="7B557AE5"/>
    <w:rsid w:val="7B612B29"/>
    <w:rsid w:val="7B6E25D6"/>
    <w:rsid w:val="7B8A663A"/>
    <w:rsid w:val="7B9B0B33"/>
    <w:rsid w:val="7BA56121"/>
    <w:rsid w:val="7BC71E36"/>
    <w:rsid w:val="7BCF7DD2"/>
    <w:rsid w:val="7BE42DD5"/>
    <w:rsid w:val="7BFA44E7"/>
    <w:rsid w:val="7C051626"/>
    <w:rsid w:val="7C101E3B"/>
    <w:rsid w:val="7C213321"/>
    <w:rsid w:val="7C2D070D"/>
    <w:rsid w:val="7C355E03"/>
    <w:rsid w:val="7C4C031C"/>
    <w:rsid w:val="7C5333B1"/>
    <w:rsid w:val="7C7B1574"/>
    <w:rsid w:val="7C7B3F48"/>
    <w:rsid w:val="7C912955"/>
    <w:rsid w:val="7CAD1877"/>
    <w:rsid w:val="7D1B4DAC"/>
    <w:rsid w:val="7D2C4857"/>
    <w:rsid w:val="7D5D525A"/>
    <w:rsid w:val="7D7E1968"/>
    <w:rsid w:val="7D882BC9"/>
    <w:rsid w:val="7DAA1431"/>
    <w:rsid w:val="7DCF4ABD"/>
    <w:rsid w:val="7DD35E58"/>
    <w:rsid w:val="7DDD2DFA"/>
    <w:rsid w:val="7E1D02EF"/>
    <w:rsid w:val="7E4B7D96"/>
    <w:rsid w:val="7E5274D8"/>
    <w:rsid w:val="7E5C0A47"/>
    <w:rsid w:val="7E7B20B0"/>
    <w:rsid w:val="7E85502D"/>
    <w:rsid w:val="7EA75072"/>
    <w:rsid w:val="7ED40F43"/>
    <w:rsid w:val="7EFA2E85"/>
    <w:rsid w:val="7F082813"/>
    <w:rsid w:val="7F0A6D29"/>
    <w:rsid w:val="7F4A6AF1"/>
    <w:rsid w:val="7F9F1413"/>
    <w:rsid w:val="7FA51F7A"/>
    <w:rsid w:val="7FB9440C"/>
    <w:rsid w:val="7FBC5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200" w:firstLineChars="200"/>
      <w:jc w:val="both"/>
    </w:pPr>
    <w:rPr>
      <w:rFonts w:ascii="宋体" w:hAnsi="宋体" w:eastAsia="宋体" w:cs="宋体"/>
      <w:kern w:val="2"/>
      <w:sz w:val="24"/>
      <w:szCs w:val="21"/>
      <w:lang w:val="en-US" w:eastAsia="zh-CN" w:bidi="ar-SA"/>
    </w:rPr>
  </w:style>
  <w:style w:type="paragraph" w:styleId="2">
    <w:name w:val="heading 1"/>
    <w:basedOn w:val="1"/>
    <w:next w:val="1"/>
    <w:link w:val="50"/>
    <w:autoRedefine/>
    <w:qFormat/>
    <w:uiPriority w:val="9"/>
    <w:pPr>
      <w:pageBreakBefore w:val="0"/>
      <w:numPr>
        <w:ilvl w:val="0"/>
        <w:numId w:val="1"/>
      </w:numPr>
      <w:tabs>
        <w:tab w:val="left" w:pos="0"/>
      </w:tabs>
      <w:spacing w:line="480" w:lineRule="exact"/>
      <w:ind w:left="431" w:hanging="431" w:firstLineChars="0"/>
      <w:jc w:val="left"/>
      <w:outlineLvl w:val="0"/>
    </w:pPr>
    <w:rPr>
      <w:rFonts w:ascii="宋体" w:hAnsi="宋体" w:cs="宋体"/>
      <w:color w:val="000000" w:themeColor="text1"/>
      <w:kern w:val="44"/>
      <w:sz w:val="24"/>
      <w:szCs w:val="22"/>
      <w14:textFill>
        <w14:solidFill>
          <w14:schemeClr w14:val="tx1"/>
        </w14:solidFill>
      </w14:textFill>
    </w:rPr>
  </w:style>
  <w:style w:type="paragraph" w:styleId="3">
    <w:name w:val="heading 2"/>
    <w:basedOn w:val="1"/>
    <w:next w:val="1"/>
    <w:link w:val="51"/>
    <w:autoRedefine/>
    <w:unhideWhenUsed/>
    <w:qFormat/>
    <w:uiPriority w:val="99"/>
    <w:pPr>
      <w:keepNext/>
      <w:keepLines/>
      <w:numPr>
        <w:ilvl w:val="1"/>
        <w:numId w:val="1"/>
      </w:numPr>
      <w:tabs>
        <w:tab w:val="left" w:pos="0"/>
        <w:tab w:val="clear" w:pos="420"/>
      </w:tabs>
      <w:spacing w:line="480" w:lineRule="exact"/>
      <w:ind w:left="573" w:hanging="573" w:firstLineChars="0"/>
      <w:jc w:val="left"/>
      <w:outlineLvl w:val="1"/>
    </w:pPr>
    <w:rPr>
      <w:rFonts w:cstheme="majorBidi"/>
      <w:bCs/>
      <w:sz w:val="24"/>
      <w:szCs w:val="32"/>
    </w:rPr>
  </w:style>
  <w:style w:type="paragraph" w:styleId="4">
    <w:name w:val="heading 3"/>
    <w:basedOn w:val="3"/>
    <w:next w:val="1"/>
    <w:link w:val="52"/>
    <w:autoRedefine/>
    <w:unhideWhenUsed/>
    <w:qFormat/>
    <w:uiPriority w:val="99"/>
    <w:pPr>
      <w:keepNext w:val="0"/>
      <w:keepLines w:val="0"/>
      <w:numPr>
        <w:ilvl w:val="2"/>
        <w:numId w:val="1"/>
      </w:numPr>
      <w:spacing w:line="480" w:lineRule="exact"/>
      <w:ind w:left="0" w:firstLine="0"/>
      <w:outlineLvl w:val="2"/>
    </w:pPr>
    <w:rPr>
      <w:szCs w:val="21"/>
    </w:rPr>
  </w:style>
  <w:style w:type="paragraph" w:styleId="5">
    <w:name w:val="heading 4"/>
    <w:basedOn w:val="1"/>
    <w:next w:val="1"/>
    <w:link w:val="53"/>
    <w:autoRedefine/>
    <w:unhideWhenUsed/>
    <w:qFormat/>
    <w:uiPriority w:val="9"/>
    <w:pPr>
      <w:numPr>
        <w:ilvl w:val="3"/>
        <w:numId w:val="1"/>
      </w:numPr>
      <w:tabs>
        <w:tab w:val="left" w:pos="0"/>
      </w:tabs>
      <w:spacing w:line="480" w:lineRule="exact"/>
      <w:ind w:left="0" w:firstLine="0" w:firstLineChars="0"/>
      <w:jc w:val="left"/>
      <w:outlineLvl w:val="3"/>
    </w:pPr>
    <w:rPr>
      <w:sz w:val="24"/>
    </w:rPr>
  </w:style>
  <w:style w:type="paragraph" w:styleId="6">
    <w:name w:val="heading 5"/>
    <w:basedOn w:val="1"/>
    <w:next w:val="1"/>
    <w:link w:val="54"/>
    <w:autoRedefine/>
    <w:unhideWhenUsed/>
    <w:qFormat/>
    <w:uiPriority w:val="9"/>
    <w:pPr>
      <w:keepNext w:val="0"/>
      <w:keepLines w:val="0"/>
      <w:numPr>
        <w:ilvl w:val="4"/>
        <w:numId w:val="1"/>
      </w:numPr>
      <w:autoSpaceDN w:val="0"/>
      <w:spacing w:line="480" w:lineRule="exact"/>
      <w:ind w:left="0" w:firstLine="0" w:firstLineChars="0"/>
      <w:jc w:val="left"/>
      <w:outlineLvl w:val="4"/>
    </w:pPr>
    <w:rPr>
      <w:bCs/>
      <w:sz w:val="24"/>
      <w:szCs w:val="28"/>
    </w:rPr>
  </w:style>
  <w:style w:type="paragraph" w:styleId="7">
    <w:name w:val="heading 6"/>
    <w:basedOn w:val="1"/>
    <w:next w:val="1"/>
    <w:link w:val="120"/>
    <w:autoRedefine/>
    <w:unhideWhenUsed/>
    <w:qFormat/>
    <w:uiPriority w:val="9"/>
    <w:pPr>
      <w:numPr>
        <w:ilvl w:val="5"/>
        <w:numId w:val="1"/>
      </w:numPr>
      <w:ind w:firstLineChars="0"/>
      <w:outlineLvl w:val="5"/>
    </w:pPr>
    <w:rPr>
      <w:b/>
    </w:rPr>
  </w:style>
  <w:style w:type="paragraph" w:styleId="8">
    <w:name w:val="heading 7"/>
    <w:basedOn w:val="1"/>
    <w:next w:val="1"/>
    <w:link w:val="55"/>
    <w:autoRedefine/>
    <w:unhideWhenUsed/>
    <w:qFormat/>
    <w:uiPriority w:val="0"/>
    <w:pPr>
      <w:keepNext/>
      <w:keepLines/>
      <w:numPr>
        <w:ilvl w:val="6"/>
        <w:numId w:val="1"/>
      </w:numPr>
      <w:ind w:firstLineChars="0"/>
      <w:outlineLvl w:val="6"/>
    </w:pPr>
    <w:rPr>
      <w:b/>
      <w:bCs/>
      <w:szCs w:val="24"/>
    </w:rPr>
  </w:style>
  <w:style w:type="paragraph" w:styleId="9">
    <w:name w:val="heading 8"/>
    <w:basedOn w:val="1"/>
    <w:next w:val="1"/>
    <w:link w:val="56"/>
    <w:autoRedefine/>
    <w:unhideWhenUsed/>
    <w:qFormat/>
    <w:uiPriority w:val="0"/>
    <w:pPr>
      <w:keepNext/>
      <w:keepLines/>
      <w:numPr>
        <w:ilvl w:val="7"/>
        <w:numId w:val="1"/>
      </w:numPr>
      <w:spacing w:before="240" w:after="64" w:line="320" w:lineRule="auto"/>
      <w:ind w:firstLineChars="0"/>
      <w:outlineLvl w:val="7"/>
    </w:pPr>
    <w:rPr>
      <w:rFonts w:asciiTheme="majorHAnsi" w:hAnsiTheme="majorHAnsi" w:eastAsiaTheme="majorEastAsia" w:cstheme="majorBidi"/>
      <w:szCs w:val="24"/>
    </w:rPr>
  </w:style>
  <w:style w:type="paragraph" w:styleId="10">
    <w:name w:val="heading 9"/>
    <w:basedOn w:val="1"/>
    <w:next w:val="1"/>
    <w:link w:val="110"/>
    <w:autoRedefine/>
    <w:unhideWhenUsed/>
    <w:qFormat/>
    <w:uiPriority w:val="0"/>
    <w:pPr>
      <w:keepNext/>
      <w:keepLines/>
      <w:numPr>
        <w:ilvl w:val="8"/>
        <w:numId w:val="1"/>
      </w:numPr>
      <w:spacing w:before="240" w:after="64" w:line="320" w:lineRule="auto"/>
      <w:ind w:firstLineChars="0"/>
      <w:outlineLvl w:val="8"/>
    </w:pPr>
    <w:rPr>
      <w:rFonts w:asciiTheme="majorHAnsi" w:hAnsiTheme="majorHAnsi" w:eastAsiaTheme="majorEastAsia" w:cstheme="majorBidi"/>
      <w:sz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2">
    <w:name w:val="Normal Indent"/>
    <w:basedOn w:val="1"/>
    <w:next w:val="13"/>
    <w:link w:val="315"/>
    <w:autoRedefine/>
    <w:qFormat/>
    <w:uiPriority w:val="0"/>
    <w:pPr>
      <w:ind w:firstLine="420"/>
    </w:pPr>
    <w:rPr>
      <w:rFonts w:ascii="Calibri" w:hAnsi="Calibri"/>
      <w:szCs w:val="22"/>
    </w:rPr>
  </w:style>
  <w:style w:type="paragraph" w:styleId="13">
    <w:name w:val="Body Text First Indent"/>
    <w:basedOn w:val="14"/>
    <w:link w:val="58"/>
    <w:autoRedefine/>
    <w:unhideWhenUsed/>
    <w:qFormat/>
    <w:uiPriority w:val="0"/>
    <w:pPr>
      <w:spacing w:before="154"/>
      <w:ind w:left="121" w:firstLine="420" w:firstLineChars="100"/>
    </w:pPr>
    <w:rPr>
      <w:rFonts w:hint="eastAsia" w:ascii="仿宋" w:hAnsi="仿宋" w:eastAsia="仿宋"/>
      <w:szCs w:val="21"/>
    </w:rPr>
  </w:style>
  <w:style w:type="paragraph" w:styleId="14">
    <w:name w:val="Body Text"/>
    <w:basedOn w:val="1"/>
    <w:next w:val="1"/>
    <w:link w:val="57"/>
    <w:autoRedefine/>
    <w:unhideWhenUsed/>
    <w:qFormat/>
    <w:uiPriority w:val="0"/>
    <w:pPr>
      <w:ind w:firstLine="560"/>
    </w:pPr>
    <w:rPr>
      <w:szCs w:val="24"/>
    </w:rPr>
  </w:style>
  <w:style w:type="paragraph" w:styleId="15">
    <w:name w:val="caption"/>
    <w:basedOn w:val="1"/>
    <w:next w:val="16"/>
    <w:link w:val="59"/>
    <w:autoRedefine/>
    <w:unhideWhenUsed/>
    <w:qFormat/>
    <w:uiPriority w:val="35"/>
    <w:pPr>
      <w:spacing w:line="480" w:lineRule="exact"/>
      <w:ind w:firstLine="0" w:firstLineChars="0"/>
      <w:jc w:val="center"/>
    </w:pPr>
    <w:rPr>
      <w:rFonts w:ascii="Times New Roman" w:hAnsi="Times New Roman" w:eastAsia="宋体" w:cstheme="majorBidi"/>
      <w:szCs w:val="20"/>
    </w:rPr>
  </w:style>
  <w:style w:type="paragraph" w:customStyle="1" w:styleId="16">
    <w:name w:val="表内文字"/>
    <w:basedOn w:val="1"/>
    <w:next w:val="1"/>
    <w:autoRedefine/>
    <w:qFormat/>
    <w:uiPriority w:val="0"/>
    <w:pPr>
      <w:spacing w:line="240" w:lineRule="auto"/>
      <w:ind w:firstLine="0" w:firstLineChars="0"/>
      <w:jc w:val="center"/>
    </w:pPr>
    <w:rPr>
      <w:sz w:val="21"/>
    </w:rPr>
  </w:style>
  <w:style w:type="paragraph" w:styleId="17">
    <w:name w:val="Document Map"/>
    <w:basedOn w:val="1"/>
    <w:link w:val="152"/>
    <w:autoRedefine/>
    <w:unhideWhenUsed/>
    <w:qFormat/>
    <w:uiPriority w:val="99"/>
    <w:rPr>
      <w:rFonts w:ascii="Microsoft YaHei UI" w:eastAsia="Microsoft YaHei UI"/>
      <w:sz w:val="18"/>
      <w:szCs w:val="18"/>
    </w:rPr>
  </w:style>
  <w:style w:type="paragraph" w:styleId="18">
    <w:name w:val="annotation text"/>
    <w:basedOn w:val="1"/>
    <w:link w:val="60"/>
    <w:autoRedefine/>
    <w:unhideWhenUsed/>
    <w:qFormat/>
    <w:uiPriority w:val="0"/>
    <w:pPr>
      <w:jc w:val="left"/>
    </w:pPr>
  </w:style>
  <w:style w:type="paragraph" w:styleId="19">
    <w:name w:val="Body Text 3"/>
    <w:basedOn w:val="1"/>
    <w:link w:val="203"/>
    <w:autoRedefine/>
    <w:qFormat/>
    <w:uiPriority w:val="0"/>
    <w:pPr>
      <w:adjustRightInd w:val="0"/>
      <w:snapToGrid w:val="0"/>
      <w:ind w:firstLine="663" w:firstLineChars="150"/>
      <w:jc w:val="left"/>
    </w:pPr>
    <w:rPr>
      <w:szCs w:val="24"/>
    </w:rPr>
  </w:style>
  <w:style w:type="paragraph" w:styleId="20">
    <w:name w:val="Body Text Indent"/>
    <w:basedOn w:val="1"/>
    <w:next w:val="1"/>
    <w:link w:val="328"/>
    <w:autoRedefine/>
    <w:unhideWhenUsed/>
    <w:qFormat/>
    <w:uiPriority w:val="0"/>
    <w:pPr>
      <w:adjustRightInd w:val="0"/>
      <w:snapToGrid w:val="0"/>
      <w:ind w:firstLine="560"/>
    </w:pPr>
    <w:rPr>
      <w:color w:val="000000"/>
      <w:sz w:val="28"/>
      <w:szCs w:val="24"/>
    </w:rPr>
  </w:style>
  <w:style w:type="paragraph" w:styleId="21">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2">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3">
    <w:name w:val="Plain Text"/>
    <w:basedOn w:val="1"/>
    <w:link w:val="204"/>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4">
    <w:name w:val="toc 8"/>
    <w:basedOn w:val="1"/>
    <w:next w:val="1"/>
    <w:autoRedefine/>
    <w:unhideWhenUsed/>
    <w:qFormat/>
    <w:uiPriority w:val="39"/>
    <w:pPr>
      <w:ind w:left="1680"/>
      <w:jc w:val="left"/>
    </w:pPr>
    <w:rPr>
      <w:rFonts w:asciiTheme="minorHAnsi" w:hAnsiTheme="minorHAnsi" w:cstheme="minorHAnsi"/>
      <w:sz w:val="18"/>
      <w:szCs w:val="18"/>
    </w:rPr>
  </w:style>
  <w:style w:type="paragraph" w:styleId="25">
    <w:name w:val="Date"/>
    <w:basedOn w:val="1"/>
    <w:next w:val="1"/>
    <w:link w:val="153"/>
    <w:autoRedefine/>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6">
    <w:name w:val="Body Text Indent 2"/>
    <w:basedOn w:val="1"/>
    <w:link w:val="205"/>
    <w:autoRedefine/>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7">
    <w:name w:val="Balloon Text"/>
    <w:basedOn w:val="1"/>
    <w:link w:val="103"/>
    <w:autoRedefine/>
    <w:unhideWhenUsed/>
    <w:qFormat/>
    <w:uiPriority w:val="0"/>
    <w:pPr>
      <w:spacing w:line="240" w:lineRule="auto"/>
    </w:pPr>
    <w:rPr>
      <w:sz w:val="18"/>
      <w:szCs w:val="18"/>
    </w:rPr>
  </w:style>
  <w:style w:type="paragraph" w:styleId="28">
    <w:name w:val="footer"/>
    <w:basedOn w:val="1"/>
    <w:link w:val="61"/>
    <w:autoRedefine/>
    <w:unhideWhenUsed/>
    <w:qFormat/>
    <w:uiPriority w:val="99"/>
    <w:pPr>
      <w:tabs>
        <w:tab w:val="center" w:pos="4153"/>
        <w:tab w:val="right" w:pos="8306"/>
      </w:tabs>
      <w:snapToGrid w:val="0"/>
      <w:jc w:val="left"/>
    </w:pPr>
    <w:rPr>
      <w:sz w:val="21"/>
      <w:szCs w:val="18"/>
    </w:rPr>
  </w:style>
  <w:style w:type="paragraph" w:styleId="29">
    <w:name w:val="header"/>
    <w:basedOn w:val="1"/>
    <w:link w:val="62"/>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30">
    <w:name w:val="toc 1"/>
    <w:basedOn w:val="1"/>
    <w:next w:val="1"/>
    <w:link w:val="233"/>
    <w:autoRedefine/>
    <w:unhideWhenUsed/>
    <w:qFormat/>
    <w:uiPriority w:val="39"/>
    <w:pPr>
      <w:ind w:firstLine="0" w:firstLineChars="0"/>
      <w:jc w:val="center"/>
    </w:pPr>
    <w:rPr>
      <w:rFonts w:cstheme="minorHAnsi"/>
      <w:bCs/>
      <w:caps/>
      <w:szCs w:val="20"/>
    </w:rPr>
  </w:style>
  <w:style w:type="paragraph" w:styleId="31">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2">
    <w:name w:val="Subtitle"/>
    <w:basedOn w:val="1"/>
    <w:next w:val="1"/>
    <w:link w:val="117"/>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3">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4">
    <w:name w:val="Body Text Indent 3"/>
    <w:basedOn w:val="1"/>
    <w:link w:val="206"/>
    <w:autoRedefine/>
    <w:qFormat/>
    <w:uiPriority w:val="0"/>
    <w:pPr>
      <w:adjustRightInd w:val="0"/>
      <w:snapToGrid w:val="0"/>
      <w:spacing w:after="120"/>
      <w:ind w:left="420" w:leftChars="200" w:firstLine="883"/>
    </w:pPr>
    <w:rPr>
      <w:sz w:val="16"/>
      <w:szCs w:val="16"/>
    </w:rPr>
  </w:style>
  <w:style w:type="paragraph" w:styleId="35">
    <w:name w:val="toc 2"/>
    <w:basedOn w:val="1"/>
    <w:next w:val="1"/>
    <w:autoRedefine/>
    <w:unhideWhenUsed/>
    <w:qFormat/>
    <w:uiPriority w:val="39"/>
    <w:rPr>
      <w:rFonts w:cstheme="minorHAnsi"/>
      <w:smallCaps/>
      <w:szCs w:val="20"/>
    </w:rPr>
  </w:style>
  <w:style w:type="paragraph" w:styleId="36">
    <w:name w:val="toc 9"/>
    <w:basedOn w:val="1"/>
    <w:next w:val="1"/>
    <w:autoRedefine/>
    <w:unhideWhenUsed/>
    <w:qFormat/>
    <w:uiPriority w:val="39"/>
    <w:pPr>
      <w:ind w:left="1920"/>
      <w:jc w:val="left"/>
    </w:pPr>
    <w:rPr>
      <w:rFonts w:asciiTheme="minorHAnsi" w:hAnsiTheme="minorHAnsi" w:cstheme="minorHAnsi"/>
      <w:sz w:val="18"/>
      <w:szCs w:val="18"/>
    </w:rPr>
  </w:style>
  <w:style w:type="paragraph" w:styleId="37">
    <w:name w:val="Body Text 2"/>
    <w:basedOn w:val="1"/>
    <w:link w:val="63"/>
    <w:autoRedefine/>
    <w:unhideWhenUsed/>
    <w:qFormat/>
    <w:uiPriority w:val="0"/>
    <w:pPr>
      <w:jc w:val="center"/>
    </w:pPr>
  </w:style>
  <w:style w:type="paragraph" w:styleId="38">
    <w:name w:val="Normal (Web)"/>
    <w:basedOn w:val="1"/>
    <w:next w:val="14"/>
    <w:link w:val="134"/>
    <w:autoRedefine/>
    <w:qFormat/>
    <w:uiPriority w:val="99"/>
    <w:pPr>
      <w:widowControl/>
      <w:spacing w:before="100" w:beforeAutospacing="1" w:after="100" w:afterAutospacing="1" w:line="320" w:lineRule="atLeast"/>
      <w:jc w:val="left"/>
    </w:pPr>
    <w:rPr>
      <w:color w:val="000000"/>
      <w:kern w:val="0"/>
      <w:sz w:val="14"/>
      <w:szCs w:val="20"/>
    </w:rPr>
  </w:style>
  <w:style w:type="paragraph" w:styleId="39">
    <w:name w:val="Title"/>
    <w:basedOn w:val="1"/>
    <w:next w:val="1"/>
    <w:link w:val="207"/>
    <w:autoRedefine/>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40">
    <w:name w:val="annotation subject"/>
    <w:basedOn w:val="18"/>
    <w:next w:val="18"/>
    <w:link w:val="64"/>
    <w:autoRedefine/>
    <w:unhideWhenUsed/>
    <w:qFormat/>
    <w:uiPriority w:val="0"/>
    <w:rPr>
      <w:b/>
      <w:bCs/>
    </w:rPr>
  </w:style>
  <w:style w:type="paragraph" w:styleId="41">
    <w:name w:val="Body Text First Indent 2"/>
    <w:basedOn w:val="20"/>
    <w:link w:val="329"/>
    <w:autoRedefine/>
    <w:unhideWhenUsed/>
    <w:qFormat/>
    <w:uiPriority w:val="0"/>
    <w:pPr>
      <w:ind w:firstLine="420"/>
    </w:pPr>
    <w:rPr>
      <w:sz w:val="24"/>
    </w:rPr>
  </w:style>
  <w:style w:type="table" w:styleId="43">
    <w:name w:val="Table Grid"/>
    <w:basedOn w:val="4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autoRedefine/>
    <w:qFormat/>
    <w:uiPriority w:val="0"/>
    <w:rPr>
      <w:b/>
    </w:rPr>
  </w:style>
  <w:style w:type="character" w:styleId="46">
    <w:name w:val="page number"/>
    <w:basedOn w:val="44"/>
    <w:autoRedefine/>
    <w:qFormat/>
    <w:uiPriority w:val="0"/>
  </w:style>
  <w:style w:type="character" w:styleId="47">
    <w:name w:val="FollowedHyperlink"/>
    <w:autoRedefine/>
    <w:qFormat/>
    <w:uiPriority w:val="99"/>
    <w:rPr>
      <w:color w:val="800080"/>
      <w:u w:val="single"/>
    </w:rPr>
  </w:style>
  <w:style w:type="character" w:styleId="48">
    <w:name w:val="Hyperlink"/>
    <w:basedOn w:val="44"/>
    <w:autoRedefine/>
    <w:unhideWhenUsed/>
    <w:qFormat/>
    <w:uiPriority w:val="99"/>
    <w:rPr>
      <w:color w:val="0000FF" w:themeColor="hyperlink"/>
      <w:u w:val="single"/>
      <w14:textFill>
        <w14:solidFill>
          <w14:schemeClr w14:val="hlink"/>
        </w14:solidFill>
      </w14:textFill>
    </w:rPr>
  </w:style>
  <w:style w:type="character" w:styleId="49">
    <w:name w:val="annotation reference"/>
    <w:basedOn w:val="44"/>
    <w:autoRedefine/>
    <w:unhideWhenUsed/>
    <w:qFormat/>
    <w:uiPriority w:val="0"/>
    <w:rPr>
      <w:sz w:val="21"/>
      <w:szCs w:val="21"/>
    </w:rPr>
  </w:style>
  <w:style w:type="character" w:customStyle="1" w:styleId="50">
    <w:name w:val="标题 1 字符"/>
    <w:basedOn w:val="44"/>
    <w:link w:val="2"/>
    <w:autoRedefine/>
    <w:qFormat/>
    <w:uiPriority w:val="9"/>
    <w:rPr>
      <w:rFonts w:ascii="宋体" w:hAnsi="宋体" w:eastAsia="宋体" w:cs="宋体"/>
      <w:color w:val="000000" w:themeColor="text1"/>
      <w:kern w:val="44"/>
      <w:sz w:val="24"/>
      <w:szCs w:val="22"/>
      <w14:textFill>
        <w14:solidFill>
          <w14:schemeClr w14:val="tx1"/>
        </w14:solidFill>
      </w14:textFill>
    </w:rPr>
  </w:style>
  <w:style w:type="character" w:customStyle="1" w:styleId="51">
    <w:name w:val="标题 2 字符"/>
    <w:basedOn w:val="44"/>
    <w:link w:val="3"/>
    <w:autoRedefine/>
    <w:qFormat/>
    <w:uiPriority w:val="9"/>
    <w:rPr>
      <w:rFonts w:eastAsia="宋体" w:cstheme="majorBidi"/>
      <w:bCs/>
      <w:kern w:val="2"/>
      <w:sz w:val="24"/>
      <w:szCs w:val="32"/>
    </w:rPr>
  </w:style>
  <w:style w:type="character" w:customStyle="1" w:styleId="52">
    <w:name w:val="标题 3 字符"/>
    <w:basedOn w:val="44"/>
    <w:link w:val="4"/>
    <w:autoRedefine/>
    <w:qFormat/>
    <w:uiPriority w:val="9"/>
    <w:rPr>
      <w:rFonts w:eastAsia="宋体"/>
      <w:b/>
      <w:bCs/>
      <w:kern w:val="2"/>
      <w:sz w:val="24"/>
      <w:szCs w:val="21"/>
    </w:rPr>
  </w:style>
  <w:style w:type="character" w:customStyle="1" w:styleId="53">
    <w:name w:val="标题 4 字符"/>
    <w:basedOn w:val="44"/>
    <w:link w:val="5"/>
    <w:autoRedefine/>
    <w:qFormat/>
    <w:uiPriority w:val="9"/>
    <w:rPr>
      <w:rFonts w:eastAsia="宋体"/>
      <w:bCs/>
      <w:kern w:val="2"/>
      <w:sz w:val="24"/>
      <w:szCs w:val="24"/>
    </w:rPr>
  </w:style>
  <w:style w:type="character" w:customStyle="1" w:styleId="54">
    <w:name w:val="标题 5 字符"/>
    <w:basedOn w:val="44"/>
    <w:link w:val="6"/>
    <w:autoRedefine/>
    <w:qFormat/>
    <w:uiPriority w:val="0"/>
    <w:rPr>
      <w:rFonts w:eastAsia="宋体"/>
      <w:bCs/>
      <w:kern w:val="2"/>
      <w:sz w:val="24"/>
      <w:szCs w:val="28"/>
    </w:rPr>
  </w:style>
  <w:style w:type="character" w:customStyle="1" w:styleId="55">
    <w:name w:val="标题 7 字符"/>
    <w:basedOn w:val="44"/>
    <w:link w:val="8"/>
    <w:autoRedefine/>
    <w:qFormat/>
    <w:uiPriority w:val="0"/>
    <w:rPr>
      <w:b/>
      <w:bCs/>
      <w:kern w:val="2"/>
      <w:sz w:val="24"/>
      <w:szCs w:val="24"/>
    </w:rPr>
  </w:style>
  <w:style w:type="character" w:customStyle="1" w:styleId="56">
    <w:name w:val="标题 8 字符"/>
    <w:basedOn w:val="44"/>
    <w:link w:val="9"/>
    <w:autoRedefine/>
    <w:qFormat/>
    <w:uiPriority w:val="0"/>
    <w:rPr>
      <w:rFonts w:asciiTheme="majorHAnsi" w:hAnsiTheme="majorHAnsi" w:eastAsiaTheme="majorEastAsia" w:cstheme="majorBidi"/>
      <w:kern w:val="2"/>
      <w:sz w:val="24"/>
      <w:szCs w:val="24"/>
    </w:rPr>
  </w:style>
  <w:style w:type="character" w:customStyle="1" w:styleId="57">
    <w:name w:val="正文文本 字符"/>
    <w:basedOn w:val="44"/>
    <w:link w:val="14"/>
    <w:autoRedefine/>
    <w:qFormat/>
    <w:uiPriority w:val="0"/>
    <w:rPr>
      <w:kern w:val="2"/>
      <w:sz w:val="24"/>
      <w:szCs w:val="24"/>
    </w:rPr>
  </w:style>
  <w:style w:type="character" w:customStyle="1" w:styleId="58">
    <w:name w:val="正文文本首行缩进 字符"/>
    <w:basedOn w:val="57"/>
    <w:link w:val="13"/>
    <w:autoRedefine/>
    <w:qFormat/>
    <w:uiPriority w:val="0"/>
    <w:rPr>
      <w:rFonts w:ascii="仿宋" w:hAnsi="仿宋" w:eastAsia="仿宋"/>
      <w:kern w:val="2"/>
      <w:sz w:val="24"/>
      <w:szCs w:val="21"/>
    </w:rPr>
  </w:style>
  <w:style w:type="character" w:customStyle="1" w:styleId="59">
    <w:name w:val="题注 字符"/>
    <w:basedOn w:val="44"/>
    <w:link w:val="15"/>
    <w:autoRedefine/>
    <w:qFormat/>
    <w:uiPriority w:val="35"/>
    <w:rPr>
      <w:rFonts w:ascii="Times New Roman" w:hAnsi="Times New Roman" w:eastAsia="宋体" w:cstheme="majorBidi"/>
      <w:kern w:val="2"/>
      <w:sz w:val="21"/>
    </w:rPr>
  </w:style>
  <w:style w:type="character" w:customStyle="1" w:styleId="60">
    <w:name w:val="批注文字 字符"/>
    <w:basedOn w:val="44"/>
    <w:link w:val="18"/>
    <w:autoRedefine/>
    <w:qFormat/>
    <w:uiPriority w:val="0"/>
    <w:rPr>
      <w:rFonts w:ascii="Times New Roman" w:hAnsi="Times New Roman" w:eastAsia="宋体" w:cs="Times New Roman"/>
      <w:kern w:val="2"/>
      <w:sz w:val="24"/>
      <w:szCs w:val="21"/>
    </w:rPr>
  </w:style>
  <w:style w:type="character" w:customStyle="1" w:styleId="61">
    <w:name w:val="页脚 字符"/>
    <w:basedOn w:val="44"/>
    <w:link w:val="28"/>
    <w:autoRedefine/>
    <w:qFormat/>
    <w:uiPriority w:val="99"/>
    <w:rPr>
      <w:kern w:val="2"/>
      <w:sz w:val="21"/>
      <w:szCs w:val="18"/>
    </w:rPr>
  </w:style>
  <w:style w:type="character" w:customStyle="1" w:styleId="62">
    <w:name w:val="页眉 字符"/>
    <w:basedOn w:val="44"/>
    <w:link w:val="29"/>
    <w:autoRedefine/>
    <w:qFormat/>
    <w:uiPriority w:val="99"/>
    <w:rPr>
      <w:kern w:val="2"/>
      <w:sz w:val="21"/>
      <w:szCs w:val="18"/>
    </w:rPr>
  </w:style>
  <w:style w:type="character" w:customStyle="1" w:styleId="63">
    <w:name w:val="正文文本 2 字符"/>
    <w:basedOn w:val="44"/>
    <w:link w:val="37"/>
    <w:autoRedefine/>
    <w:qFormat/>
    <w:uiPriority w:val="0"/>
    <w:rPr>
      <w:kern w:val="2"/>
      <w:sz w:val="24"/>
      <w:szCs w:val="21"/>
    </w:rPr>
  </w:style>
  <w:style w:type="character" w:customStyle="1" w:styleId="64">
    <w:name w:val="批注主题 字符"/>
    <w:basedOn w:val="60"/>
    <w:link w:val="40"/>
    <w:autoRedefine/>
    <w:qFormat/>
    <w:uiPriority w:val="0"/>
    <w:rPr>
      <w:rFonts w:ascii="Times New Roman" w:hAnsi="Times New Roman" w:eastAsia="宋体" w:cs="Times New Roman"/>
      <w:b/>
      <w:bCs/>
      <w:kern w:val="2"/>
      <w:sz w:val="24"/>
      <w:szCs w:val="21"/>
    </w:rPr>
  </w:style>
  <w:style w:type="paragraph" w:customStyle="1" w:styleId="65">
    <w:name w:val="封面标题"/>
    <w:basedOn w:val="1"/>
    <w:next w:val="1"/>
    <w:link w:val="228"/>
    <w:autoRedefine/>
    <w:qFormat/>
    <w:uiPriority w:val="0"/>
    <w:pPr>
      <w:ind w:firstLine="0" w:firstLineChars="0"/>
      <w:jc w:val="center"/>
    </w:pPr>
    <w:rPr>
      <w:rFonts w:eastAsia="黑体"/>
      <w:b/>
      <w:sz w:val="52"/>
    </w:rPr>
  </w:style>
  <w:style w:type="paragraph" w:styleId="66">
    <w:name w:val="List Paragraph"/>
    <w:basedOn w:val="1"/>
    <w:link w:val="67"/>
    <w:autoRedefine/>
    <w:qFormat/>
    <w:uiPriority w:val="34"/>
    <w:pPr>
      <w:numPr>
        <w:ilvl w:val="0"/>
        <w:numId w:val="2"/>
      </w:numPr>
      <w:ind w:left="0" w:firstLine="0" w:firstLineChars="0"/>
      <w:jc w:val="left"/>
    </w:pPr>
  </w:style>
  <w:style w:type="character" w:customStyle="1" w:styleId="67">
    <w:name w:val="列表段落 字符"/>
    <w:basedOn w:val="44"/>
    <w:link w:val="66"/>
    <w:autoRedefine/>
    <w:qFormat/>
    <w:uiPriority w:val="34"/>
    <w:rPr>
      <w:kern w:val="2"/>
      <w:sz w:val="24"/>
      <w:szCs w:val="21"/>
    </w:rPr>
  </w:style>
  <w:style w:type="table" w:customStyle="1" w:styleId="68">
    <w:name w:val="XX表格"/>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69">
    <w:name w:val="表中字"/>
    <w:basedOn w:val="1"/>
    <w:link w:val="70"/>
    <w:autoRedefine/>
    <w:qFormat/>
    <w:uiPriority w:val="0"/>
    <w:pPr>
      <w:spacing w:line="240" w:lineRule="auto"/>
      <w:ind w:firstLine="0" w:firstLineChars="0"/>
      <w:jc w:val="center"/>
    </w:pPr>
    <w:rPr>
      <w:rFonts w:cs="宋体"/>
      <w:sz w:val="21"/>
      <w:szCs w:val="24"/>
    </w:rPr>
  </w:style>
  <w:style w:type="character" w:customStyle="1" w:styleId="70">
    <w:name w:val="表中字 字符"/>
    <w:link w:val="69"/>
    <w:autoRedefine/>
    <w:qFormat/>
    <w:uiPriority w:val="0"/>
    <w:rPr>
      <w:rFonts w:ascii="Times New Roman" w:hAnsi="Times New Roman" w:eastAsia="宋体" w:cs="宋体"/>
      <w:kern w:val="2"/>
      <w:sz w:val="21"/>
      <w:szCs w:val="24"/>
    </w:rPr>
  </w:style>
  <w:style w:type="table" w:customStyle="1" w:styleId="71">
    <w:name w:val="XX表格11"/>
    <w:basedOn w:val="42"/>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2">
    <w:name w:val="Placeholder Text"/>
    <w:basedOn w:val="44"/>
    <w:autoRedefine/>
    <w:semiHidden/>
    <w:qFormat/>
    <w:uiPriority w:val="99"/>
    <w:rPr>
      <w:color w:val="808080"/>
    </w:rPr>
  </w:style>
  <w:style w:type="table" w:customStyle="1" w:styleId="73">
    <w:name w:val="两色网格表1"/>
    <w:basedOn w:val="42"/>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4">
    <w:name w:val="标准样式"/>
    <w:basedOn w:val="42"/>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75">
    <w:name w:val="表左字1"/>
    <w:basedOn w:val="69"/>
    <w:autoRedefine/>
    <w:qFormat/>
    <w:uiPriority w:val="0"/>
    <w:pPr>
      <w:numPr>
        <w:ilvl w:val="0"/>
        <w:numId w:val="3"/>
      </w:numPr>
      <w:jc w:val="both"/>
    </w:pPr>
  </w:style>
  <w:style w:type="table" w:customStyle="1" w:styleId="76">
    <w:name w:val="Table Normal"/>
    <w:autoRedefine/>
    <w:unhideWhenUsed/>
    <w:qFormat/>
    <w:uiPriority w:val="0"/>
    <w:tblPr>
      <w:tblCellMar>
        <w:top w:w="0" w:type="dxa"/>
        <w:left w:w="0" w:type="dxa"/>
        <w:bottom w:w="0" w:type="dxa"/>
        <w:right w:w="0" w:type="dxa"/>
      </w:tblCellMar>
    </w:tblPr>
  </w:style>
  <w:style w:type="character" w:customStyle="1" w:styleId="77">
    <w:name w:val="未处理的提及1"/>
    <w:basedOn w:val="44"/>
    <w:autoRedefine/>
    <w:semiHidden/>
    <w:unhideWhenUsed/>
    <w:qFormat/>
    <w:uiPriority w:val="99"/>
    <w:rPr>
      <w:color w:val="605E5C"/>
      <w:shd w:val="clear" w:color="auto" w:fill="E1DFDD"/>
    </w:rPr>
  </w:style>
  <w:style w:type="paragraph" w:customStyle="1" w:styleId="78">
    <w:name w:val="表左字"/>
    <w:basedOn w:val="69"/>
    <w:link w:val="79"/>
    <w:autoRedefine/>
    <w:qFormat/>
    <w:uiPriority w:val="0"/>
    <w:pPr>
      <w:adjustRightInd w:val="0"/>
      <w:snapToGrid w:val="0"/>
      <w:jc w:val="left"/>
    </w:pPr>
    <w:rPr>
      <w:rFonts w:cstheme="minorBidi"/>
      <w:szCs w:val="21"/>
    </w:rPr>
  </w:style>
  <w:style w:type="character" w:customStyle="1" w:styleId="79">
    <w:name w:val="表左字 Char"/>
    <w:basedOn w:val="44"/>
    <w:link w:val="78"/>
    <w:autoRedefine/>
    <w:qFormat/>
    <w:uiPriority w:val="0"/>
    <w:rPr>
      <w:rFonts w:cstheme="minorBidi"/>
      <w:kern w:val="2"/>
      <w:sz w:val="21"/>
      <w:szCs w:val="21"/>
    </w:rPr>
  </w:style>
  <w:style w:type="table" w:customStyle="1" w:styleId="80">
    <w:name w:val="标准样式2"/>
    <w:basedOn w:val="42"/>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1">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2">
    <w:name w:val="标准样式311"/>
    <w:basedOn w:val="42"/>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3">
    <w:name w:val="000"/>
    <w:basedOn w:val="42"/>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4">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85">
    <w:name w:val="方案编制"/>
    <w:basedOn w:val="42"/>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86">
    <w:name w:val="表中字使用"/>
    <w:basedOn w:val="1"/>
    <w:autoRedefine/>
    <w:qFormat/>
    <w:uiPriority w:val="0"/>
    <w:pPr>
      <w:spacing w:line="240" w:lineRule="auto"/>
      <w:ind w:firstLine="0" w:firstLineChars="0"/>
      <w:jc w:val="center"/>
    </w:pPr>
    <w:rPr>
      <w:rFonts w:cs="宋体"/>
      <w:sz w:val="21"/>
      <w:szCs w:val="24"/>
    </w:rPr>
  </w:style>
  <w:style w:type="paragraph" w:customStyle="1" w:styleId="87">
    <w:name w:val="ZG-ZW"/>
    <w:basedOn w:val="1"/>
    <w:link w:val="88"/>
    <w:autoRedefine/>
    <w:qFormat/>
    <w:uiPriority w:val="0"/>
    <w:pPr>
      <w:ind w:firstLine="420"/>
    </w:pPr>
  </w:style>
  <w:style w:type="character" w:customStyle="1" w:styleId="88">
    <w:name w:val="ZG-ZW Char"/>
    <w:link w:val="87"/>
    <w:autoRedefine/>
    <w:qFormat/>
    <w:uiPriority w:val="0"/>
    <w:rPr>
      <w:kern w:val="2"/>
      <w:sz w:val="24"/>
      <w:szCs w:val="21"/>
    </w:rPr>
  </w:style>
  <w:style w:type="paragraph" w:customStyle="1" w:styleId="89">
    <w:name w:val="图表名"/>
    <w:basedOn w:val="1"/>
    <w:link w:val="90"/>
    <w:autoRedefine/>
    <w:qFormat/>
    <w:uiPriority w:val="0"/>
    <w:pPr>
      <w:spacing w:line="240" w:lineRule="auto"/>
      <w:ind w:firstLine="0" w:firstLineChars="0"/>
      <w:jc w:val="center"/>
    </w:pPr>
    <w:rPr>
      <w:rFonts w:cstheme="minorBidi"/>
      <w:b/>
      <w:szCs w:val="24"/>
    </w:rPr>
  </w:style>
  <w:style w:type="character" w:customStyle="1" w:styleId="90">
    <w:name w:val="图表名 Char"/>
    <w:link w:val="89"/>
    <w:autoRedefine/>
    <w:qFormat/>
    <w:uiPriority w:val="0"/>
    <w:rPr>
      <w:rFonts w:cstheme="minorBidi"/>
      <w:b/>
      <w:kern w:val="2"/>
      <w:sz w:val="24"/>
      <w:szCs w:val="24"/>
    </w:rPr>
  </w:style>
  <w:style w:type="paragraph" w:customStyle="1" w:styleId="91">
    <w:name w:val="图表字-居中"/>
    <w:basedOn w:val="1"/>
    <w:autoRedefine/>
    <w:qFormat/>
    <w:uiPriority w:val="0"/>
    <w:pPr>
      <w:spacing w:line="240" w:lineRule="auto"/>
      <w:ind w:firstLine="0" w:firstLineChars="0"/>
      <w:jc w:val="center"/>
    </w:pPr>
    <w:rPr>
      <w:rFonts w:cs="宋体"/>
      <w:sz w:val="21"/>
      <w:szCs w:val="24"/>
    </w:rPr>
  </w:style>
  <w:style w:type="character" w:customStyle="1" w:styleId="92">
    <w:name w:val="无间隔 字符"/>
    <w:link w:val="93"/>
    <w:autoRedefine/>
    <w:qFormat/>
    <w:uiPriority w:val="0"/>
    <w:rPr>
      <w:rFonts w:ascii="Arial" w:hAnsi="Arial" w:cs="Arial"/>
      <w:kern w:val="2"/>
      <w:sz w:val="18"/>
      <w:szCs w:val="18"/>
    </w:rPr>
  </w:style>
  <w:style w:type="paragraph" w:styleId="93">
    <w:name w:val="No Spacing"/>
    <w:basedOn w:val="1"/>
    <w:next w:val="1"/>
    <w:link w:val="92"/>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customStyle="1" w:styleId="94">
    <w:name w:val="图表题注"/>
    <w:basedOn w:val="1"/>
    <w:next w:val="1"/>
    <w:link w:val="95"/>
    <w:autoRedefine/>
    <w:qFormat/>
    <w:uiPriority w:val="0"/>
    <w:pPr>
      <w:spacing w:line="240" w:lineRule="auto"/>
      <w:ind w:firstLine="0" w:firstLineChars="0"/>
      <w:jc w:val="center"/>
    </w:pPr>
    <w:rPr>
      <w:rFonts w:cstheme="minorBidi"/>
      <w:b/>
      <w:szCs w:val="24"/>
    </w:rPr>
  </w:style>
  <w:style w:type="character" w:customStyle="1" w:styleId="95">
    <w:name w:val="图表题注 Char"/>
    <w:link w:val="94"/>
    <w:autoRedefine/>
    <w:qFormat/>
    <w:uiPriority w:val="0"/>
    <w:rPr>
      <w:rFonts w:cstheme="minorBidi"/>
      <w:b/>
      <w:kern w:val="2"/>
      <w:sz w:val="24"/>
      <w:szCs w:val="24"/>
    </w:rPr>
  </w:style>
  <w:style w:type="paragraph" w:customStyle="1" w:styleId="96">
    <w:name w:val="k4级"/>
    <w:basedOn w:val="1"/>
    <w:next w:val="1"/>
    <w:autoRedefine/>
    <w:qFormat/>
    <w:uiPriority w:val="0"/>
    <w:pPr>
      <w:outlineLvl w:val="3"/>
    </w:pPr>
  </w:style>
  <w:style w:type="paragraph" w:customStyle="1" w:styleId="97">
    <w:name w:val="图表名称"/>
    <w:basedOn w:val="1"/>
    <w:link w:val="181"/>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98">
    <w:name w:val="表格文字"/>
    <w:basedOn w:val="1"/>
    <w:autoRedefine/>
    <w:qFormat/>
    <w:uiPriority w:val="0"/>
    <w:pPr>
      <w:spacing w:line="240" w:lineRule="auto"/>
      <w:ind w:firstLine="0" w:firstLineChars="0"/>
      <w:jc w:val="center"/>
    </w:pPr>
    <w:rPr>
      <w:rFonts w:hint="eastAsia"/>
      <w:sz w:val="21"/>
      <w:szCs w:val="18"/>
    </w:rPr>
  </w:style>
  <w:style w:type="paragraph" w:customStyle="1" w:styleId="99">
    <w:name w:val="图表标题1"/>
    <w:basedOn w:val="1"/>
    <w:autoRedefine/>
    <w:qFormat/>
    <w:uiPriority w:val="0"/>
    <w:pPr>
      <w:ind w:firstLine="0" w:firstLineChars="0"/>
      <w:jc w:val="center"/>
    </w:pPr>
    <w:rPr>
      <w:b/>
      <w:bCs/>
      <w:sz w:val="21"/>
    </w:rPr>
  </w:style>
  <w:style w:type="table" w:customStyle="1" w:styleId="100">
    <w:name w:val="样式3"/>
    <w:basedOn w:val="42"/>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1">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2">
    <w:name w:val="表中字 Char"/>
    <w:basedOn w:val="44"/>
    <w:autoRedefine/>
    <w:qFormat/>
    <w:uiPriority w:val="0"/>
    <w:rPr>
      <w:rFonts w:ascii="Times New Roman" w:hAnsi="Times New Roman" w:eastAsia="宋体"/>
    </w:rPr>
  </w:style>
  <w:style w:type="character" w:customStyle="1" w:styleId="103">
    <w:name w:val="批注框文本 字符"/>
    <w:basedOn w:val="44"/>
    <w:link w:val="27"/>
    <w:autoRedefine/>
    <w:qFormat/>
    <w:uiPriority w:val="0"/>
    <w:rPr>
      <w:kern w:val="2"/>
      <w:sz w:val="18"/>
      <w:szCs w:val="18"/>
    </w:rPr>
  </w:style>
  <w:style w:type="paragraph" w:customStyle="1" w:styleId="104">
    <w:name w:val="k 表中字"/>
    <w:basedOn w:val="1"/>
    <w:link w:val="105"/>
    <w:autoRedefine/>
    <w:qFormat/>
    <w:uiPriority w:val="0"/>
    <w:pPr>
      <w:widowControl/>
      <w:adjustRightInd w:val="0"/>
      <w:ind w:hanging="420" w:hangingChars="189"/>
      <w:jc w:val="center"/>
      <w:textAlignment w:val="baseline"/>
    </w:pPr>
    <w:rPr>
      <w:sz w:val="21"/>
      <w:szCs w:val="22"/>
    </w:rPr>
  </w:style>
  <w:style w:type="character" w:customStyle="1" w:styleId="105">
    <w:name w:val="k 表中字 Char Char"/>
    <w:basedOn w:val="44"/>
    <w:link w:val="104"/>
    <w:autoRedefine/>
    <w:qFormat/>
    <w:uiPriority w:val="0"/>
    <w:rPr>
      <w:kern w:val="2"/>
      <w:sz w:val="21"/>
      <w:szCs w:val="22"/>
    </w:rPr>
  </w:style>
  <w:style w:type="paragraph" w:customStyle="1" w:styleId="106">
    <w:name w:val="表格"/>
    <w:next w:val="1"/>
    <w:link w:val="107"/>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07">
    <w:name w:val="表格 Char"/>
    <w:link w:val="106"/>
    <w:autoRedefine/>
    <w:qFormat/>
    <w:uiPriority w:val="0"/>
    <w:rPr>
      <w:kern w:val="2"/>
      <w:sz w:val="21"/>
      <w:szCs w:val="22"/>
    </w:rPr>
  </w:style>
  <w:style w:type="paragraph" w:customStyle="1" w:styleId="108">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09">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0">
    <w:name w:val="标题 9 字符"/>
    <w:basedOn w:val="44"/>
    <w:link w:val="10"/>
    <w:autoRedefine/>
    <w:qFormat/>
    <w:uiPriority w:val="0"/>
    <w:rPr>
      <w:rFonts w:asciiTheme="majorHAnsi" w:hAnsiTheme="majorHAnsi" w:eastAsiaTheme="majorEastAsia" w:cstheme="majorBidi"/>
      <w:kern w:val="2"/>
      <w:sz w:val="21"/>
      <w:szCs w:val="21"/>
    </w:rPr>
  </w:style>
  <w:style w:type="paragraph" w:customStyle="1" w:styleId="111">
    <w:name w:val="列表段落1）"/>
    <w:basedOn w:val="66"/>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2">
    <w:name w:val="网格表 7 彩色 - 着色 61"/>
    <w:basedOn w:val="42"/>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3">
    <w:name w:val="表左字段落标识"/>
    <w:basedOn w:val="1"/>
    <w:link w:val="114"/>
    <w:autoRedefine/>
    <w:qFormat/>
    <w:uiPriority w:val="0"/>
    <w:pPr>
      <w:numPr>
        <w:ilvl w:val="0"/>
        <w:numId w:val="6"/>
      </w:numPr>
      <w:spacing w:line="240" w:lineRule="auto"/>
      <w:ind w:left="0" w:firstLine="200"/>
      <w:jc w:val="left"/>
    </w:pPr>
    <w:rPr>
      <w:rFonts w:cstheme="minorBidi"/>
      <w:sz w:val="21"/>
    </w:rPr>
  </w:style>
  <w:style w:type="character" w:customStyle="1" w:styleId="114">
    <w:name w:val="表左字段落标识 字符"/>
    <w:basedOn w:val="67"/>
    <w:link w:val="113"/>
    <w:autoRedefine/>
    <w:qFormat/>
    <w:uiPriority w:val="0"/>
    <w:rPr>
      <w:rFonts w:cstheme="minorBidi"/>
      <w:kern w:val="2"/>
      <w:sz w:val="21"/>
      <w:szCs w:val="21"/>
    </w:rPr>
  </w:style>
  <w:style w:type="paragraph" w:customStyle="1" w:styleId="115">
    <w:name w:val="表左字缩进"/>
    <w:basedOn w:val="1"/>
    <w:link w:val="116"/>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6">
    <w:name w:val="表左字缩进 字符"/>
    <w:basedOn w:val="44"/>
    <w:link w:val="115"/>
    <w:autoRedefine/>
    <w:qFormat/>
    <w:uiPriority w:val="0"/>
    <w:rPr>
      <w:rFonts w:cs="宋体"/>
      <w:sz w:val="21"/>
      <w:szCs w:val="24"/>
    </w:rPr>
  </w:style>
  <w:style w:type="character" w:customStyle="1" w:styleId="117">
    <w:name w:val="副标题 字符"/>
    <w:basedOn w:val="44"/>
    <w:link w:val="32"/>
    <w:autoRedefine/>
    <w:qFormat/>
    <w:uiPriority w:val="11"/>
    <w:rPr>
      <w:rFonts w:asciiTheme="majorHAnsi" w:hAnsiTheme="majorHAnsi" w:cstheme="majorBidi"/>
      <w:b/>
      <w:bCs/>
      <w:kern w:val="28"/>
      <w:sz w:val="32"/>
      <w:szCs w:val="32"/>
    </w:rPr>
  </w:style>
  <w:style w:type="paragraph" w:customStyle="1" w:styleId="118">
    <w:name w:val="XX正文"/>
    <w:basedOn w:val="1"/>
    <w:link w:val="119"/>
    <w:autoRedefine/>
    <w:qFormat/>
    <w:uiPriority w:val="0"/>
    <w:pPr>
      <w:widowControl/>
    </w:pPr>
    <w:rPr>
      <w:rFonts w:cs="宋体"/>
      <w:kern w:val="0"/>
      <w:szCs w:val="24"/>
    </w:rPr>
  </w:style>
  <w:style w:type="character" w:customStyle="1" w:styleId="119">
    <w:name w:val="XX正文 字符"/>
    <w:link w:val="118"/>
    <w:autoRedefine/>
    <w:qFormat/>
    <w:uiPriority w:val="0"/>
    <w:rPr>
      <w:rFonts w:cs="宋体"/>
      <w:sz w:val="24"/>
      <w:szCs w:val="24"/>
    </w:rPr>
  </w:style>
  <w:style w:type="character" w:customStyle="1" w:styleId="120">
    <w:name w:val="标题 6 字符"/>
    <w:basedOn w:val="44"/>
    <w:link w:val="7"/>
    <w:autoRedefine/>
    <w:qFormat/>
    <w:uiPriority w:val="0"/>
    <w:rPr>
      <w:b/>
      <w:kern w:val="2"/>
      <w:sz w:val="24"/>
      <w:szCs w:val="21"/>
    </w:rPr>
  </w:style>
  <w:style w:type="table" w:customStyle="1" w:styleId="121">
    <w:name w:val="W"/>
    <w:basedOn w:val="42"/>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2">
    <w:name w:val="修订1"/>
    <w:autoRedefine/>
    <w:hidden/>
    <w:qFormat/>
    <w:uiPriority w:val="99"/>
    <w:rPr>
      <w:rFonts w:ascii="Times New Roman" w:hAnsi="Times New Roman" w:eastAsia="宋体" w:cs="宋体"/>
      <w:sz w:val="24"/>
      <w:szCs w:val="24"/>
      <w:lang w:val="en-US" w:eastAsia="zh-CN" w:bidi="ar-SA"/>
    </w:rPr>
  </w:style>
  <w:style w:type="table" w:customStyle="1" w:styleId="123">
    <w:name w:val="网格表 1 浅色1"/>
    <w:basedOn w:val="42"/>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4">
    <w:name w:val="两色网格表"/>
    <w:basedOn w:val="42"/>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5">
    <w:name w:val="方案编制标准"/>
    <w:basedOn w:val="42"/>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6">
    <w:name w:val="样式1"/>
    <w:basedOn w:val="42"/>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27">
    <w:name w:val="图名称"/>
    <w:basedOn w:val="1"/>
    <w:link w:val="128"/>
    <w:autoRedefine/>
    <w:qFormat/>
    <w:uiPriority w:val="0"/>
    <w:pPr>
      <w:spacing w:line="240" w:lineRule="auto"/>
      <w:ind w:firstLine="0" w:firstLineChars="0"/>
      <w:jc w:val="center"/>
    </w:pPr>
    <w:rPr>
      <w:b/>
      <w:sz w:val="21"/>
    </w:rPr>
  </w:style>
  <w:style w:type="character" w:customStyle="1" w:styleId="128">
    <w:name w:val="图名称 字符"/>
    <w:basedOn w:val="44"/>
    <w:link w:val="127"/>
    <w:autoRedefine/>
    <w:qFormat/>
    <w:uiPriority w:val="0"/>
    <w:rPr>
      <w:b/>
      <w:kern w:val="2"/>
      <w:sz w:val="21"/>
      <w:szCs w:val="21"/>
    </w:rPr>
  </w:style>
  <w:style w:type="paragraph" w:customStyle="1" w:styleId="129">
    <w:name w:val="缩进2"/>
    <w:basedOn w:val="1"/>
    <w:link w:val="130"/>
    <w:autoRedefine/>
    <w:qFormat/>
    <w:uiPriority w:val="0"/>
    <w:rPr>
      <w:rFonts w:cstheme="minorBidi"/>
      <w:szCs w:val="22"/>
    </w:rPr>
  </w:style>
  <w:style w:type="character" w:customStyle="1" w:styleId="130">
    <w:name w:val="缩进2 字符"/>
    <w:basedOn w:val="44"/>
    <w:link w:val="129"/>
    <w:autoRedefine/>
    <w:qFormat/>
    <w:uiPriority w:val="0"/>
    <w:rPr>
      <w:rFonts w:cstheme="minorBidi"/>
      <w:kern w:val="2"/>
      <w:sz w:val="24"/>
      <w:szCs w:val="22"/>
    </w:rPr>
  </w:style>
  <w:style w:type="paragraph" w:customStyle="1" w:styleId="131">
    <w:name w:val="缩进1.5"/>
    <w:basedOn w:val="1"/>
    <w:next w:val="1"/>
    <w:link w:val="132"/>
    <w:autoRedefine/>
    <w:qFormat/>
    <w:uiPriority w:val="0"/>
    <w:pPr>
      <w:ind w:firstLine="150" w:firstLineChars="150"/>
    </w:pPr>
    <w:rPr>
      <w:rFonts w:cstheme="minorBidi"/>
      <w:szCs w:val="22"/>
    </w:rPr>
  </w:style>
  <w:style w:type="character" w:customStyle="1" w:styleId="132">
    <w:name w:val="缩进1.5 字符"/>
    <w:basedOn w:val="44"/>
    <w:link w:val="131"/>
    <w:autoRedefine/>
    <w:qFormat/>
    <w:uiPriority w:val="0"/>
    <w:rPr>
      <w:rFonts w:cstheme="minorBidi"/>
      <w:kern w:val="2"/>
      <w:sz w:val="24"/>
      <w:szCs w:val="22"/>
    </w:rPr>
  </w:style>
  <w:style w:type="paragraph" w:customStyle="1" w:styleId="133">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4">
    <w:name w:val="普通(网站) 字符"/>
    <w:link w:val="38"/>
    <w:autoRedefine/>
    <w:qFormat/>
    <w:locked/>
    <w:uiPriority w:val="99"/>
    <w:rPr>
      <w:color w:val="000000"/>
      <w:sz w:val="14"/>
    </w:rPr>
  </w:style>
  <w:style w:type="paragraph" w:customStyle="1" w:styleId="135">
    <w:name w:val="表头"/>
    <w:next w:val="106"/>
    <w:link w:val="136"/>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6">
    <w:name w:val="表头 Char"/>
    <w:basedOn w:val="44"/>
    <w:link w:val="135"/>
    <w:autoRedefine/>
    <w:qFormat/>
    <w:uiPriority w:val="1"/>
    <w:rPr>
      <w:rFonts w:cstheme="minorBidi"/>
      <w:b/>
      <w:kern w:val="2"/>
      <w:sz w:val="21"/>
      <w:szCs w:val="22"/>
    </w:rPr>
  </w:style>
  <w:style w:type="table" w:customStyle="1" w:styleId="137">
    <w:name w:val="两色网格表2"/>
    <w:basedOn w:val="42"/>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38">
    <w:name w:val="列表段落）"/>
    <w:basedOn w:val="1"/>
    <w:autoRedefine/>
    <w:qFormat/>
    <w:uiPriority w:val="0"/>
    <w:pPr>
      <w:numPr>
        <w:ilvl w:val="0"/>
        <w:numId w:val="7"/>
      </w:numPr>
      <w:ind w:left="0" w:firstLine="200"/>
    </w:pPr>
  </w:style>
  <w:style w:type="paragraph" w:customStyle="1" w:styleId="139">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0">
    <w:name w:val="K正文"/>
    <w:basedOn w:val="1"/>
    <w:link w:val="141"/>
    <w:autoRedefine/>
    <w:qFormat/>
    <w:uiPriority w:val="0"/>
    <w:pPr>
      <w:ind w:firstLine="480"/>
    </w:pPr>
    <w:rPr>
      <w:rFonts w:cs="宋体"/>
      <w:szCs w:val="24"/>
    </w:rPr>
  </w:style>
  <w:style w:type="character" w:customStyle="1" w:styleId="141">
    <w:name w:val="K正文 Char"/>
    <w:link w:val="140"/>
    <w:autoRedefine/>
    <w:qFormat/>
    <w:uiPriority w:val="0"/>
    <w:rPr>
      <w:rFonts w:cs="宋体"/>
      <w:kern w:val="2"/>
      <w:sz w:val="24"/>
      <w:szCs w:val="24"/>
    </w:rPr>
  </w:style>
  <w:style w:type="paragraph" w:customStyle="1" w:styleId="142">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3">
    <w:name w:val="表格居中"/>
    <w:basedOn w:val="97"/>
    <w:link w:val="144"/>
    <w:autoRedefine/>
    <w:qFormat/>
    <w:uiPriority w:val="0"/>
    <w:pPr>
      <w:spacing w:line="240" w:lineRule="auto"/>
    </w:pPr>
    <w:rPr>
      <w:b w:val="0"/>
      <w:bCs w:val="0"/>
    </w:rPr>
  </w:style>
  <w:style w:type="character" w:customStyle="1" w:styleId="144">
    <w:name w:val="表格居中 Char"/>
    <w:link w:val="143"/>
    <w:autoRedefine/>
    <w:qFormat/>
    <w:uiPriority w:val="0"/>
    <w:rPr>
      <w:color w:val="000000" w:themeColor="text1"/>
      <w:kern w:val="2"/>
      <w:sz w:val="21"/>
      <w:szCs w:val="21"/>
      <w14:textFill>
        <w14:solidFill>
          <w14:schemeClr w14:val="tx1"/>
        </w14:solidFill>
      </w14:textFill>
    </w:rPr>
  </w:style>
  <w:style w:type="paragraph" w:customStyle="1" w:styleId="145">
    <w:name w:val="缩进-左表字"/>
    <w:basedOn w:val="115"/>
    <w:autoRedefine/>
    <w:qFormat/>
    <w:uiPriority w:val="0"/>
    <w:pPr>
      <w:ind w:firstLine="200" w:firstLineChars="200"/>
      <w:jc w:val="left"/>
    </w:pPr>
  </w:style>
  <w:style w:type="character" w:customStyle="1" w:styleId="146">
    <w:name w:val="表格正文 Char"/>
    <w:link w:val="147"/>
    <w:autoRedefine/>
    <w:qFormat/>
    <w:uiPriority w:val="0"/>
    <w:rPr>
      <w:rFonts w:ascii="宋体" w:hAnsi="宋体" w:eastAsia="仿宋_GB2312"/>
      <w:color w:val="0000FF"/>
      <w:sz w:val="24"/>
      <w:szCs w:val="24"/>
    </w:rPr>
  </w:style>
  <w:style w:type="paragraph" w:customStyle="1" w:styleId="147">
    <w:name w:val="表格正文"/>
    <w:basedOn w:val="1"/>
    <w:link w:val="146"/>
    <w:autoRedefine/>
    <w:qFormat/>
    <w:uiPriority w:val="0"/>
    <w:pPr>
      <w:ind w:firstLine="0" w:firstLineChars="0"/>
      <w:jc w:val="center"/>
    </w:pPr>
    <w:rPr>
      <w:rFonts w:ascii="宋体" w:hAnsi="宋体" w:eastAsia="仿宋_GB2312"/>
      <w:color w:val="0000FF"/>
      <w:kern w:val="0"/>
      <w:szCs w:val="24"/>
    </w:rPr>
  </w:style>
  <w:style w:type="character" w:customStyle="1" w:styleId="148">
    <w:name w:val="Char Char5"/>
    <w:autoRedefine/>
    <w:semiHidden/>
    <w:qFormat/>
    <w:uiPriority w:val="0"/>
    <w:rPr>
      <w:rFonts w:eastAsia="Verdana"/>
      <w:kern w:val="2"/>
      <w:sz w:val="18"/>
      <w:szCs w:val="18"/>
      <w:lang w:val="en-US" w:eastAsia="zh-CN" w:bidi="ar-SA"/>
    </w:rPr>
  </w:style>
  <w:style w:type="paragraph" w:customStyle="1" w:styleId="149">
    <w:name w:val="K图表字-居中"/>
    <w:basedOn w:val="140"/>
    <w:link w:val="150"/>
    <w:autoRedefine/>
    <w:qFormat/>
    <w:uiPriority w:val="0"/>
    <w:pPr>
      <w:spacing w:line="240" w:lineRule="auto"/>
      <w:ind w:firstLine="0" w:firstLineChars="0"/>
      <w:jc w:val="center"/>
    </w:pPr>
    <w:rPr>
      <w:rFonts w:ascii="宋体" w:hAnsi="宋体"/>
      <w:sz w:val="21"/>
    </w:rPr>
  </w:style>
  <w:style w:type="character" w:customStyle="1" w:styleId="150">
    <w:name w:val="K图表字-居中 Char"/>
    <w:link w:val="149"/>
    <w:autoRedefine/>
    <w:qFormat/>
    <w:uiPriority w:val="0"/>
    <w:rPr>
      <w:rFonts w:ascii="宋体" w:hAnsi="宋体" w:cs="宋体"/>
      <w:kern w:val="2"/>
      <w:sz w:val="21"/>
      <w:szCs w:val="24"/>
    </w:rPr>
  </w:style>
  <w:style w:type="paragraph" w:customStyle="1" w:styleId="151">
    <w:name w:val="表左缩进"/>
    <w:basedOn w:val="84"/>
    <w:autoRedefine/>
    <w:qFormat/>
    <w:uiPriority w:val="0"/>
    <w:pPr>
      <w:numPr>
        <w:ilvl w:val="0"/>
        <w:numId w:val="8"/>
      </w:numPr>
      <w:ind w:left="0" w:firstLine="0"/>
    </w:pPr>
  </w:style>
  <w:style w:type="character" w:customStyle="1" w:styleId="152">
    <w:name w:val="文档结构图 字符"/>
    <w:basedOn w:val="44"/>
    <w:link w:val="17"/>
    <w:autoRedefine/>
    <w:qFormat/>
    <w:uiPriority w:val="99"/>
    <w:rPr>
      <w:rFonts w:ascii="Microsoft YaHei UI" w:eastAsia="Microsoft YaHei UI"/>
      <w:kern w:val="2"/>
      <w:sz w:val="18"/>
      <w:szCs w:val="18"/>
    </w:rPr>
  </w:style>
  <w:style w:type="character" w:customStyle="1" w:styleId="153">
    <w:name w:val="日期 字符"/>
    <w:basedOn w:val="44"/>
    <w:link w:val="25"/>
    <w:autoRedefine/>
    <w:qFormat/>
    <w:uiPriority w:val="0"/>
    <w:rPr>
      <w:rFonts w:asciiTheme="minorHAnsi" w:hAnsiTheme="minorHAnsi" w:eastAsiaTheme="minorEastAsia" w:cstheme="minorBidi"/>
      <w:kern w:val="2"/>
      <w:sz w:val="21"/>
      <w:szCs w:val="21"/>
    </w:rPr>
  </w:style>
  <w:style w:type="table" w:customStyle="1" w:styleId="154">
    <w:name w:val="XX表格1"/>
    <w:basedOn w:val="42"/>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5">
    <w:name w:val="11111"/>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6">
    <w:name w:val="无格式表格 11"/>
    <w:basedOn w:val="42"/>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57">
    <w:name w:val="图片"/>
    <w:basedOn w:val="1"/>
    <w:next w:val="158"/>
    <w:autoRedefine/>
    <w:qFormat/>
    <w:uiPriority w:val="0"/>
    <w:pPr>
      <w:keepNext/>
      <w:framePr w:wrap="around" w:vAnchor="margin" w:hAnchor="text" w:xAlign="center" w:yAlign="center"/>
      <w:ind w:firstLine="0" w:firstLineChars="0"/>
      <w:jc w:val="center"/>
    </w:pPr>
    <w:rPr>
      <w:rFonts w:cstheme="minorBidi"/>
      <w:kern w:val="0"/>
      <w:szCs w:val="24"/>
    </w:rPr>
  </w:style>
  <w:style w:type="paragraph" w:customStyle="1" w:styleId="158">
    <w:name w:val="题注—图片"/>
    <w:next w:val="1"/>
    <w:autoRedefine/>
    <w:qFormat/>
    <w:uiPriority w:val="0"/>
    <w:pPr>
      <w:widowControl w:val="0"/>
      <w:spacing w:line="360" w:lineRule="auto"/>
      <w:jc w:val="center"/>
    </w:pPr>
    <w:rPr>
      <w:rFonts w:ascii="Times New Roman" w:hAnsi="Times New Roman" w:eastAsia="宋体" w:cs="Times New Roman"/>
      <w:b/>
      <w:kern w:val="2"/>
      <w:sz w:val="21"/>
      <w:szCs w:val="21"/>
      <w:lang w:val="en-US" w:eastAsia="zh-CN" w:bidi="ar-SA"/>
    </w:rPr>
  </w:style>
  <w:style w:type="table" w:customStyle="1" w:styleId="159">
    <w:name w:val="网格型浅色1"/>
    <w:basedOn w:val="42"/>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0">
    <w:name w:val="表2"/>
    <w:basedOn w:val="42"/>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1">
    <w:name w:val="k 表格1"/>
    <w:basedOn w:val="42"/>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2">
    <w:name w:val="K表格"/>
    <w:basedOn w:val="42"/>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3">
    <w:name w:val="日期 字符1"/>
    <w:basedOn w:val="44"/>
    <w:autoRedefine/>
    <w:semiHidden/>
    <w:qFormat/>
    <w:uiPriority w:val="99"/>
    <w:rPr>
      <w:rFonts w:ascii="Times New Roman" w:hAnsi="Times New Roman" w:eastAsia="宋体" w:cs="Times New Roman"/>
      <w:kern w:val="2"/>
      <w:sz w:val="24"/>
      <w:szCs w:val="21"/>
    </w:rPr>
  </w:style>
  <w:style w:type="paragraph" w:customStyle="1" w:styleId="164">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5">
    <w:name w:val="批注文字 字符1"/>
    <w:basedOn w:val="44"/>
    <w:autoRedefine/>
    <w:semiHidden/>
    <w:qFormat/>
    <w:uiPriority w:val="99"/>
    <w:rPr>
      <w:rFonts w:ascii="Times New Roman" w:hAnsi="Times New Roman" w:eastAsia="宋体"/>
      <w:sz w:val="24"/>
      <w:szCs w:val="24"/>
    </w:rPr>
  </w:style>
  <w:style w:type="character" w:customStyle="1" w:styleId="166">
    <w:name w:val="批注主题 字符1"/>
    <w:basedOn w:val="165"/>
    <w:autoRedefine/>
    <w:semiHidden/>
    <w:qFormat/>
    <w:uiPriority w:val="99"/>
    <w:rPr>
      <w:rFonts w:ascii="Times New Roman" w:hAnsi="Times New Roman" w:eastAsia="宋体"/>
      <w:b/>
      <w:bCs/>
      <w:sz w:val="24"/>
      <w:szCs w:val="24"/>
    </w:rPr>
  </w:style>
  <w:style w:type="paragraph" w:customStyle="1" w:styleId="167">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68">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69">
    <w:name w:val="网格型3"/>
    <w:basedOn w:val="42"/>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0">
    <w:name w:val="LBY样式"/>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1">
    <w:name w:val="标准样式1"/>
    <w:basedOn w:val="42"/>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2">
    <w:name w:val="1111"/>
    <w:basedOn w:val="42"/>
    <w:autoRedefine/>
    <w:qFormat/>
    <w:uiPriority w:val="99"/>
    <w:pPr>
      <w:jc w:val="center"/>
    </w:pPr>
    <w:rPr>
      <w:rFonts w:cstheme="minorBidi"/>
      <w:sz w:val="21"/>
      <w:szCs w:val="24"/>
    </w:rPr>
    <w:tcPr>
      <w:shd w:val="clear" w:color="auto" w:fill="auto"/>
    </w:tcPr>
  </w:style>
  <w:style w:type="table" w:customStyle="1" w:styleId="173">
    <w:name w:val="LB样式"/>
    <w:basedOn w:val="42"/>
    <w:autoRedefine/>
    <w:qFormat/>
    <w:uiPriority w:val="99"/>
    <w:rPr>
      <w:rFonts w:cstheme="minorBidi"/>
      <w:sz w:val="21"/>
      <w:szCs w:val="24"/>
    </w:rPr>
  </w:style>
  <w:style w:type="character" w:customStyle="1" w:styleId="174">
    <w:name w:val="font11"/>
    <w:basedOn w:val="44"/>
    <w:autoRedefine/>
    <w:qFormat/>
    <w:uiPriority w:val="0"/>
    <w:rPr>
      <w:rFonts w:hint="eastAsia" w:ascii="宋体" w:hAnsi="宋体" w:eastAsia="宋体"/>
      <w:color w:val="000000"/>
      <w:sz w:val="18"/>
      <w:szCs w:val="18"/>
      <w:u w:val="none"/>
    </w:rPr>
  </w:style>
  <w:style w:type="character" w:customStyle="1" w:styleId="175">
    <w:name w:val="font51"/>
    <w:basedOn w:val="44"/>
    <w:autoRedefine/>
    <w:qFormat/>
    <w:uiPriority w:val="0"/>
    <w:rPr>
      <w:rFonts w:hint="eastAsia" w:ascii="宋体" w:hAnsi="宋体" w:eastAsia="宋体"/>
      <w:color w:val="000000"/>
      <w:sz w:val="9"/>
      <w:szCs w:val="9"/>
      <w:u w:val="none"/>
      <w:vertAlign w:val="subscript"/>
    </w:rPr>
  </w:style>
  <w:style w:type="character" w:customStyle="1" w:styleId="176">
    <w:name w:val="font41"/>
    <w:basedOn w:val="44"/>
    <w:autoRedefine/>
    <w:qFormat/>
    <w:uiPriority w:val="0"/>
    <w:rPr>
      <w:rFonts w:hint="eastAsia" w:ascii="宋体" w:hAnsi="宋体" w:eastAsia="宋体"/>
      <w:color w:val="000000"/>
      <w:sz w:val="9"/>
      <w:szCs w:val="9"/>
      <w:u w:val="none"/>
    </w:rPr>
  </w:style>
  <w:style w:type="character" w:customStyle="1" w:styleId="177">
    <w:name w:val="font31"/>
    <w:basedOn w:val="44"/>
    <w:autoRedefine/>
    <w:qFormat/>
    <w:uiPriority w:val="0"/>
    <w:rPr>
      <w:rFonts w:hint="eastAsia" w:ascii="宋体" w:hAnsi="宋体" w:eastAsia="宋体"/>
      <w:color w:val="000000"/>
      <w:sz w:val="18"/>
      <w:szCs w:val="18"/>
      <w:u w:val="none"/>
      <w:vertAlign w:val="subscript"/>
    </w:rPr>
  </w:style>
  <w:style w:type="paragraph" w:customStyle="1" w:styleId="178">
    <w:name w:val="Char Char Char Char Char Char Char"/>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79">
    <w:name w:val="k 正文 Char"/>
    <w:link w:val="180"/>
    <w:autoRedefine/>
    <w:qFormat/>
    <w:uiPriority w:val="0"/>
    <w:rPr>
      <w:kern w:val="2"/>
      <w:sz w:val="24"/>
      <w:szCs w:val="24"/>
    </w:rPr>
  </w:style>
  <w:style w:type="paragraph" w:customStyle="1" w:styleId="180">
    <w:name w:val="k 正文"/>
    <w:basedOn w:val="1"/>
    <w:link w:val="179"/>
    <w:autoRedefine/>
    <w:qFormat/>
    <w:uiPriority w:val="0"/>
    <w:rPr>
      <w:szCs w:val="24"/>
    </w:rPr>
  </w:style>
  <w:style w:type="character" w:customStyle="1" w:styleId="181">
    <w:name w:val="图表名称 Char"/>
    <w:link w:val="97"/>
    <w:autoRedefine/>
    <w:qFormat/>
    <w:uiPriority w:val="0"/>
    <w:rPr>
      <w:b/>
      <w:bCs/>
      <w:color w:val="000000" w:themeColor="text1"/>
      <w:kern w:val="2"/>
      <w:sz w:val="21"/>
      <w:szCs w:val="21"/>
      <w14:textFill>
        <w14:solidFill>
          <w14:schemeClr w14:val="tx1"/>
        </w14:solidFill>
      </w14:textFill>
    </w:rPr>
  </w:style>
  <w:style w:type="paragraph" w:customStyle="1" w:styleId="182">
    <w:name w:val="图居中、图表标题"/>
    <w:basedOn w:val="1"/>
    <w:next w:val="1"/>
    <w:link w:val="183"/>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3">
    <w:name w:val="图居中、图表标题 Char"/>
    <w:basedOn w:val="44"/>
    <w:link w:val="182"/>
    <w:autoRedefine/>
    <w:qFormat/>
    <w:uiPriority w:val="0"/>
    <w:rPr>
      <w:rFonts w:cs="宋体" w:asciiTheme="minorHAnsi" w:hAnsiTheme="minorHAnsi"/>
      <w:b/>
      <w:color w:val="0000C8"/>
    </w:rPr>
  </w:style>
  <w:style w:type="paragraph" w:customStyle="1" w:styleId="184">
    <w:name w:val="WFS正文"/>
    <w:basedOn w:val="1"/>
    <w:link w:val="185"/>
    <w:autoRedefine/>
    <w:qFormat/>
    <w:uiPriority w:val="0"/>
    <w:pPr>
      <w:adjustRightInd w:val="0"/>
      <w:ind w:firstLine="480"/>
    </w:pPr>
    <w:rPr>
      <w:rFonts w:cs="宋体"/>
      <w:szCs w:val="24"/>
    </w:rPr>
  </w:style>
  <w:style w:type="character" w:customStyle="1" w:styleId="185">
    <w:name w:val="WFS正文 Char"/>
    <w:link w:val="184"/>
    <w:autoRedefine/>
    <w:qFormat/>
    <w:uiPriority w:val="0"/>
    <w:rPr>
      <w:rFonts w:cs="宋体"/>
      <w:kern w:val="2"/>
      <w:sz w:val="24"/>
      <w:szCs w:val="24"/>
    </w:rPr>
  </w:style>
  <w:style w:type="character" w:customStyle="1" w:styleId="186">
    <w:name w:val="k 正文 Char Char"/>
    <w:autoRedefine/>
    <w:qFormat/>
    <w:uiPriority w:val="0"/>
    <w:rPr>
      <w:kern w:val="2"/>
      <w:sz w:val="24"/>
      <w:szCs w:val="22"/>
    </w:rPr>
  </w:style>
  <w:style w:type="paragraph" w:customStyle="1" w:styleId="187">
    <w:name w:val="k 图表标题"/>
    <w:basedOn w:val="1"/>
    <w:next w:val="1"/>
    <w:link w:val="188"/>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88">
    <w:name w:val="k 图表标题 Char"/>
    <w:link w:val="187"/>
    <w:autoRedefine/>
    <w:qFormat/>
    <w:uiPriority w:val="0"/>
    <w:rPr>
      <w:b/>
      <w:color w:val="0000FF"/>
      <w:kern w:val="2"/>
      <w:sz w:val="28"/>
      <w:szCs w:val="22"/>
      <w:lang w:val="zh-CN" w:eastAsia="zh-CN"/>
    </w:rPr>
  </w:style>
  <w:style w:type="paragraph" w:customStyle="1" w:styleId="189">
    <w:name w:val="WFS图表字-居中"/>
    <w:basedOn w:val="1"/>
    <w:link w:val="190"/>
    <w:autoRedefine/>
    <w:qFormat/>
    <w:uiPriority w:val="0"/>
    <w:pPr>
      <w:adjustRightInd w:val="0"/>
      <w:spacing w:line="240" w:lineRule="auto"/>
      <w:ind w:firstLine="0" w:firstLineChars="0"/>
      <w:jc w:val="center"/>
    </w:pPr>
    <w:rPr>
      <w:sz w:val="21"/>
      <w:szCs w:val="24"/>
    </w:rPr>
  </w:style>
  <w:style w:type="character" w:customStyle="1" w:styleId="190">
    <w:name w:val="WFS图表字-居中 Char"/>
    <w:link w:val="189"/>
    <w:autoRedefine/>
    <w:qFormat/>
    <w:uiPriority w:val="0"/>
    <w:rPr>
      <w:kern w:val="2"/>
      <w:sz w:val="21"/>
      <w:szCs w:val="24"/>
    </w:rPr>
  </w:style>
  <w:style w:type="table" w:customStyle="1" w:styleId="191">
    <w:name w:val="网格型2"/>
    <w:basedOn w:val="42"/>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2">
    <w:name w:val="图表标题"/>
    <w:link w:val="193"/>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3">
    <w:name w:val="图表标题 Char"/>
    <w:link w:val="192"/>
    <w:autoRedefine/>
    <w:qFormat/>
    <w:uiPriority w:val="0"/>
    <w:rPr>
      <w:rFonts w:ascii="仿宋" w:hAnsi="仿宋" w:eastAsia="仿宋" w:cs="仿宋"/>
      <w:b/>
      <w:kern w:val="3"/>
      <w:sz w:val="24"/>
      <w:szCs w:val="24"/>
    </w:rPr>
  </w:style>
  <w:style w:type="paragraph" w:customStyle="1" w:styleId="194">
    <w:name w:val="40正文(1)"/>
    <w:basedOn w:val="1"/>
    <w:link w:val="200"/>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5">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6">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197">
    <w:name w:val="70标题表格"/>
    <w:basedOn w:val="1"/>
    <w:next w:val="1"/>
    <w:link w:val="202"/>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198">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199">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0">
    <w:name w:val="正文（1） Char"/>
    <w:link w:val="194"/>
    <w:autoRedefine/>
    <w:qFormat/>
    <w:uiPriority w:val="0"/>
    <w:rPr>
      <w:rFonts w:ascii="宋体" w:hAnsi="宋体" w:cs="宋体"/>
      <w:snapToGrid w:val="0"/>
      <w:sz w:val="24"/>
      <w:szCs w:val="24"/>
    </w:rPr>
  </w:style>
  <w:style w:type="paragraph" w:customStyle="1" w:styleId="201">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2">
    <w:name w:val="70标题表格 Char"/>
    <w:link w:val="197"/>
    <w:autoRedefine/>
    <w:qFormat/>
    <w:uiPriority w:val="0"/>
    <w:rPr>
      <w:rFonts w:ascii="宋体" w:hAnsi="宋体" w:cs="宋体"/>
      <w:b/>
      <w:bCs/>
      <w:snapToGrid w:val="0"/>
      <w:color w:val="0766D4"/>
      <w:sz w:val="21"/>
      <w:szCs w:val="21"/>
    </w:rPr>
  </w:style>
  <w:style w:type="character" w:customStyle="1" w:styleId="203">
    <w:name w:val="正文文本 3 字符"/>
    <w:basedOn w:val="44"/>
    <w:link w:val="19"/>
    <w:autoRedefine/>
    <w:qFormat/>
    <w:uiPriority w:val="0"/>
    <w:rPr>
      <w:kern w:val="2"/>
      <w:sz w:val="24"/>
      <w:szCs w:val="24"/>
    </w:rPr>
  </w:style>
  <w:style w:type="character" w:customStyle="1" w:styleId="204">
    <w:name w:val="纯文本 字符"/>
    <w:basedOn w:val="44"/>
    <w:link w:val="23"/>
    <w:autoRedefine/>
    <w:qFormat/>
    <w:uiPriority w:val="0"/>
    <w:rPr>
      <w:rFonts w:ascii="宋体" w:hAnsi="宋体" w:eastAsia="仿宋" w:cstheme="minorBidi"/>
      <w:kern w:val="2"/>
      <w:sz w:val="24"/>
      <w:szCs w:val="24"/>
    </w:rPr>
  </w:style>
  <w:style w:type="character" w:customStyle="1" w:styleId="205">
    <w:name w:val="正文文本缩进 2 字符"/>
    <w:basedOn w:val="44"/>
    <w:link w:val="26"/>
    <w:autoRedefine/>
    <w:qFormat/>
    <w:uiPriority w:val="99"/>
    <w:rPr>
      <w:rFonts w:ascii="仿宋_GB2312" w:hAnsi="宋体" w:eastAsia="仿宋_GB2312" w:cstheme="minorBidi"/>
      <w:kern w:val="2"/>
      <w:sz w:val="28"/>
      <w:szCs w:val="24"/>
    </w:rPr>
  </w:style>
  <w:style w:type="character" w:customStyle="1" w:styleId="206">
    <w:name w:val="正文文本缩进 3 字符"/>
    <w:basedOn w:val="44"/>
    <w:link w:val="34"/>
    <w:qFormat/>
    <w:uiPriority w:val="0"/>
    <w:rPr>
      <w:kern w:val="2"/>
      <w:sz w:val="16"/>
      <w:szCs w:val="16"/>
    </w:rPr>
  </w:style>
  <w:style w:type="character" w:customStyle="1" w:styleId="207">
    <w:name w:val="标题 字符"/>
    <w:basedOn w:val="44"/>
    <w:link w:val="39"/>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08">
    <w:name w:val="表格内容"/>
    <w:link w:val="376"/>
    <w:autoRedefine/>
    <w:qFormat/>
    <w:uiPriority w:val="0"/>
    <w:pPr>
      <w:jc w:val="center"/>
    </w:pPr>
    <w:rPr>
      <w:rFonts w:ascii="楷体_GB2312" w:hAnsi="Times New Roman" w:eastAsia="楷体_GB2312" w:cs="Times New Roman"/>
      <w:sz w:val="24"/>
      <w:lang w:val="en-US" w:eastAsia="zh-CN" w:bidi="ar-SA"/>
    </w:rPr>
  </w:style>
  <w:style w:type="character" w:customStyle="1" w:styleId="209">
    <w:name w:val="font01"/>
    <w:basedOn w:val="44"/>
    <w:autoRedefine/>
    <w:qFormat/>
    <w:uiPriority w:val="0"/>
    <w:rPr>
      <w:rFonts w:hint="eastAsia" w:ascii="宋体" w:hAnsi="宋体" w:eastAsia="宋体" w:cs="宋体"/>
      <w:b/>
      <w:color w:val="000000"/>
      <w:sz w:val="20"/>
      <w:szCs w:val="20"/>
      <w:u w:val="none"/>
    </w:rPr>
  </w:style>
  <w:style w:type="paragraph" w:customStyle="1" w:styleId="210">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1">
    <w:name w:val="网格型1"/>
    <w:basedOn w:val="42"/>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2">
    <w:name w:val="fontstyle01"/>
    <w:autoRedefine/>
    <w:qFormat/>
    <w:uiPriority w:val="0"/>
    <w:rPr>
      <w:rFonts w:hint="eastAsia" w:ascii="仿宋_GB2312" w:eastAsia="仿宋_GB2312"/>
      <w:color w:val="000000"/>
      <w:sz w:val="24"/>
      <w:szCs w:val="24"/>
    </w:rPr>
  </w:style>
  <w:style w:type="paragraph" w:customStyle="1" w:styleId="213">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214">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215">
    <w:name w:val="表格内文字"/>
    <w:autoRedefine/>
    <w:qFormat/>
    <w:uiPriority w:val="0"/>
    <w:rPr>
      <w:rFonts w:ascii="Times New Roman" w:hAnsi="Times New Roman" w:eastAsia="宋体"/>
      <w:color w:val="auto"/>
      <w:sz w:val="21"/>
    </w:rPr>
  </w:style>
  <w:style w:type="paragraph" w:customStyle="1" w:styleId="216">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7">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18">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19">
    <w:name w:val="图表文字"/>
    <w:link w:val="334"/>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20">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1">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2">
    <w:name w:val="图名"/>
    <w:next w:val="1"/>
    <w:link w:val="293"/>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3">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4">
    <w:name w:val="表格字体"/>
    <w:next w:val="217"/>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5">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6">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7">
    <w:name w:val="font21"/>
    <w:basedOn w:val="44"/>
    <w:autoRedefine/>
    <w:qFormat/>
    <w:uiPriority w:val="0"/>
    <w:rPr>
      <w:rFonts w:hint="eastAsia" w:ascii="宋体" w:hAnsi="宋体" w:eastAsia="宋体" w:cs="宋体"/>
      <w:color w:val="000000"/>
      <w:sz w:val="20"/>
      <w:szCs w:val="20"/>
      <w:u w:val="none"/>
    </w:rPr>
  </w:style>
  <w:style w:type="character" w:customStyle="1" w:styleId="228">
    <w:name w:val="封面标题 Char"/>
    <w:basedOn w:val="44"/>
    <w:link w:val="65"/>
    <w:autoRedefine/>
    <w:qFormat/>
    <w:uiPriority w:val="0"/>
    <w:rPr>
      <w:rFonts w:eastAsia="黑体"/>
      <w:b/>
      <w:kern w:val="2"/>
      <w:sz w:val="52"/>
      <w:szCs w:val="21"/>
    </w:rPr>
  </w:style>
  <w:style w:type="paragraph" w:customStyle="1" w:styleId="229">
    <w:name w:val="单位及日期"/>
    <w:basedOn w:val="65"/>
    <w:link w:val="230"/>
    <w:autoRedefine/>
    <w:qFormat/>
    <w:uiPriority w:val="0"/>
    <w:rPr>
      <w:sz w:val="28"/>
    </w:rPr>
  </w:style>
  <w:style w:type="character" w:customStyle="1" w:styleId="230">
    <w:name w:val="单位及日期 Char"/>
    <w:basedOn w:val="228"/>
    <w:link w:val="229"/>
    <w:autoRedefine/>
    <w:qFormat/>
    <w:uiPriority w:val="0"/>
    <w:rPr>
      <w:rFonts w:eastAsia="黑体"/>
      <w:kern w:val="2"/>
      <w:sz w:val="28"/>
      <w:szCs w:val="21"/>
    </w:rPr>
  </w:style>
  <w:style w:type="paragraph" w:customStyle="1" w:styleId="231">
    <w:name w:val="校审"/>
    <w:basedOn w:val="1"/>
    <w:link w:val="232"/>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2">
    <w:name w:val="校审 Char"/>
    <w:basedOn w:val="44"/>
    <w:link w:val="231"/>
    <w:autoRedefine/>
    <w:qFormat/>
    <w:uiPriority w:val="0"/>
    <w:rPr>
      <w:bCs/>
      <w:color w:val="000000" w:themeColor="text1"/>
      <w:kern w:val="2"/>
      <w:sz w:val="28"/>
      <w:szCs w:val="28"/>
      <w14:textFill>
        <w14:solidFill>
          <w14:schemeClr w14:val="tx1"/>
        </w14:solidFill>
      </w14:textFill>
    </w:rPr>
  </w:style>
  <w:style w:type="character" w:customStyle="1" w:styleId="233">
    <w:name w:val="TOC 1 字符"/>
    <w:link w:val="30"/>
    <w:autoRedefine/>
    <w:qFormat/>
    <w:uiPriority w:val="39"/>
    <w:rPr>
      <w:rFonts w:cstheme="minorHAnsi"/>
      <w:bCs/>
      <w:caps/>
      <w:kern w:val="2"/>
      <w:sz w:val="24"/>
    </w:rPr>
  </w:style>
  <w:style w:type="paragraph" w:customStyle="1" w:styleId="234">
    <w:name w:val="燕矶图片样式"/>
    <w:basedOn w:val="1"/>
    <w:link w:val="235"/>
    <w:autoRedefine/>
    <w:qFormat/>
    <w:uiPriority w:val="0"/>
    <w:pPr>
      <w:adjustRightInd w:val="0"/>
      <w:snapToGrid w:val="0"/>
      <w:spacing w:line="240" w:lineRule="auto"/>
      <w:ind w:firstLine="0" w:firstLineChars="0"/>
      <w:jc w:val="center"/>
    </w:pPr>
    <w:rPr>
      <w:sz w:val="21"/>
    </w:rPr>
  </w:style>
  <w:style w:type="character" w:customStyle="1" w:styleId="235">
    <w:name w:val="燕矶图片样式 字符"/>
    <w:basedOn w:val="44"/>
    <w:link w:val="234"/>
    <w:autoRedefine/>
    <w:qFormat/>
    <w:uiPriority w:val="0"/>
    <w:rPr>
      <w:kern w:val="2"/>
      <w:sz w:val="21"/>
      <w:szCs w:val="21"/>
    </w:rPr>
  </w:style>
  <w:style w:type="paragraph" w:customStyle="1" w:styleId="236">
    <w:name w:val="燕矶图名"/>
    <w:basedOn w:val="1"/>
    <w:next w:val="1"/>
    <w:autoRedefine/>
    <w:qFormat/>
    <w:uiPriority w:val="0"/>
    <w:pPr>
      <w:spacing w:line="240" w:lineRule="auto"/>
      <w:ind w:firstLine="0" w:firstLineChars="0"/>
      <w:jc w:val="center"/>
    </w:pPr>
    <w:rPr>
      <w:rFonts w:hint="eastAsia"/>
      <w:b/>
      <w:bCs/>
      <w:sz w:val="21"/>
    </w:rPr>
  </w:style>
  <w:style w:type="paragraph" w:customStyle="1" w:styleId="237">
    <w:name w:val="插图"/>
    <w:basedOn w:val="15"/>
    <w:next w:val="222"/>
    <w:autoRedefine/>
    <w:qFormat/>
    <w:uiPriority w:val="0"/>
    <w:pPr>
      <w:spacing w:line="360" w:lineRule="auto"/>
    </w:pPr>
  </w:style>
  <w:style w:type="paragraph" w:customStyle="1" w:styleId="238">
    <w:name w:val="表名"/>
    <w:basedOn w:val="1"/>
    <w:link w:val="290"/>
    <w:autoRedefine/>
    <w:qFormat/>
    <w:uiPriority w:val="0"/>
    <w:pPr>
      <w:tabs>
        <w:tab w:val="left" w:pos="0"/>
      </w:tabs>
      <w:spacing w:before="50" w:beforeLines="50" w:line="240" w:lineRule="auto"/>
      <w:ind w:firstLine="0" w:firstLineChars="0"/>
      <w:jc w:val="center"/>
    </w:pPr>
    <w:rPr>
      <w:b/>
      <w:sz w:val="21"/>
    </w:rPr>
  </w:style>
  <w:style w:type="character" w:customStyle="1" w:styleId="239">
    <w:name w:val="图表标题 字符"/>
    <w:autoRedefine/>
    <w:qFormat/>
    <w:uiPriority w:val="0"/>
    <w:rPr>
      <w:rFonts w:ascii="Times New Roman" w:hAnsi="Times New Roman" w:cstheme="minorBidi"/>
      <w:b/>
      <w:sz w:val="24"/>
      <w:szCs w:val="21"/>
    </w:rPr>
  </w:style>
  <w:style w:type="table" w:customStyle="1" w:styleId="240">
    <w:name w:val="网格表 4 - 着色 11"/>
    <w:basedOn w:val="42"/>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1">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2">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3">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4">
    <w:name w:val="font7"/>
    <w:basedOn w:val="1"/>
    <w:autoRedefine/>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5">
    <w:name w:val="font8"/>
    <w:basedOn w:val="1"/>
    <w:autoRedefine/>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6">
    <w:name w:val="font9"/>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7">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8">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9">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50">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1">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5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9">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60">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4">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5">
    <w:name w:val="xl7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6">
    <w:name w:val="xl79"/>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7">
    <w:name w:val="xl8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8">
    <w:name w:val="xl8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69">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70">
    <w:name w:val="xl8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1">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2">
    <w:name w:val="xl85"/>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3">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4">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5">
    <w:name w:val="xl8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6">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78">
    <w:name w:val="xl91"/>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7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80">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1">
    <w:name w:val="xl9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2">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3">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4">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6">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8">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89">
    <w:name w:val="网格型4"/>
    <w:basedOn w:val="4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0">
    <w:name w:val="表名 Char"/>
    <w:link w:val="238"/>
    <w:autoRedefine/>
    <w:qFormat/>
    <w:uiPriority w:val="0"/>
    <w:rPr>
      <w:b/>
      <w:kern w:val="2"/>
      <w:sz w:val="21"/>
      <w:szCs w:val="21"/>
    </w:rPr>
  </w:style>
  <w:style w:type="paragraph" w:customStyle="1" w:styleId="291">
    <w:name w:val="正文文本1"/>
    <w:basedOn w:val="1"/>
    <w:autoRedefine/>
    <w:qFormat/>
    <w:uiPriority w:val="0"/>
    <w:rPr>
      <w:rFonts w:ascii="宋体" w:hAnsi="Calibri"/>
      <w:kern w:val="0"/>
      <w:szCs w:val="32"/>
    </w:rPr>
  </w:style>
  <w:style w:type="table" w:customStyle="1" w:styleId="292">
    <w:name w:val="样式31"/>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3">
    <w:name w:val="图名 Char"/>
    <w:link w:val="222"/>
    <w:autoRedefine/>
    <w:qFormat/>
    <w:uiPriority w:val="0"/>
    <w:rPr>
      <w:rFonts w:ascii="宋体" w:hAnsi="宋体"/>
      <w:b/>
      <w:kern w:val="2"/>
      <w:sz w:val="21"/>
      <w:szCs w:val="24"/>
    </w:rPr>
  </w:style>
  <w:style w:type="paragraph" w:customStyle="1" w:styleId="294">
    <w:name w:val="表格后首段正文"/>
    <w:basedOn w:val="1"/>
    <w:link w:val="295"/>
    <w:autoRedefine/>
    <w:qFormat/>
    <w:uiPriority w:val="0"/>
    <w:pPr>
      <w:adjustRightInd w:val="0"/>
      <w:snapToGrid w:val="0"/>
      <w:spacing w:before="70" w:beforeLines="70"/>
    </w:pPr>
    <w:rPr>
      <w:rFonts w:cstheme="minorBidi"/>
    </w:rPr>
  </w:style>
  <w:style w:type="character" w:customStyle="1" w:styleId="295">
    <w:name w:val="表格后首段正文 字符"/>
    <w:basedOn w:val="44"/>
    <w:link w:val="294"/>
    <w:autoRedefine/>
    <w:qFormat/>
    <w:uiPriority w:val="0"/>
    <w:rPr>
      <w:rFonts w:cstheme="minorBidi"/>
      <w:kern w:val="2"/>
      <w:sz w:val="24"/>
      <w:szCs w:val="21"/>
    </w:rPr>
  </w:style>
  <w:style w:type="table" w:customStyle="1" w:styleId="296">
    <w:name w:val="方案模板样式"/>
    <w:basedOn w:val="42"/>
    <w:autoRedefine/>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7">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298">
    <w:name w:val="xl102"/>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99">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0">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1">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2">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3">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4">
    <w:name w:val="xl108"/>
    <w:basedOn w:val="1"/>
    <w:autoRedefine/>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5">
    <w:name w:val="xl109"/>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6">
    <w:name w:val="xl11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7">
    <w:name w:val="xl111"/>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8">
    <w:name w:val="xl112"/>
    <w:basedOn w:val="1"/>
    <w:autoRedefine/>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09">
    <w:name w:val="xl113"/>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0">
    <w:name w:val="xl114"/>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1">
    <w:name w:val="列出段落1"/>
    <w:basedOn w:val="1"/>
    <w:autoRedefine/>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2">
    <w:name w:val="仙新表格"/>
    <w:basedOn w:val="1"/>
    <w:next w:val="1"/>
    <w:link w:val="313"/>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3">
    <w:name w:val="仙新表格 字符"/>
    <w:basedOn w:val="44"/>
    <w:link w:val="312"/>
    <w:autoRedefine/>
    <w:qFormat/>
    <w:uiPriority w:val="0"/>
    <w:rPr>
      <w:rFonts w:cstheme="minorBidi"/>
      <w:color w:val="000000" w:themeColor="text1"/>
      <w:kern w:val="2"/>
      <w:sz w:val="21"/>
      <w:szCs w:val="21"/>
      <w14:textFill>
        <w14:solidFill>
          <w14:schemeClr w14:val="tx1"/>
        </w14:solidFill>
      </w14:textFill>
    </w:rPr>
  </w:style>
  <w:style w:type="table" w:customStyle="1" w:styleId="314">
    <w:name w:val="网格表 1 浅色 - 着色 11"/>
    <w:basedOn w:val="42"/>
    <w:autoRedefine/>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5">
    <w:name w:val="正文缩进 字符"/>
    <w:link w:val="12"/>
    <w:autoRedefine/>
    <w:qFormat/>
    <w:uiPriority w:val="0"/>
    <w:rPr>
      <w:rFonts w:ascii="Calibri" w:hAnsi="Calibri"/>
      <w:kern w:val="2"/>
      <w:sz w:val="24"/>
      <w:szCs w:val="22"/>
    </w:rPr>
  </w:style>
  <w:style w:type="paragraph" w:customStyle="1" w:styleId="316">
    <w:name w:val="Char Char Char Char Char Char Char1"/>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7">
    <w:name w:val="k网格型1"/>
    <w:basedOn w:val="42"/>
    <w:autoRedefine/>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18">
    <w:name w:val="列出段落2"/>
    <w:basedOn w:val="1"/>
    <w:autoRedefine/>
    <w:qFormat/>
    <w:uiPriority w:val="34"/>
    <w:pPr>
      <w:ind w:firstLine="420"/>
    </w:pPr>
    <w:rPr>
      <w:rFonts w:ascii="宋体" w:hAnsi="Calibri"/>
      <w:szCs w:val="22"/>
    </w:rPr>
  </w:style>
  <w:style w:type="paragraph" w:customStyle="1" w:styleId="319">
    <w:name w:val="Char Char Char Char Char Char Char2"/>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20">
    <w:name w:val="网格表 4 - 着色 111"/>
    <w:basedOn w:val="42"/>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1">
    <w:name w:val="方案模板样式1"/>
    <w:basedOn w:val="42"/>
    <w:autoRedefine/>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2">
    <w:name w:val="571"/>
    <w:autoRedefine/>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3">
    <w:name w:val="新生正文"/>
    <w:basedOn w:val="1"/>
    <w:link w:val="324"/>
    <w:autoRedefine/>
    <w:qFormat/>
    <w:uiPriority w:val="0"/>
    <w:pPr>
      <w:adjustRightInd w:val="0"/>
      <w:jc w:val="left"/>
    </w:pPr>
    <w:rPr>
      <w:szCs w:val="28"/>
      <w:lang w:bidi="en-US"/>
    </w:rPr>
  </w:style>
  <w:style w:type="character" w:customStyle="1" w:styleId="324">
    <w:name w:val="新生正文 Char"/>
    <w:link w:val="323"/>
    <w:autoRedefine/>
    <w:qFormat/>
    <w:locked/>
    <w:uiPriority w:val="0"/>
    <w:rPr>
      <w:kern w:val="2"/>
      <w:sz w:val="24"/>
      <w:szCs w:val="28"/>
      <w:lang w:bidi="en-US"/>
    </w:rPr>
  </w:style>
  <w:style w:type="paragraph" w:customStyle="1" w:styleId="325">
    <w:name w:val="Table Paragraph"/>
    <w:basedOn w:val="1"/>
    <w:autoRedefine/>
    <w:qFormat/>
    <w:uiPriority w:val="1"/>
    <w:pPr>
      <w:jc w:val="center"/>
    </w:pPr>
    <w:rPr>
      <w:rFonts w:ascii="宋体" w:hAnsi="宋体" w:cs="宋体"/>
    </w:rPr>
  </w:style>
  <w:style w:type="paragraph" w:customStyle="1" w:styleId="326">
    <w:name w:val="燕矶表格文字"/>
    <w:basedOn w:val="1"/>
    <w:link w:val="327"/>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7">
    <w:name w:val="燕矶表格文字 字符"/>
    <w:basedOn w:val="44"/>
    <w:link w:val="326"/>
    <w:autoRedefine/>
    <w:qFormat/>
    <w:uiPriority w:val="0"/>
    <w:rPr>
      <w:rFonts w:cstheme="minorBidi"/>
      <w:color w:val="000000" w:themeColor="text1"/>
      <w:kern w:val="2"/>
      <w:sz w:val="21"/>
      <w:szCs w:val="21"/>
      <w14:textFill>
        <w14:solidFill>
          <w14:schemeClr w14:val="tx1"/>
        </w14:solidFill>
      </w14:textFill>
    </w:rPr>
  </w:style>
  <w:style w:type="character" w:customStyle="1" w:styleId="328">
    <w:name w:val="正文文本缩进 字符"/>
    <w:basedOn w:val="44"/>
    <w:link w:val="20"/>
    <w:autoRedefine/>
    <w:qFormat/>
    <w:uiPriority w:val="0"/>
    <w:rPr>
      <w:color w:val="000000"/>
      <w:kern w:val="2"/>
      <w:sz w:val="28"/>
      <w:szCs w:val="24"/>
    </w:rPr>
  </w:style>
  <w:style w:type="character" w:customStyle="1" w:styleId="329">
    <w:name w:val="正文文本首行缩进 2 字符"/>
    <w:basedOn w:val="328"/>
    <w:link w:val="41"/>
    <w:autoRedefine/>
    <w:qFormat/>
    <w:uiPriority w:val="0"/>
    <w:rPr>
      <w:color w:val="000000"/>
      <w:kern w:val="2"/>
      <w:sz w:val="24"/>
      <w:szCs w:val="24"/>
    </w:rPr>
  </w:style>
  <w:style w:type="paragraph" w:customStyle="1" w:styleId="330">
    <w:name w:val="燕矶图表名"/>
    <w:basedOn w:val="1"/>
    <w:next w:val="1"/>
    <w:autoRedefine/>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1">
    <w:name w:val="正文文本缩进3"/>
    <w:basedOn w:val="1"/>
    <w:autoRedefine/>
    <w:qFormat/>
    <w:uiPriority w:val="99"/>
    <w:pPr>
      <w:adjustRightInd w:val="0"/>
      <w:snapToGrid w:val="0"/>
      <w:spacing w:after="120"/>
      <w:ind w:left="420" w:leftChars="200"/>
      <w:jc w:val="left"/>
    </w:pPr>
    <w:rPr>
      <w:rFonts w:ascii="Calibri" w:hAnsi="Calibri"/>
      <w:sz w:val="21"/>
      <w:szCs w:val="24"/>
    </w:rPr>
  </w:style>
  <w:style w:type="paragraph" w:customStyle="1" w:styleId="332">
    <w:name w:val="Char Char Char Char Char Char Char4"/>
    <w:basedOn w:val="17"/>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3">
    <w:name w:val="Char Char Char Char Char Char Char3"/>
    <w:basedOn w:val="17"/>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4">
    <w:name w:val="图表文字 字符"/>
    <w:link w:val="219"/>
    <w:autoRedefine/>
    <w:qFormat/>
    <w:uiPriority w:val="0"/>
    <w:rPr>
      <w:rFonts w:ascii="宋体" w:hAnsi="宋体"/>
      <w:kern w:val="2"/>
      <w:sz w:val="22"/>
      <w:szCs w:val="21"/>
      <w:lang w:val="zh-CN"/>
    </w:rPr>
  </w:style>
  <w:style w:type="paragraph" w:customStyle="1" w:styleId="335">
    <w:name w:val="标正文"/>
    <w:basedOn w:val="1"/>
    <w:link w:val="336"/>
    <w:autoRedefine/>
    <w:qFormat/>
    <w:uiPriority w:val="0"/>
    <w:rPr>
      <w:rFonts w:cstheme="minorBidi"/>
      <w:szCs w:val="22"/>
    </w:rPr>
  </w:style>
  <w:style w:type="character" w:customStyle="1" w:styleId="336">
    <w:name w:val="标正文 Char"/>
    <w:basedOn w:val="44"/>
    <w:link w:val="335"/>
    <w:autoRedefine/>
    <w:qFormat/>
    <w:uiPriority w:val="0"/>
    <w:rPr>
      <w:rFonts w:cstheme="minorBidi"/>
      <w:kern w:val="2"/>
      <w:sz w:val="24"/>
      <w:szCs w:val="22"/>
    </w:rPr>
  </w:style>
  <w:style w:type="paragraph" w:customStyle="1" w:styleId="337">
    <w:name w:val="正文文本C"/>
    <w:basedOn w:val="1"/>
    <w:autoRedefine/>
    <w:qFormat/>
    <w:uiPriority w:val="0"/>
    <w:pPr>
      <w:widowControl/>
      <w:adjustRightInd w:val="0"/>
      <w:snapToGrid w:val="0"/>
      <w:jc w:val="left"/>
    </w:pPr>
    <w:rPr>
      <w:rFonts w:ascii="宋体" w:hAnsi="宋体" w:cs="宋体"/>
      <w:kern w:val="0"/>
      <w:szCs w:val="24"/>
    </w:rPr>
  </w:style>
  <w:style w:type="paragraph" w:customStyle="1" w:styleId="338">
    <w:name w:val="msolistparagraph"/>
    <w:basedOn w:val="1"/>
    <w:autoRedefine/>
    <w:qFormat/>
    <w:uiPriority w:val="0"/>
    <w:pPr>
      <w:adjustRightInd w:val="0"/>
      <w:snapToGrid w:val="0"/>
      <w:ind w:firstLine="420"/>
    </w:pPr>
    <w:rPr>
      <w:rFonts w:hint="eastAsia" w:ascii="等线" w:hAnsi="等线" w:eastAsia="仿宋"/>
      <w:sz w:val="21"/>
      <w:szCs w:val="22"/>
    </w:rPr>
  </w:style>
  <w:style w:type="character" w:customStyle="1" w:styleId="339">
    <w:name w:val="标题 2 Char"/>
    <w:autoRedefine/>
    <w:qFormat/>
    <w:uiPriority w:val="9"/>
    <w:rPr>
      <w:rFonts w:ascii="Times New Roman" w:hAnsi="Times New Roman" w:eastAsia="宋体"/>
      <w:b/>
      <w:bCs/>
      <w:sz w:val="30"/>
      <w:szCs w:val="32"/>
    </w:rPr>
  </w:style>
  <w:style w:type="character" w:customStyle="1" w:styleId="340">
    <w:name w:val="标题 4 Char"/>
    <w:autoRedefine/>
    <w:qFormat/>
    <w:uiPriority w:val="99"/>
    <w:rPr>
      <w:rFonts w:ascii="Times New Roman" w:hAnsi="Times New Roman" w:eastAsia="宋体" w:cs="Times New Roman"/>
      <w:b/>
      <w:bCs/>
      <w:kern w:val="2"/>
      <w:sz w:val="24"/>
      <w:szCs w:val="28"/>
    </w:rPr>
  </w:style>
  <w:style w:type="character" w:customStyle="1" w:styleId="341">
    <w:name w:val="Char Char1"/>
    <w:autoRedefine/>
    <w:qFormat/>
    <w:uiPriority w:val="0"/>
    <w:rPr>
      <w:rFonts w:eastAsia="宋体"/>
      <w:kern w:val="2"/>
      <w:sz w:val="18"/>
      <w:szCs w:val="18"/>
      <w:lang w:val="en-US" w:eastAsia="zh-CN" w:bidi="ar-SA"/>
    </w:rPr>
  </w:style>
  <w:style w:type="character" w:customStyle="1" w:styleId="342">
    <w:name w:val="fontstyle21"/>
    <w:basedOn w:val="44"/>
    <w:autoRedefine/>
    <w:qFormat/>
    <w:uiPriority w:val="0"/>
    <w:rPr>
      <w:rFonts w:hint="eastAsia" w:ascii="宋体" w:hAnsi="宋体" w:eastAsia="宋体"/>
      <w:color w:val="000000"/>
      <w:sz w:val="24"/>
      <w:szCs w:val="24"/>
    </w:rPr>
  </w:style>
  <w:style w:type="character" w:customStyle="1" w:styleId="343">
    <w:name w:val="Char Char2"/>
    <w:autoRedefine/>
    <w:qFormat/>
    <w:uiPriority w:val="0"/>
    <w:rPr>
      <w:rFonts w:ascii="仿宋_GB2312" w:eastAsia="仿宋_GB2312"/>
      <w:kern w:val="2"/>
      <w:sz w:val="21"/>
      <w:szCs w:val="21"/>
    </w:rPr>
  </w:style>
  <w:style w:type="paragraph" w:customStyle="1" w:styleId="344">
    <w:name w:val="表格、图名"/>
    <w:basedOn w:val="1"/>
    <w:link w:val="345"/>
    <w:autoRedefine/>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5">
    <w:name w:val="表格、图名 Char"/>
    <w:link w:val="344"/>
    <w:autoRedefine/>
    <w:qFormat/>
    <w:uiPriority w:val="0"/>
    <w:rPr>
      <w:rFonts w:ascii="宋体" w:hAnsi="宋体" w:eastAsia="仿宋_GB2312" w:cs="宋体"/>
      <w:b/>
      <w:color w:val="0000FF"/>
      <w:sz w:val="24"/>
      <w:szCs w:val="24"/>
    </w:rPr>
  </w:style>
  <w:style w:type="character" w:customStyle="1" w:styleId="346">
    <w:name w:val="正文 Char"/>
    <w:autoRedefine/>
    <w:qFormat/>
    <w:uiPriority w:val="0"/>
    <w:rPr>
      <w:rFonts w:cs="Times New Roman"/>
      <w:sz w:val="24"/>
      <w:lang w:val="en-US" w:eastAsia="zh-CN" w:bidi="ar-SA"/>
    </w:rPr>
  </w:style>
  <w:style w:type="character" w:customStyle="1" w:styleId="347">
    <w:name w:val="HT正文 Char"/>
    <w:link w:val="348"/>
    <w:autoRedefine/>
    <w:qFormat/>
    <w:uiPriority w:val="99"/>
    <w:rPr>
      <w:rFonts w:ascii="仿宋_GB2312" w:hAnsi="仿宋_GB2312" w:eastAsia="仿宋_GB2312"/>
      <w:kern w:val="28"/>
      <w:sz w:val="28"/>
      <w:szCs w:val="28"/>
    </w:rPr>
  </w:style>
  <w:style w:type="paragraph" w:customStyle="1" w:styleId="348">
    <w:name w:val="HT正文"/>
    <w:basedOn w:val="1"/>
    <w:link w:val="347"/>
    <w:autoRedefine/>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9">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50">
    <w:name w:val="71表格五号"/>
    <w:basedOn w:val="1"/>
    <w:autoRedefine/>
    <w:qFormat/>
    <w:uiPriority w:val="0"/>
    <w:pPr>
      <w:adjustRightInd w:val="0"/>
      <w:snapToGrid w:val="0"/>
      <w:ind w:firstLine="883"/>
      <w:jc w:val="center"/>
    </w:pPr>
    <w:rPr>
      <w:rFonts w:ascii="宋体" w:hAnsi="宋体" w:cs="宋体"/>
      <w:snapToGrid w:val="0"/>
      <w:kern w:val="0"/>
    </w:rPr>
  </w:style>
  <w:style w:type="paragraph" w:customStyle="1" w:styleId="351">
    <w:name w:val="正文缩进0.88"/>
    <w:basedOn w:val="1"/>
    <w:autoRedefine/>
    <w:qFormat/>
    <w:uiPriority w:val="0"/>
    <w:pPr>
      <w:widowControl/>
      <w:adjustRightInd w:val="0"/>
      <w:snapToGrid w:val="0"/>
      <w:spacing w:line="440" w:lineRule="exact"/>
      <w:ind w:firstLine="499"/>
      <w:jc w:val="left"/>
    </w:pPr>
    <w:rPr>
      <w:rFonts w:ascii="宋体" w:hAnsi="宋体"/>
      <w:bCs/>
      <w:szCs w:val="22"/>
    </w:rPr>
  </w:style>
  <w:style w:type="paragraph" w:customStyle="1" w:styleId="352">
    <w:name w:val="样式 目录 1 + 行距: 固定值 20 磅"/>
    <w:basedOn w:val="30"/>
    <w:autoRedefine/>
    <w:qFormat/>
    <w:uiPriority w:val="0"/>
    <w:pPr>
      <w:tabs>
        <w:tab w:val="right" w:leader="dot" w:pos="8778"/>
      </w:tabs>
      <w:adjustRightInd w:val="0"/>
      <w:snapToGrid w:val="0"/>
      <w:spacing w:before="100" w:after="100"/>
      <w:jc w:val="both"/>
    </w:pPr>
    <w:rPr>
      <w:rFonts w:cs="宋体"/>
      <w:b/>
      <w:caps w:val="0"/>
      <w:sz w:val="21"/>
    </w:rPr>
  </w:style>
  <w:style w:type="paragraph" w:customStyle="1" w:styleId="353">
    <w:name w:val="正文C"/>
    <w:basedOn w:val="1"/>
    <w:link w:val="379"/>
    <w:autoRedefine/>
    <w:qFormat/>
    <w:uiPriority w:val="0"/>
    <w:pPr>
      <w:widowControl/>
      <w:adjustRightInd w:val="0"/>
      <w:snapToGrid w:val="0"/>
      <w:jc w:val="left"/>
    </w:pPr>
    <w:rPr>
      <w:rFonts w:ascii="宋体" w:hAnsi="宋体" w:cs="宋体"/>
      <w:color w:val="4F6228"/>
      <w:kern w:val="0"/>
      <w:szCs w:val="24"/>
    </w:rPr>
  </w:style>
  <w:style w:type="paragraph" w:customStyle="1" w:styleId="354">
    <w:name w:val="图表名1"/>
    <w:autoRedefine/>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5">
    <w:name w:val="k 表格文字"/>
    <w:basedOn w:val="1"/>
    <w:next w:val="1"/>
    <w:autoRedefine/>
    <w:qFormat/>
    <w:uiPriority w:val="0"/>
    <w:pPr>
      <w:adjustRightInd w:val="0"/>
      <w:snapToGrid w:val="0"/>
      <w:ind w:firstLine="883"/>
      <w:jc w:val="center"/>
    </w:pPr>
    <w:rPr>
      <w:rFonts w:ascii="仿宋_GB2312" w:eastAsia="仿宋_GB2312"/>
      <w:szCs w:val="22"/>
    </w:rPr>
  </w:style>
  <w:style w:type="paragraph" w:customStyle="1" w:styleId="356">
    <w:name w:val="表格小五"/>
    <w:basedOn w:val="1"/>
    <w:autoRedefine/>
    <w:qFormat/>
    <w:uiPriority w:val="0"/>
    <w:pPr>
      <w:adjustRightInd w:val="0"/>
      <w:snapToGrid w:val="0"/>
      <w:ind w:firstLine="883"/>
      <w:jc w:val="center"/>
    </w:pPr>
    <w:rPr>
      <w:rFonts w:ascii="宋体" w:hAnsi="宋体" w:cs="宋体"/>
      <w:snapToGrid w:val="0"/>
      <w:kern w:val="0"/>
      <w:sz w:val="18"/>
      <w:szCs w:val="18"/>
    </w:rPr>
  </w:style>
  <w:style w:type="paragraph" w:customStyle="1" w:styleId="357">
    <w:name w:val="样式 标题 3 + 加粗"/>
    <w:basedOn w:val="4"/>
    <w:next w:val="1"/>
    <w:autoRedefine/>
    <w:qFormat/>
    <w:uiPriority w:val="0"/>
    <w:pPr>
      <w:numPr>
        <w:ilvl w:val="0"/>
        <w:numId w:val="0"/>
      </w:numPr>
      <w:adjustRightInd w:val="0"/>
      <w:snapToGrid w:val="0"/>
      <w:spacing w:before="60" w:after="60" w:line="240" w:lineRule="auto"/>
    </w:pPr>
    <w:rPr>
      <w:color w:val="000000"/>
    </w:rPr>
  </w:style>
  <w:style w:type="paragraph" w:customStyle="1" w:styleId="358">
    <w:name w:val="!表内仿宋"/>
    <w:autoRedefine/>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9">
    <w:name w:val="aa"/>
    <w:basedOn w:val="1"/>
    <w:autoRedefine/>
    <w:qFormat/>
    <w:uiPriority w:val="0"/>
    <w:pPr>
      <w:adjustRightInd w:val="0"/>
      <w:snapToGrid w:val="0"/>
      <w:ind w:firstLine="883"/>
    </w:pPr>
    <w:rPr>
      <w:szCs w:val="24"/>
    </w:rPr>
  </w:style>
  <w:style w:type="paragraph" w:customStyle="1" w:styleId="360">
    <w:name w:val="三级标题"/>
    <w:autoRedefine/>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1">
    <w:name w:val="澳氹图及题注"/>
    <w:basedOn w:val="1"/>
    <w:next w:val="1"/>
    <w:autoRedefine/>
    <w:qFormat/>
    <w:uiPriority w:val="0"/>
    <w:pPr>
      <w:adjustRightInd w:val="0"/>
      <w:snapToGrid w:val="0"/>
      <w:spacing w:line="300" w:lineRule="auto"/>
      <w:ind w:firstLine="883"/>
      <w:jc w:val="center"/>
    </w:pPr>
    <w:rPr>
      <w:b/>
      <w:szCs w:val="22"/>
    </w:rPr>
  </w:style>
  <w:style w:type="paragraph" w:customStyle="1" w:styleId="362">
    <w:name w:val="!正文仿小四"/>
    <w:basedOn w:val="1"/>
    <w:autoRedefine/>
    <w:qFormat/>
    <w:uiPriority w:val="0"/>
    <w:pPr>
      <w:adjustRightInd w:val="0"/>
      <w:snapToGrid w:val="0"/>
      <w:jc w:val="left"/>
    </w:pPr>
    <w:rPr>
      <w:rFonts w:ascii="Courier New" w:hAnsi="Courier New" w:eastAsia="Tahoma" w:cs="Courier New"/>
      <w:szCs w:val="24"/>
    </w:rPr>
  </w:style>
  <w:style w:type="paragraph" w:customStyle="1" w:styleId="363">
    <w:name w:val="i正文"/>
    <w:autoRedefine/>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4">
    <w:name w:val="正文部分"/>
    <w:basedOn w:val="1"/>
    <w:autoRedefine/>
    <w:qFormat/>
    <w:uiPriority w:val="0"/>
    <w:pPr>
      <w:adjustRightInd w:val="0"/>
      <w:snapToGrid w:val="0"/>
    </w:pPr>
    <w:rPr>
      <w:rFonts w:eastAsia="仿宋_GB2312"/>
      <w:szCs w:val="24"/>
    </w:rPr>
  </w:style>
  <w:style w:type="paragraph" w:customStyle="1" w:styleId="365">
    <w:name w:val="样式 目录 1 + 行距: 固定值 20 磅1"/>
    <w:basedOn w:val="30"/>
    <w:autoRedefine/>
    <w:qFormat/>
    <w:uiPriority w:val="0"/>
    <w:pPr>
      <w:tabs>
        <w:tab w:val="right" w:leader="dot" w:pos="8778"/>
      </w:tabs>
      <w:adjustRightInd w:val="0"/>
      <w:snapToGrid w:val="0"/>
      <w:spacing w:before="100" w:after="100"/>
      <w:jc w:val="both"/>
    </w:pPr>
    <w:rPr>
      <w:rFonts w:cs="宋体"/>
      <w:b/>
      <w:caps w:val="0"/>
      <w:sz w:val="21"/>
    </w:rPr>
  </w:style>
  <w:style w:type="paragraph" w:customStyle="1" w:styleId="366">
    <w:name w:val="正文样式"/>
    <w:basedOn w:val="1"/>
    <w:autoRedefine/>
    <w:qFormat/>
    <w:uiPriority w:val="0"/>
    <w:pPr>
      <w:widowControl/>
      <w:adjustRightInd w:val="0"/>
      <w:snapToGrid w:val="0"/>
      <w:ind w:firstLine="883"/>
    </w:pPr>
    <w:rPr>
      <w:rFonts w:cs="宋体"/>
      <w:szCs w:val="24"/>
    </w:rPr>
  </w:style>
  <w:style w:type="paragraph" w:customStyle="1" w:styleId="367">
    <w:name w:val="正文首行缩进1"/>
    <w:autoRedefine/>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8">
    <w:name w:val="k正文"/>
    <w:basedOn w:val="1"/>
    <w:autoRedefine/>
    <w:qFormat/>
    <w:uiPriority w:val="0"/>
    <w:pPr>
      <w:adjustRightInd w:val="0"/>
      <w:snapToGrid w:val="0"/>
    </w:pPr>
    <w:rPr>
      <w:szCs w:val="24"/>
    </w:rPr>
  </w:style>
  <w:style w:type="table" w:customStyle="1" w:styleId="369">
    <w:name w:val="标准样式27"/>
    <w:basedOn w:val="42"/>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70">
    <w:name w:val="6正文"/>
    <w:basedOn w:val="1"/>
    <w:autoRedefine/>
    <w:qFormat/>
    <w:uiPriority w:val="0"/>
    <w:pPr>
      <w:widowControl/>
      <w:adjustRightInd w:val="0"/>
      <w:snapToGrid w:val="0"/>
      <w:ind w:firstLine="480"/>
    </w:pPr>
    <w:rPr>
      <w:rFonts w:ascii="宋体" w:hAnsi="宋体" w:cs="宋体"/>
      <w:kern w:val="0"/>
      <w:szCs w:val="24"/>
    </w:rPr>
  </w:style>
  <w:style w:type="character" w:customStyle="1" w:styleId="371">
    <w:name w:val="图表文字 Char"/>
    <w:autoRedefine/>
    <w:qFormat/>
    <w:uiPriority w:val="0"/>
    <w:rPr>
      <w:rFonts w:ascii="Times New Roman" w:hAnsi="Times New Roman" w:cs="宋体"/>
      <w:color w:val="000000"/>
      <w:sz w:val="21"/>
      <w:szCs w:val="24"/>
    </w:rPr>
  </w:style>
  <w:style w:type="character" w:customStyle="1" w:styleId="372">
    <w:name w:val="图名 字符"/>
    <w:basedOn w:val="44"/>
    <w:autoRedefine/>
    <w:qFormat/>
    <w:uiPriority w:val="0"/>
    <w:rPr>
      <w:rFonts w:ascii="Times New Roman" w:hAnsi="Times New Roman"/>
      <w:b/>
      <w:kern w:val="2"/>
      <w:sz w:val="21"/>
      <w:szCs w:val="22"/>
    </w:rPr>
  </w:style>
  <w:style w:type="paragraph" w:customStyle="1" w:styleId="373">
    <w:name w:val="列表段落1"/>
    <w:basedOn w:val="1"/>
    <w:autoRedefine/>
    <w:qFormat/>
    <w:uiPriority w:val="34"/>
    <w:pPr>
      <w:spacing w:line="320" w:lineRule="atLeast"/>
      <w:ind w:firstLine="420"/>
    </w:pPr>
    <w:rPr>
      <w:sz w:val="28"/>
    </w:rPr>
  </w:style>
  <w:style w:type="paragraph" w:customStyle="1" w:styleId="374">
    <w:name w:val="正文①"/>
    <w:basedOn w:val="10"/>
    <w:next w:val="1"/>
    <w:link w:val="375"/>
    <w:autoRedefine/>
    <w:qFormat/>
    <w:uiPriority w:val="0"/>
    <w:pPr>
      <w:keepNext w:val="0"/>
      <w:keepLines w:val="0"/>
      <w:adjustRightInd w:val="0"/>
      <w:snapToGrid w:val="0"/>
      <w:spacing w:before="0" w:after="0" w:line="360" w:lineRule="auto"/>
      <w:ind w:firstLine="200" w:firstLineChars="200"/>
      <w:jc w:val="left"/>
      <w:outlineLvl w:val="9"/>
    </w:pPr>
    <w:rPr>
      <w:rFonts w:ascii="Times New Roman" w:hAnsi="Times New Roman" w:eastAsia="宋体" w:cs="Times New Roman"/>
      <w:sz w:val="24"/>
    </w:rPr>
  </w:style>
  <w:style w:type="character" w:customStyle="1" w:styleId="375">
    <w:name w:val="正文① 字符"/>
    <w:link w:val="374"/>
    <w:autoRedefine/>
    <w:qFormat/>
    <w:uiPriority w:val="0"/>
    <w:rPr>
      <w:kern w:val="2"/>
      <w:sz w:val="24"/>
      <w:szCs w:val="21"/>
    </w:rPr>
  </w:style>
  <w:style w:type="character" w:customStyle="1" w:styleId="376">
    <w:name w:val="表格内容 字符"/>
    <w:link w:val="208"/>
    <w:autoRedefine/>
    <w:qFormat/>
    <w:uiPriority w:val="0"/>
    <w:rPr>
      <w:rFonts w:ascii="楷体_GB2312" w:eastAsia="楷体_GB2312"/>
      <w:sz w:val="24"/>
    </w:rPr>
  </w:style>
  <w:style w:type="character" w:customStyle="1" w:styleId="377">
    <w:name w:val="列表段落 字符1"/>
    <w:autoRedefine/>
    <w:qFormat/>
    <w:uiPriority w:val="0"/>
    <w:rPr>
      <w:rFonts w:ascii="Times New Roman" w:hAnsi="Times New Roman"/>
      <w:kern w:val="2"/>
      <w:sz w:val="24"/>
      <w:szCs w:val="21"/>
    </w:rPr>
  </w:style>
  <w:style w:type="character" w:customStyle="1" w:styleId="378">
    <w:name w:val="明显引用 字符3"/>
    <w:autoRedefine/>
    <w:semiHidden/>
    <w:qFormat/>
    <w:uiPriority w:val="0"/>
    <w:rPr>
      <w:rFonts w:ascii="Tahoma" w:eastAsia="Tahoma"/>
      <w:b/>
      <w:bCs/>
      <w:i/>
      <w:iCs/>
      <w:color w:val="4F81BD"/>
      <w:kern w:val="2"/>
      <w:sz w:val="21"/>
      <w:szCs w:val="24"/>
    </w:rPr>
  </w:style>
  <w:style w:type="character" w:customStyle="1" w:styleId="379">
    <w:name w:val="正文C Char"/>
    <w:link w:val="353"/>
    <w:autoRedefine/>
    <w:qFormat/>
    <w:uiPriority w:val="0"/>
    <w:rPr>
      <w:rFonts w:ascii="宋体" w:hAnsi="宋体" w:cs="宋体"/>
      <w:color w:val="4F6228"/>
      <w:sz w:val="24"/>
      <w:szCs w:val="24"/>
    </w:rPr>
  </w:style>
  <w:style w:type="paragraph" w:customStyle="1" w:styleId="380">
    <w:name w:val="标题3"/>
    <w:basedOn w:val="1"/>
    <w:autoRedefine/>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381">
    <w:name w:val="方案样式：图片、表格居中"/>
    <w:next w:val="1"/>
    <w:autoRedefine/>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2">
    <w:name w:val="双柳图名"/>
    <w:next w:val="1"/>
    <w:autoRedefine/>
    <w:qFormat/>
    <w:uiPriority w:val="0"/>
    <w:pPr>
      <w:widowControl w:val="0"/>
      <w:jc w:val="center"/>
    </w:pPr>
    <w:rPr>
      <w:rFonts w:hint="eastAsia" w:ascii="Times New Roman" w:hAnsi="Times New Roman" w:eastAsia="宋体" w:cs="Times New Roman"/>
      <w:b/>
      <w:bCs/>
      <w:kern w:val="2"/>
      <w:sz w:val="21"/>
      <w:szCs w:val="21"/>
      <w:lang w:val="en-US" w:eastAsia="zh-CN" w:bidi="ar-SA"/>
    </w:rPr>
  </w:style>
  <w:style w:type="paragraph" w:customStyle="1" w:styleId="383">
    <w:name w:val="方案样式：图片名称"/>
    <w:next w:val="1"/>
    <w:autoRedefine/>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4">
    <w:name w:val="双柳正文文本"/>
    <w:autoRedefine/>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5">
    <w:name w:val="双柳表格"/>
    <w:next w:val="1"/>
    <w:autoRedefine/>
    <w:qFormat/>
    <w:uiPriority w:val="0"/>
    <w:pPr>
      <w:jc w:val="center"/>
    </w:pPr>
    <w:rPr>
      <w:rFonts w:ascii="Times New Roman" w:hAnsi="Times New Roman" w:eastAsia="宋体" w:cs="Times New Roman"/>
      <w:kern w:val="2"/>
      <w:sz w:val="21"/>
      <w:szCs w:val="22"/>
      <w:lang w:val="en-US" w:eastAsia="zh-CN" w:bidi="ar-SA"/>
    </w:rPr>
  </w:style>
  <w:style w:type="paragraph" w:customStyle="1" w:styleId="386">
    <w:name w:val="方案样式：表格名称（ALT+E）"/>
    <w:next w:val="1"/>
    <w:autoRedefine/>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7">
    <w:name w:val="网格型5"/>
    <w:autoRedefine/>
    <w:unhideWhenUsed/>
    <w:qFormat/>
    <w:uiPriority w:val="59"/>
    <w:rPr>
      <w:rFonts w:ascii="Calibri" w:hAnsi="Calibri"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paragraph" w:customStyle="1" w:styleId="388">
    <w:name w:val="基准-无缩进"/>
    <w:autoRedefine/>
    <w:qFormat/>
    <w:uiPriority w:val="0"/>
    <w:pPr>
      <w:keepNext/>
      <w:keepLines/>
      <w:widowControl w:val="0"/>
      <w:spacing w:line="360" w:lineRule="auto"/>
      <w:ind w:firstLine="200"/>
      <w:outlineLvl w:val="2"/>
    </w:pPr>
    <w:rPr>
      <w:rFonts w:ascii="Times New Roman" w:hAnsi="Times New Roman" w:eastAsia="宋体" w:cstheme="majorBidi"/>
      <w:b/>
      <w:bCs/>
      <w:kern w:val="2"/>
      <w:sz w:val="24"/>
      <w:szCs w:val="32"/>
      <w:lang w:val="en-US" w:eastAsia="zh-CN" w:bidi="ar-SA"/>
    </w:rPr>
  </w:style>
  <w:style w:type="paragraph" w:customStyle="1" w:styleId="389">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390">
    <w:name w:val="5级标题"/>
    <w:next w:val="1"/>
    <w:autoRedefine/>
    <w:qFormat/>
    <w:uiPriority w:val="0"/>
    <w:pPr>
      <w:keepNext/>
      <w:keepLines/>
      <w:widowControl w:val="0"/>
      <w:numPr>
        <w:ilvl w:val="4"/>
        <w:numId w:val="10"/>
      </w:numPr>
      <w:spacing w:line="360" w:lineRule="auto"/>
      <w:ind w:firstLine="0" w:firstLineChars="0"/>
      <w:jc w:val="both"/>
      <w:outlineLvl w:val="4"/>
    </w:pPr>
    <w:rPr>
      <w:rFonts w:ascii="Times New Roman" w:hAnsi="Times New Roman" w:eastAsia="宋体" w:cs="Times New Roman"/>
      <w:b/>
      <w:bCs/>
      <w:kern w:val="2"/>
      <w:sz w:val="24"/>
      <w:szCs w:val="28"/>
      <w:lang w:val="en-US" w:eastAsia="zh-CN" w:bidi="ar-SA"/>
    </w:rPr>
  </w:style>
  <w:style w:type="table" w:customStyle="1" w:styleId="391">
    <w:name w:val="表格标准1"/>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392">
    <w:name w:val="表格标准15"/>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393">
    <w:name w:val="Grid Table 5 Dark Accent 1"/>
    <w:autoRedefine/>
    <w:qFormat/>
    <w:uiPriority w:val="50"/>
    <w:rPr>
      <w:szCs w:val="21"/>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3.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wmf"/><Relationship Id="rId83" Type="http://schemas.openxmlformats.org/officeDocument/2006/relationships/oleObject" Target="embeddings/oleObject5.bin"/><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wmf"/><Relationship Id="rId8" Type="http://schemas.openxmlformats.org/officeDocument/2006/relationships/footer" Target="footer2.xml"/><Relationship Id="rId79" Type="http://schemas.openxmlformats.org/officeDocument/2006/relationships/oleObject" Target="embeddings/oleObject4.bin"/><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wmf"/><Relationship Id="rId7" Type="http://schemas.openxmlformats.org/officeDocument/2006/relationships/header" Target="header2.xml"/><Relationship Id="rId69" Type="http://schemas.openxmlformats.org/officeDocument/2006/relationships/oleObject" Target="embeddings/oleObject3.bin"/><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wmf"/><Relationship Id="rId60" Type="http://schemas.openxmlformats.org/officeDocument/2006/relationships/oleObject" Target="embeddings/oleObject2.bin"/><Relationship Id="rId6" Type="http://schemas.openxmlformats.org/officeDocument/2006/relationships/footer" Target="footer1.xml"/><Relationship Id="rId59" Type="http://schemas.openxmlformats.org/officeDocument/2006/relationships/image" Target="media/image45.wmf"/><Relationship Id="rId58" Type="http://schemas.openxmlformats.org/officeDocument/2006/relationships/oleObject" Target="embeddings/oleObject1.bin"/><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GIF"/><Relationship Id="rId54" Type="http://schemas.openxmlformats.org/officeDocument/2006/relationships/hyperlink" Target="javascript:void(0);" TargetMode="External"/><Relationship Id="rId53" Type="http://schemas.openxmlformats.org/officeDocument/2006/relationships/image" Target="media/image41.emf"/><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emf"/><Relationship Id="rId23" Type="http://schemas.openxmlformats.org/officeDocument/2006/relationships/package" Target="embeddings/Microsoft_Visio___1.vsdx"/><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microsoft.com/office/2007/relationships/hdphoto" Target="media/image4.wdp"/><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41577</Words>
  <Characters>46007</Characters>
  <Lines>570</Lines>
  <Paragraphs>160</Paragraphs>
  <TotalTime>0</TotalTime>
  <ScaleCrop>false</ScaleCrop>
  <LinksUpToDate>false</LinksUpToDate>
  <CharactersWithSpaces>46490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orgor</cp:lastModifiedBy>
  <cp:lastPrinted>2023-11-02T01:15:00Z</cp:lastPrinted>
  <dcterms:modified xsi:type="dcterms:W3CDTF">2024-05-31T08:31:58Z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726A40494938411CA64D73C548BF8C59_13</vt:lpwstr>
  </property>
</Properties>
</file>