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8546D">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rPr>
          <w:rFonts w:hint="eastAsia" w:ascii="仿宋" w:hAnsi="仿宋" w:eastAsia="仿宋" w:cs="仿宋"/>
          <w:sz w:val="28"/>
          <w:szCs w:val="28"/>
          <w:lang w:eastAsia="zh-CN"/>
        </w:rPr>
      </w:pPr>
      <w:bookmarkStart w:id="0" w:name="_Hlk51268067"/>
      <w:bookmarkStart w:id="1" w:name="_Toc12146"/>
      <w:r>
        <w:rPr>
          <w:rFonts w:hint="eastAsia" w:ascii="仿宋" w:hAnsi="仿宋" w:eastAsia="仿宋" w:cs="仿宋"/>
          <w:sz w:val="28"/>
          <w:szCs w:val="28"/>
          <w:lang w:eastAsia="zh-CN"/>
        </w:rPr>
        <w:drawing>
          <wp:anchor distT="0" distB="0" distL="114300" distR="114300" simplePos="0" relativeHeight="251659264" behindDoc="1" locked="0" layoutInCell="1" allowOverlap="1">
            <wp:simplePos x="0" y="0"/>
            <wp:positionH relativeFrom="column">
              <wp:posOffset>-307340</wp:posOffset>
            </wp:positionH>
            <wp:positionV relativeFrom="paragraph">
              <wp:posOffset>-287020</wp:posOffset>
            </wp:positionV>
            <wp:extent cx="6677660" cy="9444355"/>
            <wp:effectExtent l="0" t="0" r="8890" b="4445"/>
            <wp:wrapNone/>
            <wp:docPr id="1" name="图片 1" descr="科斗文封面签字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科斗文封面签字8"/>
                    <pic:cNvPicPr>
                      <a:picLocks noChangeAspect="1"/>
                    </pic:cNvPicPr>
                  </pic:nvPicPr>
                  <pic:blipFill>
                    <a:blip r:embed="rId11"/>
                    <a:stretch>
                      <a:fillRect/>
                    </a:stretch>
                  </pic:blipFill>
                  <pic:spPr>
                    <a:xfrm>
                      <a:off x="0" y="0"/>
                      <a:ext cx="6677660" cy="9444355"/>
                    </a:xfrm>
                    <a:prstGeom prst="rect">
                      <a:avLst/>
                    </a:prstGeom>
                  </pic:spPr>
                </pic:pic>
              </a:graphicData>
            </a:graphic>
          </wp:anchor>
        </w:drawing>
      </w:r>
    </w:p>
    <w:p w14:paraId="070576E0">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keepNext w:val="0"/>
            <w:keepLines w:val="0"/>
            <w:pageBreakBefore w:val="0"/>
            <w:widowControl w:val="0"/>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rPr>
              <w:sz w:val="28"/>
              <w:szCs w:val="24"/>
            </w:rPr>
          </w:pPr>
          <w:r>
            <w:rPr>
              <w:rFonts w:ascii="宋体" w:hAnsi="宋体" w:eastAsia="宋体"/>
              <w:sz w:val="22"/>
              <w:szCs w:val="24"/>
            </w:rPr>
            <w:t>目录</w:t>
          </w:r>
        </w:p>
        <w:p w14:paraId="209A3BF5">
          <w:pPr>
            <w:pStyle w:val="23"/>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_Toc30160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_Toc30160 \h </w:instrText>
          </w:r>
          <w:r>
            <w:fldChar w:fldCharType="separate"/>
          </w:r>
          <w:r>
            <w:t>4</w:t>
          </w:r>
          <w:r>
            <w:fldChar w:fldCharType="end"/>
          </w:r>
          <w:r>
            <w:rPr>
              <w:rFonts w:hint="default" w:ascii="Times New Roman" w:hAnsi="Times New Roman" w:eastAsia="仿宋" w:cs="Times New Roman"/>
              <w:szCs w:val="24"/>
            </w:rPr>
            <w:fldChar w:fldCharType="end"/>
          </w:r>
        </w:p>
        <w:p w14:paraId="181999A9">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_Toc22379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_Toc22379 \h </w:instrText>
          </w:r>
          <w:r>
            <w:fldChar w:fldCharType="separate"/>
          </w:r>
          <w:r>
            <w:t>4</w:t>
          </w:r>
          <w:r>
            <w:fldChar w:fldCharType="end"/>
          </w:r>
          <w:r>
            <w:rPr>
              <w:rFonts w:hint="default" w:ascii="Times New Roman" w:hAnsi="Times New Roman" w:eastAsia="仿宋" w:cs="Times New Roman"/>
              <w:szCs w:val="24"/>
            </w:rPr>
            <w:fldChar w:fldCharType="end"/>
          </w:r>
        </w:p>
        <w:p w14:paraId="538176DD">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_Toc2612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_Toc2612 \h </w:instrText>
          </w:r>
          <w:r>
            <w:fldChar w:fldCharType="separate"/>
          </w:r>
          <w:r>
            <w:t>4</w:t>
          </w:r>
          <w:r>
            <w:fldChar w:fldCharType="end"/>
          </w:r>
          <w:r>
            <w:rPr>
              <w:rFonts w:hint="default" w:ascii="Times New Roman" w:hAnsi="Times New Roman" w:eastAsia="仿宋" w:cs="Times New Roman"/>
              <w:szCs w:val="24"/>
            </w:rPr>
            <w:fldChar w:fldCharType="end"/>
          </w:r>
        </w:p>
        <w:p w14:paraId="0C50034D">
          <w:pPr>
            <w:pStyle w:val="23"/>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_Toc25918 </w:instrText>
          </w:r>
          <w:r>
            <w:rPr>
              <w:rFonts w:hint="default" w:ascii="Times New Roman" w:hAnsi="Times New Roman" w:eastAsia="仿宋" w:cs="Times New Roman"/>
              <w:szCs w:val="24"/>
            </w:rPr>
            <w:fldChar w:fldCharType="separate"/>
          </w:r>
          <w:r>
            <w:rPr>
              <w:rFonts w:hint="default" w:ascii="宋体" w:hAnsi="宋体" w:eastAsia="宋体"/>
              <w:i w:val="0"/>
              <w:lang w:val="en-US" w:eastAsia="zh-CN"/>
            </w:rPr>
            <w:t xml:space="preserve">2 </w:t>
          </w:r>
          <w:r>
            <w:rPr>
              <w:rFonts w:hint="eastAsia"/>
              <w:lang w:val="en-US" w:eastAsia="zh-CN"/>
            </w:rPr>
            <w:t>施工步骤及要点</w:t>
          </w:r>
          <w:r>
            <w:tab/>
          </w:r>
          <w:r>
            <w:fldChar w:fldCharType="begin"/>
          </w:r>
          <w:r>
            <w:instrText xml:space="preserve"> PAGEREF _Toc25918 \h </w:instrText>
          </w:r>
          <w:r>
            <w:fldChar w:fldCharType="separate"/>
          </w:r>
          <w:r>
            <w:t>8</w:t>
          </w:r>
          <w:r>
            <w:fldChar w:fldCharType="end"/>
          </w:r>
          <w:r>
            <w:rPr>
              <w:rFonts w:hint="default" w:ascii="Times New Roman" w:hAnsi="Times New Roman" w:eastAsia="仿宋" w:cs="Times New Roman"/>
              <w:szCs w:val="24"/>
            </w:rPr>
            <w:fldChar w:fldCharType="end"/>
          </w:r>
        </w:p>
        <w:p w14:paraId="209706E4">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_Toc19294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 </w:t>
          </w:r>
          <w:r>
            <w:rPr>
              <w:rFonts w:hint="eastAsia" w:ascii="宋体" w:hAnsi="宋体" w:eastAsia="宋体" w:cs="宋体"/>
              <w:lang w:val="en-US" w:eastAsia="zh-CN"/>
            </w:rPr>
            <w:t>安装2节基础节</w:t>
          </w:r>
          <w:r>
            <w:tab/>
          </w:r>
          <w:r>
            <w:fldChar w:fldCharType="begin"/>
          </w:r>
          <w:r>
            <w:instrText xml:space="preserve"> PAGEREF _Toc19294 \h </w:instrText>
          </w:r>
          <w:r>
            <w:fldChar w:fldCharType="separate"/>
          </w:r>
          <w:r>
            <w:t>8</w:t>
          </w:r>
          <w:r>
            <w:fldChar w:fldCharType="end"/>
          </w:r>
          <w:r>
            <w:rPr>
              <w:rFonts w:hint="default" w:ascii="Times New Roman" w:hAnsi="Times New Roman" w:eastAsia="仿宋" w:cs="Times New Roman"/>
              <w:szCs w:val="24"/>
            </w:rPr>
            <w:fldChar w:fldCharType="end"/>
          </w:r>
        </w:p>
        <w:p w14:paraId="0DD6A6F9">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_Toc32498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2.2. </w:t>
          </w:r>
          <w:r>
            <w:rPr>
              <w:rFonts w:hint="eastAsia" w:ascii="宋体" w:hAnsi="宋体" w:eastAsia="宋体" w:cs="宋体"/>
              <w:lang w:val="en-US" w:eastAsia="zh-CN"/>
            </w:rPr>
            <w:t>安装装爬升架</w:t>
          </w:r>
          <w:r>
            <w:tab/>
          </w:r>
          <w:r>
            <w:fldChar w:fldCharType="begin"/>
          </w:r>
          <w:r>
            <w:instrText xml:space="preserve"> PAGEREF _Toc32498 \h </w:instrText>
          </w:r>
          <w:r>
            <w:fldChar w:fldCharType="separate"/>
          </w:r>
          <w:r>
            <w:t>9</w:t>
          </w:r>
          <w:r>
            <w:fldChar w:fldCharType="end"/>
          </w:r>
          <w:r>
            <w:rPr>
              <w:rFonts w:hint="default" w:ascii="Times New Roman" w:hAnsi="Times New Roman" w:eastAsia="仿宋" w:cs="Times New Roman"/>
              <w:szCs w:val="24"/>
            </w:rPr>
            <w:fldChar w:fldCharType="end"/>
          </w:r>
        </w:p>
        <w:p w14:paraId="4A1090DB">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_Toc3919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2.3. </w:t>
          </w:r>
          <w:r>
            <w:rPr>
              <w:rFonts w:hint="eastAsia" w:ascii="宋体" w:hAnsi="宋体" w:eastAsia="宋体" w:cs="宋体"/>
              <w:lang w:val="en-US" w:eastAsia="zh-CN"/>
            </w:rPr>
            <w:t>安装特殊节、回转总成</w:t>
          </w:r>
          <w:r>
            <w:tab/>
          </w:r>
          <w:r>
            <w:fldChar w:fldCharType="begin"/>
          </w:r>
          <w:r>
            <w:instrText xml:space="preserve"> PAGEREF _Toc3919 \h </w:instrText>
          </w:r>
          <w:r>
            <w:fldChar w:fldCharType="separate"/>
          </w:r>
          <w:r>
            <w:t>10</w:t>
          </w:r>
          <w:r>
            <w:fldChar w:fldCharType="end"/>
          </w:r>
          <w:r>
            <w:rPr>
              <w:rFonts w:hint="default" w:ascii="Times New Roman" w:hAnsi="Times New Roman" w:eastAsia="仿宋" w:cs="Times New Roman"/>
              <w:szCs w:val="24"/>
            </w:rPr>
            <w:fldChar w:fldCharType="end"/>
          </w:r>
        </w:p>
        <w:p w14:paraId="141EA87B">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_Toc1567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2.4. </w:t>
          </w:r>
          <w:r>
            <w:rPr>
              <w:rFonts w:hint="eastAsia" w:ascii="宋体" w:hAnsi="宋体" w:eastAsia="宋体" w:cs="宋体"/>
              <w:lang w:val="en-US" w:eastAsia="zh-CN"/>
            </w:rPr>
            <w:t>安装臂根节</w:t>
          </w:r>
          <w:r>
            <w:tab/>
          </w:r>
          <w:r>
            <w:fldChar w:fldCharType="begin"/>
          </w:r>
          <w:r>
            <w:instrText xml:space="preserve"> PAGEREF _Toc1567 \h </w:instrText>
          </w:r>
          <w:r>
            <w:fldChar w:fldCharType="separate"/>
          </w:r>
          <w:r>
            <w:t>11</w:t>
          </w:r>
          <w:r>
            <w:fldChar w:fldCharType="end"/>
          </w:r>
          <w:r>
            <w:rPr>
              <w:rFonts w:hint="default" w:ascii="Times New Roman" w:hAnsi="Times New Roman" w:eastAsia="仿宋" w:cs="Times New Roman"/>
              <w:szCs w:val="24"/>
            </w:rPr>
            <w:fldChar w:fldCharType="end"/>
          </w:r>
        </w:p>
        <w:p w14:paraId="0AAE66BB">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_Toc28267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2.5. </w:t>
          </w:r>
          <w:r>
            <w:rPr>
              <w:rFonts w:hint="eastAsia" w:ascii="宋体" w:hAnsi="宋体" w:eastAsia="宋体" w:cs="宋体"/>
              <w:lang w:val="en-US" w:eastAsia="zh-CN"/>
            </w:rPr>
            <w:t>安装平衡臂和平衡臂拉杆</w:t>
          </w:r>
          <w:r>
            <w:tab/>
          </w:r>
          <w:r>
            <w:fldChar w:fldCharType="begin"/>
          </w:r>
          <w:r>
            <w:instrText xml:space="preserve"> PAGEREF _Toc28267 \h </w:instrText>
          </w:r>
          <w:r>
            <w:fldChar w:fldCharType="separate"/>
          </w:r>
          <w:r>
            <w:t>12</w:t>
          </w:r>
          <w:r>
            <w:fldChar w:fldCharType="end"/>
          </w:r>
          <w:r>
            <w:rPr>
              <w:rFonts w:hint="default" w:ascii="Times New Roman" w:hAnsi="Times New Roman" w:eastAsia="仿宋" w:cs="Times New Roman"/>
              <w:szCs w:val="24"/>
            </w:rPr>
            <w:fldChar w:fldCharType="end"/>
          </w:r>
        </w:p>
        <w:p w14:paraId="67FC697D">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_Toc16896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2.6. </w:t>
          </w:r>
          <w:r>
            <w:rPr>
              <w:rFonts w:hint="eastAsia" w:ascii="宋体" w:hAnsi="宋体" w:eastAsia="宋体" w:cs="宋体"/>
              <w:lang w:val="en-US" w:eastAsia="zh-CN"/>
            </w:rPr>
            <w:t>安装1块3.2t平衡重</w:t>
          </w:r>
          <w:r>
            <w:tab/>
          </w:r>
          <w:r>
            <w:fldChar w:fldCharType="begin"/>
          </w:r>
          <w:r>
            <w:instrText xml:space="preserve"> PAGEREF _Toc16896 \h </w:instrText>
          </w:r>
          <w:r>
            <w:fldChar w:fldCharType="separate"/>
          </w:r>
          <w:r>
            <w:t>13</w:t>
          </w:r>
          <w:r>
            <w:fldChar w:fldCharType="end"/>
          </w:r>
          <w:r>
            <w:rPr>
              <w:rFonts w:hint="default" w:ascii="Times New Roman" w:hAnsi="Times New Roman" w:eastAsia="仿宋" w:cs="Times New Roman"/>
              <w:szCs w:val="24"/>
            </w:rPr>
            <w:fldChar w:fldCharType="end"/>
          </w:r>
        </w:p>
        <w:p w14:paraId="5A6F08B6">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_Toc2500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2.7. </w:t>
          </w:r>
          <w:r>
            <w:rPr>
              <w:rFonts w:hint="eastAsia" w:ascii="宋体" w:hAnsi="宋体" w:eastAsia="宋体" w:cs="宋体"/>
              <w:lang w:val="en-US" w:eastAsia="zh-CN"/>
            </w:rPr>
            <w:t>安装剩余起重臂</w:t>
          </w:r>
          <w:r>
            <w:tab/>
          </w:r>
          <w:r>
            <w:fldChar w:fldCharType="begin"/>
          </w:r>
          <w:r>
            <w:instrText xml:space="preserve"> PAGEREF _Toc2500 \h </w:instrText>
          </w:r>
          <w:r>
            <w:fldChar w:fldCharType="separate"/>
          </w:r>
          <w:r>
            <w:t>14</w:t>
          </w:r>
          <w:r>
            <w:fldChar w:fldCharType="end"/>
          </w:r>
          <w:r>
            <w:rPr>
              <w:rFonts w:hint="default" w:ascii="Times New Roman" w:hAnsi="Times New Roman" w:eastAsia="仿宋" w:cs="Times New Roman"/>
              <w:szCs w:val="24"/>
            </w:rPr>
            <w:fldChar w:fldCharType="end"/>
          </w:r>
        </w:p>
        <w:p w14:paraId="529FFD5F">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_Toc29467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2.8. </w:t>
          </w:r>
          <w:r>
            <w:rPr>
              <w:rFonts w:hint="eastAsia" w:ascii="宋体" w:hAnsi="宋体" w:eastAsia="宋体" w:cs="宋体"/>
              <w:lang w:val="en-US" w:eastAsia="zh-CN"/>
            </w:rPr>
            <w:t>安装剩余平衡重</w:t>
          </w:r>
          <w:r>
            <w:tab/>
          </w:r>
          <w:r>
            <w:fldChar w:fldCharType="begin"/>
          </w:r>
          <w:r>
            <w:instrText xml:space="preserve"> PAGEREF _Toc29467 \h </w:instrText>
          </w:r>
          <w:r>
            <w:fldChar w:fldCharType="separate"/>
          </w:r>
          <w:r>
            <w:t>17</w:t>
          </w:r>
          <w:r>
            <w:fldChar w:fldCharType="end"/>
          </w:r>
          <w:r>
            <w:rPr>
              <w:rFonts w:hint="default" w:ascii="Times New Roman" w:hAnsi="Times New Roman" w:eastAsia="仿宋" w:cs="Times New Roman"/>
              <w:szCs w:val="24"/>
            </w:rPr>
            <w:fldChar w:fldCharType="end"/>
          </w:r>
        </w:p>
        <w:p w14:paraId="6238DD00">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_Toc7326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2.9. </w:t>
          </w:r>
          <w:r>
            <w:rPr>
              <w:rFonts w:hint="eastAsia" w:ascii="宋体" w:hAnsi="宋体" w:eastAsia="宋体" w:cs="宋体"/>
              <w:lang w:val="en-US" w:eastAsia="zh-CN"/>
            </w:rPr>
            <w:t>穿绕钢丝绳</w:t>
          </w:r>
          <w:r>
            <w:tab/>
          </w:r>
          <w:r>
            <w:fldChar w:fldCharType="begin"/>
          </w:r>
          <w:r>
            <w:instrText xml:space="preserve"> PAGEREF _Toc7326 \h </w:instrText>
          </w:r>
          <w:r>
            <w:fldChar w:fldCharType="separate"/>
          </w:r>
          <w:r>
            <w:t>18</w:t>
          </w:r>
          <w:r>
            <w:fldChar w:fldCharType="end"/>
          </w:r>
          <w:r>
            <w:rPr>
              <w:rFonts w:hint="default" w:ascii="Times New Roman" w:hAnsi="Times New Roman" w:eastAsia="仿宋" w:cs="Times New Roman"/>
              <w:szCs w:val="24"/>
            </w:rPr>
            <w:fldChar w:fldCharType="end"/>
          </w:r>
        </w:p>
        <w:p w14:paraId="0013E058">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_Toc14640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2.10. </w:t>
          </w:r>
          <w:r>
            <w:rPr>
              <w:rFonts w:hint="eastAsia" w:ascii="宋体" w:hAnsi="宋体" w:eastAsia="宋体" w:cs="宋体"/>
              <w:lang w:val="en-US" w:eastAsia="zh-CN"/>
            </w:rPr>
            <w:t>电气系统安装及试运转</w:t>
          </w:r>
          <w:r>
            <w:tab/>
          </w:r>
          <w:r>
            <w:fldChar w:fldCharType="begin"/>
          </w:r>
          <w:r>
            <w:instrText xml:space="preserve"> PAGEREF _Toc14640 \h </w:instrText>
          </w:r>
          <w:r>
            <w:fldChar w:fldCharType="separate"/>
          </w:r>
          <w:r>
            <w:t>20</w:t>
          </w:r>
          <w:r>
            <w:fldChar w:fldCharType="end"/>
          </w:r>
          <w:r>
            <w:rPr>
              <w:rFonts w:hint="default" w:ascii="Times New Roman" w:hAnsi="Times New Roman" w:eastAsia="仿宋" w:cs="Times New Roman"/>
              <w:szCs w:val="24"/>
            </w:rPr>
            <w:fldChar w:fldCharType="end"/>
          </w:r>
        </w:p>
        <w:p w14:paraId="5CA1CA4D">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_Toc31510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2.11. </w:t>
          </w:r>
          <w:r>
            <w:rPr>
              <w:rFonts w:hint="eastAsia" w:ascii="宋体" w:hAnsi="宋体" w:eastAsia="宋体" w:cs="宋体"/>
              <w:lang w:val="en-US" w:eastAsia="zh-CN"/>
            </w:rPr>
            <w:t>操作系统的调试</w:t>
          </w:r>
          <w:r>
            <w:tab/>
          </w:r>
          <w:r>
            <w:fldChar w:fldCharType="begin"/>
          </w:r>
          <w:r>
            <w:instrText xml:space="preserve"> PAGEREF _Toc31510 \h </w:instrText>
          </w:r>
          <w:r>
            <w:fldChar w:fldCharType="separate"/>
          </w:r>
          <w:r>
            <w:t>21</w:t>
          </w:r>
          <w:r>
            <w:fldChar w:fldCharType="end"/>
          </w:r>
          <w:r>
            <w:rPr>
              <w:rFonts w:hint="default" w:ascii="Times New Roman" w:hAnsi="Times New Roman" w:eastAsia="仿宋" w:cs="Times New Roman"/>
              <w:szCs w:val="24"/>
            </w:rPr>
            <w:fldChar w:fldCharType="end"/>
          </w:r>
        </w:p>
        <w:p w14:paraId="7C6C1867">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_Toc1474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2.12. </w:t>
          </w:r>
          <w:r>
            <w:rPr>
              <w:rFonts w:hint="eastAsia" w:ascii="宋体" w:hAnsi="宋体" w:eastAsia="宋体" w:cs="宋体"/>
              <w:lang w:val="en-US" w:eastAsia="zh-CN"/>
            </w:rPr>
            <w:t>塔机顶升加节</w:t>
          </w:r>
          <w:r>
            <w:tab/>
          </w:r>
          <w:r>
            <w:fldChar w:fldCharType="begin"/>
          </w:r>
          <w:r>
            <w:instrText xml:space="preserve"> PAGEREF _Toc1474 \h </w:instrText>
          </w:r>
          <w:r>
            <w:fldChar w:fldCharType="separate"/>
          </w:r>
          <w:r>
            <w:t>21</w:t>
          </w:r>
          <w:r>
            <w:fldChar w:fldCharType="end"/>
          </w:r>
          <w:r>
            <w:rPr>
              <w:rFonts w:hint="default" w:ascii="Times New Roman" w:hAnsi="Times New Roman" w:eastAsia="仿宋" w:cs="Times New Roman"/>
              <w:szCs w:val="24"/>
            </w:rPr>
            <w:fldChar w:fldCharType="end"/>
          </w:r>
        </w:p>
        <w:p w14:paraId="29C9D62E">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_Toc28442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2.13. </w:t>
          </w:r>
          <w:r>
            <w:rPr>
              <w:rFonts w:hint="eastAsia" w:ascii="宋体" w:hAnsi="宋体" w:eastAsia="宋体" w:cs="宋体"/>
              <w:lang w:val="en-US" w:eastAsia="zh-CN"/>
            </w:rPr>
            <w:t>塔机附着</w:t>
          </w:r>
          <w:r>
            <w:tab/>
          </w:r>
          <w:r>
            <w:fldChar w:fldCharType="begin"/>
          </w:r>
          <w:r>
            <w:instrText xml:space="preserve"> PAGEREF _Toc28442 \h </w:instrText>
          </w:r>
          <w:r>
            <w:fldChar w:fldCharType="separate"/>
          </w:r>
          <w:r>
            <w:t>26</w:t>
          </w:r>
          <w:r>
            <w:fldChar w:fldCharType="end"/>
          </w:r>
          <w:r>
            <w:rPr>
              <w:rFonts w:hint="default" w:ascii="Times New Roman" w:hAnsi="Times New Roman" w:eastAsia="仿宋" w:cs="Times New Roman"/>
              <w:szCs w:val="24"/>
            </w:rPr>
            <w:fldChar w:fldCharType="end"/>
          </w:r>
        </w:p>
        <w:p w14:paraId="65062F51">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_Toc26539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2.14. </w:t>
          </w:r>
          <w:r>
            <w:rPr>
              <w:rFonts w:hint="eastAsia" w:ascii="宋体" w:hAnsi="宋体" w:eastAsia="宋体" w:cs="宋体"/>
              <w:lang w:val="en-US" w:eastAsia="zh-CN"/>
            </w:rPr>
            <w:t>安全装置的调试</w:t>
          </w:r>
          <w:r>
            <w:tab/>
          </w:r>
          <w:r>
            <w:fldChar w:fldCharType="begin"/>
          </w:r>
          <w:r>
            <w:instrText xml:space="preserve"> PAGEREF _Toc26539 \h </w:instrText>
          </w:r>
          <w:r>
            <w:fldChar w:fldCharType="separate"/>
          </w:r>
          <w:r>
            <w:t>29</w:t>
          </w:r>
          <w:r>
            <w:fldChar w:fldCharType="end"/>
          </w:r>
          <w:r>
            <w:rPr>
              <w:rFonts w:hint="default" w:ascii="Times New Roman" w:hAnsi="Times New Roman" w:eastAsia="仿宋" w:cs="Times New Roman"/>
              <w:szCs w:val="24"/>
            </w:rPr>
            <w:fldChar w:fldCharType="end"/>
          </w:r>
        </w:p>
        <w:p w14:paraId="3C32408B">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_Toc11800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2.15. </w:t>
          </w:r>
          <w:r>
            <w:rPr>
              <w:rFonts w:hint="eastAsia" w:ascii="宋体" w:hAnsi="宋体" w:eastAsia="宋体" w:cs="宋体"/>
              <w:highlight w:val="none"/>
              <w:lang w:val="en-US" w:eastAsia="zh-CN"/>
            </w:rPr>
            <w:t>风险与应对措施</w:t>
          </w:r>
          <w:r>
            <w:tab/>
          </w:r>
          <w:r>
            <w:fldChar w:fldCharType="begin"/>
          </w:r>
          <w:r>
            <w:instrText xml:space="preserve"> PAGEREF _Toc11800 \h </w:instrText>
          </w:r>
          <w:r>
            <w:fldChar w:fldCharType="separate"/>
          </w:r>
          <w:r>
            <w:t>30</w:t>
          </w:r>
          <w:r>
            <w:fldChar w:fldCharType="end"/>
          </w:r>
          <w:r>
            <w:rPr>
              <w:rFonts w:hint="default" w:ascii="Times New Roman" w:hAnsi="Times New Roman" w:eastAsia="仿宋" w:cs="Times New Roman"/>
              <w:szCs w:val="24"/>
            </w:rPr>
            <w:fldChar w:fldCharType="end"/>
          </w:r>
        </w:p>
        <w:p w14:paraId="662096CF">
          <w:pPr>
            <w:pStyle w:val="23"/>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_Toc8355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_Toc8355 \h </w:instrText>
          </w:r>
          <w:r>
            <w:fldChar w:fldCharType="separate"/>
          </w:r>
          <w:r>
            <w:t>40</w:t>
          </w:r>
          <w:r>
            <w:fldChar w:fldCharType="end"/>
          </w:r>
          <w:r>
            <w:rPr>
              <w:rFonts w:hint="default" w:ascii="Times New Roman" w:hAnsi="Times New Roman" w:eastAsia="仿宋" w:cs="Times New Roman"/>
              <w:szCs w:val="24"/>
            </w:rPr>
            <w:fldChar w:fldCharType="end"/>
          </w:r>
        </w:p>
        <w:p w14:paraId="1970DBDC">
          <w:pPr>
            <w:pStyle w:val="23"/>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_Toc13569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_Toc13569 \h </w:instrText>
          </w:r>
          <w:r>
            <w:fldChar w:fldCharType="separate"/>
          </w:r>
          <w:r>
            <w:t>41</w:t>
          </w:r>
          <w:r>
            <w:fldChar w:fldCharType="end"/>
          </w:r>
          <w:r>
            <w:rPr>
              <w:rFonts w:hint="default" w:ascii="Times New Roman" w:hAnsi="Times New Roman" w:eastAsia="仿宋" w:cs="Times New Roman"/>
              <w:szCs w:val="24"/>
            </w:rPr>
            <w:fldChar w:fldCharType="end"/>
          </w:r>
        </w:p>
        <w:p w14:paraId="0ACB2930">
          <w:pPr>
            <w:pStyle w:val="25"/>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_Toc15260 </w:instrText>
          </w:r>
          <w:r>
            <w:rPr>
              <w:rFonts w:hint="default" w:ascii="Times New Roman" w:hAnsi="Times New Roman" w:eastAsia="仿宋" w:cs="Times New Roman"/>
              <w:szCs w:val="24"/>
            </w:rPr>
            <w:fldChar w:fldCharType="separate"/>
          </w:r>
          <w:r>
            <w:rPr>
              <w:rFonts w:hint="eastAsia"/>
              <w:lang w:val="en-US" w:eastAsia="zh-CN"/>
            </w:rPr>
            <w:t>4.1 施工组织机构</w:t>
          </w:r>
          <w:r>
            <w:tab/>
          </w:r>
          <w:r>
            <w:fldChar w:fldCharType="begin"/>
          </w:r>
          <w:r>
            <w:instrText xml:space="preserve"> PAGEREF _Toc15260 \h </w:instrText>
          </w:r>
          <w:r>
            <w:fldChar w:fldCharType="separate"/>
          </w:r>
          <w:r>
            <w:t>41</w:t>
          </w:r>
          <w:r>
            <w:fldChar w:fldCharType="end"/>
          </w:r>
          <w:r>
            <w:rPr>
              <w:rFonts w:hint="default" w:ascii="Times New Roman" w:hAnsi="Times New Roman" w:eastAsia="仿宋" w:cs="Times New Roman"/>
              <w:szCs w:val="24"/>
            </w:rPr>
            <w:fldChar w:fldCharType="end"/>
          </w:r>
        </w:p>
        <w:p w14:paraId="16BE9628">
          <w:pPr>
            <w:pStyle w:val="25"/>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_Toc1434 </w:instrText>
          </w:r>
          <w:r>
            <w:rPr>
              <w:rFonts w:hint="default" w:ascii="Times New Roman" w:hAnsi="Times New Roman" w:eastAsia="仿宋" w:cs="Times New Roman"/>
              <w:szCs w:val="24"/>
            </w:rPr>
            <w:fldChar w:fldCharType="separate"/>
          </w:r>
          <w:r>
            <w:rPr>
              <w:rFonts w:hint="eastAsia"/>
              <w:lang w:val="en-US" w:eastAsia="zh-CN"/>
            </w:rPr>
            <w:t>4.2 人员配置</w:t>
          </w:r>
          <w:r>
            <w:tab/>
          </w:r>
          <w:r>
            <w:fldChar w:fldCharType="begin"/>
          </w:r>
          <w:r>
            <w:instrText xml:space="preserve"> PAGEREF _Toc1434 \h </w:instrText>
          </w:r>
          <w:r>
            <w:fldChar w:fldCharType="separate"/>
          </w:r>
          <w:r>
            <w:t>41</w:t>
          </w:r>
          <w:r>
            <w:fldChar w:fldCharType="end"/>
          </w:r>
          <w:r>
            <w:rPr>
              <w:rFonts w:hint="default" w:ascii="Times New Roman" w:hAnsi="Times New Roman" w:eastAsia="仿宋" w:cs="Times New Roman"/>
              <w:szCs w:val="24"/>
            </w:rPr>
            <w:fldChar w:fldCharType="end"/>
          </w:r>
          <w:bookmarkStart w:id="142" w:name="_GoBack"/>
          <w:bookmarkEnd w:id="142"/>
        </w:p>
        <w:p w14:paraId="5FB923E6">
          <w:pPr>
            <w:pStyle w:val="23"/>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_Toc21345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_Toc21345 \h </w:instrText>
          </w:r>
          <w:r>
            <w:fldChar w:fldCharType="separate"/>
          </w:r>
          <w:r>
            <w:t>42</w:t>
          </w:r>
          <w:r>
            <w:fldChar w:fldCharType="end"/>
          </w:r>
          <w:r>
            <w:rPr>
              <w:rFonts w:hint="default" w:ascii="Times New Roman" w:hAnsi="Times New Roman" w:eastAsia="仿宋" w:cs="Times New Roman"/>
              <w:szCs w:val="24"/>
            </w:rPr>
            <w:fldChar w:fldCharType="end"/>
          </w:r>
        </w:p>
        <w:p w14:paraId="1C636A85">
          <w:pPr>
            <w:pStyle w:val="25"/>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_Toc22326 </w:instrText>
          </w:r>
          <w:r>
            <w:rPr>
              <w:rFonts w:hint="default" w:ascii="Times New Roman" w:hAnsi="Times New Roman" w:eastAsia="仿宋" w:cs="Times New Roman"/>
              <w:szCs w:val="24"/>
            </w:rPr>
            <w:fldChar w:fldCharType="separate"/>
          </w:r>
          <w:r>
            <w:rPr>
              <w:rFonts w:hint="eastAsia"/>
              <w:lang w:val="en-US" w:eastAsia="zh-CN"/>
            </w:rPr>
            <w:t>5.1应急救援组织机构及职责</w:t>
          </w:r>
          <w:r>
            <w:tab/>
          </w:r>
          <w:r>
            <w:fldChar w:fldCharType="begin"/>
          </w:r>
          <w:r>
            <w:instrText xml:space="preserve"> PAGEREF _Toc22326 \h </w:instrText>
          </w:r>
          <w:r>
            <w:fldChar w:fldCharType="separate"/>
          </w:r>
          <w:r>
            <w:t>42</w:t>
          </w:r>
          <w:r>
            <w:fldChar w:fldCharType="end"/>
          </w:r>
          <w:r>
            <w:rPr>
              <w:rFonts w:hint="default" w:ascii="Times New Roman" w:hAnsi="Times New Roman" w:eastAsia="仿宋" w:cs="Times New Roman"/>
              <w:szCs w:val="24"/>
            </w:rPr>
            <w:fldChar w:fldCharType="end"/>
          </w:r>
        </w:p>
        <w:p w14:paraId="53DF540E">
          <w:pPr>
            <w:pStyle w:val="25"/>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_Toc29412 </w:instrText>
          </w:r>
          <w:r>
            <w:rPr>
              <w:rFonts w:hint="default" w:ascii="Times New Roman" w:hAnsi="Times New Roman" w:eastAsia="仿宋" w:cs="Times New Roman"/>
              <w:szCs w:val="24"/>
            </w:rPr>
            <w:fldChar w:fldCharType="separate"/>
          </w:r>
          <w:r>
            <w:rPr>
              <w:rFonts w:hint="eastAsia"/>
              <w:lang w:val="en-US" w:eastAsia="zh-CN"/>
            </w:rPr>
            <w:t>5.2专项应急处置措施</w:t>
          </w:r>
          <w:r>
            <w:tab/>
          </w:r>
          <w:r>
            <w:fldChar w:fldCharType="begin"/>
          </w:r>
          <w:r>
            <w:instrText xml:space="preserve"> PAGEREF _Toc29412 \h </w:instrText>
          </w:r>
          <w:r>
            <w:fldChar w:fldCharType="separate"/>
          </w:r>
          <w:r>
            <w:t>43</w:t>
          </w:r>
          <w:r>
            <w:fldChar w:fldCharType="end"/>
          </w:r>
          <w:r>
            <w:rPr>
              <w:rFonts w:hint="default" w:ascii="Times New Roman" w:hAnsi="Times New Roman" w:eastAsia="仿宋" w:cs="Times New Roman"/>
              <w:szCs w:val="24"/>
            </w:rPr>
            <w:fldChar w:fldCharType="end"/>
          </w:r>
        </w:p>
        <w:p w14:paraId="72C58CE3">
          <w:pPr>
            <w:pStyle w:val="25"/>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_Toc7751 </w:instrText>
          </w:r>
          <w:r>
            <w:rPr>
              <w:rFonts w:hint="default" w:ascii="Times New Roman" w:hAnsi="Times New Roman" w:eastAsia="仿宋" w:cs="Times New Roman"/>
              <w:szCs w:val="24"/>
            </w:rPr>
            <w:fldChar w:fldCharType="separate"/>
          </w:r>
          <w:r>
            <w:rPr>
              <w:rFonts w:hint="eastAsia"/>
              <w:highlight w:val="none"/>
              <w:lang w:val="en-US" w:eastAsia="zh-CN"/>
            </w:rPr>
            <w:t>5.3紧急救援措施</w:t>
          </w:r>
          <w:r>
            <w:tab/>
          </w:r>
          <w:r>
            <w:fldChar w:fldCharType="begin"/>
          </w:r>
          <w:r>
            <w:instrText xml:space="preserve"> PAGEREF _Toc7751 \h </w:instrText>
          </w:r>
          <w:r>
            <w:fldChar w:fldCharType="separate"/>
          </w:r>
          <w:r>
            <w:t>48</w:t>
          </w:r>
          <w:r>
            <w:fldChar w:fldCharType="end"/>
          </w:r>
          <w:r>
            <w:rPr>
              <w:rFonts w:hint="default" w:ascii="Times New Roman" w:hAnsi="Times New Roman" w:eastAsia="仿宋" w:cs="Times New Roman"/>
              <w:szCs w:val="24"/>
            </w:rPr>
            <w:fldChar w:fldCharType="end"/>
          </w:r>
        </w:p>
        <w:p w14:paraId="4C6E0026">
          <w:pPr>
            <w:pStyle w:val="23"/>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_Toc1290 </w:instrText>
          </w:r>
          <w:r>
            <w:rPr>
              <w:rFonts w:hint="default" w:ascii="Times New Roman" w:hAnsi="Times New Roman" w:eastAsia="仿宋" w:cs="Times New Roman"/>
              <w:szCs w:val="24"/>
            </w:rPr>
            <w:fldChar w:fldCharType="separate"/>
          </w:r>
          <w:r>
            <w:rPr>
              <w:rFonts w:hint="eastAsia"/>
              <w:lang w:val="en-US" w:eastAsia="zh-CN"/>
            </w:rPr>
            <w:t>6附件</w:t>
          </w:r>
          <w:r>
            <w:tab/>
          </w:r>
          <w:r>
            <w:fldChar w:fldCharType="begin"/>
          </w:r>
          <w:r>
            <w:instrText xml:space="preserve"> PAGEREF _Toc1290 \h </w:instrText>
          </w:r>
          <w:r>
            <w:fldChar w:fldCharType="separate"/>
          </w:r>
          <w:r>
            <w:t>51</w:t>
          </w:r>
          <w:r>
            <w:fldChar w:fldCharType="end"/>
          </w:r>
          <w:r>
            <w:rPr>
              <w:rFonts w:hint="default" w:ascii="Times New Roman" w:hAnsi="Times New Roman" w:eastAsia="仿宋" w:cs="Times New Roman"/>
              <w:szCs w:val="24"/>
            </w:rPr>
            <w:fldChar w:fldCharType="end"/>
          </w:r>
        </w:p>
        <w:p w14:paraId="2C882580">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_Toc10600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_Toc10600 \h </w:instrText>
          </w:r>
          <w:r>
            <w:fldChar w:fldCharType="separate"/>
          </w:r>
          <w:r>
            <w:t>51</w:t>
          </w:r>
          <w:r>
            <w:fldChar w:fldCharType="end"/>
          </w:r>
          <w:r>
            <w:rPr>
              <w:rFonts w:hint="default" w:ascii="Times New Roman" w:hAnsi="Times New Roman" w:eastAsia="仿宋" w:cs="Times New Roman"/>
              <w:szCs w:val="24"/>
            </w:rPr>
            <w:fldChar w:fldCharType="end"/>
          </w:r>
        </w:p>
        <w:p w14:paraId="3E0C42FF">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_Toc14350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_Toc14350 \h </w:instrText>
          </w:r>
          <w:r>
            <w:fldChar w:fldCharType="separate"/>
          </w:r>
          <w:r>
            <w:t>54</w:t>
          </w:r>
          <w:r>
            <w:fldChar w:fldCharType="end"/>
          </w:r>
          <w:r>
            <w:rPr>
              <w:rFonts w:hint="default" w:ascii="Times New Roman" w:hAnsi="Times New Roman" w:eastAsia="仿宋" w:cs="Times New Roman"/>
              <w:szCs w:val="24"/>
            </w:rPr>
            <w:fldChar w:fldCharType="end"/>
          </w:r>
        </w:p>
        <w:p w14:paraId="071A23B8">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_Toc18382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_Toc18382 \h </w:instrText>
          </w:r>
          <w:r>
            <w:fldChar w:fldCharType="separate"/>
          </w:r>
          <w:r>
            <w:t>54</w:t>
          </w:r>
          <w:r>
            <w:fldChar w:fldCharType="end"/>
          </w:r>
          <w:r>
            <w:rPr>
              <w:rFonts w:hint="default" w:ascii="Times New Roman" w:hAnsi="Times New Roman" w:eastAsia="仿宋" w:cs="Times New Roman"/>
              <w:szCs w:val="24"/>
            </w:rPr>
            <w:fldChar w:fldCharType="end"/>
          </w:r>
        </w:p>
        <w:p w14:paraId="6A65BBB6">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_Toc6309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_Toc6309 \h </w:instrText>
          </w:r>
          <w:r>
            <w:fldChar w:fldCharType="separate"/>
          </w:r>
          <w:r>
            <w:t>60</w:t>
          </w:r>
          <w:r>
            <w:fldChar w:fldCharType="end"/>
          </w:r>
          <w:r>
            <w:rPr>
              <w:rFonts w:hint="default" w:ascii="Times New Roman" w:hAnsi="Times New Roman" w:eastAsia="仿宋" w:cs="Times New Roman"/>
              <w:szCs w:val="24"/>
            </w:rPr>
            <w:fldChar w:fldCharType="end"/>
          </w:r>
        </w:p>
        <w:p w14:paraId="125C6980">
          <w:pPr>
            <w:pStyle w:val="25"/>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50DA1D2">
      <w:pPr>
        <w:pStyle w:val="2"/>
        <w:bidi w:val="0"/>
        <w:rPr>
          <w:rFonts w:hint="eastAsia" w:eastAsia="宋体" w:cs="Times New Roman"/>
          <w:lang w:val="en-US" w:eastAsia="zh-CN"/>
        </w:rPr>
      </w:pPr>
      <w:bookmarkStart w:id="2" w:name="_Toc20372"/>
      <w:bookmarkStart w:id="3" w:name="_Toc29145"/>
      <w:bookmarkStart w:id="4" w:name="_Toc24508"/>
      <w:bookmarkStart w:id="5" w:name="_Toc30160"/>
      <w:bookmarkStart w:id="6" w:name="_Toc764"/>
      <w:bookmarkStart w:id="7" w:name="_Toc26055"/>
      <w:bookmarkStart w:id="8" w:name="_Toc16744"/>
      <w:bookmarkStart w:id="9" w:name="_Toc1686"/>
      <w:bookmarkStart w:id="10" w:name="_Toc23475"/>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w:t>
      </w:r>
      <w:r>
        <w:rPr>
          <w:rFonts w:hint="eastAsia" w:cs="Times New Roman"/>
          <w:lang w:val="en-US" w:eastAsia="zh-CN"/>
        </w:rPr>
        <w:t>安装</w:t>
      </w:r>
      <w:r>
        <w:rPr>
          <w:rFonts w:hint="eastAsia" w:eastAsia="宋体" w:cs="Times New Roman"/>
          <w:lang w:val="en-US" w:eastAsia="zh-CN"/>
        </w:rPr>
        <w:t>施工安全技术交底，塔机型号为</w:t>
      </w:r>
      <w:r>
        <w:rPr>
          <w:rFonts w:hint="eastAsia" w:cs="Times New Roman"/>
          <w:lang w:val="en-US" w:eastAsia="zh-CN"/>
        </w:rPr>
        <w:t>XGT6515D-10S</w:t>
      </w:r>
      <w:r>
        <w:rPr>
          <w:rFonts w:hint="eastAsia" w:eastAsia="宋体" w:cs="Times New Roman"/>
          <w:lang w:val="en-US" w:eastAsia="zh-CN"/>
        </w:rPr>
        <w:t>。</w:t>
      </w:r>
    </w:p>
    <w:p w14:paraId="10296521">
      <w:pPr>
        <w:pStyle w:val="3"/>
        <w:bidi w:val="0"/>
        <w:rPr>
          <w:rFonts w:hint="eastAsia"/>
          <w:lang w:val="en-US" w:eastAsia="zh-CN"/>
        </w:rPr>
      </w:pPr>
      <w:bookmarkStart w:id="11" w:name="_Toc22379"/>
      <w:bookmarkStart w:id="12" w:name="_Toc19760"/>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43903A5">
      <w:pPr>
        <w:bidi w:val="0"/>
        <w:ind w:firstLine="480" w:firstLineChars="200"/>
        <w:rPr>
          <w:rFonts w:hint="eastAsia"/>
          <w:lang w:val="en-US" w:eastAsia="zh-CN"/>
        </w:rPr>
      </w:pPr>
      <w:r>
        <w:rPr>
          <w:rFonts w:hint="eastAsia"/>
          <w:lang w:val="en-US" w:eastAsia="zh-CN"/>
        </w:rPr>
        <w:t>本次交底范围为新渡坪大桥左幅8#墩</w:t>
      </w:r>
      <w:r>
        <w:rPr>
          <w:rFonts w:hint="eastAsia" w:cs="Times New Roman"/>
          <w:lang w:val="en-US" w:eastAsia="zh-CN"/>
        </w:rPr>
        <w:t>XGT6515D-10S</w:t>
      </w:r>
      <w:r>
        <w:rPr>
          <w:rFonts w:hint="eastAsia"/>
          <w:lang w:val="en-US" w:eastAsia="zh-CN"/>
        </w:rPr>
        <w:t>塔式起重机安装安全施工作业，具体包括</w:t>
      </w:r>
      <w:r>
        <w:rPr>
          <w:rFonts w:hint="default"/>
          <w:lang w:val="en-US" w:eastAsia="zh-CN"/>
        </w:rPr>
        <w:t>基础施工、部件组装、部件吊装、顶升、调试等</w:t>
      </w:r>
      <w:r>
        <w:rPr>
          <w:rFonts w:hint="eastAsia"/>
          <w:lang w:val="en-US" w:eastAsia="zh-CN"/>
        </w:rPr>
        <w:t>。待现场场地、材料、技术人员到位后，即可开始安装施工。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lang w:val="en-US" w:eastAsia="zh-CN"/>
        </w:rPr>
        <w:t>目前，现场场地已完成平整，具备拼装条件；材料均已运至现场，且经过验收；技术人员已驻场。</w:t>
      </w:r>
      <w:r>
        <w:rPr>
          <w:rFonts w:hint="eastAsia" w:eastAsia="宋体" w:cs="Times New Roman"/>
          <w:lang w:val="en-US" w:eastAsia="zh-CN"/>
        </w:rPr>
        <w:t>已配置一台</w:t>
      </w:r>
      <w:r>
        <w:rPr>
          <w:rFonts w:hint="eastAsia" w:cs="Times New Roman"/>
          <w:lang w:val="en-US" w:eastAsia="zh-CN"/>
        </w:rPr>
        <w:t>25</w:t>
      </w:r>
      <w:r>
        <w:rPr>
          <w:rFonts w:hint="eastAsia" w:eastAsia="宋体" w:cs="Times New Roman"/>
          <w:lang w:val="en-US" w:eastAsia="zh-CN"/>
        </w:rPr>
        <w:t>t汽车吊，满足吊装要求。</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34652C9A">
      <w:pPr>
        <w:bidi w:val="0"/>
        <w:ind w:firstLine="480" w:firstLineChars="200"/>
        <w:rPr>
          <w:rFonts w:hint="default"/>
          <w:highlight w:val="none"/>
          <w:lang w:val="en-US" w:eastAsia="zh-CN"/>
        </w:rPr>
      </w:pPr>
      <w:bookmarkStart w:id="13" w:name="_Toc25389"/>
      <w:r>
        <w:rPr>
          <w:rFonts w:hint="eastAsia"/>
          <w:lang w:val="en-US" w:eastAsia="zh-CN"/>
        </w:rPr>
        <w:t>塔机安装的上道工序为基础验收</w:t>
      </w:r>
      <w:r>
        <w:rPr>
          <w:rFonts w:hint="eastAsia"/>
          <w:highlight w:val="none"/>
          <w:lang w:val="en-US" w:eastAsia="zh-CN"/>
        </w:rPr>
        <w:t>，工序衔接过程中必须保证基础混凝土强度达标、预埋件位置的准确性。</w:t>
      </w:r>
    </w:p>
    <w:p w14:paraId="0BEE1A87">
      <w:pPr>
        <w:bidi w:val="0"/>
        <w:ind w:firstLine="480" w:firstLineChars="200"/>
        <w:rPr>
          <w:rFonts w:hint="default"/>
          <w:lang w:val="en-US" w:eastAsia="zh-CN"/>
        </w:rPr>
      </w:pPr>
      <w:r>
        <w:rPr>
          <w:rFonts w:hint="eastAsia"/>
          <w:lang w:val="en-US" w:eastAsia="zh-CN"/>
        </w:rPr>
        <w:t>塔机安装的下道工序为设备调试与验收，</w:t>
      </w:r>
      <w:r>
        <w:rPr>
          <w:rFonts w:hint="eastAsia"/>
          <w:highlight w:val="none"/>
          <w:lang w:val="en-US" w:eastAsia="zh-CN"/>
        </w:rPr>
        <w:t>工序衔接过程中必须保证各机构（起升、变幅、回转）运行正常，限位装置敏感度达标，需在空载、额定载荷试验无异常后，由专业机构验收合格后可进入下阶段使用。</w:t>
      </w:r>
    </w:p>
    <w:p w14:paraId="1CC4852C">
      <w:pPr>
        <w:pStyle w:val="3"/>
        <w:bidi w:val="0"/>
        <w:rPr>
          <w:rFonts w:hint="eastAsia"/>
          <w:lang w:val="en-US" w:eastAsia="zh-CN"/>
        </w:rPr>
      </w:pPr>
      <w:bookmarkStart w:id="14" w:name="_Toc2612"/>
      <w:r>
        <w:rPr>
          <w:rFonts w:hint="eastAsia"/>
          <w:lang w:val="en-US" w:eastAsia="zh-CN"/>
        </w:rPr>
        <w:t>1.2 结构概况</w:t>
      </w:r>
      <w:bookmarkEnd w:id="13"/>
      <w:bookmarkEnd w:id="14"/>
    </w:p>
    <w:p w14:paraId="3B43B38C">
      <w:pPr>
        <w:pStyle w:val="4"/>
        <w:rPr>
          <w:rFonts w:hint="eastAsia"/>
          <w:lang w:val="en-US" w:eastAsia="zh-CN"/>
        </w:rPr>
      </w:pPr>
      <w:bookmarkStart w:id="15" w:name="_Toc18944"/>
      <w:bookmarkStart w:id="16" w:name="_Toc24739"/>
      <w:bookmarkStart w:id="17" w:name="_Toc14282"/>
      <w:bookmarkStart w:id="18" w:name="_Toc15503"/>
      <w:bookmarkStart w:id="19" w:name="_Toc791"/>
      <w:bookmarkStart w:id="20" w:name="_Toc28464"/>
      <w:bookmarkStart w:id="21" w:name="_Toc21233"/>
      <w:bookmarkStart w:id="22" w:name="_Toc15200"/>
      <w:r>
        <w:rPr>
          <w:rFonts w:hint="eastAsia"/>
          <w:lang w:val="en-US" w:eastAsia="zh-CN"/>
        </w:rPr>
        <w:t>1.2.1塔式起重机技术参数</w:t>
      </w:r>
    </w:p>
    <w:p w14:paraId="78203933">
      <w:pPr>
        <w:bidi w:val="0"/>
        <w:ind w:firstLine="480" w:firstLineChars="200"/>
        <w:rPr>
          <w:rFonts w:hint="eastAsia"/>
          <w:lang w:val="en-US" w:eastAsia="zh-CN"/>
        </w:rPr>
      </w:pPr>
      <w:r>
        <w:rPr>
          <w:rFonts w:hint="eastAsia" w:cs="Times New Roman"/>
          <w:lang w:val="en-US" w:eastAsia="zh-CN"/>
        </w:rPr>
        <w:t>XGT6515D-10S</w:t>
      </w:r>
      <w:r>
        <w:rPr>
          <w:rFonts w:hint="eastAsia"/>
          <w:lang w:val="en-US" w:eastAsia="zh-CN"/>
        </w:rPr>
        <w:t>塔式起重机为徐工生产的平头塔式起重机，产品最大臂长65m,在臂端65m幅度处最大起重量为1.5t,整机最大起重量为10t。</w:t>
      </w:r>
    </w:p>
    <w:p w14:paraId="0911CB70">
      <w:pPr>
        <w:bidi w:val="0"/>
        <w:jc w:val="center"/>
      </w:pPr>
      <w:r>
        <w:drawing>
          <wp:inline distT="0" distB="0" distL="114300" distR="114300">
            <wp:extent cx="5108575" cy="6516370"/>
            <wp:effectExtent l="0" t="0" r="15875"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108575" cy="6516370"/>
                    </a:xfrm>
                    <a:prstGeom prst="rect">
                      <a:avLst/>
                    </a:prstGeom>
                    <a:noFill/>
                    <a:ln>
                      <a:noFill/>
                    </a:ln>
                  </pic:spPr>
                </pic:pic>
              </a:graphicData>
            </a:graphic>
          </wp:inline>
        </w:drawing>
      </w:r>
    </w:p>
    <w:p w14:paraId="476BB767">
      <w:pPr>
        <w:bidi w:val="0"/>
        <w:jc w:val="center"/>
        <w:rPr>
          <w:rFonts w:hint="default"/>
          <w:lang w:val="en-US" w:eastAsia="zh-CN"/>
        </w:rPr>
      </w:pPr>
      <w:r>
        <w:rPr>
          <w:rFonts w:hint="eastAsia"/>
          <w:lang w:val="en-US" w:eastAsia="zh-CN"/>
        </w:rPr>
        <w:t>图1-1 塔机组成示意图</w:t>
      </w:r>
    </w:p>
    <w:p w14:paraId="67B05448">
      <w:pPr>
        <w:pStyle w:val="4"/>
        <w:rPr>
          <w:rFonts w:hint="eastAsia"/>
          <w:lang w:val="en-US" w:eastAsia="zh-CN"/>
        </w:rPr>
      </w:pPr>
      <w:r>
        <w:rPr>
          <w:rFonts w:hint="eastAsia"/>
          <w:lang w:val="en-US" w:eastAsia="zh-CN"/>
        </w:rPr>
        <w:t>1.2.2整机外形尺寸</w:t>
      </w:r>
    </w:p>
    <w:p w14:paraId="108FD2F8">
      <w:pPr>
        <w:bidi w:val="0"/>
        <w:jc w:val="center"/>
        <w:rPr>
          <w:rFonts w:hint="default"/>
          <w:lang w:val="en-US" w:eastAsia="zh-CN"/>
        </w:rPr>
      </w:pPr>
      <w:r>
        <w:drawing>
          <wp:inline distT="0" distB="0" distL="114300" distR="114300">
            <wp:extent cx="5269865" cy="4480560"/>
            <wp:effectExtent l="0" t="0" r="6985" b="152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5269865" cy="4480560"/>
                    </a:xfrm>
                    <a:prstGeom prst="rect">
                      <a:avLst/>
                    </a:prstGeom>
                    <a:noFill/>
                    <a:ln>
                      <a:noFill/>
                    </a:ln>
                  </pic:spPr>
                </pic:pic>
              </a:graphicData>
            </a:graphic>
          </wp:inline>
        </w:drawing>
      </w:r>
      <w:r>
        <w:rPr>
          <w:rFonts w:hint="eastAsia"/>
          <w:lang w:val="en-US" w:eastAsia="zh-CN"/>
        </w:rPr>
        <w:t>图1-2 整机外形示意图</w:t>
      </w:r>
    </w:p>
    <w:p w14:paraId="210278D7">
      <w:pPr>
        <w:pStyle w:val="4"/>
        <w:rPr>
          <w:rFonts w:hint="default"/>
          <w:lang w:val="en-US" w:eastAsia="zh-CN"/>
        </w:rPr>
      </w:pPr>
      <w:r>
        <w:rPr>
          <w:rFonts w:hint="eastAsia"/>
          <w:lang w:val="en-US" w:eastAsia="zh-CN"/>
        </w:rPr>
        <w:t>1.2.3整机主要技术参数</w:t>
      </w:r>
    </w:p>
    <w:p w14:paraId="115C947F">
      <w:pPr>
        <w:pStyle w:val="15"/>
        <w:rPr>
          <w:rFonts w:hint="default"/>
          <w:highlight w:val="none"/>
          <w:lang w:val="en-US" w:eastAsia="zh-CN"/>
        </w:rPr>
      </w:pPr>
      <w:r>
        <w:rPr>
          <w:highlight w:val="none"/>
        </w:rPr>
        <w:t>表</w:t>
      </w:r>
      <w:r>
        <w:rPr>
          <w:rFonts w:hint="eastAsia"/>
          <w:highlight w:val="none"/>
          <w:lang w:val="en-US" w:eastAsia="zh-CN"/>
        </w:rPr>
        <w:t>1</w:t>
      </w:r>
      <w:r>
        <w:rPr>
          <w:highlight w:val="none"/>
        </w:rPr>
        <w:t>-</w:t>
      </w:r>
      <w:r>
        <w:rPr>
          <w:rFonts w:hint="eastAsia"/>
          <w:highlight w:val="none"/>
          <w:lang w:val="en-US" w:eastAsia="zh-CN"/>
        </w:rPr>
        <w:t>1</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5269230" cy="7058660"/>
            <wp:effectExtent l="0" t="0" r="762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4"/>
                    <a:stretch>
                      <a:fillRect/>
                    </a:stretch>
                  </pic:blipFill>
                  <pic:spPr>
                    <a:xfrm>
                      <a:off x="0" y="0"/>
                      <a:ext cx="5269230" cy="7058660"/>
                    </a:xfrm>
                    <a:prstGeom prst="rect">
                      <a:avLst/>
                    </a:prstGeom>
                    <a:noFill/>
                    <a:ln>
                      <a:noFill/>
                    </a:ln>
                  </pic:spPr>
                </pic:pic>
              </a:graphicData>
            </a:graphic>
          </wp:inline>
        </w:drawing>
      </w:r>
    </w:p>
    <w:p w14:paraId="67A5DA7B">
      <w:pPr>
        <w:pStyle w:val="15"/>
      </w:pPr>
      <w:r>
        <w:rPr>
          <w:rFonts w:hint="eastAsia"/>
          <w:highlight w:val="none"/>
          <w:lang w:val="en-US" w:eastAsia="zh-CN"/>
        </w:rPr>
        <w:t>表1</w:t>
      </w:r>
      <w:r>
        <w:rPr>
          <w:highlight w:val="none"/>
        </w:rPr>
        <w:t>-</w:t>
      </w:r>
      <w:r>
        <w:rPr>
          <w:rFonts w:hint="eastAsia"/>
          <w:highlight w:val="none"/>
          <w:lang w:val="en-US" w:eastAsia="zh-CN"/>
        </w:rPr>
        <w:t>2起重性能表</w:t>
      </w:r>
    </w:p>
    <w:p w14:paraId="746028F0">
      <w:pPr>
        <w:ind w:left="0" w:leftChars="0" w:firstLine="0" w:firstLineChars="0"/>
        <w:jc w:val="center"/>
        <w:rPr>
          <w:rFonts w:hint="default"/>
          <w:lang w:val="en-US" w:eastAsia="zh-CN"/>
        </w:rPr>
      </w:pPr>
      <w:r>
        <w:drawing>
          <wp:inline distT="0" distB="0" distL="114300" distR="114300">
            <wp:extent cx="5271135" cy="2742565"/>
            <wp:effectExtent l="0" t="0" r="5715"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5271135" cy="2742565"/>
                    </a:xfrm>
                    <a:prstGeom prst="rect">
                      <a:avLst/>
                    </a:prstGeom>
                    <a:noFill/>
                    <a:ln>
                      <a:noFill/>
                    </a:ln>
                  </pic:spPr>
                </pic:pic>
              </a:graphicData>
            </a:graphic>
          </wp:inline>
        </w:drawing>
      </w:r>
    </w:p>
    <w:p w14:paraId="793EB1B8">
      <w:pPr>
        <w:pStyle w:val="2"/>
        <w:numPr>
          <w:ilvl w:val="0"/>
          <w:numId w:val="3"/>
        </w:numPr>
        <w:bidi w:val="0"/>
        <w:ind w:left="0" w:leftChars="0" w:firstLine="0" w:firstLineChars="0"/>
        <w:rPr>
          <w:rFonts w:hint="eastAsia"/>
          <w:lang w:val="en-US" w:eastAsia="zh-CN"/>
        </w:rPr>
      </w:pPr>
      <w:bookmarkStart w:id="23" w:name="_Toc25918"/>
      <w:r>
        <w:rPr>
          <w:rFonts w:hint="eastAsia"/>
          <w:lang w:val="en-US" w:eastAsia="zh-CN"/>
        </w:rPr>
        <w:t>施工步骤及要点</w:t>
      </w:r>
      <w:bookmarkEnd w:id="23"/>
    </w:p>
    <w:p w14:paraId="63E2493F">
      <w:pPr>
        <w:bidi w:val="0"/>
        <w:jc w:val="center"/>
        <w:rPr>
          <w:rFonts w:hint="eastAsia"/>
          <w:lang w:val="en-US" w:eastAsia="zh-CN"/>
        </w:rPr>
      </w:pPr>
      <w:r>
        <w:drawing>
          <wp:inline distT="0" distB="0" distL="114300" distR="114300">
            <wp:extent cx="5268595" cy="2555240"/>
            <wp:effectExtent l="0" t="0" r="825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68595" cy="2555240"/>
                    </a:xfrm>
                    <a:prstGeom prst="rect">
                      <a:avLst/>
                    </a:prstGeom>
                    <a:noFill/>
                    <a:ln>
                      <a:noFill/>
                    </a:ln>
                  </pic:spPr>
                </pic:pic>
              </a:graphicData>
            </a:graphic>
          </wp:inline>
        </w:drawing>
      </w:r>
    </w:p>
    <w:p w14:paraId="6C71DCA1">
      <w:pPr>
        <w:bidi w:val="0"/>
        <w:jc w:val="center"/>
        <w:rPr>
          <w:rFonts w:hint="eastAsia"/>
          <w:lang w:val="en-US" w:eastAsia="zh-CN"/>
        </w:rPr>
      </w:pPr>
      <w:r>
        <w:rPr>
          <w:rFonts w:hint="eastAsia"/>
          <w:lang w:val="en-US" w:eastAsia="zh-CN"/>
        </w:rPr>
        <w:t>图2-1 塔机安装施工步骤图</w:t>
      </w:r>
    </w:p>
    <w:p w14:paraId="49CFA25E">
      <w:pPr>
        <w:pStyle w:val="3"/>
        <w:numPr>
          <w:ilvl w:val="1"/>
          <w:numId w:val="4"/>
        </w:numPr>
        <w:bidi w:val="0"/>
        <w:ind w:left="567" w:leftChars="0" w:hanging="567" w:firstLineChars="0"/>
        <w:rPr>
          <w:rFonts w:hint="default" w:ascii="宋体" w:hAnsi="宋体" w:eastAsia="宋体" w:cs="宋体"/>
          <w:lang w:val="en-US" w:eastAsia="zh-CN"/>
        </w:rPr>
      </w:pPr>
      <w:bookmarkStart w:id="24" w:name="_Toc19294"/>
      <w:r>
        <w:rPr>
          <w:rFonts w:hint="eastAsia" w:ascii="宋体" w:hAnsi="宋体" w:eastAsia="宋体" w:cs="宋体"/>
          <w:lang w:val="en-US" w:eastAsia="zh-CN"/>
        </w:rPr>
        <w:t>安装2节基础节</w:t>
      </w:r>
      <w:bookmarkEnd w:id="24"/>
    </w:p>
    <w:p w14:paraId="609F81C7">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吊装采用四点吊，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以顶部四个销轴孔作为吊装孔，采用4根</w:t>
      </w:r>
      <w:r>
        <w:rPr>
          <w:rFonts w:hint="eastAsia" w:ascii="Times New Roman" w:hAnsi="Times New Roman" w:cs="Times New Roman"/>
          <w:szCs w:val="21"/>
          <w:highlight w:val="none"/>
          <w:lang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73D2DB6D">
      <w:pPr>
        <w:ind w:left="0" w:leftChars="0" w:firstLine="420" w:firstLineChars="0"/>
        <w:jc w:val="left"/>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至</w:t>
      </w:r>
      <w:r>
        <w:rPr>
          <w:rFonts w:hint="eastAsia" w:ascii="Times New Roman" w:hAnsi="Times New Roman" w:cs="Times New Roman"/>
          <w:szCs w:val="21"/>
          <w:highlight w:val="none"/>
          <w:lang w:eastAsia="zh-CN"/>
        </w:rPr>
        <w:t>塔机</w:t>
      </w:r>
      <w:r>
        <w:rPr>
          <w:rFonts w:hint="eastAsia" w:ascii="Times New Roman" w:hAnsi="Times New Roman" w:eastAsia="宋体" w:cs="Times New Roman"/>
          <w:szCs w:val="21"/>
          <w:highlight w:val="none"/>
        </w:rPr>
        <w:t>固定支腿上方，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底部销轴孔与预埋固定支腿轴孔对齐，作业人员插入与预埋固定支腿的连接销轴，完成</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与固定支腿的连接，并在销轴端部插入开口销固定。</w:t>
      </w:r>
      <w:r>
        <w:rPr>
          <w:rFonts w:hint="eastAsia" w:ascii="Times New Roman" w:hAnsi="Times New Roman" w:cs="Times New Roman"/>
          <w:szCs w:val="21"/>
          <w:highlight w:val="none"/>
          <w:lang w:val="en-US" w:eastAsia="zh-CN"/>
        </w:rPr>
        <w:t>采用同样的方法吊装另一节基础节，</w:t>
      </w:r>
      <w:r>
        <w:rPr>
          <w:rFonts w:hint="eastAsia" w:ascii="Times New Roman" w:hAnsi="Times New Roman" w:eastAsia="宋体" w:cs="Times New Roman"/>
          <w:szCs w:val="21"/>
          <w:highlight w:val="none"/>
        </w:rPr>
        <w:t>吊装示意如下图所示</w:t>
      </w:r>
    </w:p>
    <w:p w14:paraId="50068BED">
      <w:pPr>
        <w:ind w:left="0" w:leftChars="0" w:firstLine="420" w:firstLineChars="0"/>
        <w:jc w:val="center"/>
      </w:pPr>
      <w:r>
        <w:drawing>
          <wp:inline distT="0" distB="0" distL="114300" distR="114300">
            <wp:extent cx="3313430" cy="2939415"/>
            <wp:effectExtent l="0" t="0" r="1270" b="1333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7"/>
                    <a:stretch>
                      <a:fillRect/>
                    </a:stretch>
                  </pic:blipFill>
                  <pic:spPr>
                    <a:xfrm>
                      <a:off x="0" y="0"/>
                      <a:ext cx="3313430" cy="2939415"/>
                    </a:xfrm>
                    <a:prstGeom prst="rect">
                      <a:avLst/>
                    </a:prstGeom>
                    <a:noFill/>
                    <a:ln>
                      <a:noFill/>
                    </a:ln>
                  </pic:spPr>
                </pic:pic>
              </a:graphicData>
            </a:graphic>
          </wp:inline>
        </w:drawing>
      </w:r>
      <w:r>
        <w:drawing>
          <wp:inline distT="0" distB="0" distL="114300" distR="114300">
            <wp:extent cx="4370070" cy="2554605"/>
            <wp:effectExtent l="0" t="0" r="11430"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4370070" cy="2554605"/>
                    </a:xfrm>
                    <a:prstGeom prst="rect">
                      <a:avLst/>
                    </a:prstGeom>
                    <a:noFill/>
                    <a:ln>
                      <a:noFill/>
                    </a:ln>
                  </pic:spPr>
                </pic:pic>
              </a:graphicData>
            </a:graphic>
          </wp:inline>
        </w:drawing>
      </w:r>
    </w:p>
    <w:p w14:paraId="743ADBD5">
      <w:pPr>
        <w:pStyle w:val="15"/>
        <w:ind w:left="0" w:leftChars="0" w:firstLine="420" w:firstLineChars="0"/>
        <w:jc w:val="center"/>
      </w:pPr>
      <w:r>
        <w:t xml:space="preserve">图 </w:t>
      </w:r>
      <w:r>
        <w:fldChar w:fldCharType="begin"/>
      </w:r>
      <w:r>
        <w:instrText xml:space="preserve"> STYLEREF 2 \s </w:instrText>
      </w:r>
      <w:r>
        <w:fldChar w:fldCharType="separate"/>
      </w:r>
      <w:r>
        <w:t>2.1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highlight w:val="none"/>
          <w:lang w:val="en-US" w:eastAsia="zh-CN"/>
        </w:rPr>
        <w:t>基础节吊装示意图</w:t>
      </w:r>
    </w:p>
    <w:p w14:paraId="287F4BEA">
      <w:pPr>
        <w:pStyle w:val="3"/>
        <w:numPr>
          <w:ilvl w:val="1"/>
          <w:numId w:val="4"/>
        </w:numPr>
        <w:bidi w:val="0"/>
        <w:ind w:left="567" w:leftChars="0" w:hanging="567" w:firstLineChars="0"/>
        <w:rPr>
          <w:rFonts w:hint="eastAsia" w:ascii="宋体" w:hAnsi="宋体" w:eastAsia="宋体" w:cs="宋体"/>
          <w:lang w:val="en-US" w:eastAsia="zh-CN"/>
        </w:rPr>
      </w:pPr>
      <w:bookmarkStart w:id="25" w:name="_Toc32498"/>
      <w:r>
        <w:rPr>
          <w:rFonts w:hint="eastAsia" w:ascii="宋体" w:hAnsi="宋体" w:eastAsia="宋体" w:cs="宋体"/>
          <w:lang w:val="en-US" w:eastAsia="zh-CN"/>
        </w:rPr>
        <w:t>安装装爬升架</w:t>
      </w:r>
      <w:bookmarkEnd w:id="25"/>
    </w:p>
    <w:p w14:paraId="04C7922E">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w:t>
      </w:r>
      <w:r>
        <w:rPr>
          <w:rFonts w:hint="eastAsia" w:ascii="宋体" w:hAnsi="宋体" w:cs="宋体"/>
          <w:szCs w:val="21"/>
          <w:highlight w:val="none"/>
          <w:lang w:eastAsia="zh-CN"/>
        </w:rPr>
        <w:t>套架</w:t>
      </w:r>
      <w:r>
        <w:rPr>
          <w:rFonts w:hint="eastAsia" w:ascii="宋体" w:hAnsi="宋体" w:eastAsia="宋体" w:cs="宋体"/>
          <w:szCs w:val="21"/>
          <w:highlight w:val="none"/>
        </w:rPr>
        <w:t>架体、平台、顶升横梁、油缸及液压站等拼装成整体，</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吊装采用四点吊，以</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顶部四个销轴孔作为吊装孔，采用4根</w:t>
      </w:r>
      <w:r>
        <w:rPr>
          <w:rFonts w:hint="eastAsia" w:ascii="Times New Roman" w:hAnsi="Times New Roman" w:cs="Times New Roman"/>
          <w:szCs w:val="21"/>
          <w:highlight w:val="none"/>
          <w:lang w:val="en-US" w:eastAsia="zh-CN"/>
        </w:rPr>
        <w:t>18mm6×19W+IWR1870Mpa</w:t>
      </w:r>
      <w:r>
        <w:rPr>
          <w:rFonts w:hint="eastAsia" w:ascii="Times New Roman" w:hAnsi="Times New Roman" w:cs="Times New Roman"/>
          <w:szCs w:val="21"/>
          <w:highlight w:val="none"/>
          <w:lang w:eastAsia="zh-CN"/>
        </w:rPr>
        <w:t>的</w:t>
      </w:r>
      <w:r>
        <w:rPr>
          <w:rFonts w:hint="eastAsia" w:ascii="Times New Roman" w:hAnsi="Times New Roman" w:eastAsia="宋体" w:cs="Times New Roman"/>
          <w:szCs w:val="21"/>
          <w:highlight w:val="none"/>
        </w:rPr>
        <w:t>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77438A1E">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eastAsia="zh-CN"/>
        </w:rPr>
        <w:t>套架</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eastAsia="zh-CN"/>
        </w:rPr>
        <w:t>套架</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eastAsia="zh-CN"/>
        </w:rPr>
        <w:t>套架</w:t>
      </w:r>
      <w:r>
        <w:rPr>
          <w:rFonts w:hint="eastAsia" w:ascii="Times New Roman" w:hAnsi="Times New Roman" w:eastAsia="宋体" w:cs="Times New Roman"/>
          <w:szCs w:val="21"/>
          <w:highlight w:val="none"/>
        </w:rPr>
        <w:t>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缓慢落钩，将</w:t>
      </w:r>
      <w:r>
        <w:rPr>
          <w:rFonts w:hint="eastAsia" w:cs="Times New Roman"/>
          <w:szCs w:val="21"/>
          <w:highlight w:val="none"/>
          <w:lang w:eastAsia="zh-CN"/>
        </w:rPr>
        <w:t>套架</w:t>
      </w:r>
      <w:r>
        <w:rPr>
          <w:rFonts w:hint="eastAsia" w:ascii="Times New Roman" w:hAnsi="Times New Roman" w:eastAsia="宋体" w:cs="Times New Roman"/>
          <w:szCs w:val="21"/>
          <w:highlight w:val="none"/>
        </w:rPr>
        <w:t>套入</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对应的</w:t>
      </w:r>
      <w:r>
        <w:rPr>
          <w:rFonts w:hint="eastAsia" w:cs="Times New Roman"/>
          <w:szCs w:val="21"/>
          <w:highlight w:val="none"/>
          <w:lang w:eastAsia="zh-CN"/>
        </w:rPr>
        <w:t>套架</w:t>
      </w:r>
      <w:r>
        <w:rPr>
          <w:rFonts w:hint="eastAsia" w:ascii="Times New Roman" w:hAnsi="Times New Roman" w:eastAsia="宋体" w:cs="Times New Roman"/>
          <w:szCs w:val="21"/>
          <w:highlight w:val="none"/>
        </w:rPr>
        <w:t>爬爪处，将安全带系挂在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横杆上，将爬爪放在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踏步上，并通过安全销固定。</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吊装示意如下图所示。</w:t>
      </w:r>
    </w:p>
    <w:p w14:paraId="0F2369F1">
      <w:pPr>
        <w:bidi w:val="0"/>
        <w:ind w:left="0" w:leftChars="0" w:firstLine="0" w:firstLineChars="0"/>
        <w:jc w:val="center"/>
      </w:pPr>
      <w:r>
        <w:drawing>
          <wp:inline distT="0" distB="0" distL="114300" distR="114300">
            <wp:extent cx="3313430" cy="2939415"/>
            <wp:effectExtent l="0" t="0" r="1270" b="1333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7"/>
                    <a:stretch>
                      <a:fillRect/>
                    </a:stretch>
                  </pic:blipFill>
                  <pic:spPr>
                    <a:xfrm>
                      <a:off x="0" y="0"/>
                      <a:ext cx="3313430" cy="2939415"/>
                    </a:xfrm>
                    <a:prstGeom prst="rect">
                      <a:avLst/>
                    </a:prstGeom>
                    <a:noFill/>
                    <a:ln>
                      <a:noFill/>
                    </a:ln>
                  </pic:spPr>
                </pic:pic>
              </a:graphicData>
            </a:graphic>
          </wp:inline>
        </w:drawing>
      </w:r>
      <w:r>
        <w:drawing>
          <wp:inline distT="0" distB="0" distL="114300" distR="114300">
            <wp:extent cx="1552575" cy="2736850"/>
            <wp:effectExtent l="0" t="0" r="9525"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9"/>
                    <a:stretch>
                      <a:fillRect/>
                    </a:stretch>
                  </pic:blipFill>
                  <pic:spPr>
                    <a:xfrm>
                      <a:off x="0" y="0"/>
                      <a:ext cx="1552575" cy="2736850"/>
                    </a:xfrm>
                    <a:prstGeom prst="rect">
                      <a:avLst/>
                    </a:prstGeom>
                    <a:noFill/>
                    <a:ln>
                      <a:noFill/>
                    </a:ln>
                  </pic:spPr>
                </pic:pic>
              </a:graphicData>
            </a:graphic>
          </wp:inline>
        </w:drawing>
      </w:r>
    </w:p>
    <w:p w14:paraId="0E5DED57">
      <w:pPr>
        <w:pStyle w:val="15"/>
        <w:bidi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2.2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顶升套架总成整体吊装示意图</w:t>
      </w:r>
    </w:p>
    <w:p w14:paraId="5242DB1E">
      <w:pPr>
        <w:pStyle w:val="3"/>
        <w:numPr>
          <w:ilvl w:val="1"/>
          <w:numId w:val="4"/>
        </w:numPr>
        <w:bidi w:val="0"/>
        <w:ind w:left="567" w:leftChars="0" w:hanging="567" w:firstLineChars="0"/>
        <w:rPr>
          <w:rFonts w:hint="eastAsia" w:ascii="宋体" w:hAnsi="宋体" w:eastAsia="宋体" w:cs="宋体"/>
          <w:lang w:val="en-US" w:eastAsia="zh-CN"/>
        </w:rPr>
      </w:pPr>
      <w:bookmarkStart w:id="26" w:name="_Toc8128"/>
      <w:bookmarkStart w:id="27" w:name="_Toc7277"/>
      <w:bookmarkStart w:id="28" w:name="_Toc3919"/>
      <w:r>
        <w:rPr>
          <w:rFonts w:hint="eastAsia" w:ascii="宋体" w:hAnsi="宋体" w:eastAsia="宋体" w:cs="宋体"/>
          <w:lang w:val="en-US" w:eastAsia="zh-CN"/>
        </w:rPr>
        <w:t>安装</w:t>
      </w:r>
      <w:bookmarkEnd w:id="26"/>
      <w:bookmarkEnd w:id="27"/>
      <w:r>
        <w:rPr>
          <w:rFonts w:hint="eastAsia" w:ascii="宋体" w:hAnsi="宋体" w:eastAsia="宋体" w:cs="宋体"/>
          <w:lang w:val="en-US" w:eastAsia="zh-CN"/>
        </w:rPr>
        <w:t>特殊节、回转总成</w:t>
      </w:r>
      <w:bookmarkEnd w:id="28"/>
    </w:p>
    <w:p w14:paraId="60612DAD">
      <w:pPr>
        <w:widowControl w:val="0"/>
        <w:adjustRightInd/>
        <w:snapToGrid/>
        <w:ind w:firstLine="480"/>
        <w:rPr>
          <w:rFonts w:hint="eastAsia" w:ascii="Times New Roman" w:hAnsi="Times New Roman" w:eastAsia="宋体" w:cs="Times New Roman"/>
          <w:szCs w:val="21"/>
          <w:highlight w:val="none"/>
        </w:rPr>
      </w:pPr>
      <w:r>
        <w:rPr>
          <w:rFonts w:hint="eastAsia"/>
          <w:highlight w:val="none"/>
          <w:lang w:val="en-US" w:eastAsia="zh-CN"/>
        </w:rPr>
        <w:t>特殊节</w:t>
      </w:r>
      <w:r>
        <w:rPr>
          <w:rFonts w:hint="eastAsia" w:ascii="Times New Roman" w:hAnsi="Times New Roman" w:eastAsia="宋体" w:cs="Times New Roman"/>
          <w:szCs w:val="21"/>
          <w:highlight w:val="none"/>
        </w:rPr>
        <w:t>吊装采用四点吊，以</w:t>
      </w:r>
      <w:r>
        <w:rPr>
          <w:rFonts w:hint="eastAsia"/>
          <w:highlight w:val="none"/>
          <w:lang w:val="en-US" w:eastAsia="zh-CN"/>
        </w:rPr>
        <w:t>特殊节</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2EDF091A">
      <w:pPr>
        <w:spacing w:line="360" w:lineRule="auto"/>
        <w:ind w:firstLine="480" w:firstLineChars="20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特殊节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特殊节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特殊节</w:t>
      </w:r>
      <w:r>
        <w:rPr>
          <w:rFonts w:hint="eastAsia" w:ascii="Times New Roman" w:hAnsi="Times New Roman" w:eastAsia="宋体" w:cs="Times New Roman"/>
          <w:szCs w:val="21"/>
          <w:highlight w:val="none"/>
        </w:rPr>
        <w:t>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highlight w:val="none"/>
          <w:lang w:val="en-US" w:eastAsia="zh-CN"/>
        </w:rPr>
        <w:t>特殊节</w:t>
      </w:r>
      <w:r>
        <w:rPr>
          <w:rFonts w:hint="eastAsia" w:ascii="Times New Roman" w:hAnsi="Times New Roman" w:eastAsia="宋体" w:cs="Times New Roman"/>
          <w:szCs w:val="21"/>
          <w:highlight w:val="none"/>
        </w:rPr>
        <w:t>销轴孔与</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销轴孔对齐，将安全带系挂在</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顶部的横杆上，站立在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顶部的平台上，插入</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w:t>
      </w:r>
      <w:r>
        <w:rPr>
          <w:rFonts w:hint="eastAsia"/>
          <w:highlight w:val="none"/>
          <w:lang w:val="en-US" w:eastAsia="zh-CN"/>
        </w:rPr>
        <w:t>特殊节</w:t>
      </w:r>
      <w:r>
        <w:rPr>
          <w:rFonts w:hint="eastAsia" w:ascii="Times New Roman" w:hAnsi="Times New Roman" w:eastAsia="宋体" w:cs="Times New Roman"/>
          <w:szCs w:val="21"/>
          <w:highlight w:val="none"/>
        </w:rPr>
        <w:t>的连接销轴，完成</w:t>
      </w:r>
      <w:r>
        <w:rPr>
          <w:rFonts w:hint="eastAsia"/>
          <w:highlight w:val="none"/>
          <w:lang w:val="en-US" w:eastAsia="zh-CN"/>
        </w:rPr>
        <w:t>特殊节</w:t>
      </w:r>
      <w:r>
        <w:rPr>
          <w:rFonts w:hint="eastAsia" w:ascii="Times New Roman" w:hAnsi="Times New Roman" w:eastAsia="宋体" w:cs="Times New Roman"/>
          <w:szCs w:val="21"/>
          <w:highlight w:val="none"/>
        </w:rPr>
        <w:t>与</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的连接。</w:t>
      </w:r>
    </w:p>
    <w:p w14:paraId="712CEF30">
      <w:pPr>
        <w:spacing w:line="360" w:lineRule="auto"/>
        <w:ind w:firstLine="480" w:firstLineChars="200"/>
        <w:rPr>
          <w:rFonts w:hint="eastAsia" w:cs="宋体"/>
          <w:sz w:val="24"/>
          <w:szCs w:val="24"/>
          <w:highlight w:val="none"/>
          <w:lang w:val="en-US" w:eastAsia="zh-CN"/>
        </w:rPr>
      </w:pPr>
      <w:r>
        <w:rPr>
          <w:rFonts w:hint="eastAsia"/>
          <w:highlight w:val="none"/>
          <w:lang w:val="en-US" w:eastAsia="zh-CN"/>
        </w:rPr>
        <w:t>特殊节</w:t>
      </w:r>
      <w:r>
        <w:rPr>
          <w:rFonts w:hint="eastAsia" w:cs="宋体"/>
          <w:sz w:val="24"/>
          <w:szCs w:val="24"/>
          <w:highlight w:val="none"/>
          <w:lang w:val="en-US" w:eastAsia="zh-CN"/>
        </w:rPr>
        <w:t>的安装示意图如下</w:t>
      </w:r>
    </w:p>
    <w:p w14:paraId="330B1E2B">
      <w:pPr>
        <w:spacing w:line="360" w:lineRule="auto"/>
        <w:ind w:firstLine="480" w:firstLineChars="200"/>
        <w:jc w:val="center"/>
      </w:pPr>
      <w:r>
        <w:drawing>
          <wp:inline distT="0" distB="0" distL="114300" distR="114300">
            <wp:extent cx="3313430" cy="2939415"/>
            <wp:effectExtent l="0" t="0" r="1270" b="1333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17"/>
                    <a:stretch>
                      <a:fillRect/>
                    </a:stretch>
                  </pic:blipFill>
                  <pic:spPr>
                    <a:xfrm>
                      <a:off x="0" y="0"/>
                      <a:ext cx="3313430" cy="2939415"/>
                    </a:xfrm>
                    <a:prstGeom prst="rect">
                      <a:avLst/>
                    </a:prstGeom>
                    <a:noFill/>
                    <a:ln>
                      <a:noFill/>
                    </a:ln>
                  </pic:spPr>
                </pic:pic>
              </a:graphicData>
            </a:graphic>
          </wp:inline>
        </w:drawing>
      </w:r>
      <w:r>
        <w:drawing>
          <wp:inline distT="0" distB="0" distL="114300" distR="114300">
            <wp:extent cx="1626870" cy="2673350"/>
            <wp:effectExtent l="0" t="0" r="11430" b="1270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0"/>
                    <a:stretch>
                      <a:fillRect/>
                    </a:stretch>
                  </pic:blipFill>
                  <pic:spPr>
                    <a:xfrm>
                      <a:off x="0" y="0"/>
                      <a:ext cx="1626870" cy="2673350"/>
                    </a:xfrm>
                    <a:prstGeom prst="rect">
                      <a:avLst/>
                    </a:prstGeom>
                    <a:noFill/>
                    <a:ln>
                      <a:noFill/>
                    </a:ln>
                  </pic:spPr>
                </pic:pic>
              </a:graphicData>
            </a:graphic>
          </wp:inline>
        </w:drawing>
      </w:r>
    </w:p>
    <w:p w14:paraId="089AD60E">
      <w:pPr>
        <w:pStyle w:val="15"/>
        <w:spacing w:line="360" w:lineRule="auto"/>
        <w:ind w:firstLine="420" w:firstLineChars="200"/>
        <w:jc w:val="center"/>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特殊节整体吊装示意图</w:t>
      </w:r>
    </w:p>
    <w:p w14:paraId="04F6944F">
      <w:pPr>
        <w:keepNext w:val="0"/>
        <w:keepLines w:val="0"/>
        <w:widowControl/>
        <w:suppressLineNumbers w:val="0"/>
        <w:ind w:firstLine="420" w:firstLineChars="0"/>
        <w:jc w:val="left"/>
        <w:rPr>
          <w:rFonts w:hint="eastAsia" w:ascii="宋体" w:hAnsi="宋体" w:eastAsia="宋体" w:cs="宋体"/>
          <w:szCs w:val="21"/>
          <w:highlight w:val="none"/>
          <w:lang w:val="en-US" w:eastAsia="zh-CN"/>
        </w:rPr>
      </w:pPr>
      <w:r>
        <w:rPr>
          <w:rFonts w:hint="eastAsia" w:cs="宋体"/>
          <w:szCs w:val="21"/>
          <w:highlight w:val="none"/>
          <w:lang w:val="en-US" w:eastAsia="zh-CN"/>
        </w:rPr>
        <w:t>采用吊机</w:t>
      </w:r>
      <w:r>
        <w:rPr>
          <w:rFonts w:hint="eastAsia" w:ascii="宋体" w:hAnsi="宋体" w:eastAsia="宋体" w:cs="宋体"/>
          <w:szCs w:val="21"/>
          <w:highlight w:val="none"/>
        </w:rPr>
        <w:t>配合人工</w:t>
      </w:r>
      <w:r>
        <w:rPr>
          <w:rFonts w:hint="eastAsia" w:ascii="宋体" w:hAnsi="宋体" w:eastAsia="宋体" w:cs="宋体"/>
          <w:szCs w:val="21"/>
          <w:highlight w:val="none"/>
          <w:lang w:val="en-US" w:eastAsia="zh-CN"/>
        </w:rPr>
        <w:t>在地面上</w:t>
      </w:r>
      <w:r>
        <w:rPr>
          <w:rFonts w:hint="eastAsia" w:cs="宋体"/>
          <w:szCs w:val="21"/>
          <w:highlight w:val="none"/>
          <w:lang w:val="en-US" w:eastAsia="zh-CN"/>
        </w:rPr>
        <w:t xml:space="preserve"> </w:t>
      </w:r>
      <w:r>
        <w:rPr>
          <w:rFonts w:hint="eastAsia" w:ascii="宋体" w:hAnsi="宋体" w:eastAsia="宋体" w:cs="宋体"/>
          <w:szCs w:val="21"/>
          <w:highlight w:val="none"/>
          <w:lang w:val="en-US" w:eastAsia="zh-CN"/>
        </w:rPr>
        <w:t>，先将</w:t>
      </w:r>
      <w:r>
        <w:rPr>
          <w:rFonts w:hint="eastAsia" w:ascii="宋体" w:hAnsi="宋体" w:eastAsia="宋体" w:cs="宋体"/>
          <w:color w:val="000000"/>
          <w:kern w:val="0"/>
          <w:sz w:val="24"/>
          <w:szCs w:val="24"/>
          <w:lang w:val="en-US" w:eastAsia="zh-CN" w:bidi="ar"/>
        </w:rPr>
        <w:t>下支座、回转支承、上支座、回转机构及司机室</w:t>
      </w:r>
      <w:r>
        <w:rPr>
          <w:rFonts w:hint="eastAsia" w:ascii="宋体" w:hAnsi="宋体" w:eastAsia="宋体" w:cs="宋体"/>
          <w:szCs w:val="21"/>
          <w:highlight w:val="none"/>
          <w:lang w:val="en-US" w:eastAsia="zh-CN"/>
        </w:rPr>
        <w:t>等装为一体</w:t>
      </w:r>
      <w:r>
        <w:rPr>
          <w:rFonts w:hint="eastAsia" w:cs="宋体"/>
          <w:szCs w:val="21"/>
          <w:highlight w:val="none"/>
          <w:lang w:val="en-US" w:eastAsia="zh-CN"/>
        </w:rPr>
        <w:t>，</w:t>
      </w:r>
      <w:r>
        <w:rPr>
          <w:rFonts w:hint="eastAsia" w:ascii="宋体" w:hAnsi="宋体" w:eastAsia="宋体" w:cs="宋体"/>
          <w:color w:val="000000"/>
          <w:kern w:val="0"/>
          <w:sz w:val="24"/>
          <w:szCs w:val="24"/>
          <w:lang w:val="en-US" w:eastAsia="zh-CN" w:bidi="ar"/>
        </w:rPr>
        <w:t>同时检查回转支承上的高强螺栓的预紧力矩是否达</w:t>
      </w:r>
      <w:r>
        <w:rPr>
          <w:rFonts w:hint="eastAsia" w:ascii="Times New Roman" w:hAnsi="Times New Roman" w:eastAsia="宋体" w:cs="Times New Roman"/>
          <w:color w:val="000000"/>
          <w:kern w:val="0"/>
          <w:sz w:val="24"/>
          <w:szCs w:val="24"/>
          <w:lang w:val="en-US" w:eastAsia="zh-CN" w:bidi="ar"/>
        </w:rPr>
        <w:t>1350</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且防松螺母的预紧力矩稍大于</w:t>
      </w:r>
      <w:r>
        <w:rPr>
          <w:rFonts w:hint="default" w:ascii="Times New Roman" w:hAnsi="Times New Roman" w:eastAsia="宋体" w:cs="Times New Roman"/>
          <w:color w:val="000000"/>
          <w:kern w:val="0"/>
          <w:sz w:val="24"/>
          <w:szCs w:val="24"/>
          <w:lang w:val="en-US" w:eastAsia="zh-CN" w:bidi="ar"/>
        </w:rPr>
        <w:t>1350N·m</w:t>
      </w:r>
      <w:r>
        <w:rPr>
          <w:rFonts w:hint="eastAsia" w:ascii="宋体" w:hAnsi="宋体" w:eastAsia="宋体" w:cs="宋体"/>
          <w:szCs w:val="21"/>
          <w:highlight w:val="none"/>
          <w:lang w:val="en-US" w:eastAsia="zh-CN"/>
        </w:rPr>
        <w:t>，</w:t>
      </w:r>
      <w:r>
        <w:rPr>
          <w:rFonts w:hint="eastAsia" w:cs="宋体"/>
          <w:szCs w:val="21"/>
          <w:highlight w:val="none"/>
          <w:lang w:val="en-US" w:eastAsia="zh-CN"/>
        </w:rPr>
        <w:t>然后</w:t>
      </w:r>
      <w:r>
        <w:rPr>
          <w:rFonts w:hint="eastAsia" w:ascii="宋体" w:hAnsi="宋体" w:eastAsia="宋体" w:cs="宋体"/>
          <w:szCs w:val="21"/>
          <w:highlight w:val="none"/>
          <w:lang w:val="en-US" w:eastAsia="zh-CN"/>
        </w:rPr>
        <w:t>安装到特殊节上。</w:t>
      </w:r>
    </w:p>
    <w:p w14:paraId="3D948623">
      <w:pPr>
        <w:pStyle w:val="15"/>
        <w:bidi w:val="0"/>
      </w:pPr>
      <w:r>
        <w:drawing>
          <wp:inline distT="0" distB="0" distL="114300" distR="114300">
            <wp:extent cx="2905760" cy="3106420"/>
            <wp:effectExtent l="0" t="0" r="8890" b="1778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1"/>
                    <a:stretch>
                      <a:fillRect/>
                    </a:stretch>
                  </pic:blipFill>
                  <pic:spPr>
                    <a:xfrm>
                      <a:off x="0" y="0"/>
                      <a:ext cx="2905760" cy="3106420"/>
                    </a:xfrm>
                    <a:prstGeom prst="rect">
                      <a:avLst/>
                    </a:prstGeom>
                    <a:noFill/>
                    <a:ln>
                      <a:noFill/>
                    </a:ln>
                  </pic:spPr>
                </pic:pic>
              </a:graphicData>
            </a:graphic>
          </wp:inline>
        </w:drawing>
      </w:r>
    </w:p>
    <w:p w14:paraId="71A4B27E">
      <w:pPr>
        <w:pStyle w:val="15"/>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highlight w:val="none"/>
          <w:lang w:val="en-US" w:eastAsia="zh-CN"/>
        </w:rPr>
        <w:t xml:space="preserve"> 回转总成吊装示意图</w:t>
      </w:r>
    </w:p>
    <w:p w14:paraId="68DC4224">
      <w:pPr>
        <w:pStyle w:val="3"/>
        <w:numPr>
          <w:ilvl w:val="1"/>
          <w:numId w:val="4"/>
        </w:numPr>
        <w:bidi w:val="0"/>
        <w:ind w:left="567" w:leftChars="0" w:hanging="567" w:firstLineChars="0"/>
        <w:rPr>
          <w:rFonts w:hint="default" w:ascii="宋体" w:hAnsi="宋体" w:eastAsia="宋体" w:cs="宋体"/>
          <w:lang w:val="en-US" w:eastAsia="zh-CN"/>
        </w:rPr>
      </w:pPr>
      <w:bookmarkStart w:id="29" w:name="_Toc1567"/>
      <w:r>
        <w:rPr>
          <w:rFonts w:hint="eastAsia" w:ascii="宋体" w:hAnsi="宋体" w:eastAsia="宋体" w:cs="宋体"/>
          <w:lang w:val="en-US" w:eastAsia="zh-CN"/>
        </w:rPr>
        <w:t>安装臂根节</w:t>
      </w:r>
      <w:bookmarkEnd w:id="29"/>
    </w:p>
    <w:p w14:paraId="60E63DB3">
      <w:pPr>
        <w:ind w:firstLine="480"/>
        <w:rPr>
          <w:highlight w:val="green"/>
        </w:rPr>
      </w:pPr>
      <w:r>
        <w:rPr>
          <w:rFonts w:hint="eastAsia"/>
          <w:highlight w:val="none"/>
        </w:rPr>
        <w:t>采用吊机配合人工在地面上将臂根节拼装完成，臂根节吊装采用四点吊，以臂根节顶部四个销轴孔作为吊装孔，采用4根</w:t>
      </w:r>
      <w:r>
        <w:rPr>
          <w:rFonts w:hint="eastAsia"/>
          <w:highlight w:val="none"/>
          <w:lang w:eastAsia="zh-CN"/>
        </w:rPr>
        <w:t>18mm6×19W+IWR1870Mpa</w:t>
      </w:r>
      <w:r>
        <w:rPr>
          <w:rFonts w:hint="eastAsia"/>
          <w:highlight w:val="none"/>
        </w:rPr>
        <w:t>的钢丝绳配套</w:t>
      </w:r>
      <w:r>
        <w:rPr>
          <w:rFonts w:hint="eastAsia"/>
          <w:highlight w:val="none"/>
          <w:lang w:eastAsia="zh-CN"/>
        </w:rPr>
        <w:t>GB/T 25854-6-DW5</w:t>
      </w:r>
      <w:r>
        <w:rPr>
          <w:rFonts w:hint="eastAsia"/>
          <w:highlight w:val="none"/>
        </w:rPr>
        <w:t>卸扣进行吊装</w:t>
      </w:r>
      <w:r>
        <w:rPr>
          <w:rFonts w:hint="eastAsia"/>
        </w:rPr>
        <w:t>。</w:t>
      </w:r>
    </w:p>
    <w:p w14:paraId="757E6458">
      <w:pPr>
        <w:ind w:firstLine="480"/>
      </w:pPr>
      <w:r>
        <w:rPr>
          <w:rFonts w:hint="eastAsia"/>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301B868F">
      <w:pPr>
        <w:bidi w:val="0"/>
        <w:ind w:left="0" w:leftChars="0" w:firstLine="0" w:firstLineChars="0"/>
        <w:jc w:val="center"/>
      </w:pPr>
      <w:r>
        <w:drawing>
          <wp:inline distT="0" distB="0" distL="114300" distR="114300">
            <wp:extent cx="3282950" cy="3091815"/>
            <wp:effectExtent l="0" t="0" r="12700" b="1333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22"/>
                    <a:stretch>
                      <a:fillRect/>
                    </a:stretch>
                  </pic:blipFill>
                  <pic:spPr>
                    <a:xfrm>
                      <a:off x="0" y="0"/>
                      <a:ext cx="3282950" cy="3091815"/>
                    </a:xfrm>
                    <a:prstGeom prst="rect">
                      <a:avLst/>
                    </a:prstGeom>
                    <a:noFill/>
                    <a:ln>
                      <a:noFill/>
                    </a:ln>
                  </pic:spPr>
                </pic:pic>
              </a:graphicData>
            </a:graphic>
          </wp:inline>
        </w:drawing>
      </w:r>
      <w:r>
        <w:drawing>
          <wp:inline distT="0" distB="0" distL="114300" distR="114300">
            <wp:extent cx="1809115" cy="2867660"/>
            <wp:effectExtent l="0" t="0" r="635" b="889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23"/>
                    <a:stretch>
                      <a:fillRect/>
                    </a:stretch>
                  </pic:blipFill>
                  <pic:spPr>
                    <a:xfrm>
                      <a:off x="0" y="0"/>
                      <a:ext cx="1809115" cy="2867660"/>
                    </a:xfrm>
                    <a:prstGeom prst="rect">
                      <a:avLst/>
                    </a:prstGeom>
                    <a:noFill/>
                    <a:ln>
                      <a:noFill/>
                    </a:ln>
                  </pic:spPr>
                </pic:pic>
              </a:graphicData>
            </a:graphic>
          </wp:inline>
        </w:drawing>
      </w:r>
    </w:p>
    <w:p w14:paraId="10856DA1">
      <w:pPr>
        <w:pStyle w:val="15"/>
        <w:bidi w:val="0"/>
        <w:ind w:left="0" w:leftChars="0" w:firstLine="0" w:firstLineChars="0"/>
        <w:jc w:val="center"/>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cs="Times New Roman"/>
          <w:highlight w:val="none"/>
          <w:lang w:val="en-US" w:eastAsia="zh-CN"/>
        </w:rPr>
        <w:t xml:space="preserve"> 安装臂根节吊装示意图</w:t>
      </w:r>
    </w:p>
    <w:p w14:paraId="7587E44A">
      <w:pPr>
        <w:pStyle w:val="3"/>
        <w:numPr>
          <w:ilvl w:val="1"/>
          <w:numId w:val="4"/>
        </w:numPr>
        <w:bidi w:val="0"/>
        <w:ind w:left="567" w:leftChars="0" w:hanging="567" w:firstLineChars="0"/>
        <w:rPr>
          <w:rFonts w:hint="eastAsia" w:ascii="宋体" w:hAnsi="宋体" w:eastAsia="宋体" w:cs="宋体"/>
          <w:lang w:val="en-US" w:eastAsia="zh-CN"/>
        </w:rPr>
      </w:pPr>
      <w:bookmarkStart w:id="30" w:name="_Toc28267"/>
      <w:bookmarkStart w:id="31" w:name="_Toc25574"/>
      <w:bookmarkStart w:id="32" w:name="_Toc11593"/>
      <w:r>
        <w:rPr>
          <w:rFonts w:hint="eastAsia" w:ascii="宋体" w:hAnsi="宋体" w:eastAsia="宋体" w:cs="宋体"/>
          <w:lang w:val="en-US" w:eastAsia="zh-CN"/>
        </w:rPr>
        <w:t>安装平衡臂和平衡臂拉杆</w:t>
      </w:r>
      <w:bookmarkEnd w:id="30"/>
    </w:p>
    <w:p w14:paraId="4A60CCAC">
      <w:pPr>
        <w:ind w:firstLine="420" w:firstLineChars="0"/>
        <w:rPr>
          <w:rFonts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w:t>
      </w:r>
      <w:r>
        <w:rPr>
          <w:rFonts w:hint="eastAsia"/>
          <w:highlight w:val="none"/>
          <w:lang w:val="en-US" w:eastAsia="zh-CN"/>
        </w:rPr>
        <w:t>将平衡臂组装好（含走台及栏杆），</w:t>
      </w:r>
      <w:r>
        <w:rPr>
          <w:rFonts w:hint="eastAsia" w:ascii="Times New Roman" w:hAnsi="Times New Roman" w:eastAsia="宋体" w:cs="Times New Roman"/>
          <w:szCs w:val="21"/>
          <w:highlight w:val="none"/>
        </w:rPr>
        <w:t>吊装采用四点吊，以</w:t>
      </w:r>
      <w:r>
        <w:rPr>
          <w:rFonts w:hint="eastAsia"/>
          <w:highlight w:val="none"/>
          <w:lang w:val="en-US" w:eastAsia="zh-CN"/>
        </w:rPr>
        <w:t>平衡臂</w:t>
      </w:r>
      <w:r>
        <w:rPr>
          <w:rFonts w:hint="eastAsia" w:ascii="Times New Roman" w:hAnsi="Times New Roman" w:eastAsia="宋体" w:cs="Times New Roman"/>
          <w:szCs w:val="21"/>
          <w:highlight w:val="none"/>
        </w:rPr>
        <w:t>上弦杆吊耳作为吊装孔，采用4根</w:t>
      </w:r>
      <w:r>
        <w:rPr>
          <w:rFonts w:hint="eastAsia" w:ascii="Times New Roman" w:hAnsi="Times New Roman"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0F298786">
      <w:pPr>
        <w:widowControl w:val="0"/>
        <w:adjustRightInd/>
        <w:snapToGrid/>
        <w:ind w:firstLine="480"/>
        <w:rPr>
          <w:rFonts w:hint="eastAsia"/>
          <w:highlight w:val="none"/>
          <w:lang w:val="en-US" w:eastAsia="zh-CN"/>
        </w:rPr>
      </w:pPr>
      <w:r>
        <w:rPr>
          <w:rFonts w:hint="eastAsia" w:cs="Times New Roman"/>
          <w:szCs w:val="21"/>
          <w:highlight w:val="none"/>
          <w:lang w:eastAsia="zh-CN"/>
        </w:rPr>
        <w:t>（</w:t>
      </w:r>
      <w:r>
        <w:rPr>
          <w:rFonts w:hint="eastAsia" w:cs="Times New Roman"/>
          <w:szCs w:val="21"/>
          <w:highlight w:val="none"/>
          <w:lang w:val="en-US" w:eastAsia="zh-CN"/>
        </w:rPr>
        <w:t>2</w:t>
      </w:r>
      <w:r>
        <w:rPr>
          <w:rFonts w:hint="eastAsia" w:cs="Times New Roman"/>
          <w:szCs w:val="21"/>
          <w:highlight w:val="none"/>
          <w:lang w:eastAsia="zh-CN"/>
        </w:rPr>
        <w:t>）</w:t>
      </w: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平衡臂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平衡臂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平衡臂</w:t>
      </w:r>
      <w:r>
        <w:rPr>
          <w:rFonts w:hint="eastAsia" w:ascii="Times New Roman" w:hAnsi="Times New Roman" w:eastAsia="宋体" w:cs="Times New Roman"/>
          <w:szCs w:val="21"/>
          <w:highlight w:val="none"/>
        </w:rPr>
        <w:t>至</w:t>
      </w:r>
      <w:r>
        <w:rPr>
          <w:rFonts w:hint="eastAsia"/>
          <w:highlight w:val="none"/>
          <w:lang w:val="en-US" w:eastAsia="zh-CN"/>
        </w:rPr>
        <w:t>起重臂臂根节</w:t>
      </w:r>
      <w:r>
        <w:rPr>
          <w:rFonts w:hint="eastAsia" w:ascii="Times New Roman" w:hAnsi="Times New Roman" w:eastAsia="宋体" w:cs="Times New Roman"/>
          <w:szCs w:val="21"/>
          <w:highlight w:val="none"/>
        </w:rPr>
        <w:t>上</w:t>
      </w:r>
      <w:r>
        <w:rPr>
          <w:rFonts w:hint="eastAsia" w:cs="Times New Roman"/>
          <w:szCs w:val="21"/>
          <w:highlight w:val="none"/>
          <w:lang w:val="en-US" w:eastAsia="zh-CN"/>
        </w:rPr>
        <w:t>后</w:t>
      </w:r>
      <w:r>
        <w:rPr>
          <w:rFonts w:hint="eastAsia" w:ascii="Times New Roman" w:hAnsi="Times New Roman" w:eastAsia="宋体" w:cs="Times New Roman"/>
          <w:szCs w:val="21"/>
          <w:highlight w:val="none"/>
        </w:rPr>
        <w:t>方，</w:t>
      </w:r>
      <w:r>
        <w:rPr>
          <w:rFonts w:hint="eastAsia" w:eastAsia="宋体" w:cs="Times New Roman"/>
          <w:szCs w:val="21"/>
          <w:highlight w:val="none"/>
          <w:lang w:eastAsia="zh-CN"/>
        </w:rPr>
        <w:t>将组装好的平衡臂吊起，对接</w:t>
      </w:r>
      <w:r>
        <w:rPr>
          <w:rFonts w:hint="eastAsia"/>
          <w:highlight w:val="none"/>
          <w:lang w:val="en-US" w:eastAsia="zh-CN"/>
        </w:rPr>
        <w:t>起重臂臂根节</w:t>
      </w:r>
      <w:r>
        <w:rPr>
          <w:rFonts w:hint="eastAsia" w:eastAsia="宋体" w:cs="Times New Roman"/>
          <w:szCs w:val="21"/>
          <w:highlight w:val="none"/>
          <w:lang w:eastAsia="zh-CN"/>
        </w:rPr>
        <w:t>连接耳板，插入销轴、及R形销，缓慢放下。将平衡臂放置一定程度，把安装在</w:t>
      </w:r>
      <w:r>
        <w:rPr>
          <w:rFonts w:hint="eastAsia"/>
          <w:highlight w:val="none"/>
          <w:lang w:val="en-US" w:eastAsia="zh-CN"/>
        </w:rPr>
        <w:t>起重臂臂根节</w:t>
      </w:r>
      <w:r>
        <w:rPr>
          <w:rFonts w:hint="eastAsia" w:eastAsia="宋体" w:cs="Times New Roman"/>
          <w:szCs w:val="21"/>
          <w:highlight w:val="none"/>
          <w:lang w:eastAsia="zh-CN"/>
        </w:rPr>
        <w:t>的短拉杆和平衡臂上的长拉杆对接好后，插入销轴及开口销缓慢放下，直到拉绷紧，平衡水平。</w:t>
      </w:r>
      <w:r>
        <w:rPr>
          <w:rFonts w:hint="eastAsia" w:cs="Times New Roman"/>
          <w:szCs w:val="21"/>
          <w:highlight w:val="none"/>
          <w:lang w:val="en-US" w:eastAsia="zh-CN"/>
        </w:rPr>
        <w:t>安装示意图如下：</w:t>
      </w:r>
    </w:p>
    <w:p w14:paraId="3BF84136">
      <w:pPr>
        <w:jc w:val="center"/>
      </w:pPr>
      <w:r>
        <w:drawing>
          <wp:inline distT="0" distB="0" distL="114300" distR="114300">
            <wp:extent cx="2966085" cy="2808605"/>
            <wp:effectExtent l="0" t="0" r="5715" b="1079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24"/>
                    <a:stretch>
                      <a:fillRect/>
                    </a:stretch>
                  </pic:blipFill>
                  <pic:spPr>
                    <a:xfrm>
                      <a:off x="0" y="0"/>
                      <a:ext cx="2966085" cy="2808605"/>
                    </a:xfrm>
                    <a:prstGeom prst="rect">
                      <a:avLst/>
                    </a:prstGeom>
                    <a:noFill/>
                    <a:ln>
                      <a:noFill/>
                    </a:ln>
                  </pic:spPr>
                </pic:pic>
              </a:graphicData>
            </a:graphic>
          </wp:inline>
        </w:drawing>
      </w:r>
      <w:r>
        <w:drawing>
          <wp:inline distT="0" distB="0" distL="114300" distR="114300">
            <wp:extent cx="2212340" cy="2693670"/>
            <wp:effectExtent l="0" t="0" r="16510" b="1143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25"/>
                    <a:stretch>
                      <a:fillRect/>
                    </a:stretch>
                  </pic:blipFill>
                  <pic:spPr>
                    <a:xfrm>
                      <a:off x="0" y="0"/>
                      <a:ext cx="2212340" cy="2693670"/>
                    </a:xfrm>
                    <a:prstGeom prst="rect">
                      <a:avLst/>
                    </a:prstGeom>
                    <a:noFill/>
                    <a:ln>
                      <a:noFill/>
                    </a:ln>
                  </pic:spPr>
                </pic:pic>
              </a:graphicData>
            </a:graphic>
          </wp:inline>
        </w:drawing>
      </w:r>
    </w:p>
    <w:p w14:paraId="489FFD44">
      <w:pPr>
        <w:pStyle w:val="15"/>
        <w:jc w:val="center"/>
      </w:pPr>
      <w:r>
        <w:t xml:space="preserve">图 </w:t>
      </w:r>
      <w:r>
        <w:fldChar w:fldCharType="begin"/>
      </w:r>
      <w:r>
        <w:instrText xml:space="preserve"> STYLEREF 2 \s </w:instrText>
      </w:r>
      <w:r>
        <w:fldChar w:fldCharType="separate"/>
      </w:r>
      <w:r>
        <w:t>2.5</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安装平衡臂和平衡臂拉杆</w:t>
      </w:r>
    </w:p>
    <w:p w14:paraId="211B457D">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，将安全带交替系挂在</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w:t>
      </w:r>
      <w:r>
        <w:rPr>
          <w:rFonts w:hint="eastAsia" w:cs="Times New Roman"/>
          <w:szCs w:val="21"/>
          <w:highlight w:val="none"/>
          <w:lang w:val="en-US" w:eastAsia="zh-CN"/>
        </w:rPr>
        <w:t>护栏</w:t>
      </w:r>
      <w:r>
        <w:rPr>
          <w:rFonts w:hint="eastAsia" w:ascii="Times New Roman" w:hAnsi="Times New Roman" w:eastAsia="宋体" w:cs="Times New Roman"/>
          <w:szCs w:val="21"/>
          <w:highlight w:val="none"/>
        </w:rPr>
        <w:t>，沿</w:t>
      </w:r>
      <w:r>
        <w:rPr>
          <w:rFonts w:hint="eastAsia" w:cs="Times New Roman"/>
          <w:szCs w:val="21"/>
          <w:highlight w:val="none"/>
          <w:lang w:val="en-US" w:eastAsia="zh-CN"/>
        </w:rPr>
        <w:t>走道</w:t>
      </w:r>
      <w:r>
        <w:rPr>
          <w:rFonts w:hint="eastAsia" w:ascii="Times New Roman" w:hAnsi="Times New Roman" w:eastAsia="宋体" w:cs="Times New Roman"/>
          <w:szCs w:val="21"/>
          <w:highlight w:val="none"/>
        </w:rPr>
        <w:t>走行至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臂节吊点位置，</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放松吊钩，作业人员解除钢丝绳与</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臂节吊点的连接。</w:t>
      </w:r>
    </w:p>
    <w:p w14:paraId="1E64D8D9">
      <w:pPr>
        <w:widowControl w:val="0"/>
        <w:adjustRightInd/>
        <w:snapToGrid/>
        <w:ind w:firstLine="480"/>
        <w:rPr>
          <w:rFonts w:hint="default"/>
          <w:highlight w:val="none"/>
          <w:lang w:val="en-US" w:eastAsia="zh-CN"/>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安装时设置警戒区，起吊安排专人负责指挥，专人操作，严禁无关人员进入起重作业范围内。</w:t>
      </w:r>
    </w:p>
    <w:p w14:paraId="5F8112AC">
      <w:pPr>
        <w:pStyle w:val="3"/>
        <w:numPr>
          <w:ilvl w:val="1"/>
          <w:numId w:val="4"/>
        </w:numPr>
        <w:bidi w:val="0"/>
        <w:ind w:left="567" w:leftChars="0" w:hanging="567" w:firstLineChars="0"/>
        <w:rPr>
          <w:rFonts w:hint="eastAsia" w:ascii="宋体" w:hAnsi="宋体" w:eastAsia="宋体" w:cs="宋体"/>
          <w:lang w:val="en-US" w:eastAsia="zh-CN"/>
        </w:rPr>
      </w:pPr>
      <w:bookmarkStart w:id="33" w:name="_Toc16896"/>
      <w:r>
        <w:rPr>
          <w:rFonts w:hint="eastAsia" w:ascii="宋体" w:hAnsi="宋体" w:eastAsia="宋体" w:cs="宋体"/>
          <w:lang w:val="en-US" w:eastAsia="zh-CN"/>
        </w:rPr>
        <w:t>安装1块3.2t平衡重</w:t>
      </w:r>
      <w:bookmarkEnd w:id="31"/>
      <w:bookmarkEnd w:id="32"/>
      <w:bookmarkEnd w:id="33"/>
    </w:p>
    <w:p w14:paraId="3A491B25">
      <w:pPr>
        <w:bidi w:val="0"/>
        <w:ind w:firstLine="480" w:firstLineChars="200"/>
        <w:rPr>
          <w:rFonts w:hint="eastAsia"/>
          <w:lang w:val="en-US" w:eastAsia="zh-CN"/>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17E731F6">
      <w:pPr>
        <w:bidi w:val="0"/>
        <w:ind w:left="0" w:leftChars="0" w:firstLine="0" w:firstLineChars="0"/>
        <w:jc w:val="center"/>
      </w:pPr>
      <w:r>
        <w:drawing>
          <wp:inline distT="0" distB="0" distL="114300" distR="114300">
            <wp:extent cx="3277235" cy="3103245"/>
            <wp:effectExtent l="0" t="0" r="18415" b="1905"/>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24"/>
                    <a:stretch>
                      <a:fillRect/>
                    </a:stretch>
                  </pic:blipFill>
                  <pic:spPr>
                    <a:xfrm>
                      <a:off x="0" y="0"/>
                      <a:ext cx="3277235" cy="3103245"/>
                    </a:xfrm>
                    <a:prstGeom prst="rect">
                      <a:avLst/>
                    </a:prstGeom>
                    <a:noFill/>
                    <a:ln>
                      <a:noFill/>
                    </a:ln>
                  </pic:spPr>
                </pic:pic>
              </a:graphicData>
            </a:graphic>
          </wp:inline>
        </w:drawing>
      </w:r>
      <w:r>
        <w:drawing>
          <wp:inline distT="0" distB="0" distL="114300" distR="114300">
            <wp:extent cx="2741930" cy="2844165"/>
            <wp:effectExtent l="0" t="0" r="1270" b="1333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26"/>
                    <a:stretch>
                      <a:fillRect/>
                    </a:stretch>
                  </pic:blipFill>
                  <pic:spPr>
                    <a:xfrm>
                      <a:off x="0" y="0"/>
                      <a:ext cx="2741930" cy="2844165"/>
                    </a:xfrm>
                    <a:prstGeom prst="rect">
                      <a:avLst/>
                    </a:prstGeom>
                    <a:noFill/>
                    <a:ln>
                      <a:noFill/>
                    </a:ln>
                  </pic:spPr>
                </pic:pic>
              </a:graphicData>
            </a:graphic>
          </wp:inline>
        </w:drawing>
      </w:r>
    </w:p>
    <w:p w14:paraId="2485C9BD">
      <w:pPr>
        <w:pStyle w:val="15"/>
        <w:bidi w:val="0"/>
        <w:ind w:left="0" w:leftChars="0" w:firstLine="0" w:firstLineChars="0"/>
        <w:jc w:val="center"/>
        <w:rPr>
          <w:rFonts w:hint="default"/>
          <w:lang w:val="en-US" w:eastAsia="zh-CN"/>
        </w:rPr>
      </w:pPr>
      <w:r>
        <w:t xml:space="preserve">图 </w:t>
      </w:r>
      <w:r>
        <w:fldChar w:fldCharType="begin"/>
      </w:r>
      <w:r>
        <w:instrText xml:space="preserve"> STYLEREF 2 \s </w:instrText>
      </w:r>
      <w:r>
        <w:fldChar w:fldCharType="separate"/>
      </w:r>
      <w:r>
        <w:t>2.6</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平衡重吊装示意图</w:t>
      </w:r>
    </w:p>
    <w:p w14:paraId="1658A5B0">
      <w:pPr>
        <w:pStyle w:val="3"/>
        <w:numPr>
          <w:ilvl w:val="1"/>
          <w:numId w:val="4"/>
        </w:numPr>
        <w:bidi w:val="0"/>
        <w:ind w:left="567" w:leftChars="0" w:hanging="567" w:firstLineChars="0"/>
        <w:rPr>
          <w:rFonts w:hint="eastAsia" w:ascii="宋体" w:hAnsi="宋体" w:eastAsia="宋体" w:cs="宋体"/>
          <w:lang w:val="en-US" w:eastAsia="zh-CN"/>
        </w:rPr>
      </w:pPr>
      <w:bookmarkStart w:id="34" w:name="_Toc23299"/>
      <w:bookmarkStart w:id="35" w:name="_Toc21892"/>
      <w:bookmarkStart w:id="36" w:name="_Toc2500"/>
      <w:r>
        <w:rPr>
          <w:rFonts w:hint="eastAsia" w:ascii="宋体" w:hAnsi="宋体" w:eastAsia="宋体" w:cs="宋体"/>
          <w:lang w:val="en-US" w:eastAsia="zh-CN"/>
        </w:rPr>
        <w:t>安装剩余起重臂</w:t>
      </w:r>
      <w:bookmarkEnd w:id="34"/>
      <w:bookmarkEnd w:id="35"/>
      <w:bookmarkEnd w:id="36"/>
    </w:p>
    <w:p w14:paraId="0F947BD7">
      <w:pPr>
        <w:ind w:firstLine="420" w:firstLineChars="0"/>
        <w:rPr>
          <w:rFonts w:hint="eastAsia"/>
          <w:lang w:val="en-US" w:eastAsia="zh-CN"/>
        </w:rPr>
      </w:pPr>
      <w:r>
        <w:rPr>
          <w:rFonts w:hint="eastAsia"/>
          <w:lang w:val="en-US" w:eastAsia="zh-CN"/>
        </w:rPr>
        <w:t>起重臂组装时，必须严格按照每节臂上的序号标记组装，不允许错位或随意组装。根据施工要求可以将起重臂组装成如下图起重臂臂长组合所示组合。</w:t>
      </w:r>
    </w:p>
    <w:p w14:paraId="3ABCAF39">
      <w:r>
        <w:drawing>
          <wp:inline distT="0" distB="0" distL="114300" distR="114300">
            <wp:extent cx="5268595" cy="3058160"/>
            <wp:effectExtent l="0" t="0" r="8255" b="8890"/>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27"/>
                    <a:srcRect b="3254"/>
                    <a:stretch>
                      <a:fillRect/>
                    </a:stretch>
                  </pic:blipFill>
                  <pic:spPr>
                    <a:xfrm>
                      <a:off x="0" y="0"/>
                      <a:ext cx="5268595" cy="3058160"/>
                    </a:xfrm>
                    <a:prstGeom prst="rect">
                      <a:avLst/>
                    </a:prstGeom>
                    <a:noFill/>
                    <a:ln>
                      <a:noFill/>
                    </a:ln>
                  </pic:spPr>
                </pic:pic>
              </a:graphicData>
            </a:graphic>
          </wp:inline>
        </w:drawing>
      </w:r>
    </w:p>
    <w:p w14:paraId="73A05CE9">
      <w:pPr>
        <w:pStyle w:val="15"/>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ascii="Times New Roman" w:hAnsi="Times New Roman" w:cs="Times New Roman"/>
          <w:highlight w:val="none"/>
          <w:lang w:val="en-US" w:eastAsia="zh-CN"/>
        </w:rPr>
        <w:t>起重臂组合图</w:t>
      </w:r>
    </w:p>
    <w:p w14:paraId="0069FC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2C9754E1">
      <w:pPr>
        <w:pStyle w:val="14"/>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default"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以同样的方法安装剩余起重臂。</w:t>
      </w:r>
    </w:p>
    <w:p w14:paraId="07DE12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ascii="宋体" w:hAnsi="宋体" w:eastAsia="宋体" w:cs="宋体"/>
          <w:bCs/>
          <w:kern w:val="2"/>
          <w:sz w:val="24"/>
          <w:szCs w:val="24"/>
          <w:lang w:val="en-US" w:eastAsia="zh-CN" w:bidi="ar-SA"/>
        </w:rPr>
        <w:t>塔吊起重臂总成安装时设置警戒区，起吊安排专人负责指挥，专人操作，严禁无关人员进入起重作业范围内</w:t>
      </w:r>
      <w:r>
        <w:rPr>
          <w:rFonts w:hint="eastAsia"/>
        </w:rPr>
        <w:t>。</w:t>
      </w:r>
    </w:p>
    <w:p w14:paraId="5F2F6A3E">
      <w:pPr>
        <w:keepNext w:val="0"/>
        <w:keepLines w:val="0"/>
        <w:pageBreakBefore w:val="0"/>
        <w:widowControl w:val="0"/>
        <w:kinsoku/>
        <w:wordWrap/>
        <w:overflowPunct/>
        <w:topLinePunct w:val="0"/>
        <w:autoSpaceDE/>
        <w:autoSpaceDN/>
        <w:bidi w:val="0"/>
        <w:adjustRightInd/>
        <w:snapToGrid/>
        <w:ind w:firstLine="480" w:firstLineChars="200"/>
        <w:textAlignment w:val="auto"/>
      </w:pPr>
      <w:r>
        <w:drawing>
          <wp:inline distT="0" distB="0" distL="114300" distR="114300">
            <wp:extent cx="2717800" cy="2653665"/>
            <wp:effectExtent l="0" t="0" r="6350" b="13335"/>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28"/>
                    <a:srcRect l="11235" r="8017"/>
                    <a:stretch>
                      <a:fillRect/>
                    </a:stretch>
                  </pic:blipFill>
                  <pic:spPr>
                    <a:xfrm>
                      <a:off x="0" y="0"/>
                      <a:ext cx="2717800" cy="2653665"/>
                    </a:xfrm>
                    <a:prstGeom prst="rect">
                      <a:avLst/>
                    </a:prstGeom>
                    <a:noFill/>
                    <a:ln>
                      <a:noFill/>
                    </a:ln>
                  </pic:spPr>
                </pic:pic>
              </a:graphicData>
            </a:graphic>
          </wp:inline>
        </w:drawing>
      </w:r>
      <w:r>
        <w:drawing>
          <wp:inline distT="0" distB="0" distL="114300" distR="114300">
            <wp:extent cx="1758950" cy="2671445"/>
            <wp:effectExtent l="0" t="0" r="12700" b="14605"/>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29"/>
                    <a:stretch>
                      <a:fillRect/>
                    </a:stretch>
                  </pic:blipFill>
                  <pic:spPr>
                    <a:xfrm>
                      <a:off x="0" y="0"/>
                      <a:ext cx="1758950" cy="2671445"/>
                    </a:xfrm>
                    <a:prstGeom prst="rect">
                      <a:avLst/>
                    </a:prstGeom>
                    <a:noFill/>
                    <a:ln>
                      <a:noFill/>
                    </a:ln>
                  </pic:spPr>
                </pic:pic>
              </a:graphicData>
            </a:graphic>
          </wp:inline>
        </w:drawing>
      </w:r>
    </w:p>
    <w:p w14:paraId="24CE05D2">
      <w:pPr>
        <w:pStyle w:val="15"/>
        <w:rPr>
          <w:rFonts w:hint="default" w:eastAsia="黑体"/>
          <w:lang w:val="en-US" w:eastAsia="zh-CN"/>
        </w:rPr>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起重臂臂节二吊装示意图</w:t>
      </w:r>
    </w:p>
    <w:p w14:paraId="1340FD84">
      <w:pPr>
        <w:bidi w:val="0"/>
        <w:ind w:left="0" w:leftChars="0" w:firstLine="0" w:firstLineChars="0"/>
        <w:jc w:val="center"/>
      </w:pPr>
      <w:r>
        <w:drawing>
          <wp:inline distT="0" distB="0" distL="114300" distR="114300">
            <wp:extent cx="2870835" cy="2613025"/>
            <wp:effectExtent l="0" t="0" r="5715" b="1587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30"/>
                    <a:stretch>
                      <a:fillRect/>
                    </a:stretch>
                  </pic:blipFill>
                  <pic:spPr>
                    <a:xfrm>
                      <a:off x="0" y="0"/>
                      <a:ext cx="2870835" cy="2613025"/>
                    </a:xfrm>
                    <a:prstGeom prst="rect">
                      <a:avLst/>
                    </a:prstGeom>
                    <a:noFill/>
                    <a:ln>
                      <a:noFill/>
                    </a:ln>
                  </pic:spPr>
                </pic:pic>
              </a:graphicData>
            </a:graphic>
          </wp:inline>
        </w:drawing>
      </w:r>
      <w:r>
        <w:drawing>
          <wp:inline distT="0" distB="0" distL="114300" distR="114300">
            <wp:extent cx="1999615" cy="2626360"/>
            <wp:effectExtent l="0" t="0" r="635" b="2540"/>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31"/>
                    <a:stretch>
                      <a:fillRect/>
                    </a:stretch>
                  </pic:blipFill>
                  <pic:spPr>
                    <a:xfrm>
                      <a:off x="0" y="0"/>
                      <a:ext cx="1999615" cy="2626360"/>
                    </a:xfrm>
                    <a:prstGeom prst="rect">
                      <a:avLst/>
                    </a:prstGeom>
                    <a:noFill/>
                    <a:ln>
                      <a:noFill/>
                    </a:ln>
                  </pic:spPr>
                </pic:pic>
              </a:graphicData>
            </a:graphic>
          </wp:inline>
        </w:drawing>
      </w:r>
    </w:p>
    <w:p w14:paraId="14413B56">
      <w:pPr>
        <w:pStyle w:val="15"/>
        <w:rPr>
          <w:rFonts w:hint="eastAsia" w:eastAsia="黑体"/>
          <w:lang w:val="en-US" w:eastAsia="zh-CN"/>
        </w:rPr>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 xml:space="preserve"> 起重臂臂节三吊装示意图</w:t>
      </w:r>
    </w:p>
    <w:p w14:paraId="15FB5D5E">
      <w:pPr>
        <w:pStyle w:val="16"/>
      </w:pPr>
      <w:r>
        <w:drawing>
          <wp:inline distT="0" distB="0" distL="114300" distR="114300">
            <wp:extent cx="3172460" cy="2252980"/>
            <wp:effectExtent l="0" t="0" r="8890" b="13970"/>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32"/>
                    <a:stretch>
                      <a:fillRect/>
                    </a:stretch>
                  </pic:blipFill>
                  <pic:spPr>
                    <a:xfrm>
                      <a:off x="0" y="0"/>
                      <a:ext cx="3172460" cy="2252980"/>
                    </a:xfrm>
                    <a:prstGeom prst="rect">
                      <a:avLst/>
                    </a:prstGeom>
                    <a:noFill/>
                    <a:ln>
                      <a:noFill/>
                    </a:ln>
                  </pic:spPr>
                </pic:pic>
              </a:graphicData>
            </a:graphic>
          </wp:inline>
        </w:drawing>
      </w:r>
    </w:p>
    <w:p w14:paraId="27B66F51">
      <w:pPr>
        <w:pStyle w:val="16"/>
      </w:pPr>
      <w:r>
        <w:drawing>
          <wp:inline distT="0" distB="0" distL="114300" distR="114300">
            <wp:extent cx="2538730" cy="2746375"/>
            <wp:effectExtent l="0" t="0" r="13970" b="1587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33"/>
                    <a:stretch>
                      <a:fillRect/>
                    </a:stretch>
                  </pic:blipFill>
                  <pic:spPr>
                    <a:xfrm>
                      <a:off x="0" y="0"/>
                      <a:ext cx="2538730" cy="2746375"/>
                    </a:xfrm>
                    <a:prstGeom prst="rect">
                      <a:avLst/>
                    </a:prstGeom>
                    <a:noFill/>
                    <a:ln>
                      <a:noFill/>
                    </a:ln>
                  </pic:spPr>
                </pic:pic>
              </a:graphicData>
            </a:graphic>
          </wp:inline>
        </w:drawing>
      </w:r>
    </w:p>
    <w:p w14:paraId="28DFCCC2">
      <w:pPr>
        <w:pStyle w:val="15"/>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 xml:space="preserve"> </w:t>
      </w:r>
      <w:r>
        <w:rPr>
          <w:rFonts w:hint="eastAsia" w:ascii="Times New Roman" w:hAnsi="Times New Roman" w:cs="Times New Roman"/>
          <w:highlight w:val="none"/>
          <w:lang w:val="en-US" w:eastAsia="zh-CN"/>
        </w:rPr>
        <w:t>起重臂</w:t>
      </w:r>
      <w:r>
        <w:rPr>
          <w:rFonts w:hint="eastAsia" w:cs="Times New Roman"/>
          <w:highlight w:val="none"/>
          <w:lang w:val="en-US" w:eastAsia="zh-CN"/>
        </w:rPr>
        <w:t>臂节三</w:t>
      </w:r>
      <w:r>
        <w:rPr>
          <w:rFonts w:hint="eastAsia" w:ascii="Times New Roman" w:hAnsi="Times New Roman" w:cs="Times New Roman"/>
          <w:highlight w:val="none"/>
          <w:lang w:val="en-US" w:eastAsia="zh-CN"/>
        </w:rPr>
        <w:t>吊装示意图</w:t>
      </w:r>
    </w:p>
    <w:p w14:paraId="570E76F2">
      <w:pPr>
        <w:pStyle w:val="3"/>
        <w:numPr>
          <w:ilvl w:val="1"/>
          <w:numId w:val="4"/>
        </w:numPr>
        <w:bidi w:val="0"/>
        <w:ind w:left="567" w:leftChars="0" w:hanging="567" w:firstLineChars="0"/>
        <w:rPr>
          <w:rFonts w:hint="eastAsia" w:ascii="宋体" w:hAnsi="宋体" w:eastAsia="宋体" w:cs="宋体"/>
          <w:lang w:val="en-US" w:eastAsia="zh-CN"/>
        </w:rPr>
      </w:pPr>
      <w:bookmarkStart w:id="37" w:name="_Toc29467"/>
      <w:r>
        <w:rPr>
          <w:rFonts w:hint="eastAsia" w:ascii="宋体" w:hAnsi="宋体" w:eastAsia="宋体" w:cs="宋体"/>
          <w:lang w:val="en-US" w:eastAsia="zh-CN"/>
        </w:rPr>
        <w:t>安装剩余平衡重</w:t>
      </w:r>
      <w:bookmarkEnd w:id="37"/>
    </w:p>
    <w:p w14:paraId="0C815A65">
      <w:pPr>
        <w:bidi w:val="0"/>
        <w:ind w:firstLine="480" w:firstLineChars="200"/>
        <w:rPr>
          <w:rFonts w:hint="eastAsia"/>
          <w:highlight w:val="none"/>
          <w:lang w:val="en-US" w:eastAsia="zh-CN"/>
        </w:rPr>
      </w:pPr>
      <w:r>
        <w:rPr>
          <w:rFonts w:hint="eastAsia"/>
          <w:highlight w:val="none"/>
          <w:lang w:val="en-US" w:eastAsia="zh-CN"/>
        </w:rPr>
        <w:t>平衡重的重量随起重臂长度、平衡臂长度的改变而改变，根据所使用的起重臂及相应平衡臂长度吊装平衡臂。</w:t>
      </w:r>
    </w:p>
    <w:p w14:paraId="6D515655">
      <w:pPr>
        <w:bidi w:val="0"/>
        <w:ind w:left="0" w:leftChars="0" w:firstLine="0" w:firstLineChars="0"/>
        <w:jc w:val="center"/>
      </w:pPr>
      <w:r>
        <w:drawing>
          <wp:inline distT="0" distB="0" distL="114300" distR="114300">
            <wp:extent cx="3642995" cy="1961515"/>
            <wp:effectExtent l="0" t="0" r="14605" b="635"/>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34"/>
                    <a:stretch>
                      <a:fillRect/>
                    </a:stretch>
                  </pic:blipFill>
                  <pic:spPr>
                    <a:xfrm>
                      <a:off x="0" y="0"/>
                      <a:ext cx="3642995" cy="1961515"/>
                    </a:xfrm>
                    <a:prstGeom prst="rect">
                      <a:avLst/>
                    </a:prstGeom>
                    <a:noFill/>
                    <a:ln>
                      <a:noFill/>
                    </a:ln>
                  </pic:spPr>
                </pic:pic>
              </a:graphicData>
            </a:graphic>
          </wp:inline>
        </w:drawing>
      </w:r>
    </w:p>
    <w:p w14:paraId="6043E9F9">
      <w:pPr>
        <w:pStyle w:val="15"/>
        <w:bidi w:val="0"/>
        <w:ind w:left="0" w:leftChars="0" w:firstLine="0" w:firstLineChars="0"/>
        <w:jc w:val="center"/>
      </w:pPr>
      <w:r>
        <w:t xml:space="preserve">图 </w:t>
      </w:r>
      <w:r>
        <w:fldChar w:fldCharType="begin"/>
      </w:r>
      <w:r>
        <w:instrText xml:space="preserve"> STYLEREF 2 \s </w:instrText>
      </w:r>
      <w:r>
        <w:fldChar w:fldCharType="separate"/>
      </w:r>
      <w:r>
        <w:t>2.8</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平衡重组成示意图</w:t>
      </w:r>
    </w:p>
    <w:p w14:paraId="712023E8">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w:t>
      </w:r>
      <w:r>
        <w:rPr>
          <w:rFonts w:hint="eastAsia" w:ascii="Times New Roman" w:hAnsi="Times New Roman" w:eastAsia="宋体" w:cs="Times New Roman"/>
          <w:color w:val="auto"/>
          <w:szCs w:val="21"/>
          <w:highlight w:val="none"/>
        </w:rPr>
        <w:t>法同安装第1块平衡重。吊装完成后检查并确</w:t>
      </w:r>
      <w:r>
        <w:rPr>
          <w:rFonts w:hint="eastAsia" w:ascii="Times New Roman" w:hAnsi="Times New Roman" w:eastAsia="宋体" w:cs="Times New Roman"/>
          <w:szCs w:val="21"/>
          <w:highlight w:val="none"/>
        </w:rPr>
        <w:t>认相邻平衡重块的整个表面是否贴紧。</w:t>
      </w:r>
    </w:p>
    <w:p w14:paraId="6C39BA03">
      <w:pPr>
        <w:bidi w:val="0"/>
        <w:ind w:firstLine="48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按从起升机构侧向塔身侧依次吊装平衡重。</w:t>
      </w:r>
    </w:p>
    <w:p w14:paraId="73D97418">
      <w:pPr>
        <w:bidi w:val="0"/>
        <w:ind w:firstLine="480" w:firstLineChars="200"/>
        <w:rPr>
          <w:rFonts w:ascii="Times New Roman" w:hAnsi="Times New Roman" w:eastAsia="宋体" w:cs="Times New Roman"/>
          <w:color w:val="auto"/>
          <w:szCs w:val="21"/>
          <w:highlight w:val="none"/>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3E0E6089">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cs="Times New Roman"/>
          <w:color w:val="auto"/>
          <w:szCs w:val="21"/>
          <w:highlight w:val="none"/>
          <w:lang w:eastAsia="zh-CN"/>
        </w:rPr>
        <w:t>塔机</w:t>
      </w:r>
      <w:r>
        <w:rPr>
          <w:rFonts w:hint="eastAsia" w:ascii="Times New Roman" w:hAnsi="Times New Roman" w:eastAsia="宋体" w:cs="Times New Roman"/>
          <w:color w:val="auto"/>
          <w:szCs w:val="21"/>
          <w:highlight w:val="none"/>
        </w:rPr>
        <w:t>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62457457">
      <w:pPr>
        <w:bidi w:val="0"/>
        <w:ind w:left="0" w:leftChars="0" w:firstLine="0" w:firstLineChars="0"/>
        <w:jc w:val="center"/>
        <w:rPr>
          <w:highlight w:val="none"/>
        </w:rPr>
      </w:pPr>
      <w:r>
        <w:drawing>
          <wp:inline distT="0" distB="0" distL="114300" distR="114300">
            <wp:extent cx="3931920" cy="2886710"/>
            <wp:effectExtent l="0" t="0" r="11430"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3931920" cy="2886710"/>
                    </a:xfrm>
                    <a:prstGeom prst="rect">
                      <a:avLst/>
                    </a:prstGeom>
                    <a:noFill/>
                    <a:ln>
                      <a:noFill/>
                    </a:ln>
                  </pic:spPr>
                </pic:pic>
              </a:graphicData>
            </a:graphic>
          </wp:inline>
        </w:drawing>
      </w:r>
    </w:p>
    <w:p w14:paraId="3A02EB6E">
      <w:pPr>
        <w:bidi w:val="0"/>
        <w:ind w:left="0" w:leftChars="0" w:firstLine="0" w:firstLineChars="0"/>
        <w:jc w:val="center"/>
      </w:pPr>
      <w:r>
        <w:drawing>
          <wp:inline distT="0" distB="0" distL="114300" distR="114300">
            <wp:extent cx="4182110" cy="2656840"/>
            <wp:effectExtent l="0" t="0" r="8890" b="10160"/>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36"/>
                    <a:stretch>
                      <a:fillRect/>
                    </a:stretch>
                  </pic:blipFill>
                  <pic:spPr>
                    <a:xfrm>
                      <a:off x="0" y="0"/>
                      <a:ext cx="4182110" cy="2656840"/>
                    </a:xfrm>
                    <a:prstGeom prst="rect">
                      <a:avLst/>
                    </a:prstGeom>
                    <a:noFill/>
                    <a:ln>
                      <a:noFill/>
                    </a:ln>
                  </pic:spPr>
                </pic:pic>
              </a:graphicData>
            </a:graphic>
          </wp:inline>
        </w:drawing>
      </w:r>
    </w:p>
    <w:p w14:paraId="18374B06">
      <w:pPr>
        <w:pStyle w:val="15"/>
        <w:rPr>
          <w:rFonts w:hint="eastAsia"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2.8</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w:t>
      </w:r>
      <w:r>
        <w:rPr>
          <w:rFonts w:hint="eastAsia" w:ascii="Times New Roman" w:hAnsi="Times New Roman" w:cs="Times New Roman"/>
          <w:highlight w:val="none"/>
          <w:lang w:val="en-US" w:eastAsia="zh-CN"/>
        </w:rPr>
        <w:t>剩余平衡重吊装示意图</w:t>
      </w:r>
    </w:p>
    <w:p w14:paraId="5378DC40">
      <w:pPr>
        <w:pStyle w:val="3"/>
        <w:numPr>
          <w:ilvl w:val="1"/>
          <w:numId w:val="4"/>
        </w:numPr>
        <w:bidi w:val="0"/>
        <w:ind w:left="567" w:leftChars="0" w:hanging="567" w:firstLineChars="0"/>
        <w:rPr>
          <w:rFonts w:hint="eastAsia" w:ascii="宋体" w:hAnsi="宋体" w:eastAsia="宋体" w:cs="宋体"/>
          <w:lang w:val="en-US" w:eastAsia="zh-CN"/>
        </w:rPr>
      </w:pPr>
      <w:bookmarkStart w:id="38" w:name="_Toc7326"/>
      <w:bookmarkStart w:id="39" w:name="_Toc32421"/>
      <w:bookmarkStart w:id="40" w:name="_Toc18449"/>
      <w:bookmarkStart w:id="41" w:name="_Toc1846"/>
      <w:r>
        <w:rPr>
          <w:rFonts w:hint="eastAsia" w:ascii="宋体" w:hAnsi="宋体" w:eastAsia="宋体" w:cs="宋体"/>
          <w:lang w:val="en-US" w:eastAsia="zh-CN"/>
        </w:rPr>
        <w:t>穿绕钢丝绳</w:t>
      </w:r>
      <w:bookmarkEnd w:id="38"/>
    </w:p>
    <w:p w14:paraId="55CB4564">
      <w:pPr>
        <w:bidi w:val="0"/>
      </w:pPr>
      <w:r>
        <w:rPr>
          <w:rFonts w:hint="eastAsia"/>
          <w:lang w:val="en-US" w:eastAsia="zh-CN"/>
        </w:rPr>
        <w:t>1.</w:t>
      </w:r>
      <w:r>
        <w:rPr>
          <w:rFonts w:hint="eastAsia"/>
        </w:rPr>
        <w:t>穿绕变幅钢丝绳</w:t>
      </w:r>
    </w:p>
    <w:p w14:paraId="17A4658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0C1E7F74">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（2）启动变幅卷扬机收紧后变幅钢丝绳，并将后变幅钢丝绳缓慢卷绕至变幅卷筒上。</w:t>
      </w:r>
    </w:p>
    <w:p w14:paraId="769B978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1DBB0DD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变幅钢丝绳绕绳总体示意如下图所示。</w:t>
      </w:r>
    </w:p>
    <w:p w14:paraId="2C2AD591">
      <w:pPr>
        <w:keepNext w:val="0"/>
        <w:keepLines w:val="0"/>
        <w:pageBreakBefore w:val="0"/>
        <w:widowControl w:val="0"/>
        <w:kinsoku/>
        <w:wordWrap/>
        <w:overflowPunct/>
        <w:topLinePunct w:val="0"/>
        <w:autoSpaceDE/>
        <w:autoSpaceDN/>
        <w:bidi w:val="0"/>
        <w:adjustRightInd/>
        <w:snapToGrid/>
        <w:ind w:firstLine="0"/>
        <w:jc w:val="center"/>
        <w:textAlignment w:val="auto"/>
      </w:pPr>
      <w:r>
        <w:drawing>
          <wp:inline distT="0" distB="0" distL="114300" distR="114300">
            <wp:extent cx="5118735" cy="2020570"/>
            <wp:effectExtent l="0" t="0" r="5715" b="17780"/>
            <wp:docPr id="20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1"/>
                    <pic:cNvPicPr>
                      <a:picLocks noChangeAspect="1"/>
                    </pic:cNvPicPr>
                  </pic:nvPicPr>
                  <pic:blipFill>
                    <a:blip r:embed="rId37"/>
                    <a:stretch>
                      <a:fillRect/>
                    </a:stretch>
                  </pic:blipFill>
                  <pic:spPr>
                    <a:xfrm>
                      <a:off x="0" y="0"/>
                      <a:ext cx="5118735" cy="2020570"/>
                    </a:xfrm>
                    <a:prstGeom prst="rect">
                      <a:avLst/>
                    </a:prstGeom>
                    <a:noFill/>
                    <a:ln>
                      <a:noFill/>
                    </a:ln>
                  </pic:spPr>
                </pic:pic>
              </a:graphicData>
            </a:graphic>
          </wp:inline>
        </w:drawing>
      </w:r>
    </w:p>
    <w:p w14:paraId="7F5AD3A4">
      <w:pPr>
        <w:widowControl w:val="0"/>
        <w:adjustRightInd/>
        <w:snapToGrid/>
        <w:ind w:firstLine="480"/>
        <w:jc w:val="center"/>
        <w:rPr>
          <w:rFonts w:hint="eastAsia" w:ascii="Times New Roman" w:hAnsi="Times New Roman" w:eastAsia="黑体" w:cs="Times New Roman"/>
          <w:kern w:val="2"/>
          <w:sz w:val="21"/>
          <w:szCs w:val="21"/>
          <w:highlight w:val="none"/>
          <w:lang w:val="en-US" w:eastAsia="zh-CN" w:bidi="ar-SA"/>
        </w:rPr>
      </w:pPr>
      <w:r>
        <w:t xml:space="preserve">图 </w:t>
      </w:r>
      <w:r>
        <w:fldChar w:fldCharType="begin"/>
      </w:r>
      <w:r>
        <w:instrText xml:space="preserve"> STYLEREF 2 \s </w:instrText>
      </w:r>
      <w:r>
        <w:fldChar w:fldCharType="separate"/>
      </w:r>
      <w:r>
        <w:t>2.9</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eastAsia="黑体" w:cs="Times New Roman"/>
          <w:kern w:val="2"/>
          <w:sz w:val="21"/>
          <w:szCs w:val="21"/>
          <w:highlight w:val="none"/>
          <w:lang w:val="en-US" w:eastAsia="zh-CN" w:bidi="ar-SA"/>
        </w:rPr>
        <w:t xml:space="preserve"> 变幅钢丝绳穿绕示意图</w:t>
      </w:r>
    </w:p>
    <w:p w14:paraId="26C76F1D">
      <w:pPr>
        <w:bidi w:val="0"/>
      </w:pPr>
      <w:r>
        <w:rPr>
          <w:rFonts w:hint="eastAsia"/>
          <w:lang w:val="en-US" w:eastAsia="zh-CN"/>
        </w:rPr>
        <w:t>2.</w:t>
      </w:r>
      <w:r>
        <w:rPr>
          <w:rFonts w:hint="eastAsia"/>
        </w:rPr>
        <w:t>穿绕起升钢丝绳</w:t>
      </w:r>
    </w:p>
    <w:p w14:paraId="485C73AC">
      <w:pPr>
        <w:keepNext w:val="0"/>
        <w:keepLines w:val="0"/>
        <w:widowControl w:val="0"/>
        <w:suppressLineNumbers w:val="0"/>
        <w:tabs>
          <w:tab w:val="left" w:pos="404"/>
        </w:tabs>
        <w:ind w:firstLine="480"/>
        <w:jc w:val="left"/>
        <w:rPr>
          <w:rFonts w:hint="eastAsia"/>
        </w:rPr>
      </w:pPr>
      <w:r>
        <w:rPr>
          <w:rFonts w:hint="eastAsia" w:ascii="Times New Roman" w:hAnsi="Times New Roman" w:eastAsia="宋体" w:cs="Times New Roman"/>
          <w:color w:val="auto"/>
          <w:kern w:val="2"/>
          <w:sz w:val="24"/>
          <w:szCs w:val="21"/>
          <w:lang w:val="en-US" w:eastAsia="zh-CN" w:bidi="ar"/>
        </w:rPr>
        <w:t>钢丝绳从起升机构（1）卷筒上端出绳，穿过起重臂臂根节上托绳轮（2），再穿过起重臂臂根节上起重量限制器滑轮（3），再穿过起重臂臂根部滑轮（4），然后钢丝绳伸出连接小车。</w:t>
      </w:r>
    </w:p>
    <w:p w14:paraId="2799682D">
      <w:pPr>
        <w:keepNext w:val="0"/>
        <w:keepLines w:val="0"/>
        <w:pageBreakBefore w:val="0"/>
        <w:widowControl w:val="0"/>
        <w:kinsoku/>
        <w:wordWrap/>
        <w:overflowPunct/>
        <w:topLinePunct w:val="0"/>
        <w:autoSpaceDE/>
        <w:autoSpaceDN/>
        <w:bidi w:val="0"/>
        <w:adjustRightInd/>
        <w:snapToGrid/>
        <w:ind w:firstLine="0"/>
        <w:textAlignment w:val="auto"/>
        <w:rPr>
          <w:rFonts w:hint="eastAsia" w:ascii="Times New Roman" w:hAnsi="Times New Roman" w:eastAsia="宋体" w:cs="Times New Roman"/>
          <w:szCs w:val="21"/>
          <w:lang w:eastAsia="zh-CN"/>
        </w:rPr>
      </w:pPr>
      <w:r>
        <w:drawing>
          <wp:inline distT="0" distB="0" distL="114300" distR="114300">
            <wp:extent cx="5034915" cy="2881630"/>
            <wp:effectExtent l="0" t="0" r="13335" b="13970"/>
            <wp:docPr id="20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2"/>
                    <pic:cNvPicPr>
                      <a:picLocks noChangeAspect="1"/>
                    </pic:cNvPicPr>
                  </pic:nvPicPr>
                  <pic:blipFill>
                    <a:blip r:embed="rId38"/>
                    <a:stretch>
                      <a:fillRect/>
                    </a:stretch>
                  </pic:blipFill>
                  <pic:spPr>
                    <a:xfrm>
                      <a:off x="0" y="0"/>
                      <a:ext cx="5034915" cy="2881630"/>
                    </a:xfrm>
                    <a:prstGeom prst="rect">
                      <a:avLst/>
                    </a:prstGeom>
                    <a:noFill/>
                    <a:ln>
                      <a:noFill/>
                    </a:ln>
                  </pic:spPr>
                </pic:pic>
              </a:graphicData>
            </a:graphic>
          </wp:inline>
        </w:drawing>
      </w:r>
    </w:p>
    <w:p w14:paraId="7DB8D777">
      <w:pPr>
        <w:keepNext w:val="0"/>
        <w:keepLines w:val="0"/>
        <w:widowControl w:val="0"/>
        <w:suppressLineNumbers w:val="0"/>
        <w:ind w:firstLine="480"/>
        <w:jc w:val="left"/>
        <w:rPr>
          <w:rFonts w:hint="eastAsia" w:ascii="Times New Roman" w:hAnsi="Times New Roman" w:eastAsia="宋体" w:cs="Times New Roman"/>
          <w:kern w:val="2"/>
          <w:sz w:val="24"/>
          <w:szCs w:val="21"/>
          <w:lang w:val="en-US" w:eastAsia="zh-CN" w:bidi="ar"/>
        </w:rPr>
      </w:pPr>
      <w:r>
        <w:rPr>
          <w:rFonts w:hint="eastAsia" w:ascii="Times New Roman" w:hAnsi="Times New Roman" w:eastAsia="宋体" w:cs="Times New Roman"/>
          <w:color w:val="auto"/>
          <w:kern w:val="2"/>
          <w:sz w:val="24"/>
          <w:szCs w:val="21"/>
          <w:lang w:val="en-US" w:eastAsia="zh-CN" w:bidi="ar"/>
        </w:rPr>
        <w:t>穿绕变幅小车上起升钢丝绳。由于本小车和吊钩为自动变倍率方式，变倍率时通过吊 钩上上下滑轮组自动断开方式实现，因此起升钢丝绳的绕绳方式不变。</w:t>
      </w:r>
    </w:p>
    <w:p w14:paraId="50F44EFA">
      <w:pPr>
        <w:keepNext w:val="0"/>
        <w:keepLines w:val="0"/>
        <w:widowControl w:val="0"/>
        <w:suppressLineNumbers w:val="0"/>
        <w:ind w:firstLine="0" w:firstLineChars="0"/>
        <w:jc w:val="center"/>
      </w:pPr>
      <w:r>
        <w:drawing>
          <wp:inline distT="0" distB="0" distL="114300" distR="114300">
            <wp:extent cx="3038475" cy="2628900"/>
            <wp:effectExtent l="0" t="0" r="9525" b="0"/>
            <wp:docPr id="20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3"/>
                    <pic:cNvPicPr>
                      <a:picLocks noChangeAspect="1"/>
                    </pic:cNvPicPr>
                  </pic:nvPicPr>
                  <pic:blipFill>
                    <a:blip r:embed="rId39"/>
                    <a:stretch>
                      <a:fillRect/>
                    </a:stretch>
                  </pic:blipFill>
                  <pic:spPr>
                    <a:xfrm>
                      <a:off x="0" y="0"/>
                      <a:ext cx="3038475" cy="2628900"/>
                    </a:xfrm>
                    <a:prstGeom prst="rect">
                      <a:avLst/>
                    </a:prstGeom>
                    <a:noFill/>
                    <a:ln>
                      <a:noFill/>
                    </a:ln>
                  </pic:spPr>
                </pic:pic>
              </a:graphicData>
            </a:graphic>
          </wp:inline>
        </w:drawing>
      </w:r>
    </w:p>
    <w:p w14:paraId="6B61EE40">
      <w:pPr>
        <w:keepNext w:val="0"/>
        <w:keepLines w:val="0"/>
        <w:widowControl/>
        <w:suppressLineNumbers w:val="0"/>
        <w:ind w:firstLine="480"/>
        <w:jc w:val="left"/>
        <w:rPr>
          <w:rFonts w:hint="default" w:ascii="Times New Roman" w:hAnsi="Times New Roman" w:eastAsia="宋体" w:cs="Times New Roman"/>
          <w:kern w:val="2"/>
          <w:sz w:val="24"/>
          <w:szCs w:val="21"/>
          <w:lang w:val="en-US" w:eastAsia="zh-CN" w:bidi="ar"/>
        </w:rPr>
      </w:pPr>
      <w:r>
        <w:rPr>
          <w:rFonts w:hint="default" w:ascii="Times New Roman" w:hAnsi="Times New Roman" w:eastAsia="宋体" w:cs="Times New Roman"/>
          <w:color w:val="auto"/>
          <w:kern w:val="2"/>
          <w:sz w:val="24"/>
          <w:szCs w:val="21"/>
          <w:lang w:val="en-US" w:eastAsia="zh-CN" w:bidi="ar"/>
        </w:rPr>
        <w:t>起升钢丝绳从小车绕出之后进入起重臂臂头防扭装置。用楔块（3）锁住钢丝绳（1） 至楔套（2），并在钢丝绳末端装上一个绳夹（4）。用销轴（6）和开口销（7）安装楔套（2） 至钢丝绳防扭器（5）。安装完毕后检查防扭器是否旋转自如。</w:t>
      </w:r>
    </w:p>
    <w:p w14:paraId="27C1700D">
      <w:pPr>
        <w:keepNext w:val="0"/>
        <w:keepLines w:val="0"/>
        <w:widowControl/>
        <w:suppressLineNumbers w:val="0"/>
        <w:ind w:firstLine="0" w:firstLineChars="0"/>
        <w:jc w:val="center"/>
        <w:rPr>
          <w:rFonts w:hint="eastAsia"/>
          <w:lang w:bidi="ar"/>
        </w:rPr>
      </w:pPr>
      <w:r>
        <w:drawing>
          <wp:inline distT="0" distB="0" distL="114300" distR="114300">
            <wp:extent cx="5758815" cy="2462530"/>
            <wp:effectExtent l="0" t="0" r="13335" b="13970"/>
            <wp:docPr id="20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4"/>
                    <pic:cNvPicPr>
                      <a:picLocks noChangeAspect="1"/>
                    </pic:cNvPicPr>
                  </pic:nvPicPr>
                  <pic:blipFill>
                    <a:blip r:embed="rId40"/>
                    <a:stretch>
                      <a:fillRect/>
                    </a:stretch>
                  </pic:blipFill>
                  <pic:spPr>
                    <a:xfrm>
                      <a:off x="0" y="0"/>
                      <a:ext cx="5758815" cy="2462530"/>
                    </a:xfrm>
                    <a:prstGeom prst="rect">
                      <a:avLst/>
                    </a:prstGeom>
                    <a:noFill/>
                    <a:ln>
                      <a:noFill/>
                    </a:ln>
                  </pic:spPr>
                </pic:pic>
              </a:graphicData>
            </a:graphic>
          </wp:inline>
        </w:drawing>
      </w:r>
    </w:p>
    <w:p w14:paraId="0685FCE0">
      <w:pPr>
        <w:pStyle w:val="3"/>
        <w:numPr>
          <w:ilvl w:val="1"/>
          <w:numId w:val="4"/>
        </w:numPr>
        <w:bidi w:val="0"/>
        <w:ind w:left="567" w:leftChars="0" w:hanging="567" w:firstLineChars="0"/>
        <w:rPr>
          <w:rFonts w:hint="eastAsia" w:ascii="宋体" w:hAnsi="宋体" w:eastAsia="宋体" w:cs="宋体"/>
          <w:lang w:val="en-US" w:eastAsia="zh-CN"/>
        </w:rPr>
      </w:pPr>
      <w:bookmarkStart w:id="42" w:name="_Toc14640"/>
      <w:r>
        <w:rPr>
          <w:rFonts w:hint="eastAsia" w:ascii="宋体" w:hAnsi="宋体" w:eastAsia="宋体" w:cs="宋体"/>
          <w:lang w:val="en-US" w:eastAsia="zh-CN"/>
        </w:rPr>
        <w:t>电气系统安装及试运转</w:t>
      </w:r>
      <w:bookmarkEnd w:id="42"/>
    </w:p>
    <w:p w14:paraId="01D6AF25">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（1）起重臂安装完成后，按照说明书的要求，进行</w:t>
      </w:r>
      <w:r>
        <w:rPr>
          <w:rFonts w:ascii="Times New Roman" w:hAnsi="Times New Roman" w:eastAsia="宋体" w:cs="Times New Roman"/>
          <w:szCs w:val="21"/>
        </w:rPr>
        <w:t>驾配箱、主控柜</w:t>
      </w:r>
      <w:r>
        <w:rPr>
          <w:rFonts w:hint="eastAsia" w:ascii="Times New Roman" w:hAnsi="Times New Roman" w:eastAsia="宋体" w:cs="Times New Roman"/>
          <w:szCs w:val="21"/>
        </w:rPr>
        <w:t>、</w:t>
      </w:r>
      <w:r>
        <w:rPr>
          <w:rFonts w:ascii="Times New Roman" w:hAnsi="Times New Roman" w:eastAsia="宋体" w:cs="Times New Roman"/>
          <w:szCs w:val="21"/>
        </w:rPr>
        <w:t>重量限制器、力矩限制器、起升限位器、回转限位器、变幅限位器、行走限位器</w:t>
      </w:r>
      <w:r>
        <w:rPr>
          <w:rFonts w:hint="eastAsia" w:ascii="Times New Roman" w:hAnsi="Times New Roman" w:eastAsia="宋体" w:cs="Times New Roman"/>
          <w:szCs w:val="21"/>
        </w:rPr>
        <w:t>等的安装。</w:t>
      </w:r>
    </w:p>
    <w:p w14:paraId="29A753C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（2）在塔头顶部安装风速仪，平衡臂尾部以及起重臂前端部各安装一个警示灯。</w:t>
      </w:r>
    </w:p>
    <w:p w14:paraId="2540392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（3）在风速不大于3m/s且空载状态下，检查塔身轴线的垂直度，允许偏差为 4/1000。</w:t>
      </w:r>
    </w:p>
    <w:p w14:paraId="056CEEC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（4）侧向垂直度在使用高度、空载状态，臂架相当于塔身0°和90°时分别沿臂架方向测量，标尺贴靠在塔身结构中心的最低处和最高处，用全站仪读出两处的偏位值。</w:t>
      </w:r>
    </w:p>
    <w:p w14:paraId="6A2EA18F">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（5）</w:t>
      </w:r>
      <w:r>
        <w:rPr>
          <w:rFonts w:hint="eastAsia" w:ascii="Times New Roman" w:hAnsi="Times New Roman" w:cs="Times New Roman"/>
          <w:szCs w:val="21"/>
          <w:lang w:eastAsia="zh-CN"/>
        </w:rPr>
        <w:t>塔机</w:t>
      </w:r>
      <w:r>
        <w:rPr>
          <w:rFonts w:hint="eastAsia" w:ascii="Times New Roman" w:hAnsi="Times New Roman" w:eastAsia="宋体" w:cs="Times New Roman"/>
          <w:szCs w:val="21"/>
        </w:rPr>
        <w:t>接通电源，试运转各机构，检查各机构运转是否正常，同时检查各钢丝绳是否处于正常工作状态，是否与各机构有干扰。</w:t>
      </w:r>
    </w:p>
    <w:p w14:paraId="703DDC1C">
      <w:pPr>
        <w:pStyle w:val="3"/>
        <w:numPr>
          <w:ilvl w:val="1"/>
          <w:numId w:val="4"/>
        </w:numPr>
        <w:bidi w:val="0"/>
        <w:ind w:left="567" w:leftChars="0" w:hanging="567" w:firstLineChars="0"/>
        <w:rPr>
          <w:rFonts w:hint="eastAsia" w:ascii="宋体" w:hAnsi="宋体" w:eastAsia="宋体" w:cs="宋体"/>
          <w:lang w:val="en-US" w:eastAsia="zh-CN"/>
        </w:rPr>
      </w:pPr>
      <w:bookmarkStart w:id="43" w:name="_Toc31510"/>
      <w:r>
        <w:rPr>
          <w:rFonts w:hint="eastAsia" w:ascii="宋体" w:hAnsi="宋体" w:eastAsia="宋体" w:cs="宋体"/>
          <w:lang w:val="en-US" w:eastAsia="zh-CN"/>
        </w:rPr>
        <w:t>操作系统的调试</w:t>
      </w:r>
      <w:bookmarkEnd w:id="43"/>
    </w:p>
    <w:p w14:paraId="056B1EC5">
      <w:pPr>
        <w:widowControl w:val="0"/>
        <w:adjustRightInd/>
        <w:snapToGrid/>
        <w:ind w:firstLine="480"/>
        <w:rPr>
          <w:rFonts w:ascii="Times New Roman" w:hAnsi="Times New Roman" w:eastAsia="宋体" w:cs="Times New Roman"/>
          <w:szCs w:val="21"/>
        </w:rPr>
      </w:pPr>
      <w:r>
        <w:rPr>
          <w:rFonts w:ascii="宋体" w:hAnsi="宋体" w:eastAsia="宋体" w:cs="宋体"/>
          <w:szCs w:val="21"/>
        </w:rPr>
        <w:t>①</w:t>
      </w:r>
      <w:r>
        <w:rPr>
          <w:rFonts w:hint="eastAsia" w:ascii="Times New Roman" w:hAnsi="Times New Roman" w:eastAsia="宋体" w:cs="Times New Roman"/>
          <w:szCs w:val="21"/>
        </w:rPr>
        <w:t>电源检查：</w:t>
      </w:r>
    </w:p>
    <w:p w14:paraId="121E7B36">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连通电源，检查三相电源的相序是否正确，电压是否满足要求（380V±5%）。</w:t>
      </w:r>
    </w:p>
    <w:p w14:paraId="5C30AC99">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②</w:t>
      </w:r>
      <w:r>
        <w:rPr>
          <w:rFonts w:hint="eastAsia" w:ascii="Times New Roman" w:hAnsi="Times New Roman" w:eastAsia="宋体" w:cs="Times New Roman"/>
          <w:szCs w:val="21"/>
        </w:rPr>
        <w:t>操作系统逻辑关系检查：</w:t>
      </w:r>
    </w:p>
    <w:p w14:paraId="384726D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操作起升手柄，观察吊钩起升运转情况，当起升手柄向内拉时，吊钩应向上运动；当起升手柄向外推时，吊钩应向下运动，否则应调整起升电机电源的相序。</w:t>
      </w:r>
    </w:p>
    <w:p w14:paraId="1F7686A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操作回转手柄，当回转手柄向左推时，起重臂应向左转；当回转手柄向右推时，起重臂应向右转，否则应调整回转电机电源的相序。</w:t>
      </w:r>
    </w:p>
    <w:p w14:paraId="338FE2B0">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操作变幅手柄，当变幅手柄向内拉时，变幅小车应该向内行走；当变幅手柄向外推时，变幅小车应该向外行走，否则应调整变幅小车电机电源的相序。</w:t>
      </w:r>
    </w:p>
    <w:p w14:paraId="39A034AD">
      <w:pPr>
        <w:pStyle w:val="3"/>
        <w:numPr>
          <w:ilvl w:val="1"/>
          <w:numId w:val="4"/>
        </w:numPr>
        <w:bidi w:val="0"/>
        <w:ind w:left="567" w:leftChars="0" w:hanging="567" w:firstLineChars="0"/>
        <w:rPr>
          <w:rFonts w:hint="eastAsia" w:ascii="宋体" w:hAnsi="宋体" w:eastAsia="宋体" w:cs="宋体"/>
          <w:lang w:val="en-US" w:eastAsia="zh-CN"/>
        </w:rPr>
      </w:pPr>
      <w:bookmarkStart w:id="44" w:name="_Toc1474"/>
      <w:r>
        <w:rPr>
          <w:rFonts w:hint="eastAsia" w:ascii="宋体" w:hAnsi="宋体" w:eastAsia="宋体" w:cs="宋体"/>
          <w:lang w:val="en-US" w:eastAsia="zh-CN"/>
        </w:rPr>
        <w:t>塔机顶升加节</w:t>
      </w:r>
      <w:bookmarkEnd w:id="44"/>
    </w:p>
    <w:p w14:paraId="50DAA9ED">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顶升前准备工作</w:t>
      </w:r>
    </w:p>
    <w:p w14:paraId="75E07A3F">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按液压泵站要求给其油箱加油，顶升横梁防脱装置的销轴退出踏步的圆孔； </w:t>
      </w:r>
    </w:p>
    <w:p w14:paraId="4C698BE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清理好各个塔身节，在塔身节连接套内涂上黄油，将待顶升加高用的标准节在顶升位 置时的起重臂下排成一排，这样能使塔机在整个顶升加节过程中不用回转机构，能使顶升加节过程所用时间最短； </w:t>
      </w:r>
    </w:p>
    <w:p w14:paraId="513D20B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放松电缆长度略大于总的顶升高度，并紧固好电缆； </w:t>
      </w:r>
    </w:p>
    <w:p w14:paraId="7BD3D8B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将起重臂旋转至爬升架前方，平衡臂处于爬升架的后方（顶升油缸必须位于平衡臂下方）； </w:t>
      </w:r>
    </w:p>
    <w:p w14:paraId="131662F2">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爬升架平台上准备好塔身高强度螺栓； </w:t>
      </w:r>
    </w:p>
    <w:p w14:paraId="02E16413">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检查、调试并确认顶升机构工作正确、可靠，保证爬升架能按塔机爬升规定的程序上 升、下降、可靠停止；运行过程中应平稳，无爬行、振动现象； </w:t>
      </w:r>
    </w:p>
    <w:p w14:paraId="3B01818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检查爬升架支承系统，确保各部分运动灵活，承重可靠； </w:t>
      </w:r>
    </w:p>
    <w:p w14:paraId="73A9579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液压顶升机构应保证安全，溢流阀的调整压力不得大于系统额定工作压力的 </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w:t>
      </w:r>
    </w:p>
    <w:p w14:paraId="78796074">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顶升作业注意事项</w:t>
      </w:r>
    </w:p>
    <w:p w14:paraId="7B36177A">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塔机最高处风速大于 </w:t>
      </w:r>
      <w:r>
        <w:rPr>
          <w:rFonts w:hint="default" w:ascii="Times New Roman" w:hAnsi="Times New Roman" w:eastAsia="宋体" w:cs="Times New Roman"/>
          <w:color w:val="000000"/>
          <w:kern w:val="0"/>
          <w:sz w:val="24"/>
          <w:szCs w:val="24"/>
          <w:lang w:val="en-US" w:eastAsia="zh-CN" w:bidi="ar"/>
        </w:rPr>
        <w:t xml:space="preserve">12m/s </w:t>
      </w:r>
      <w:r>
        <w:rPr>
          <w:rFonts w:hint="eastAsia" w:ascii="宋体" w:hAnsi="宋体" w:eastAsia="宋体" w:cs="宋体"/>
          <w:color w:val="000000"/>
          <w:kern w:val="0"/>
          <w:sz w:val="24"/>
          <w:szCs w:val="24"/>
          <w:lang w:val="en-US" w:eastAsia="zh-CN" w:bidi="ar"/>
        </w:rPr>
        <w:t xml:space="preserve">时，不得进行顶升作业； </w:t>
      </w:r>
    </w:p>
    <w:p w14:paraId="0080B10C">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塔机的爬升机构，其爬升作业时应确保爬升架上支承在塔身上的受力部位与塔身顶升 支承部位应可靠定位和结合。并应及时查看顶升支承部位焊缝情况，若有异常情况应排除后才能继续进行爬升作业； </w:t>
      </w:r>
    </w:p>
    <w:p w14:paraId="7ABCA8D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顶升过程中必须保证起重臂与引入标准节方向一致，并利用回转机构制动器将起重臂 制动住，载重小车必须停靠在顶升配平位置； </w:t>
      </w:r>
    </w:p>
    <w:p w14:paraId="2E4DB18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若要连续加高几节标准节，则每加完一节后，用塔机自身起吊下一节标准节前，塔身 </w:t>
      </w: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 xml:space="preserve">个主弦杆和特殊节必须有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 xml:space="preserve">个安全销轴连接； </w:t>
      </w:r>
    </w:p>
    <w:p w14:paraId="7AE7CFD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所加标准节上的踏步，必须与已有塔身节对正； </w:t>
      </w:r>
    </w:p>
    <w:p w14:paraId="79FA2AA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在特殊节与塔身没有用销轴连接好之前，严禁起重臂回转、载重小车变幅和吊装作业； </w:t>
      </w:r>
    </w:p>
    <w:p w14:paraId="0221706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在顶升过程中，若液压顶升系统出现异常，应立即停止顶升，收回油缸，将特殊节落在塔身顶部，并用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根销轴将特殊节与塔身连接牢靠后，再排除液压系统的故障；</w:t>
      </w:r>
    </w:p>
    <w:p w14:paraId="2A87BE75">
      <w:pPr>
        <w:bidi w:val="0"/>
        <w:ind w:firstLine="420" w:firstLineChars="0"/>
        <w:rPr>
          <w:rFonts w:hint="eastAsia"/>
        </w:rPr>
      </w:pPr>
      <w:r>
        <w:rPr>
          <w:rFonts w:hint="eastAsia" w:ascii="宋体" w:hAnsi="宋体" w:eastAsia="宋体" w:cs="宋体"/>
          <w:color w:val="000000"/>
          <w:kern w:val="0"/>
          <w:sz w:val="24"/>
          <w:szCs w:val="24"/>
          <w:lang w:val="en-US" w:eastAsia="zh-CN" w:bidi="ar"/>
        </w:rPr>
        <w:t>塔机加节达到所需工作高度（但不超过独立高度）后，应旋转起重臂至不同的角度， 检查塔身各接头处销轴的装配、基础支脚处螺栓的拧紧问题。</w:t>
      </w:r>
      <w:r>
        <w:rPr>
          <w:rFonts w:hint="eastAsia"/>
          <w:lang w:val="en-US" w:eastAsia="zh-CN"/>
        </w:rPr>
        <w:t xml:space="preserve">钢丝绳防脱装置 </w:t>
      </w:r>
    </w:p>
    <w:p w14:paraId="4A0C8F9C">
      <w:pPr>
        <w:keepNext w:val="0"/>
        <w:keepLines w:val="0"/>
        <w:widowControl/>
        <w:suppressLineNumbers w:val="0"/>
        <w:ind w:firstLine="420" w:firstLineChars="0"/>
        <w:jc w:val="left"/>
        <w:rPr>
          <w:rFonts w:hint="eastAsia"/>
          <w:b/>
          <w:bCs/>
          <w:color w:val="FF0000"/>
          <w:kern w:val="44"/>
          <w:sz w:val="28"/>
          <w:szCs w:val="44"/>
          <w:lang w:val="en-US" w:eastAsia="zh-CN"/>
        </w:rPr>
      </w:pPr>
      <w:r>
        <w:rPr>
          <w:rFonts w:hint="eastAsia" w:ascii="宋体" w:hAnsi="宋体" w:eastAsia="宋体" w:cs="宋体"/>
          <w:b w:val="0"/>
          <w:bCs w:val="0"/>
          <w:color w:val="000000"/>
          <w:kern w:val="0"/>
          <w:sz w:val="24"/>
          <w:szCs w:val="24"/>
          <w:lang w:val="en-US" w:eastAsia="zh-CN" w:bidi="ar"/>
        </w:rPr>
        <w:t>该塔机的滑轮、起升卷筒均设有钢丝绳防脱装置，该装置表面与滑轮或卷筒侧板外缘间的间隙不超过钢丝绳直径的 20% ,该装置可能与钢丝绳接触的表面没有棱角，目测检验防脱是否有效。</w:t>
      </w:r>
    </w:p>
    <w:p w14:paraId="3078A9E6">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顶升时的配平</w:t>
      </w:r>
    </w:p>
    <w:p w14:paraId="7A841E28">
      <w:pPr>
        <w:spacing w:line="240" w:lineRule="auto"/>
        <w:jc w:val="left"/>
        <w:rPr>
          <w:rFonts w:hint="eastAsia"/>
          <w:lang w:eastAsia="zh-CN"/>
        </w:rPr>
      </w:pPr>
      <w:r>
        <w:rPr>
          <w:rFonts w:hint="eastAsia" w:eastAsia="宋体"/>
          <w:b/>
          <w:sz w:val="21"/>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41"/>
                    <a:stretch>
                      <a:fillRect/>
                    </a:stretch>
                  </pic:blipFill>
                  <pic:spPr>
                    <a:xfrm>
                      <a:off x="0" y="0"/>
                      <a:ext cx="2578100" cy="2991485"/>
                    </a:xfrm>
                    <a:prstGeom prst="rect">
                      <a:avLst/>
                    </a:prstGeom>
                  </pic:spPr>
                </pic:pic>
              </a:graphicData>
            </a:graphic>
          </wp:inline>
        </w:drawing>
      </w:r>
      <w:r>
        <w:rPr>
          <w:rFonts w:hint="eastAsia"/>
          <w:lang w:eastAsia="zh-CN"/>
        </w:rPr>
        <w:drawing>
          <wp:inline distT="0" distB="0" distL="114300" distR="114300">
            <wp:extent cx="1999615" cy="3013075"/>
            <wp:effectExtent l="0" t="0" r="635" b="15875"/>
            <wp:docPr id="205" name="图片 20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720679417501"/>
                    <pic:cNvPicPr>
                      <a:picLocks noChangeAspect="1"/>
                    </pic:cNvPicPr>
                  </pic:nvPicPr>
                  <pic:blipFill>
                    <a:blip r:embed="rId42"/>
                    <a:stretch>
                      <a:fillRect/>
                    </a:stretch>
                  </pic:blipFill>
                  <pic:spPr>
                    <a:xfrm>
                      <a:off x="0" y="0"/>
                      <a:ext cx="1999615" cy="3013075"/>
                    </a:xfrm>
                    <a:prstGeom prst="rect">
                      <a:avLst/>
                    </a:prstGeom>
                  </pic:spPr>
                </pic:pic>
              </a:graphicData>
            </a:graphic>
          </wp:inline>
        </w:drawing>
      </w:r>
    </w:p>
    <w:p w14:paraId="6157CCAA">
      <w:pPr>
        <w:pStyle w:val="15"/>
        <w:bidi w:val="0"/>
        <w:rPr>
          <w:rFonts w:hint="eastAsia"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2.12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cs="Times New Roman"/>
          <w:highlight w:val="none"/>
          <w:lang w:val="en-US" w:eastAsia="zh-CN"/>
        </w:rPr>
        <w:t xml:space="preserve"> 标准节引进示意图</w:t>
      </w:r>
    </w:p>
    <w:p w14:paraId="3F3524F0">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（1）塔机配平前，必须先吊一节标准节放在下支座的引进横梁上（标准节的平台、平台栏杆和爬梯要固定好），钢丝绳挂在标准节的对角吊耳上，再将载重小车吊一节标准节运行到配平参考位置见表-</w:t>
      </w: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，然后拆除</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 xml:space="preserve"> 4 个支腿与标准节连接的 8 个销轴。</w:t>
      </w:r>
    </w:p>
    <w:p w14:paraId="218BD96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（2）将液压顶升系统操纵杆推至“顶升”方向，使套架顶升至</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支腿刚刚脱离塔身的主弦杆的位置。</w:t>
      </w:r>
    </w:p>
    <w:p w14:paraId="324FB0D4">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（3）通过检验</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309B96B3">
      <w:pPr>
        <w:pStyle w:val="15"/>
        <w:bidi w:val="0"/>
      </w:pPr>
      <w:r>
        <w:drawing>
          <wp:inline distT="0" distB="0" distL="114300" distR="114300">
            <wp:extent cx="5273040" cy="3015615"/>
            <wp:effectExtent l="0" t="0" r="3810" b="13335"/>
            <wp:docPr id="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pic:cNvPicPr>
                      <a:picLocks noChangeAspect="1"/>
                    </pic:cNvPicPr>
                  </pic:nvPicPr>
                  <pic:blipFill>
                    <a:blip r:embed="rId43"/>
                    <a:stretch>
                      <a:fillRect/>
                    </a:stretch>
                  </pic:blipFill>
                  <pic:spPr>
                    <a:xfrm>
                      <a:off x="0" y="0"/>
                      <a:ext cx="5273040" cy="3015615"/>
                    </a:xfrm>
                    <a:prstGeom prst="rect">
                      <a:avLst/>
                    </a:prstGeom>
                    <a:noFill/>
                    <a:ln>
                      <a:noFill/>
                    </a:ln>
                  </pic:spPr>
                </pic:pic>
              </a:graphicData>
            </a:graphic>
          </wp:inline>
        </w:drawing>
      </w:r>
    </w:p>
    <w:p w14:paraId="5579FAF9">
      <w:pPr>
        <w:pStyle w:val="15"/>
        <w:bidi w:val="0"/>
        <w:rPr>
          <w:rFonts w:hint="default"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2.12</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ascii="Times New Roman" w:hAnsi="Times New Roman" w:cs="Times New Roman"/>
          <w:highlight w:val="none"/>
          <w:lang w:val="en-US" w:eastAsia="zh-CN"/>
        </w:rPr>
        <w:t xml:space="preserve"> 顶升前配平示意图</w:t>
      </w:r>
    </w:p>
    <w:p w14:paraId="3D7961C4">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顶升作业</w:t>
      </w:r>
    </w:p>
    <w:p w14:paraId="0D508CB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顶升作业为多人配合作业，专人负责操作泵站、其余人负责操作标准节及销轴。</w:t>
      </w:r>
    </w:p>
    <w:p w14:paraId="0CD142E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（1）按在引进梁上吊挂标准节的方法将一节标准节吊挂在引进梁上，并保证标准节上端面与引进小车下端面的距离在 100～250mm 之间。</w:t>
      </w:r>
    </w:p>
    <w:p w14:paraId="2BA7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再吊配平标准节，将载重小车开至顶升平衡位置，塔机处于配平状态。</w:t>
      </w:r>
    </w:p>
    <w:p w14:paraId="046C20B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使用回转机构上的回转制动器，将塔机上部机构处于制动状态；</w:t>
      </w:r>
    </w:p>
    <w:p w14:paraId="608D961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（4）卸下塔身顶部与下支座连接的顶升用临时销轴。</w:t>
      </w:r>
    </w:p>
    <w:p w14:paraId="62C3F91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4E5CAB2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（6）打开套架上止动靴操纵杆，使套架止动靴与塔身分开，继续顶升，将套架及以上部分顶起 ~m 时停止。</w:t>
      </w:r>
    </w:p>
    <w:p w14:paraId="26CDBCC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 当液压油缸活塞接近下止点位置时，推动套架止动靴操纵杆使上止动靴挂入踏步上的圆弧槽内，使塔机套架以上部分临时固定在顶升踏步上。</w:t>
      </w:r>
    </w:p>
    <w:p w14:paraId="5D6606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（8）将顶升横梁上的止动靴从塔身节踏步上脱开。</w:t>
      </w:r>
    </w:p>
    <w:p w14:paraId="5F8FF20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 液压泵站操纵杆搬向“向下”位置，使顶升横梁收回。在收回的过程中，注意不要使顶升梁与塔身上螺栓或鱼尾板卡住，防止造成事故。</w:t>
      </w:r>
    </w:p>
    <w:p w14:paraId="6CFDB62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（10）当顶升横梁止动靴开口与上一级顶升踏步对齐时，搬动顶升横梁止动靴使其挂入顶升踏步上。</w:t>
      </w:r>
    </w:p>
    <w:p w14:paraId="0BA5673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 打开顶升套架上止动靴操纵杆，使套架止动靴与塔身分开，液压泵站操纵杆搬向“向上”位置，继续顶升。</w:t>
      </w:r>
    </w:p>
    <w:p w14:paraId="1B7D588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该过程要重复三次方能形成可将一节标准节放进顶升套架内的空间。</w:t>
      </w:r>
    </w:p>
    <w:p w14:paraId="4FBE2034">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引进标准节作业</w:t>
      </w:r>
    </w:p>
    <w:p w14:paraId="407BF83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 当顶升第三循环接近完成、顶升套架内空间可以容纳标准节时，将挂在引进梁上的标准节轻轻推向塔身、引入套架内；</w:t>
      </w:r>
    </w:p>
    <w:p w14:paraId="2CE0158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液压泵站操纵杆搬向“向下”位置，引进的标准节下端与塔身原标准节上端鱼尾板对齐相联，打入 8 个标准节联接销轴，并用锁销固定。在联接标准节时注意使两标准节上爬梯对正，上下插接在一起。</w:t>
      </w:r>
    </w:p>
    <w:p w14:paraId="561964E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拆下引进小车上 4 根固定标准节的螺栓，将螺栓装在引进小车吊环内。向外推出引进小车至标准节以外位置；</w:t>
      </w:r>
    </w:p>
    <w:p w14:paraId="793ED7D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 继续下降顶升套架使下支座 4 个支腿落在新安装好的标准节上端鱼尾板内。用顶升套架上附带的四个临时固定销轴将下支座与标准节联接起来；</w:t>
      </w:r>
    </w:p>
    <w:p w14:paraId="638B7E9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重复上述顶升程序，直到塔机顶升作业完成为止。</w:t>
      </w:r>
    </w:p>
    <w:p w14:paraId="7C463D7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注意： 在 4 个临时销轴没有安装以前， 塔机不能做任何动作 （包括小车、 起升和回转）。否则有可能造成塔机倾翻的事故。</w:t>
      </w:r>
    </w:p>
    <w:p w14:paraId="180732B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关于顶升用临时销轴的说明：</w:t>
      </w:r>
    </w:p>
    <w:p w14:paraId="5E9D1DD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为方便顶升作业，配有 4 个临时销轴，此销轴直径比标准节销轴小 2mm 。此销轴只做顶升时联接下支座与塔身用， 塔机正式作业时不允许用此销轴替代标准节销轴。</w:t>
      </w:r>
    </w:p>
    <w:p w14:paraId="09392587">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顶升过程的注意事项</w:t>
      </w:r>
    </w:p>
    <w:p w14:paraId="41B0DEC9">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 xml:space="preserve"> 塔机最高处风速大于 12m/s 时，不得进行顶升作业；</w:t>
      </w:r>
    </w:p>
    <w:p w14:paraId="35351AEA">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75371B6A">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 xml:space="preserve"> 顶升过程中必须保证起重臂与引入标准节方向一致，并利用回转机构制动器将起重臂制动住，载重小车必须停靠在顶升配平位置；</w:t>
      </w:r>
    </w:p>
    <w:p w14:paraId="66DE1647">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所加标准节上的踏步，必须与已有塔身节对正；</w:t>
      </w:r>
    </w:p>
    <w:p w14:paraId="120E0C34">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 xml:space="preserve"> 在下支座与塔身没有用销轴连接好之前，严禁起重臂回转、载重小车变幅和吊装作业；</w:t>
      </w:r>
    </w:p>
    <w:p w14:paraId="1E769B32">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2C6DECAE">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顶升作业完成后注意事项</w:t>
      </w:r>
    </w:p>
    <w:p w14:paraId="6629786F">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引进小车不要放在塔身内；</w:t>
      </w:r>
    </w:p>
    <w:p w14:paraId="22756E23">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必要时可以放下引进梁；</w:t>
      </w:r>
    </w:p>
    <w:p w14:paraId="57FF5F85">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下支座与塔身必须用 8 个标准节销轴联接好并用锁销固定；</w:t>
      </w:r>
    </w:p>
    <w:p w14:paraId="3585E0E1">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顶升梁必须轻挂在最后一级顶升踏步上，注意要使液压油缸卸荷；</w:t>
      </w:r>
    </w:p>
    <w:p w14:paraId="64E56198">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拆掉液压泵站的电源线，整理好塔机电源随线；</w:t>
      </w:r>
    </w:p>
    <w:p w14:paraId="5BC75AF9">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整个塔机安装完毕后，将套架降到塔身最底部，固定牢固，以降低风载；</w:t>
      </w:r>
    </w:p>
    <w:p w14:paraId="6417378F">
      <w:pPr>
        <w:pStyle w:val="3"/>
        <w:numPr>
          <w:ilvl w:val="1"/>
          <w:numId w:val="4"/>
        </w:numPr>
        <w:bidi w:val="0"/>
        <w:ind w:left="567" w:leftChars="0" w:hanging="567" w:firstLineChars="0"/>
        <w:rPr>
          <w:rFonts w:hint="eastAsia" w:ascii="宋体" w:hAnsi="宋体" w:eastAsia="宋体" w:cs="宋体"/>
          <w:lang w:val="en-US" w:eastAsia="zh-CN"/>
        </w:rPr>
      </w:pPr>
      <w:bookmarkStart w:id="45" w:name="_Toc28442"/>
      <w:r>
        <w:rPr>
          <w:rFonts w:hint="eastAsia" w:ascii="宋体" w:hAnsi="宋体" w:eastAsia="宋体" w:cs="宋体"/>
          <w:lang w:val="en-US" w:eastAsia="zh-CN"/>
        </w:rPr>
        <w:t>塔机附着</w:t>
      </w:r>
      <w:bookmarkEnd w:id="45"/>
    </w:p>
    <w:p w14:paraId="5A2B8296">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塔机附着布置</w:t>
      </w:r>
    </w:p>
    <w:p w14:paraId="6DF6C49D">
      <w:pPr>
        <w:ind w:firstLine="48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塔机</w:t>
      </w:r>
      <w:r>
        <w:rPr>
          <w:rFonts w:hint="eastAsia" w:ascii="Times New Roman" w:hAnsi="Times New Roman" w:eastAsia="宋体" w:cs="Times New Roman"/>
          <w:color w:val="000000"/>
        </w:rPr>
        <w:t>设置</w:t>
      </w:r>
      <w:r>
        <w:rPr>
          <w:rFonts w:hint="eastAsia" w:ascii="Times New Roman" w:hAnsi="Times New Roman" w:cs="Times New Roman"/>
          <w:color w:val="000000"/>
          <w:lang w:val="en-US" w:eastAsia="zh-CN"/>
        </w:rPr>
        <w:t>1</w:t>
      </w:r>
      <w:r>
        <w:rPr>
          <w:rFonts w:hint="eastAsia" w:ascii="Times New Roman" w:hAnsi="Times New Roman" w:eastAsia="宋体" w:cs="Times New Roman"/>
          <w:color w:val="000000"/>
        </w:rPr>
        <w:t>道附着，附着平面布置见下图所示。</w:t>
      </w:r>
    </w:p>
    <w:p w14:paraId="0CC78A3C">
      <w:pPr>
        <w:pStyle w:val="13"/>
        <w:jc w:val="center"/>
      </w:pPr>
      <w:r>
        <w:drawing>
          <wp:inline distT="0" distB="0" distL="114300" distR="114300">
            <wp:extent cx="3171190" cy="3237230"/>
            <wp:effectExtent l="0" t="0" r="10160" b="1270"/>
            <wp:docPr id="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pic:cNvPicPr>
                      <a:picLocks noChangeAspect="1"/>
                    </pic:cNvPicPr>
                  </pic:nvPicPr>
                  <pic:blipFill>
                    <a:blip r:embed="rId44"/>
                    <a:stretch>
                      <a:fillRect/>
                    </a:stretch>
                  </pic:blipFill>
                  <pic:spPr>
                    <a:xfrm>
                      <a:off x="0" y="0"/>
                      <a:ext cx="3171190" cy="3237230"/>
                    </a:xfrm>
                    <a:prstGeom prst="rect">
                      <a:avLst/>
                    </a:prstGeom>
                    <a:noFill/>
                    <a:ln>
                      <a:noFill/>
                    </a:ln>
                  </pic:spPr>
                </pic:pic>
              </a:graphicData>
            </a:graphic>
          </wp:inline>
        </w:drawing>
      </w:r>
    </w:p>
    <w:p w14:paraId="759FB08B">
      <w:pPr>
        <w:pStyle w:val="15"/>
      </w:pPr>
      <w:r>
        <w:t xml:space="preserve">图 </w:t>
      </w:r>
      <w:r>
        <w:fldChar w:fldCharType="begin"/>
      </w:r>
      <w:r>
        <w:instrText xml:space="preserve"> STYLEREF 2 \s </w:instrText>
      </w:r>
      <w:r>
        <w:fldChar w:fldCharType="separate"/>
      </w:r>
      <w:r>
        <w:t>2.14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ascii="Times New Roman" w:hAnsi="Times New Roman" w:eastAsia="黑体" w:cs="Times New Roman"/>
          <w:kern w:val="2"/>
          <w:sz w:val="21"/>
          <w:szCs w:val="21"/>
          <w:lang w:val="en-US" w:eastAsia="zh-CN" w:bidi="ar-SA"/>
        </w:rPr>
        <w:t>塔机附着平面布置图</w:t>
      </w:r>
    </w:p>
    <w:p w14:paraId="3EB99F1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pPr>
      <w:r>
        <w:drawing>
          <wp:inline distT="0" distB="0" distL="114300" distR="114300">
            <wp:extent cx="3752850" cy="4373880"/>
            <wp:effectExtent l="0" t="0" r="0" b="7620"/>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45"/>
                    <a:stretch>
                      <a:fillRect/>
                    </a:stretch>
                  </pic:blipFill>
                  <pic:spPr>
                    <a:xfrm>
                      <a:off x="0" y="0"/>
                      <a:ext cx="3752850" cy="4373880"/>
                    </a:xfrm>
                    <a:prstGeom prst="rect">
                      <a:avLst/>
                    </a:prstGeom>
                    <a:noFill/>
                    <a:ln>
                      <a:noFill/>
                    </a:ln>
                  </pic:spPr>
                </pic:pic>
              </a:graphicData>
            </a:graphic>
          </wp:inline>
        </w:drawing>
      </w:r>
    </w:p>
    <w:p w14:paraId="1B7D499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pPr>
      <w:r>
        <w:t xml:space="preserve">图 </w:t>
      </w:r>
      <w:r>
        <w:fldChar w:fldCharType="begin"/>
      </w:r>
      <w:r>
        <w:instrText xml:space="preserve"> STYLEREF 2 \s </w:instrText>
      </w:r>
      <w:r>
        <w:fldChar w:fldCharType="separate"/>
      </w:r>
      <w:r>
        <w:t>2.14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ascii="Times New Roman" w:hAnsi="Times New Roman" w:eastAsia="黑体" w:cs="Times New Roman"/>
          <w:kern w:val="2"/>
          <w:sz w:val="21"/>
          <w:szCs w:val="21"/>
          <w:lang w:val="en-US" w:eastAsia="zh-CN" w:bidi="ar-SA"/>
        </w:rPr>
        <w:t xml:space="preserve"> 塔机附着立面布置图</w:t>
      </w:r>
    </w:p>
    <w:p w14:paraId="7A2F0197">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附着安装</w:t>
      </w:r>
    </w:p>
    <w:p w14:paraId="77190DE4">
      <w:pPr>
        <w:ind w:firstLine="480"/>
        <w:rPr>
          <w:rFonts w:ascii="Times New Roman" w:hAnsi="Times New Roman" w:eastAsia="宋体" w:cs="Times New Roman"/>
          <w:color w:val="000000"/>
        </w:rPr>
      </w:pPr>
      <w:r>
        <w:rPr>
          <w:rFonts w:hint="eastAsia" w:ascii="Times New Roman" w:hAnsi="Times New Roman" w:cs="Times New Roman"/>
          <w:color w:val="000000"/>
          <w:lang w:eastAsia="zh-CN"/>
        </w:rPr>
        <w:t>塔机</w:t>
      </w:r>
      <w:r>
        <w:rPr>
          <w:rFonts w:hint="eastAsia" w:ascii="Times New Roman" w:hAnsi="Times New Roman" w:eastAsia="宋体" w:cs="Times New Roman"/>
          <w:color w:val="000000"/>
        </w:rPr>
        <w:t>附着安装步骤如下：</w:t>
      </w:r>
    </w:p>
    <w:p w14:paraId="621AA8F2">
      <w:pPr>
        <w:ind w:firstLine="480"/>
        <w:rPr>
          <w:rFonts w:ascii="Times New Roman" w:hAnsi="Times New Roman" w:eastAsia="宋体" w:cs="Times New Roman"/>
          <w:color w:val="000000"/>
        </w:rPr>
      </w:pPr>
      <w:r>
        <w:rPr>
          <w:rFonts w:hint="eastAsia" w:ascii="Times New Roman" w:hAnsi="Times New Roman" w:eastAsia="宋体" w:cs="Times New Roman"/>
          <w:color w:val="000000"/>
        </w:rPr>
        <w:t>1）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338FB6E4">
      <w:pPr>
        <w:ind w:firstLine="480"/>
        <w:rPr>
          <w:color w:val="000000"/>
        </w:rPr>
      </w:pPr>
      <w:r>
        <w:rPr>
          <w:rFonts w:hint="eastAsia"/>
          <w:color w:val="000000"/>
        </w:rPr>
        <w:t>2）作业人员从主塔操作平台，通过垂直爬梯下到附着安装操作平台上，将安全带系挂在上方可靠位置。</w:t>
      </w:r>
    </w:p>
    <w:p w14:paraId="76F29D6D">
      <w:pPr>
        <w:ind w:firstLine="480"/>
        <w:rPr>
          <w:rFonts w:ascii="Times New Roman" w:hAnsi="Times New Roman" w:eastAsia="宋体" w:cs="Times New Roman"/>
          <w:color w:val="000000"/>
        </w:rPr>
      </w:pPr>
      <w:r>
        <w:rPr>
          <w:rFonts w:hint="eastAsia" w:ascii="Times New Roman" w:hAnsi="Times New Roman" w:eastAsia="宋体" w:cs="Times New Roman"/>
          <w:color w:val="000000"/>
        </w:rPr>
        <w:t>3）附着杆件采用两点吊，以附着杆件上4个固定吊耳孔为吊装孔，采用2根</w:t>
      </w:r>
      <w:r>
        <w:rPr>
          <w:rFonts w:hint="eastAsia" w:ascii="Times New Roman" w:hAnsi="Times New Roman" w:cs="Times New Roman"/>
          <w:color w:val="000000"/>
          <w:lang w:val="en-US" w:eastAsia="zh-CN"/>
        </w:rPr>
        <w:t>16mm6×19W+IWR1870Mpa</w:t>
      </w:r>
      <w:r>
        <w:rPr>
          <w:rFonts w:ascii="Times New Roman" w:hAnsi="Times New Roman" w:eastAsia="宋体" w:cs="Times New Roman"/>
          <w:color w:val="000000"/>
        </w:rPr>
        <w:t>的钢丝绳配套GB/T 25854-6-</w:t>
      </w:r>
      <w:r>
        <w:rPr>
          <w:rFonts w:hint="eastAsia" w:ascii="Times New Roman" w:hAnsi="Times New Roman" w:cs="Times New Roman"/>
          <w:color w:val="000000"/>
          <w:lang w:val="en-US" w:eastAsia="zh-CN"/>
        </w:rPr>
        <w:t>D</w:t>
      </w:r>
      <w:r>
        <w:rPr>
          <w:rFonts w:ascii="Times New Roman" w:hAnsi="Times New Roman" w:eastAsia="宋体" w:cs="Times New Roman"/>
          <w:color w:val="000000"/>
        </w:rPr>
        <w:t>W</w:t>
      </w:r>
      <w:r>
        <w:rPr>
          <w:rFonts w:hint="eastAsia" w:ascii="Times New Roman" w:hAnsi="Times New Roman" w:cs="Times New Roman"/>
          <w:color w:val="000000"/>
          <w:lang w:val="en-US" w:eastAsia="zh-CN"/>
        </w:rPr>
        <w:t>5</w:t>
      </w:r>
      <w:r>
        <w:rPr>
          <w:rFonts w:ascii="Times New Roman" w:hAnsi="Times New Roman" w:eastAsia="宋体" w:cs="Times New Roman"/>
          <w:color w:val="000000"/>
        </w:rPr>
        <w:t>卸扣进行吊装。</w:t>
      </w:r>
    </w:p>
    <w:p w14:paraId="2DB2AEDE">
      <w:pPr>
        <w:ind w:firstLine="480"/>
        <w:rPr>
          <w:rFonts w:ascii="Times New Roman" w:hAnsi="Times New Roman" w:eastAsia="宋体" w:cs="Times New Roman"/>
          <w:color w:val="000000"/>
        </w:rPr>
      </w:pPr>
      <w:r>
        <w:rPr>
          <w:rFonts w:hint="eastAsia" w:ascii="Times New Roman" w:hAnsi="Times New Roman" w:eastAsia="宋体" w:cs="Times New Roman"/>
          <w:color w:val="000000"/>
        </w:rPr>
        <w:t>4）作业人员先在地面上将钢丝绳一端与吊环连接，另一端与卸扣连接，卸扣与吊装孔连接，并在附着杆上拴好两根溜绳。启动起升机构，将附着杆件缓慢提升，用溜绳控制其摆动。起吊附着杆件至对应高度，溜绳辅助附着杆件就位，两侧的作业人员通过销轴将附着杆件分别与</w:t>
      </w:r>
      <w:r>
        <w:rPr>
          <w:rFonts w:hint="eastAsia" w:ascii="Times New Roman" w:hAnsi="Times New Roman" w:cs="Times New Roman"/>
          <w:color w:val="000000"/>
          <w:lang w:eastAsia="zh-CN"/>
        </w:rPr>
        <w:t>塔机</w:t>
      </w:r>
      <w:r>
        <w:rPr>
          <w:rFonts w:hint="eastAsia" w:ascii="Times New Roman" w:hAnsi="Times New Roman" w:eastAsia="宋体" w:cs="Times New Roman"/>
          <w:color w:val="000000"/>
        </w:rPr>
        <w:t>附着框和主墩预埋件连接固定。</w:t>
      </w:r>
    </w:p>
    <w:p w14:paraId="29E52240">
      <w:pPr>
        <w:ind w:firstLine="480"/>
        <w:rPr>
          <w:rFonts w:ascii="Times New Roman" w:hAnsi="Times New Roman" w:eastAsia="宋体" w:cs="Times New Roman"/>
          <w:color w:val="000000"/>
        </w:rPr>
      </w:pPr>
      <w:r>
        <w:rPr>
          <w:rFonts w:hint="eastAsia" w:ascii="Times New Roman" w:hAnsi="Times New Roman" w:eastAsia="宋体" w:cs="Times New Roman"/>
          <w:color w:val="000000"/>
        </w:rPr>
        <w:t>5）重复以上步骤，安装4根附着杆件。安装完成后，主墩侧平台上的作业人员通过爬梯上到筑塔机平台，再通过电梯下至地面；</w:t>
      </w:r>
      <w:r>
        <w:rPr>
          <w:rFonts w:hint="eastAsia" w:ascii="Times New Roman" w:hAnsi="Times New Roman" w:cs="Times New Roman"/>
          <w:color w:val="000000"/>
          <w:lang w:eastAsia="zh-CN"/>
        </w:rPr>
        <w:t>塔机</w:t>
      </w:r>
      <w:r>
        <w:rPr>
          <w:rFonts w:hint="eastAsia" w:ascii="Times New Roman" w:hAnsi="Times New Roman" w:eastAsia="宋体" w:cs="Times New Roman"/>
          <w:color w:val="000000"/>
        </w:rPr>
        <w:t>塔身侧作业人员通过塔身内爬梯下到地面。</w:t>
      </w:r>
    </w:p>
    <w:p w14:paraId="00D8617D">
      <w:pPr>
        <w:ind w:firstLine="480"/>
        <w:rPr>
          <w:rFonts w:ascii="Times New Roman" w:hAnsi="Times New Roman" w:eastAsia="宋体" w:cs="Times New Roman"/>
          <w:color w:val="000000"/>
        </w:rPr>
      </w:pPr>
      <w:r>
        <w:rPr>
          <w:rFonts w:hint="eastAsia" w:ascii="Times New Roman" w:hAnsi="Times New Roman" w:cs="Times New Roman"/>
          <w:color w:val="000000"/>
          <w:lang w:eastAsia="zh-CN"/>
        </w:rPr>
        <w:t>塔机</w:t>
      </w:r>
      <w:r>
        <w:rPr>
          <w:rFonts w:ascii="Times New Roman" w:hAnsi="Times New Roman" w:eastAsia="宋体" w:cs="Times New Roman"/>
          <w:color w:val="000000"/>
        </w:rPr>
        <w:t>附着安装要求如下：</w:t>
      </w:r>
    </w:p>
    <w:p w14:paraId="53125E8B">
      <w:pPr>
        <w:ind w:firstLine="480"/>
        <w:rPr>
          <w:rFonts w:ascii="Times New Roman" w:hAnsi="Times New Roman" w:eastAsia="宋体" w:cs="Times New Roman"/>
          <w:color w:val="000000"/>
        </w:rPr>
      </w:pPr>
      <w:r>
        <w:rPr>
          <w:rFonts w:ascii="Times New Roman" w:hAnsi="Times New Roman" w:eastAsia="宋体" w:cs="Times New Roman"/>
          <w:color w:val="000000"/>
        </w:rPr>
        <w:t>（1）先将附着外框梁套在塔身上，并通过楔块和斜撑将塔身的四根主弦杆顶紧；通过销轴将附着撑杆的一端与附着框架连接，另一端与固定在主墩上的耳座连接。</w:t>
      </w:r>
    </w:p>
    <w:p w14:paraId="369E24AB">
      <w:pPr>
        <w:ind w:firstLine="480"/>
        <w:rPr>
          <w:rFonts w:ascii="Times New Roman" w:hAnsi="Times New Roman" w:eastAsia="宋体" w:cs="Times New Roman"/>
          <w:color w:val="000000"/>
        </w:rPr>
      </w:pPr>
      <w:r>
        <w:rPr>
          <w:rFonts w:ascii="Times New Roman" w:hAnsi="Times New Roman" w:eastAsia="宋体" w:cs="Times New Roman"/>
          <w:color w:val="000000"/>
        </w:rPr>
        <w:t>（2）每道附着架的4组附着撑杆应尽量处于同一水平面上。但在安装附着框架时，若与塔身标准节的某些部位发生干涉，可适当升高或降低附着框架的安装高度。允许附着框架与耳座高度差不大于1L（L为下图中撑杆的长度）</w:t>
      </w:r>
    </w:p>
    <w:p w14:paraId="6A47FB5C">
      <w:pPr>
        <w:ind w:firstLine="480"/>
        <w:rPr>
          <w:rFonts w:ascii="Times New Roman" w:hAnsi="Times New Roman" w:eastAsia="宋体" w:cs="Times New Roman"/>
          <w:color w:val="000000"/>
        </w:rPr>
      </w:pPr>
      <w:r>
        <w:rPr>
          <w:rFonts w:ascii="Times New Roman" w:hAnsi="Times New Roman" w:eastAsia="宋体" w:cs="Times New Roman"/>
          <w:color w:val="000000"/>
        </w:rPr>
        <w:t>（3）附着撑杆上允许搭设供人从建筑物通向塔机的通道，但严禁堆放重物。</w:t>
      </w:r>
    </w:p>
    <w:p w14:paraId="73BE9F5B">
      <w:pPr>
        <w:ind w:firstLine="480"/>
        <w:rPr>
          <w:rFonts w:ascii="Times New Roman" w:hAnsi="Times New Roman" w:eastAsia="宋体" w:cs="Times New Roman"/>
          <w:color w:val="000000"/>
        </w:rPr>
      </w:pPr>
      <w:r>
        <w:rPr>
          <w:rFonts w:ascii="Times New Roman" w:hAnsi="Times New Roman" w:eastAsia="宋体" w:cs="Times New Roman"/>
          <w:color w:val="000000"/>
        </w:rPr>
        <w:t>（4）安装塔机前，应对建筑物附着点（耳座固定处）的承载能力以及影响附着点强度的钢筋混凝土骨架的施工日期等因素预先估计。</w:t>
      </w:r>
    </w:p>
    <w:p w14:paraId="7DEC3A84">
      <w:pPr>
        <w:ind w:firstLine="480"/>
        <w:rPr>
          <w:rFonts w:ascii="Times New Roman" w:hAnsi="Times New Roman" w:eastAsia="宋体" w:cs="Times New Roman"/>
          <w:color w:val="000000"/>
        </w:rPr>
      </w:pPr>
      <w:r>
        <w:rPr>
          <w:rFonts w:ascii="Times New Roman" w:hAnsi="Times New Roman" w:eastAsia="宋体" w:cs="Times New Roman"/>
          <w:color w:val="000000"/>
        </w:rPr>
        <w:t>（</w:t>
      </w:r>
      <w:r>
        <w:rPr>
          <w:rFonts w:hint="eastAsia" w:cs="Times New Roman"/>
          <w:color w:val="000000"/>
          <w:lang w:val="en-US" w:eastAsia="zh-CN"/>
        </w:rPr>
        <w:t>5</w:t>
      </w:r>
      <w:r>
        <w:rPr>
          <w:rFonts w:ascii="Times New Roman" w:hAnsi="Times New Roman" w:eastAsia="宋体" w:cs="Times New Roman"/>
          <w:color w:val="000000"/>
        </w:rPr>
        <w:t>）安装附着装置时，应当用全站仪检查塔身轴心线的垂直度，最上一道附着架以上塔身轴心线的侧向垂直度允差为4/1000，最上一道附着架以下塔身轴心线的垂直度允差为2/1000，可通过调节附着撑杆的长度来控制塔身垂直度。</w:t>
      </w:r>
    </w:p>
    <w:p w14:paraId="340270F5">
      <w:pPr>
        <w:bidi w:val="0"/>
        <w:ind w:firstLine="420" w:firstLineChars="0"/>
        <w:rPr>
          <w:rFonts w:hint="eastAsia" w:ascii="Times New Roman" w:hAnsi="Times New Roman" w:eastAsia="宋体" w:cstheme="majorBidi"/>
          <w:b/>
          <w:bCs w:val="0"/>
          <w:kern w:val="2"/>
          <w:szCs w:val="28"/>
          <w:lang w:val="en-US" w:eastAsia="zh-CN" w:bidi="ar-SA"/>
        </w:rPr>
      </w:pPr>
      <w:r>
        <w:t>（</w:t>
      </w:r>
      <w:r>
        <w:rPr>
          <w:rFonts w:hint="eastAsia"/>
          <w:lang w:val="en-US" w:eastAsia="zh-CN"/>
        </w:rPr>
        <w:t>6</w:t>
      </w:r>
      <w:r>
        <w:t>）附着撑杆与附着框架，连接耳座，以及附着框架与塔身、内撑杆的连接必须可靠。内撑杆应可靠地将塔身主弦杆顶紧，并与塔身的主弦夹紧，各连接螺栓应紧固好。各调节螺栓调整好后，应将螺母可靠地</w:t>
      </w:r>
      <w:r>
        <w:rPr>
          <w:rFonts w:hint="eastAsia"/>
        </w:rPr>
        <w:t>拧</w:t>
      </w:r>
      <w:r>
        <w:t>紧。开口销应按规定张开，运行后应经常检查是否发生松动，并及时进行调整。</w:t>
      </w:r>
    </w:p>
    <w:p w14:paraId="3B050524">
      <w:pPr>
        <w:pStyle w:val="3"/>
        <w:numPr>
          <w:ilvl w:val="1"/>
          <w:numId w:val="4"/>
        </w:numPr>
        <w:bidi w:val="0"/>
        <w:ind w:left="567" w:leftChars="0" w:hanging="567" w:firstLineChars="0"/>
        <w:rPr>
          <w:rFonts w:hint="eastAsia" w:ascii="宋体" w:hAnsi="宋体" w:eastAsia="宋体" w:cs="宋体"/>
          <w:lang w:val="en-US" w:eastAsia="zh-CN"/>
        </w:rPr>
      </w:pPr>
      <w:bookmarkStart w:id="46" w:name="_Toc26539"/>
      <w:r>
        <w:rPr>
          <w:rFonts w:hint="eastAsia" w:ascii="宋体" w:hAnsi="宋体" w:eastAsia="宋体" w:cs="宋体"/>
          <w:lang w:val="en-US" w:eastAsia="zh-CN"/>
        </w:rPr>
        <w:t>安全装置的调试</w:t>
      </w:r>
      <w:bookmarkEnd w:id="39"/>
      <w:bookmarkEnd w:id="40"/>
      <w:bookmarkEnd w:id="41"/>
      <w:bookmarkEnd w:id="46"/>
    </w:p>
    <w:p w14:paraId="1A761D97">
      <w:pPr>
        <w:ind w:firstLine="482" w:firstLineChars="200"/>
        <w:rPr>
          <w:rFonts w:hint="eastAsia"/>
          <w:b/>
          <w:bCs/>
          <w:highlight w:val="none"/>
          <w:lang w:val="en-US" w:eastAsia="zh-CN"/>
        </w:rPr>
      </w:pPr>
      <w:r>
        <w:rPr>
          <w:rFonts w:hint="eastAsia"/>
          <w:b/>
          <w:bCs/>
          <w:highlight w:val="none"/>
          <w:lang w:val="en-US" w:eastAsia="zh-CN"/>
        </w:rPr>
        <w:t>1、起升高度限位器</w:t>
      </w:r>
    </w:p>
    <w:p w14:paraId="3EB76D12">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51DD539">
      <w:pPr>
        <w:ind w:firstLine="482" w:firstLineChars="200"/>
        <w:rPr>
          <w:rFonts w:hint="eastAsia"/>
          <w:b/>
          <w:bCs/>
          <w:highlight w:val="none"/>
          <w:lang w:val="en-US" w:eastAsia="zh-CN"/>
        </w:rPr>
      </w:pPr>
      <w:r>
        <w:rPr>
          <w:rFonts w:hint="eastAsia"/>
          <w:b/>
          <w:bCs/>
          <w:highlight w:val="none"/>
          <w:lang w:val="en-US" w:eastAsia="zh-CN"/>
        </w:rPr>
        <w:t>2、回转限位器</w:t>
      </w:r>
    </w:p>
    <w:p w14:paraId="196060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27FD607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0CD5CF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m或超出最小幅度0m时，限位开关分别被触发，切断变幅电机电源，使小车不能再向外（或向内）运行，只能向内（或向外）变幅。</w:t>
      </w:r>
    </w:p>
    <w:p w14:paraId="27561F1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01575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431D66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0601CA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2612DE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47AEBF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53860D0C">
      <w:pPr>
        <w:pStyle w:val="3"/>
        <w:numPr>
          <w:ilvl w:val="1"/>
          <w:numId w:val="4"/>
        </w:numPr>
        <w:bidi w:val="0"/>
        <w:ind w:left="567" w:leftChars="0" w:hanging="567" w:firstLineChars="0"/>
        <w:rPr>
          <w:rFonts w:hint="default" w:ascii="宋体" w:hAnsi="宋体" w:eastAsia="宋体" w:cs="宋体"/>
          <w:highlight w:val="none"/>
          <w:lang w:val="en-US" w:eastAsia="zh-CN"/>
        </w:rPr>
      </w:pPr>
      <w:bookmarkStart w:id="47" w:name="_Toc11800"/>
      <w:r>
        <w:rPr>
          <w:rFonts w:hint="eastAsia" w:ascii="宋体" w:hAnsi="宋体" w:eastAsia="宋体" w:cs="宋体"/>
          <w:highlight w:val="none"/>
          <w:lang w:val="en-US" w:eastAsia="zh-CN"/>
        </w:rPr>
        <w:t>风险与应对措施</w:t>
      </w:r>
      <w:bookmarkEnd w:id="47"/>
    </w:p>
    <w:p w14:paraId="21C6C25E">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51"/>
        <w:ind w:firstLine="480"/>
        <w:rPr>
          <w:rFonts w:ascii="宋体" w:hAnsi="宋体"/>
          <w:highlight w:val="none"/>
        </w:rPr>
      </w:pPr>
      <w:r>
        <w:rPr>
          <w:rFonts w:ascii="宋体" w:hAnsi="宋体"/>
          <w:highlight w:val="none"/>
        </w:rPr>
        <w:t>（1）风险估测方法选择</w:t>
      </w:r>
    </w:p>
    <w:p w14:paraId="739D2572">
      <w:pPr>
        <w:pStyle w:val="51"/>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51"/>
        <w:ind w:firstLine="480"/>
        <w:rPr>
          <w:rFonts w:ascii="宋体" w:hAnsi="宋体"/>
          <w:highlight w:val="none"/>
        </w:rPr>
      </w:pPr>
      <w:r>
        <w:rPr>
          <w:rFonts w:ascii="宋体" w:hAnsi="宋体"/>
          <w:highlight w:val="none"/>
        </w:rPr>
        <w:t>（2）量化分值标准</w:t>
      </w:r>
    </w:p>
    <w:p w14:paraId="4BD18095">
      <w:pPr>
        <w:pStyle w:val="51"/>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51"/>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51"/>
        <w:ind w:firstLine="480"/>
        <w:rPr>
          <w:rFonts w:ascii="宋体" w:hAnsi="宋体"/>
          <w:highlight w:val="none"/>
        </w:rPr>
      </w:pPr>
      <w:r>
        <w:rPr>
          <w:rFonts w:ascii="宋体" w:hAnsi="宋体"/>
          <w:highlight w:val="none"/>
        </w:rPr>
        <w:t>C一发生事故造成的后果。</w:t>
      </w:r>
    </w:p>
    <w:p w14:paraId="547723C5">
      <w:pPr>
        <w:pStyle w:val="51"/>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51"/>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-1</w:t>
      </w:r>
      <w:r>
        <w:rPr>
          <w:rFonts w:ascii="宋体" w:hAnsi="宋体"/>
          <w:highlight w:val="none"/>
        </w:rPr>
        <w:t>所示：</w:t>
      </w:r>
    </w:p>
    <w:p w14:paraId="3ACE3AB5">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t>发生事故的可能性（L）</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51"/>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51"/>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w:t>
      </w:r>
      <w:r>
        <w:t>暴露于危险环境的频繁程度（E）</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7C8A9808">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highlight w:val="none"/>
                <w:lang w:eastAsia="zh-CN"/>
              </w:rPr>
            </w:pP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51"/>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51"/>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t>发生事故造成的后果（C）</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51"/>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51"/>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15"/>
        <w:bidi w:val="0"/>
        <w:rPr>
          <w:highlight w:val="none"/>
        </w:rPr>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t>风险等级划分（D）</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52"/>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52"/>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52"/>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52"/>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52"/>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52"/>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52"/>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52"/>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52"/>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52"/>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52"/>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52"/>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52"/>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52"/>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52"/>
              <w:rPr>
                <w:rFonts w:hint="eastAsia" w:ascii="宋体" w:hAnsi="宋体" w:eastAsia="黑体"/>
                <w:highlight w:val="none"/>
                <w:lang w:eastAsia="zh-CN"/>
              </w:rPr>
            </w:pPr>
            <w:r>
              <w:rPr>
                <w:rFonts w:hint="eastAsia" w:ascii="宋体" w:hAnsi="宋体"/>
                <w:highlight w:val="none"/>
                <w:lang w:val="en-US" w:eastAsia="zh-CN"/>
              </w:rPr>
              <w:t>Ⅰ</w:t>
            </w:r>
          </w:p>
        </w:tc>
      </w:tr>
    </w:tbl>
    <w:p w14:paraId="1B61E0A9">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危险源辨识与评价</w:t>
      </w:r>
    </w:p>
    <w:p w14:paraId="1013EA33">
      <w:pPr>
        <w:pStyle w:val="1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lang w:val="en-US" w:eastAsia="zh-CN"/>
        </w:rPr>
        <w:sectPr>
          <w:headerReference r:id="rId7" w:type="default"/>
          <w:pgSz w:w="11906" w:h="16838"/>
          <w:pgMar w:top="1440" w:right="1800" w:bottom="1440" w:left="1800" w:header="1304" w:footer="907" w:gutter="0"/>
          <w:pgBorders>
            <w:top w:val="none" w:sz="0" w:space="0"/>
            <w:left w:val="none" w:sz="0" w:space="0"/>
            <w:bottom w:val="none" w:sz="0" w:space="0"/>
            <w:right w:val="none" w:sz="0" w:space="0"/>
          </w:pgBorders>
          <w:pgNumType w:fmt="decimal"/>
          <w:cols w:space="425" w:num="1"/>
          <w:docGrid w:type="lines" w:linePitch="312" w:charSpace="0"/>
        </w:sectPr>
      </w:pPr>
      <w:r>
        <w:rPr>
          <w:rFonts w:ascii="宋体" w:hAnsi="宋体" w:eastAsia="宋体" w:cs="Times New Roman"/>
          <w:kern w:val="2"/>
          <w:sz w:val="24"/>
          <w:szCs w:val="22"/>
          <w:highlight w:val="none"/>
          <w:lang w:val="en-US" w:eastAsia="zh-CN" w:bidi="ar-SA"/>
        </w:rPr>
        <w:t>根据以上风险估测方法，对</w:t>
      </w:r>
      <w:r>
        <w:rPr>
          <w:rFonts w:hint="eastAsia" w:ascii="宋体" w:hAnsi="宋体" w:eastAsia="宋体" w:cs="Times New Roman"/>
          <w:kern w:val="2"/>
          <w:sz w:val="24"/>
          <w:szCs w:val="22"/>
          <w:highlight w:val="none"/>
          <w:lang w:val="en-US" w:eastAsia="zh-CN" w:bidi="ar-SA"/>
        </w:rPr>
        <w:t>塔机安拆</w:t>
      </w:r>
      <w:r>
        <w:rPr>
          <w:rFonts w:ascii="宋体" w:hAnsi="宋体" w:eastAsia="宋体" w:cs="Times New Roman"/>
          <w:kern w:val="2"/>
          <w:sz w:val="24"/>
          <w:szCs w:val="22"/>
          <w:highlight w:val="none"/>
          <w:lang w:val="en-US" w:eastAsia="zh-CN" w:bidi="ar-SA"/>
        </w:rPr>
        <w:t>施工过程主要危险源进行分析和估算，从而得出相关估测结果见</w:t>
      </w:r>
      <w:r>
        <w:rPr>
          <w:rFonts w:hint="eastAsia" w:ascii="宋体" w:hAnsi="宋体" w:eastAsia="宋体" w:cs="Times New Roman"/>
          <w:kern w:val="2"/>
          <w:sz w:val="24"/>
          <w:szCs w:val="22"/>
          <w:highlight w:val="none"/>
          <w:lang w:val="en-US" w:eastAsia="zh-CN" w:bidi="ar-SA"/>
        </w:rPr>
        <w:t>下表</w:t>
      </w:r>
      <w:r>
        <w:rPr>
          <w:rFonts w:hint="eastAsia"/>
          <w:lang w:val="en-US" w:eastAsia="zh-CN"/>
        </w:rPr>
        <w:t xml:space="preserve">    </w:t>
      </w:r>
    </w:p>
    <w:p w14:paraId="73348C4E">
      <w:pPr>
        <w:pStyle w:val="16"/>
        <w:rPr>
          <w:rFonts w:hint="default"/>
          <w:lang w:val="en-US" w:eastAsia="zh-CN"/>
        </w:rPr>
      </w:pPr>
    </w:p>
    <w:tbl>
      <w:tblPr>
        <w:tblStyle w:val="28"/>
        <w:tblW w:w="4997"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397"/>
        <w:gridCol w:w="397"/>
        <w:gridCol w:w="397"/>
        <w:gridCol w:w="2995"/>
        <w:gridCol w:w="521"/>
        <w:gridCol w:w="396"/>
        <w:gridCol w:w="396"/>
        <w:gridCol w:w="396"/>
        <w:gridCol w:w="486"/>
        <w:gridCol w:w="397"/>
        <w:gridCol w:w="888"/>
        <w:gridCol w:w="851"/>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4"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2"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6"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4"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2"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4"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2"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71"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8"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0"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3"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2"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4"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2"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6"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4"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6"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4"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6"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8"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4"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6"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4"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6"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4"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6"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4"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6"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4"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6"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4"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6"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4"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6"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4"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6"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4"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6"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4"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6"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4"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6"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4"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6"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4"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w:t>
            </w:r>
          </w:p>
        </w:tc>
        <w:tc>
          <w:tcPr>
            <w:tcW w:w="242"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6"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4"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6"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4"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6"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4"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6"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p>
        </w:tc>
        <w:tc>
          <w:tcPr>
            <w:tcW w:w="148"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4"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6"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180"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4"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6"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2"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4"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6"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4"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6"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4"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6"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71"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4"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2"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6"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4"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6"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4"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6"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4"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6"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4"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6"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4"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6"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4"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6"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4"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6"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4"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6"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4"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6"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4"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6"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4"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6"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4"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6"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4"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6"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4"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6"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4"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6"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4"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6"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4"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6"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2"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4"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6"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4"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2"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6"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4"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6"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4"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6"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4"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6"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4"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6"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71"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4"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隧道、高温、有导电灰尘、比较潮湿或灯具离地面高度低于m等场所的照明，电源电压大于36V</w:t>
            </w:r>
          </w:p>
        </w:tc>
        <w:tc>
          <w:tcPr>
            <w:tcW w:w="386"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4"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6"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4"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6"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4"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6"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4"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6"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4"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6"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4"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6"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4"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6"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4"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2"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6"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2"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80" w:hRule="atLeast"/>
        </w:trPr>
        <w:tc>
          <w:tcPr>
            <w:tcW w:w="180"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4"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6"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2"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4"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6"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4"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6"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180"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4"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6"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71"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4"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6"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4"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6"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4"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6"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71"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4"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6"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4"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6"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4"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6"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71"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4"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6"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4"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6"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4"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6"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4"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6"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71"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49FDB69D">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w:t>
      </w:r>
      <w:r>
        <w:rPr>
          <w:rFonts w:hint="eastAsia" w:cs="宋体"/>
          <w:color w:val="000000"/>
          <w:kern w:val="0"/>
          <w:sz w:val="24"/>
          <w:szCs w:val="24"/>
          <w:highlight w:val="none"/>
          <w:lang w:val="en-US" w:eastAsia="zh-CN" w:bidi="ar"/>
        </w:rPr>
        <w:t>塔机</w:t>
      </w:r>
      <w:r>
        <w:rPr>
          <w:rFonts w:hint="eastAsia" w:ascii="宋体" w:hAnsi="宋体" w:eastAsia="宋体" w:cs="宋体"/>
          <w:color w:val="000000"/>
          <w:kern w:val="0"/>
          <w:sz w:val="24"/>
          <w:szCs w:val="24"/>
          <w:highlight w:val="none"/>
          <w:lang w:val="en-US" w:eastAsia="zh-CN" w:bidi="ar"/>
        </w:rPr>
        <w:t>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59E34546">
      <w:pPr>
        <w:pStyle w:val="51"/>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Style w:val="37"/>
        </w:rPr>
        <w:t xml:space="preserve">表 </w:t>
      </w:r>
      <w:r>
        <w:rPr>
          <w:rStyle w:val="37"/>
        </w:rPr>
        <w:fldChar w:fldCharType="begin"/>
      </w:r>
      <w:r>
        <w:rPr>
          <w:rStyle w:val="37"/>
        </w:rPr>
        <w:instrText xml:space="preserve"> STYLEREF 2 \s </w:instrText>
      </w:r>
      <w:r>
        <w:rPr>
          <w:rStyle w:val="37"/>
        </w:rPr>
        <w:fldChar w:fldCharType="separate"/>
      </w:r>
      <w:r>
        <w:rPr>
          <w:rStyle w:val="37"/>
        </w:rPr>
        <w:t>2.16</w:t>
      </w:r>
      <w:r>
        <w:rPr>
          <w:rStyle w:val="37"/>
        </w:rPr>
        <w:fldChar w:fldCharType="end"/>
      </w:r>
      <w:r>
        <w:rPr>
          <w:rStyle w:val="37"/>
          <w:rFonts w:hint="eastAsia"/>
          <w:lang w:eastAsia="zh-CN"/>
        </w:rPr>
        <w:t>-</w:t>
      </w:r>
      <w:r>
        <w:rPr>
          <w:rStyle w:val="37"/>
        </w:rPr>
        <w:fldChar w:fldCharType="begin"/>
      </w:r>
      <w:r>
        <w:rPr>
          <w:rStyle w:val="37"/>
        </w:rPr>
        <w:instrText xml:space="preserve"> SEQ 表 \* ARABIC \s 2 </w:instrText>
      </w:r>
      <w:r>
        <w:rPr>
          <w:rStyle w:val="37"/>
        </w:rPr>
        <w:fldChar w:fldCharType="separate"/>
      </w:r>
      <w:r>
        <w:rPr>
          <w:rStyle w:val="37"/>
        </w:rPr>
        <w:t>5</w:t>
      </w:r>
      <w:r>
        <w:rPr>
          <w:rStyle w:val="37"/>
        </w:rPr>
        <w:fldChar w:fldCharType="end"/>
      </w:r>
      <w:r>
        <w:rPr>
          <w:rStyle w:val="37"/>
          <w:rFonts w:hint="eastAsia"/>
          <w:lang w:val="en-US" w:eastAsia="zh-CN"/>
        </w:rPr>
        <w:t xml:space="preserve"> 塔机安装施工显著危害因素清单</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及控制措施表</w:t>
      </w:r>
    </w:p>
    <w:tbl>
      <w:tblPr>
        <w:tblStyle w:val="28"/>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4"/>
        <w:gridCol w:w="556"/>
        <w:gridCol w:w="4363"/>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59"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C2F910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243" w:type="pct"/>
            <w:tcBorders>
              <w:tl2br w:val="nil"/>
              <w:tr2bl w:val="nil"/>
            </w:tcBorders>
            <w:shd w:val="clear" w:color="auto" w:fill="auto"/>
            <w:vAlign w:val="center"/>
          </w:tcPr>
          <w:p w14:paraId="7322E4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26" w:type="pct"/>
            <w:vMerge w:val="restart"/>
            <w:tcBorders>
              <w:tl2br w:val="nil"/>
              <w:tr2bl w:val="nil"/>
            </w:tcBorders>
            <w:shd w:val="clear" w:color="auto" w:fill="auto"/>
            <w:vAlign w:val="center"/>
          </w:tcPr>
          <w:p w14:paraId="635F45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安装</w:t>
            </w:r>
          </w:p>
        </w:tc>
        <w:tc>
          <w:tcPr>
            <w:tcW w:w="2559" w:type="pct"/>
            <w:tcBorders>
              <w:tl2br w:val="nil"/>
              <w:tr2bl w:val="nil"/>
            </w:tcBorders>
            <w:shd w:val="clear" w:color="auto" w:fill="auto"/>
            <w:vAlign w:val="center"/>
          </w:tcPr>
          <w:p w14:paraId="6B7BFF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520" w:type="pct"/>
            <w:tcBorders>
              <w:tl2br w:val="nil"/>
              <w:tr2bl w:val="nil"/>
            </w:tcBorders>
            <w:shd w:val="clear" w:color="auto" w:fill="auto"/>
            <w:vAlign w:val="center"/>
          </w:tcPr>
          <w:p w14:paraId="662D8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298" w:type="pct"/>
            <w:tcBorders>
              <w:tl2br w:val="nil"/>
              <w:tr2bl w:val="nil"/>
            </w:tcBorders>
            <w:shd w:val="clear" w:color="auto" w:fill="auto"/>
            <w:vAlign w:val="center"/>
          </w:tcPr>
          <w:p w14:paraId="732DF7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2961EC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施工前对场地排水进行检查，验收合格方可施工</w:t>
            </w:r>
          </w:p>
        </w:tc>
      </w:tr>
      <w:tr w14:paraId="098A315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23A334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26" w:type="pct"/>
            <w:vMerge w:val="continue"/>
            <w:tcBorders>
              <w:tl2br w:val="nil"/>
              <w:tr2bl w:val="nil"/>
            </w:tcBorders>
            <w:shd w:val="clear" w:color="auto" w:fill="auto"/>
            <w:vAlign w:val="center"/>
          </w:tcPr>
          <w:p w14:paraId="75B32C28">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5F8D19D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520" w:type="pct"/>
            <w:tcBorders>
              <w:tl2br w:val="nil"/>
              <w:tr2bl w:val="nil"/>
            </w:tcBorders>
            <w:shd w:val="clear" w:color="auto" w:fill="auto"/>
            <w:vAlign w:val="center"/>
          </w:tcPr>
          <w:p w14:paraId="02DADF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42979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36B791E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施工前落实交底制度，确保每位进场人员全覆盖</w:t>
            </w: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243"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w:t>
            </w: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59"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960" w:hRule="atLeast"/>
        </w:trPr>
        <w:tc>
          <w:tcPr>
            <w:tcW w:w="243" w:type="pct"/>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59"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59"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59"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bookmarkEnd w:id="15"/>
      <w:bookmarkEnd w:id="16"/>
      <w:bookmarkEnd w:id="17"/>
      <w:bookmarkEnd w:id="18"/>
      <w:bookmarkEnd w:id="19"/>
      <w:bookmarkEnd w:id="20"/>
      <w:bookmarkEnd w:id="21"/>
      <w:bookmarkEnd w:id="22"/>
    </w:tbl>
    <w:p w14:paraId="772A14E9">
      <w:pPr>
        <w:pStyle w:val="2"/>
        <w:bidi w:val="0"/>
        <w:rPr>
          <w:rFonts w:hint="default"/>
          <w:lang w:val="en-US" w:eastAsia="zh-CN"/>
        </w:rPr>
      </w:pPr>
      <w:bookmarkStart w:id="48" w:name="_Toc27309"/>
      <w:bookmarkStart w:id="49" w:name="_Toc9485"/>
      <w:bookmarkStart w:id="50" w:name="_Toc31164"/>
      <w:bookmarkStart w:id="51" w:name="_Toc11726"/>
      <w:bookmarkStart w:id="52" w:name="_Toc30716"/>
      <w:bookmarkStart w:id="53" w:name="_Toc21041"/>
      <w:bookmarkStart w:id="54" w:name="_Toc31520"/>
      <w:bookmarkStart w:id="55" w:name="_Toc7330"/>
      <w:bookmarkStart w:id="56" w:name="_Toc6988"/>
      <w:bookmarkStart w:id="57" w:name="_Toc8355"/>
      <w:r>
        <w:rPr>
          <w:rFonts w:hint="eastAsia"/>
          <w:lang w:val="en-US" w:eastAsia="zh-CN"/>
        </w:rPr>
        <w:t xml:space="preserve">3 </w:t>
      </w:r>
      <w:bookmarkEnd w:id="48"/>
      <w:bookmarkEnd w:id="49"/>
      <w:bookmarkEnd w:id="50"/>
      <w:bookmarkEnd w:id="51"/>
      <w:bookmarkEnd w:id="52"/>
      <w:bookmarkEnd w:id="53"/>
      <w:bookmarkEnd w:id="54"/>
      <w:bookmarkEnd w:id="55"/>
      <w:bookmarkEnd w:id="56"/>
      <w:bookmarkStart w:id="58" w:name="_Toc29719"/>
      <w:bookmarkStart w:id="59" w:name="_Toc30796"/>
      <w:bookmarkStart w:id="60" w:name="_Toc24962"/>
      <w:bookmarkStart w:id="61" w:name="_Toc29111"/>
      <w:bookmarkStart w:id="62" w:name="_Toc31245"/>
      <w:bookmarkStart w:id="63" w:name="_Toc16131"/>
      <w:bookmarkStart w:id="64" w:name="_Toc23915"/>
      <w:bookmarkStart w:id="65" w:name="_Toc15366"/>
      <w:bookmarkStart w:id="66" w:name="_Toc20022"/>
      <w:r>
        <w:rPr>
          <w:rFonts w:hint="eastAsia"/>
          <w:lang w:val="en-US" w:eastAsia="zh-CN"/>
        </w:rPr>
        <w:t>质量安全环保要求</w:t>
      </w:r>
      <w:bookmarkEnd w:id="57"/>
      <w:bookmarkEnd w:id="58"/>
    </w:p>
    <w:p w14:paraId="1302DAAF">
      <w:pPr>
        <w:bidi w:val="0"/>
        <w:jc w:val="center"/>
        <w:rPr>
          <w:rFonts w:hint="eastAsia"/>
          <w:lang w:val="en-US" w:eastAsia="zh-CN"/>
        </w:rPr>
      </w:pPr>
      <w:r>
        <w:rPr>
          <w:rFonts w:hint="eastAsia"/>
          <w:lang w:val="en-US" w:eastAsia="zh-CN"/>
        </w:rPr>
        <w:t>表3-1 质量、安全、环保注意事项</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633"/>
        <w:gridCol w:w="6023"/>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0" w:type="dxa"/>
            <w:shd w:val="clear" w:color="auto" w:fill="auto"/>
            <w:vAlign w:val="center"/>
          </w:tcPr>
          <w:p w14:paraId="44697E09">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1A1E8EB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（1）地基承载力需符合设计文件要求，混凝土强度等级、钢筋配置及预埋件位置偏差需严格把控，基础验收合格后方可进行塔机安装。</w:t>
            </w:r>
          </w:p>
          <w:p w14:paraId="7F247D5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2</w:t>
            </w:r>
            <w:r>
              <w:rPr>
                <w:rFonts w:hint="eastAsia" w:ascii="Calibri" w:hAnsi="Calibri" w:eastAsia="宋体" w:cs="Times New Roman"/>
                <w:kern w:val="2"/>
                <w:sz w:val="21"/>
                <w:szCs w:val="20"/>
                <w:lang w:val="en-US" w:eastAsia="zh-CN" w:bidi="ar-SA"/>
              </w:rPr>
              <w:t>）塔身、起重臂、平衡臂等构件的连接螺栓需按规定扭矩紧固，销轴安装到位并固定，构件安装垂直度偏差应在规范允许范围内（如塔身垂直度≤1/1000）。</w:t>
            </w:r>
          </w:p>
          <w:p w14:paraId="46A2273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3</w:t>
            </w:r>
            <w:r>
              <w:rPr>
                <w:rFonts w:hint="eastAsia" w:ascii="Calibri" w:hAnsi="Calibri" w:eastAsia="宋体" w:cs="Times New Roman"/>
                <w:kern w:val="2"/>
                <w:sz w:val="21"/>
                <w:szCs w:val="20"/>
                <w:lang w:val="en-US" w:eastAsia="zh-CN" w:bidi="ar-SA"/>
              </w:rPr>
              <w:t>）起升、变幅、回转、顶升等机构运行需平稳，无卡滞、异响，制动系统灵敏可靠，各限位开关（高度、幅度、重量等）安装准确且功能正常。</w:t>
            </w:r>
          </w:p>
          <w:p w14:paraId="506DFAD2">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4</w:t>
            </w:r>
            <w:r>
              <w:rPr>
                <w:rFonts w:hint="eastAsia" w:ascii="Calibri" w:hAnsi="Calibri" w:eastAsia="宋体" w:cs="Times New Roman"/>
                <w:kern w:val="2"/>
                <w:sz w:val="21"/>
                <w:szCs w:val="20"/>
                <w:lang w:val="en-US" w:eastAsia="zh-CN" w:bidi="ar-SA"/>
              </w:rPr>
              <w:t>）电气线路连接正确、绝缘良好，接地电阻符合要求（≤4Ω），控制柜、操作台等设备运行正常，照明及信号装置齐全有效。</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31B940E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（1）安装人员需持有效特种作业操作证上岗，作业前进行安全技术交底，明确岗位职责及风险防控措施。</w:t>
            </w:r>
          </w:p>
          <w:p w14:paraId="03B79EDF">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（2）安装区域设置警戒线及警示标志，禁止无关人员进入；高空作业人员需系好安全带，佩戴安全帽，作业平台及临边防护符合安全标准。</w:t>
            </w:r>
          </w:p>
          <w:p w14:paraId="4F310C4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（3）安装前对塔机构件、钢丝绳、吊钩、滑轮等进行检查，确保无变形、裂纹、磨损超标等缺陷，起重机械性能完好。</w:t>
            </w:r>
          </w:p>
          <w:p w14:paraId="2DDF318B">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（4）严格按照安装方案及操作规程作业，避免超载、斜拉歪吊等违规操作；遇大风、暴雨、浓雾等恶劣天气，停止安装作业。</w:t>
            </w:r>
          </w:p>
          <w:p w14:paraId="0D0302A9">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（5）安装完成后需经第三方检测机构检测合格，取得使用登记证书后方可投入使用，定期进行维护保养和安全检查。</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6DDA2FFD">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（1）安装过程中选用低噪声设备，合理安排作业时间，避免夜间施工（特殊情况需办理夜间施工许可），减少对周边环境的噪声污染。</w:t>
            </w:r>
          </w:p>
          <w:p w14:paraId="3CBDC31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（2）施工现场场地平整，对裸露地面进行覆盖或洒水降尘；构件运输及堆放过程中避免扬尘，车辆出场前冲洗轮胎，防止带泥上路。</w:t>
            </w:r>
          </w:p>
          <w:p w14:paraId="35A70D8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（3）安装过程中产生的废螺栓、废钢丝绳、废包装物等废弃物需分类收集，交由专业机构处理，禁止随意丢弃。</w:t>
            </w:r>
          </w:p>
          <w:p w14:paraId="2301EAFE">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（4）对塔机液压系统、润滑系统等可能产生油污泄漏的部位进行检查和防护，避免油污污染土壤和水体，泄漏油污及时清理收集。</w:t>
            </w:r>
          </w:p>
        </w:tc>
      </w:tr>
    </w:tbl>
    <w:p w14:paraId="034053BA">
      <w:pPr>
        <w:bidi w:val="0"/>
        <w:rPr>
          <w:rFonts w:hint="default"/>
          <w:lang w:val="en-US" w:eastAsia="zh-CN"/>
        </w:rPr>
      </w:pPr>
    </w:p>
    <w:p w14:paraId="1D624AD7">
      <w:pPr>
        <w:pStyle w:val="2"/>
        <w:tabs>
          <w:tab w:val="left" w:pos="420"/>
        </w:tabs>
        <w:bidi w:val="0"/>
        <w:rPr>
          <w:rFonts w:hint="default"/>
          <w:lang w:val="en-US" w:eastAsia="zh-CN"/>
        </w:rPr>
      </w:pPr>
      <w:bookmarkStart w:id="67" w:name="_Toc13569"/>
      <w:r>
        <w:rPr>
          <w:rFonts w:hint="eastAsia"/>
          <w:lang w:val="en-US" w:eastAsia="zh-CN"/>
        </w:rPr>
        <w:t xml:space="preserve">4 </w:t>
      </w:r>
      <w:bookmarkStart w:id="68" w:name="_Toc17113"/>
      <w:bookmarkStart w:id="69" w:name="_Toc8800"/>
      <w:bookmarkStart w:id="70" w:name="_Toc4123"/>
      <w:r>
        <w:rPr>
          <w:rFonts w:hint="eastAsia"/>
          <w:lang w:val="en-US" w:eastAsia="zh-CN"/>
        </w:rPr>
        <w:t>施工管理及作业人员配备和分工</w:t>
      </w:r>
      <w:bookmarkEnd w:id="67"/>
      <w:bookmarkEnd w:id="68"/>
      <w:bookmarkEnd w:id="69"/>
      <w:bookmarkEnd w:id="70"/>
    </w:p>
    <w:bookmarkEnd w:id="59"/>
    <w:bookmarkEnd w:id="60"/>
    <w:bookmarkEnd w:id="61"/>
    <w:bookmarkEnd w:id="62"/>
    <w:bookmarkEnd w:id="63"/>
    <w:bookmarkEnd w:id="64"/>
    <w:bookmarkEnd w:id="65"/>
    <w:bookmarkEnd w:id="66"/>
    <w:p w14:paraId="3E012C69">
      <w:pPr>
        <w:pStyle w:val="3"/>
        <w:bidi w:val="0"/>
        <w:rPr>
          <w:rFonts w:hint="eastAsia"/>
          <w:lang w:val="en-US" w:eastAsia="zh-CN"/>
        </w:rPr>
      </w:pPr>
      <w:bookmarkStart w:id="71" w:name="_Toc19396"/>
      <w:bookmarkStart w:id="72" w:name="_Toc21160"/>
      <w:bookmarkStart w:id="73" w:name="_Toc25098"/>
      <w:bookmarkStart w:id="74" w:name="_Toc15688"/>
      <w:bookmarkStart w:id="75" w:name="_Toc28760"/>
      <w:bookmarkStart w:id="76" w:name="_Toc16617"/>
      <w:bookmarkStart w:id="77" w:name="_Toc25139"/>
      <w:bookmarkStart w:id="78" w:name="_Toc15900"/>
      <w:bookmarkStart w:id="79" w:name="_Toc19965"/>
      <w:bookmarkStart w:id="80" w:name="_Toc15260"/>
      <w:bookmarkStart w:id="81" w:name="_Toc29051"/>
      <w:bookmarkStart w:id="82" w:name="_Toc9611"/>
      <w:bookmarkStart w:id="83" w:name="_Toc26638"/>
      <w:bookmarkStart w:id="84" w:name="_Toc2793"/>
      <w:bookmarkStart w:id="85" w:name="_Toc27413"/>
      <w:bookmarkStart w:id="86" w:name="_Toc9260"/>
      <w:bookmarkStart w:id="87" w:name="_Toc20398"/>
      <w:bookmarkStart w:id="88" w:name="_Toc11753"/>
      <w:bookmarkStart w:id="89" w:name="_Toc19188"/>
      <w:bookmarkStart w:id="90" w:name="_Toc11245"/>
      <w:bookmarkStart w:id="91" w:name="_Toc15633"/>
      <w:bookmarkStart w:id="92" w:name="_Toc15920"/>
      <w:r>
        <w:rPr>
          <w:rFonts w:hint="eastAsia"/>
          <w:lang w:val="en-US" w:eastAsia="zh-CN"/>
        </w:rPr>
        <w:t xml:space="preserve">4.1 </w:t>
      </w:r>
      <w:bookmarkEnd w:id="71"/>
      <w:bookmarkEnd w:id="72"/>
      <w:bookmarkEnd w:id="73"/>
      <w:bookmarkEnd w:id="74"/>
      <w:bookmarkEnd w:id="75"/>
      <w:bookmarkEnd w:id="76"/>
      <w:bookmarkEnd w:id="77"/>
      <w:bookmarkEnd w:id="78"/>
      <w:r>
        <w:rPr>
          <w:rFonts w:hint="eastAsia"/>
          <w:lang w:val="en-US" w:eastAsia="zh-CN"/>
        </w:rPr>
        <w:t>施工组织机构</w:t>
      </w:r>
      <w:bookmarkEnd w:id="79"/>
      <w:bookmarkEnd w:id="80"/>
    </w:p>
    <w:p w14:paraId="21BB1141">
      <w:pPr>
        <w:pStyle w:val="46"/>
        <w:spacing w:before="156"/>
        <w:ind w:left="0" w:leftChars="0" w:firstLine="0" w:firstLineChars="0"/>
        <w:jc w:val="both"/>
        <w:rPr>
          <w:highlight w:val="none"/>
        </w:rPr>
      </w:pPr>
      <w:r>
        <w:rPr>
          <w:highlight w:val="none"/>
        </w:rPr>
        <w:drawing>
          <wp:inline distT="0" distB="0" distL="0" distR="0">
            <wp:extent cx="5168900" cy="2413635"/>
            <wp:effectExtent l="0" t="0" r="12700" b="5715"/>
            <wp:docPr id="18" name="图片 1124"/>
            <wp:cNvGraphicFramePr/>
            <a:graphic xmlns:a="http://schemas.openxmlformats.org/drawingml/2006/main">
              <a:graphicData uri="http://schemas.openxmlformats.org/drawingml/2006/picture">
                <pic:pic xmlns:pic="http://schemas.openxmlformats.org/drawingml/2006/picture">
                  <pic:nvPicPr>
                    <pic:cNvPr id="18" name="图片 1124"/>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图4.1-1 施工组织机构图</w:t>
      </w:r>
    </w:p>
    <w:p w14:paraId="5E1D446B">
      <w:pPr>
        <w:pStyle w:val="3"/>
        <w:bidi w:val="0"/>
        <w:rPr>
          <w:rFonts w:hint="default"/>
          <w:lang w:val="en-US" w:eastAsia="zh-CN"/>
        </w:rPr>
      </w:pPr>
      <w:bookmarkStart w:id="93" w:name="_Toc25453"/>
      <w:bookmarkStart w:id="94" w:name="_Toc31040"/>
      <w:bookmarkStart w:id="95" w:name="_Toc15724"/>
      <w:bookmarkStart w:id="96" w:name="_Toc5092"/>
      <w:bookmarkStart w:id="97" w:name="_Toc25658"/>
      <w:bookmarkStart w:id="98" w:name="_Toc13715"/>
      <w:bookmarkStart w:id="99" w:name="_Toc13716"/>
      <w:bookmarkStart w:id="100" w:name="_Toc7987"/>
      <w:bookmarkStart w:id="101" w:name="_Toc19018"/>
      <w:bookmarkStart w:id="102" w:name="_Toc1434"/>
      <w:r>
        <w:rPr>
          <w:rFonts w:hint="eastAsia"/>
          <w:lang w:val="en-US" w:eastAsia="zh-CN"/>
        </w:rPr>
        <w:t xml:space="preserve">4.2 </w:t>
      </w:r>
      <w:bookmarkEnd w:id="93"/>
      <w:bookmarkEnd w:id="94"/>
      <w:bookmarkEnd w:id="95"/>
      <w:bookmarkEnd w:id="96"/>
      <w:bookmarkEnd w:id="97"/>
      <w:bookmarkEnd w:id="98"/>
      <w:bookmarkEnd w:id="99"/>
      <w:bookmarkEnd w:id="100"/>
      <w:r>
        <w:rPr>
          <w:rFonts w:hint="eastAsia"/>
          <w:lang w:val="en-US" w:eastAsia="zh-CN"/>
        </w:rPr>
        <w:t>人员配置</w:t>
      </w:r>
      <w:bookmarkEnd w:id="101"/>
      <w:bookmarkEnd w:id="102"/>
    </w:p>
    <w:p w14:paraId="2BBBAF3E">
      <w:pPr>
        <w:pStyle w:val="15"/>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4.2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8"/>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704ED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D6DCE5" w:themeFill="text2" w:themeFillTint="32"/>
            <w:vAlign w:val="center"/>
          </w:tcPr>
          <w:p w14:paraId="43610380">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D6DCE5" w:themeFill="text2" w:themeFillTint="32"/>
            <w:vAlign w:val="center"/>
          </w:tcPr>
          <w:p w14:paraId="530B1012">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D6DCE5" w:themeFill="text2" w:themeFillTint="32"/>
            <w:vAlign w:val="center"/>
          </w:tcPr>
          <w:p w14:paraId="1727ADEB">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2A4EC9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228C313C">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18C3B79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508D13C4">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E54A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C0F1386">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781B95B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温涛</w:t>
            </w:r>
          </w:p>
        </w:tc>
        <w:tc>
          <w:tcPr>
            <w:tcW w:w="6353" w:type="dxa"/>
            <w:tcBorders>
              <w:tl2br w:val="nil"/>
              <w:tr2bl w:val="nil"/>
            </w:tcBorders>
            <w:vAlign w:val="center"/>
          </w:tcPr>
          <w:p w14:paraId="4613C718">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2C147DCB">
      <w:pPr>
        <w:pStyle w:val="43"/>
        <w:rPr>
          <w:rFonts w:hint="eastAsia"/>
          <w:color w:val="auto"/>
        </w:rPr>
      </w:pPr>
    </w:p>
    <w:p w14:paraId="767DCD54">
      <w:pPr>
        <w:pStyle w:val="46"/>
        <w:spacing w:before="156"/>
        <w:ind w:firstLine="422"/>
        <w:jc w:val="center"/>
        <w:rPr>
          <w:rFonts w:hint="eastAsia" w:ascii="宋体" w:hAnsi="宋体" w:eastAsia="宋体" w:cs="黑体"/>
          <w:b/>
          <w:color w:val="auto"/>
          <w:sz w:val="21"/>
          <w:szCs w:val="21"/>
          <w:lang w:val="en-US" w:eastAsia="zh-CN"/>
        </w:rPr>
      </w:pPr>
      <w:bookmarkStart w:id="103" w:name="_Toc17383790"/>
      <w:bookmarkStart w:id="104" w:name="_Toc10028"/>
      <w:bookmarkStart w:id="105" w:name="_Toc1349054167"/>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8"/>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温涛</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1A583671">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3E0D9D3A">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7FD55213">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A2C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ABFC5F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2899756">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1E795393">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65E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02363B7E">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7825EAB">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09C7D41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05458947">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103"/>
      <w:bookmarkEnd w:id="104"/>
      <w:bookmarkEnd w:id="105"/>
    </w:tbl>
    <w:p w14:paraId="02E30AB9">
      <w:pPr>
        <w:pStyle w:val="46"/>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98"/>
        <w:gridCol w:w="675"/>
        <w:gridCol w:w="1345"/>
        <w:gridCol w:w="2592"/>
        <w:gridCol w:w="2334"/>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527" w:type="pct"/>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396" w:type="pct"/>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789" w:type="pct"/>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1521" w:type="pct"/>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1369" w:type="pct"/>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27" w:type="pct"/>
            <w:vAlign w:val="center"/>
          </w:tcPr>
          <w:p w14:paraId="28317B5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彭善忠</w:t>
            </w:r>
          </w:p>
        </w:tc>
        <w:tc>
          <w:tcPr>
            <w:tcW w:w="396" w:type="pct"/>
            <w:vAlign w:val="top"/>
          </w:tcPr>
          <w:p w14:paraId="3181431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男</w:t>
            </w:r>
          </w:p>
        </w:tc>
        <w:tc>
          <w:tcPr>
            <w:tcW w:w="789" w:type="pct"/>
            <w:vAlign w:val="top"/>
          </w:tcPr>
          <w:p w14:paraId="4C1D91C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项目负责人</w:t>
            </w:r>
          </w:p>
        </w:tc>
        <w:tc>
          <w:tcPr>
            <w:tcW w:w="1521" w:type="pct"/>
            <w:vAlign w:val="center"/>
          </w:tcPr>
          <w:p w14:paraId="2A509EE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鲁230001133100304</w:t>
            </w:r>
          </w:p>
        </w:tc>
        <w:tc>
          <w:tcPr>
            <w:tcW w:w="1369" w:type="pct"/>
            <w:vAlign w:val="center"/>
          </w:tcPr>
          <w:p w14:paraId="4D34965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512223197508214798</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27" w:type="pct"/>
            <w:vAlign w:val="center"/>
          </w:tcPr>
          <w:p w14:paraId="6B64B73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温涛</w:t>
            </w:r>
          </w:p>
        </w:tc>
        <w:tc>
          <w:tcPr>
            <w:tcW w:w="396" w:type="pct"/>
            <w:vAlign w:val="top"/>
          </w:tcPr>
          <w:p w14:paraId="0758012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男</w:t>
            </w:r>
          </w:p>
        </w:tc>
        <w:tc>
          <w:tcPr>
            <w:tcW w:w="789" w:type="pct"/>
            <w:vAlign w:val="top"/>
          </w:tcPr>
          <w:p w14:paraId="64840BB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技术负责人</w:t>
            </w:r>
          </w:p>
        </w:tc>
        <w:tc>
          <w:tcPr>
            <w:tcW w:w="1521" w:type="pct"/>
            <w:vAlign w:val="center"/>
          </w:tcPr>
          <w:p w14:paraId="127B859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鲁200100033201097</w:t>
            </w:r>
          </w:p>
        </w:tc>
        <w:tc>
          <w:tcPr>
            <w:tcW w:w="1369" w:type="pct"/>
            <w:vAlign w:val="center"/>
          </w:tcPr>
          <w:p w14:paraId="27D3E38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412801198705060316</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27" w:type="pct"/>
            <w:vAlign w:val="center"/>
          </w:tcPr>
          <w:p w14:paraId="436DC8B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eastAsia"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白美富</w:t>
            </w:r>
          </w:p>
        </w:tc>
        <w:tc>
          <w:tcPr>
            <w:tcW w:w="396" w:type="pct"/>
            <w:vAlign w:val="top"/>
          </w:tcPr>
          <w:p w14:paraId="6DFA066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男</w:t>
            </w:r>
          </w:p>
        </w:tc>
        <w:tc>
          <w:tcPr>
            <w:tcW w:w="789" w:type="pct"/>
            <w:vAlign w:val="top"/>
          </w:tcPr>
          <w:p w14:paraId="10CFE43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安全员</w:t>
            </w:r>
          </w:p>
        </w:tc>
        <w:tc>
          <w:tcPr>
            <w:tcW w:w="1521" w:type="pct"/>
            <w:vAlign w:val="center"/>
          </w:tcPr>
          <w:p w14:paraId="2679A4A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川建安C3(2023)0080797</w:t>
            </w:r>
          </w:p>
        </w:tc>
        <w:tc>
          <w:tcPr>
            <w:tcW w:w="1369" w:type="pct"/>
            <w:vAlign w:val="center"/>
          </w:tcPr>
          <w:p w14:paraId="51C55A7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510113198801248019</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27" w:type="pct"/>
            <w:vAlign w:val="center"/>
          </w:tcPr>
          <w:p w14:paraId="7A7E722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黄科</w:t>
            </w:r>
          </w:p>
        </w:tc>
        <w:tc>
          <w:tcPr>
            <w:tcW w:w="396" w:type="pct"/>
            <w:vAlign w:val="top"/>
          </w:tcPr>
          <w:p w14:paraId="7C218D9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13107524">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0FBB3F09">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082023006932</w:t>
            </w:r>
          </w:p>
        </w:tc>
        <w:tc>
          <w:tcPr>
            <w:tcW w:w="1369" w:type="pct"/>
            <w:vAlign w:val="center"/>
          </w:tcPr>
          <w:p w14:paraId="18130CCA">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510113198609247470</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27" w:type="pct"/>
            <w:vAlign w:val="center"/>
          </w:tcPr>
          <w:p w14:paraId="2213750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陈刚</w:t>
            </w:r>
          </w:p>
        </w:tc>
        <w:tc>
          <w:tcPr>
            <w:tcW w:w="396" w:type="pct"/>
            <w:vAlign w:val="top"/>
          </w:tcPr>
          <w:p w14:paraId="0B06D878">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FE4A62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143FE191">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O82023006907</w:t>
            </w:r>
          </w:p>
        </w:tc>
        <w:tc>
          <w:tcPr>
            <w:tcW w:w="1369" w:type="pct"/>
            <w:vAlign w:val="center"/>
          </w:tcPr>
          <w:p w14:paraId="29C63082">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510922198601193519</w:t>
            </w:r>
          </w:p>
        </w:tc>
      </w:tr>
      <w:tr w14:paraId="2596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6CBC6B">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27" w:type="pct"/>
            <w:vAlign w:val="center"/>
          </w:tcPr>
          <w:p w14:paraId="1DDBC3E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徐刚</w:t>
            </w:r>
          </w:p>
        </w:tc>
        <w:tc>
          <w:tcPr>
            <w:tcW w:w="396" w:type="pct"/>
            <w:vAlign w:val="top"/>
          </w:tcPr>
          <w:p w14:paraId="58FA149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28DED8A">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2B3E8EFD">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O82023007219</w:t>
            </w:r>
          </w:p>
        </w:tc>
        <w:tc>
          <w:tcPr>
            <w:tcW w:w="1369" w:type="pct"/>
            <w:vAlign w:val="center"/>
          </w:tcPr>
          <w:p w14:paraId="533E2274">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500226198809275711</w:t>
            </w:r>
          </w:p>
        </w:tc>
      </w:tr>
      <w:tr w14:paraId="6E64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32ED0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27" w:type="pct"/>
            <w:vAlign w:val="center"/>
          </w:tcPr>
          <w:p w14:paraId="57E7546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黄仁训</w:t>
            </w:r>
          </w:p>
        </w:tc>
        <w:tc>
          <w:tcPr>
            <w:tcW w:w="396" w:type="pct"/>
            <w:vAlign w:val="top"/>
          </w:tcPr>
          <w:p w14:paraId="7364358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2F62DC71">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4FAC284B">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K</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082019700001</w:t>
            </w:r>
          </w:p>
        </w:tc>
        <w:tc>
          <w:tcPr>
            <w:tcW w:w="1369" w:type="pct"/>
            <w:vAlign w:val="center"/>
          </w:tcPr>
          <w:p w14:paraId="6B5D2DCE">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510113198608137413</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527" w:type="pct"/>
            <w:vAlign w:val="center"/>
          </w:tcPr>
          <w:p w14:paraId="14A775C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明兴富</w:t>
            </w:r>
          </w:p>
        </w:tc>
        <w:tc>
          <w:tcPr>
            <w:tcW w:w="396" w:type="pct"/>
            <w:vAlign w:val="top"/>
          </w:tcPr>
          <w:p w14:paraId="7FF3BD6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69E2AEC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1521" w:type="pct"/>
            <w:vAlign w:val="center"/>
          </w:tcPr>
          <w:p w14:paraId="2D57885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川A012023012238</w:t>
            </w:r>
          </w:p>
        </w:tc>
        <w:tc>
          <w:tcPr>
            <w:tcW w:w="1369" w:type="pct"/>
            <w:vAlign w:val="center"/>
          </w:tcPr>
          <w:p w14:paraId="418BAD1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510322197807274712</w:t>
            </w:r>
          </w:p>
        </w:tc>
      </w:tr>
    </w:tbl>
    <w:p w14:paraId="2F0BB9FE">
      <w:pPr>
        <w:pStyle w:val="2"/>
        <w:bidi w:val="0"/>
        <w:rPr>
          <w:rFonts w:hint="eastAsia"/>
          <w:lang w:val="en-US" w:eastAsia="zh-CN"/>
        </w:rPr>
      </w:pPr>
      <w:bookmarkStart w:id="106" w:name="_Toc21345"/>
      <w:r>
        <w:rPr>
          <w:rFonts w:hint="eastAsia"/>
          <w:lang w:val="en-US" w:eastAsia="zh-CN"/>
        </w:rPr>
        <w:t>5 应急处置及应急救援措施</w:t>
      </w:r>
      <w:bookmarkEnd w:id="81"/>
      <w:bookmarkEnd w:id="106"/>
    </w:p>
    <w:p w14:paraId="550A33AB">
      <w:pPr>
        <w:pStyle w:val="3"/>
        <w:tabs>
          <w:tab w:val="left" w:pos="525"/>
          <w:tab w:val="left" w:pos="601"/>
          <w:tab w:val="clear" w:pos="240"/>
        </w:tabs>
        <w:bidi w:val="0"/>
        <w:rPr>
          <w:rFonts w:hint="eastAsia"/>
          <w:lang w:val="en-US" w:eastAsia="zh-CN"/>
        </w:rPr>
      </w:pPr>
      <w:bookmarkStart w:id="107" w:name="_Toc22326"/>
      <w:r>
        <w:rPr>
          <w:rFonts w:hint="eastAsia"/>
          <w:lang w:val="en-US" w:eastAsia="zh-CN"/>
        </w:rPr>
        <w:t>5.1应急救援组织机构及职责</w:t>
      </w:r>
      <w:bookmarkEnd w:id="107"/>
    </w:p>
    <w:p w14:paraId="355B7B4E">
      <w:pPr>
        <w:pStyle w:val="4"/>
        <w:tabs>
          <w:tab w:val="left" w:pos="0"/>
          <w:tab w:val="left" w:pos="630"/>
          <w:tab w:val="clear" w:pos="312"/>
        </w:tabs>
        <w:bidi w:val="0"/>
        <w:rPr>
          <w:rFonts w:hint="eastAsia"/>
          <w:lang w:val="en-US" w:eastAsia="zh-CN"/>
        </w:rPr>
      </w:pPr>
      <w:bookmarkStart w:id="108" w:name="_Toc530055718"/>
      <w:r>
        <w:rPr>
          <w:rFonts w:hint="eastAsia"/>
          <w:lang w:val="en-US" w:eastAsia="zh-CN"/>
        </w:rPr>
        <w:t>5.1.1应急处置领导小组</w:t>
      </w:r>
      <w:bookmarkEnd w:id="108"/>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温涛</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645CE420">
      <w:pPr>
        <w:pStyle w:val="4"/>
        <w:tabs>
          <w:tab w:val="left" w:pos="0"/>
          <w:tab w:val="left" w:pos="630"/>
          <w:tab w:val="clear" w:pos="312"/>
        </w:tabs>
        <w:bidi w:val="0"/>
        <w:rPr>
          <w:rFonts w:hint="eastAsia"/>
          <w:lang w:val="en-US" w:eastAsia="zh-CN"/>
        </w:rPr>
      </w:pPr>
      <w:bookmarkStart w:id="109" w:name="_Toc530055719"/>
      <w:r>
        <w:rPr>
          <w:rFonts w:hint="eastAsia"/>
          <w:lang w:val="en-US" w:eastAsia="zh-CN"/>
        </w:rPr>
        <w:t>5.1.2职责</w:t>
      </w:r>
      <w:bookmarkEnd w:id="109"/>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pStyle w:val="4"/>
        <w:tabs>
          <w:tab w:val="left" w:pos="0"/>
          <w:tab w:val="left" w:pos="630"/>
          <w:tab w:val="clear" w:pos="312"/>
        </w:tabs>
        <w:bidi w:val="0"/>
        <w:rPr>
          <w:rFonts w:hint="eastAsia"/>
          <w:lang w:val="en-US" w:eastAsia="zh-CN"/>
        </w:rPr>
      </w:pPr>
      <w:bookmarkStart w:id="110" w:name="_Toc530055720"/>
      <w:r>
        <w:rPr>
          <w:rFonts w:hint="eastAsia"/>
          <w:lang w:val="en-US" w:eastAsia="zh-CN"/>
        </w:rPr>
        <w:t>5.1.3领导小组人员分工</w:t>
      </w:r>
      <w:bookmarkEnd w:id="110"/>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7C9CD1EC">
      <w:pPr>
        <w:pStyle w:val="3"/>
        <w:tabs>
          <w:tab w:val="left" w:pos="525"/>
          <w:tab w:val="left" w:pos="601"/>
          <w:tab w:val="clear" w:pos="240"/>
        </w:tabs>
        <w:bidi w:val="0"/>
        <w:rPr>
          <w:rFonts w:hint="default"/>
          <w:lang w:val="en-US" w:eastAsia="zh-CN"/>
        </w:rPr>
      </w:pPr>
      <w:bookmarkStart w:id="111" w:name="_Toc29412"/>
      <w:r>
        <w:rPr>
          <w:rFonts w:hint="eastAsia"/>
          <w:lang w:val="en-US" w:eastAsia="zh-CN"/>
        </w:rPr>
        <w:t>5.2专项应急处置措施</w:t>
      </w:r>
      <w:bookmarkEnd w:id="111"/>
    </w:p>
    <w:p w14:paraId="4E965C0C">
      <w:pPr>
        <w:pStyle w:val="4"/>
        <w:tabs>
          <w:tab w:val="left" w:pos="0"/>
          <w:tab w:val="left" w:pos="630"/>
          <w:tab w:val="clear" w:pos="312"/>
        </w:tabs>
        <w:bidi w:val="0"/>
        <w:rPr>
          <w:rFonts w:hint="eastAsia"/>
          <w:lang w:val="en-US" w:eastAsia="zh-CN"/>
        </w:rPr>
      </w:pPr>
      <w:r>
        <w:rPr>
          <w:rFonts w:hint="eastAsia"/>
          <w:lang w:val="en-US" w:eastAsia="zh-CN"/>
        </w:rPr>
        <w:t>5.2.1高处坠落应急处置措施</w:t>
      </w:r>
    </w:p>
    <w:p w14:paraId="1340DA9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（5）遇有创伤性出血的伤员，应迅速包扎止血，使伤员保持在头底脚高的卧位，并注意保暖。正确的现场止血处理措施：</w:t>
      </w:r>
    </w:p>
    <w:p w14:paraId="30472C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a.一般伤口的止血法：先用生理盐水（0.9%Nacl溶液）冲洗伤口，涂上红汞水，然后盖上消毒纱布，用绷带较紧地包扎。</w:t>
      </w:r>
    </w:p>
    <w:p w14:paraId="3B79814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b.加压包扎止血法：用纱布、棉花等作成软件垫，放在伤口上再加包扎，来增强压力而达到止血。</w:t>
      </w:r>
    </w:p>
    <w:p w14:paraId="0CF3E2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（6）动用最快的交通工具或其他措施，及时把伤者送往邻近医院抢救，运送途中应尽量减少颠簸。同时密切注意伤者的呼吸、脉搏、血压及伤口的情况。</w:t>
      </w:r>
    </w:p>
    <w:p w14:paraId="4353CD57">
      <w:pPr>
        <w:pStyle w:val="4"/>
        <w:tabs>
          <w:tab w:val="left" w:pos="0"/>
          <w:tab w:val="left" w:pos="630"/>
          <w:tab w:val="clear" w:pos="312"/>
        </w:tabs>
        <w:bidi w:val="0"/>
        <w:rPr>
          <w:rFonts w:hint="eastAsia"/>
          <w:lang w:val="en-US" w:eastAsia="zh-CN"/>
        </w:rPr>
      </w:pPr>
      <w:r>
        <w:rPr>
          <w:rFonts w:hint="eastAsia"/>
          <w:lang w:val="en-US" w:eastAsia="zh-CN"/>
        </w:rPr>
        <w:t>5.2.2物体打击应急处置措施</w:t>
      </w:r>
    </w:p>
    <w:p w14:paraId="5E66EA8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当发生物体打击事故后，抢救的重点放在颅脑损伤、胸部骨折和出血上进行处理。</w:t>
      </w:r>
    </w:p>
    <w:p w14:paraId="7E063DE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DF97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（2）遇呼吸、心跳停止者，应立即进行人工呼吸，胸外心脏挤压。处于休克状态的伤员要让其安静、保暖、平卧、少动，并将下肢抬高约20度左右，尽快送医院进行抢救治疗。</w:t>
      </w:r>
    </w:p>
    <w:p w14:paraId="0C9E84C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4981C7DC">
      <w:pPr>
        <w:pStyle w:val="4"/>
        <w:tabs>
          <w:tab w:val="left" w:pos="0"/>
          <w:tab w:val="left" w:pos="630"/>
          <w:tab w:val="clear" w:pos="312"/>
        </w:tabs>
        <w:bidi w:val="0"/>
        <w:rPr>
          <w:rFonts w:hint="default"/>
          <w:lang w:val="en-US" w:eastAsia="zh-CN"/>
        </w:rPr>
      </w:pPr>
      <w:r>
        <w:rPr>
          <w:rFonts w:hint="eastAsia"/>
          <w:lang w:val="en-US" w:eastAsia="zh-CN"/>
        </w:rPr>
        <w:t>5.2.3机械伤害应急处置措施</w:t>
      </w:r>
    </w:p>
    <w:p w14:paraId="69DF990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当施工人员发生机械伤害事故时，迅速确定事故发生的准确位置、可能波及的范围、设备损坏的程度、人员伤亡等情况，观察伤者的受伤情况、部位、伤害性质，急救人员应尽快赶往出事地点。</w:t>
      </w:r>
    </w:p>
    <w:p w14:paraId="094223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（1）休克、昏迷急救</w:t>
      </w:r>
    </w:p>
    <w:p w14:paraId="55C630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让休克者平卧、不用枕头，腿部抬高30度。若属于心原性休克同时伴有心力衰竭、气急，不能平卧时，可采用半卧，注意保暖和安静，尽量不要搬动，如必须搬动时，动作要轻。</w:t>
      </w:r>
    </w:p>
    <w:p w14:paraId="0248391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（2）骨折急救</w:t>
      </w:r>
    </w:p>
    <w:p w14:paraId="3E30EF9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a.固定断骨的材料可就地取材，如棍、木板、拐杖、硬纸板等都可作为固定材料，长短要以能固定住骨折处上下两个关节或不使断骨错动为准。 </w:t>
      </w:r>
    </w:p>
    <w:p w14:paraId="6C27C94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b.脊柱骨折或骨折或颈部骨折时，除非是特殊情况如室内失火，否则应让伤者留在原地，等待携有医疗器材的医护人员来搬动。  </w:t>
      </w:r>
    </w:p>
    <w:p w14:paraId="640EAD5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（3）严重出血的急救</w:t>
      </w:r>
    </w:p>
    <w:p w14:paraId="288794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止血的方法：</w:t>
      </w:r>
    </w:p>
    <w:p w14:paraId="6291DF2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a.一般止血法：一般伤口小的出血，先用生理盐水涂上红汞药水，然后盖上消毒纱布，用绷带较紧地包扎。</w:t>
      </w:r>
    </w:p>
    <w:p w14:paraId="785667A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（4）肢体切断断肢(指)后，有时即刻造成伤者因流血或疼痛而发生休克，所以应设法首先止血，防止伤员休克。其急救要点为：</w:t>
      </w:r>
    </w:p>
    <w:p w14:paraId="7F4CD13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a.让伤者躺下，用一块纱布或清洁布块(如翻出干净手帕的内面)，放在断肢伤口上，再用绷带固定位置。如果找不到绷带，也可用围巾包扎。</w:t>
      </w:r>
    </w:p>
    <w:p w14:paraId="1D98B4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b.如是手臂切断，用绷带把断臂挂在胸前，固定位置；若是一条腿断了，则与另一条腿扎在一起。</w:t>
      </w:r>
    </w:p>
    <w:p w14:paraId="63021BA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c.料理好伤者后，设法找回断肢。倘若离断的伤肢(指)仍在机器中，千万不能将肢体强行拉出，或将机器倒开(转)，以免增加损伤的机会。正确的方法应是拆开机器后取出。</w:t>
      </w:r>
    </w:p>
    <w:p w14:paraId="4FC337B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e.离断后的伤肢，如有少许皮肤或其他肌腱相连，不能将其离断，应放在夹板或阔竹片上，然后包扎，立即送到医院作紧急处理。</w:t>
      </w:r>
    </w:p>
    <w:p w14:paraId="00D0E4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f.严禁在离断伤肢(指)的断端涂抹各种药物及药水(包括消毒剂)，更不能涂抹牙膏、灶灰之类试图止血。</w:t>
      </w:r>
    </w:p>
    <w:p w14:paraId="5DBB8A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（5）一般性外伤</w:t>
      </w:r>
    </w:p>
    <w:p w14:paraId="65704D7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a.视伤情送往医院，防止破伤风。</w:t>
      </w:r>
    </w:p>
    <w:p w14:paraId="4609332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b.轻微内伤，送医院检查。</w:t>
      </w:r>
    </w:p>
    <w:p w14:paraId="281C65C6">
      <w:pPr>
        <w:pStyle w:val="4"/>
        <w:tabs>
          <w:tab w:val="left" w:pos="0"/>
          <w:tab w:val="left" w:pos="630"/>
          <w:tab w:val="clear" w:pos="312"/>
        </w:tabs>
        <w:bidi w:val="0"/>
        <w:rPr>
          <w:rFonts w:hint="default"/>
          <w:lang w:val="en-US" w:eastAsia="zh-CN"/>
        </w:rPr>
      </w:pPr>
      <w:r>
        <w:rPr>
          <w:rFonts w:hint="eastAsia"/>
          <w:lang w:val="en-US" w:eastAsia="zh-CN"/>
        </w:rPr>
        <w:t>5.2.4触电应急处置措施</w:t>
      </w:r>
    </w:p>
    <w:p w14:paraId="633D8CC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（1）迅速脱离电源  </w:t>
      </w:r>
    </w:p>
    <w:p w14:paraId="5969CA5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人体触电以后，可能由于痉挛或失去知觉等原因而紧抓带电体，不能自己摆脱电源。抢救触电者的首要步骤就是使触电者尽快脱离电源。 </w:t>
      </w:r>
    </w:p>
    <w:p w14:paraId="79585FB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使触电者脱离电源的方法：</w:t>
      </w:r>
    </w:p>
    <w:p w14:paraId="6A648E3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a.立即将闸刀打开或将插头拨掉，切断电源。要注意，普通的电灯开关（如拉线开关）只能关断一根线，有时关断的不是相线，并未真正切断电源。 </w:t>
      </w:r>
    </w:p>
    <w:p w14:paraId="6057DC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b.找不到开关或插头时，可用绝缘的物体（如干燥的木棒、竹杆、手套等）将电线拨开，使触电者脱离电源。</w:t>
      </w:r>
    </w:p>
    <w:p w14:paraId="6A3E38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c.用绝缘工具（如带绝缘的电工钳、木柄斧头以及锄头等）切断电线来切断电源。</w:t>
      </w:r>
    </w:p>
    <w:p w14:paraId="184B5F3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d.遇高压触电事故，立即通过有关部门停电。 </w:t>
      </w:r>
    </w:p>
    <w:p w14:paraId="3795A8F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总之，要因地制宜，灵活运用各种方法，快速切断电源，防止事故扩大。</w:t>
      </w:r>
    </w:p>
    <w:p w14:paraId="02563F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（2）现场急救方法</w:t>
      </w:r>
    </w:p>
    <w:p w14:paraId="0C7341E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a.口对口人工呼吸法：是用人工的方法来代替肺的呼吸活动，使空气有节律地进入和排出肺脏，供给体内足够的氧气，充分排出二氧化碳，维持正常的通气功能。 </w:t>
      </w:r>
    </w:p>
    <w:p w14:paraId="6EAD70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b.体外心脏挤压法：是指有节律地对心脏挤压，用人工的方法代替心脏的自然收缩，使心脏恢复搏动功能，维持血液循环。</w:t>
      </w:r>
    </w:p>
    <w:p w14:paraId="48D1DA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（3）触电急救方法</w:t>
      </w:r>
    </w:p>
    <w:p w14:paraId="5D04076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触电病人一般有以下四种症状，可分别给予正确的对症救治：</w:t>
      </w:r>
    </w:p>
    <w:p w14:paraId="4CE5F21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a.神志尚清醒，但心慌力乏，四肢麻木。该类病人一般只需将其扶到清凉通风之处休息，让其自然慢慢恢复。但要派专人照料护理，因为有的病人在几小时后会发生病变而突然死亡。</w:t>
      </w:r>
    </w:p>
    <w:p w14:paraId="769E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c.有呼吸，但心跳停止或极微弱。该类病人应该采用人工胸外心脏挤压法来恢复病人的心跳。一般可以按下述口诀进行，频率是每分钟约60~80次。当胸一手掌，中指对凹膛；掌根用力向下压，压下突然收。</w:t>
      </w:r>
    </w:p>
    <w:p w14:paraId="47BE059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605B1EA8">
      <w:pPr>
        <w:pStyle w:val="4"/>
        <w:tabs>
          <w:tab w:val="left" w:pos="0"/>
          <w:tab w:val="left" w:pos="630"/>
          <w:tab w:val="clear" w:pos="312"/>
        </w:tabs>
        <w:bidi w:val="0"/>
        <w:rPr>
          <w:rFonts w:hint="default"/>
          <w:lang w:val="en-US" w:eastAsia="zh-CN"/>
        </w:rPr>
      </w:pPr>
      <w:r>
        <w:rPr>
          <w:rFonts w:hint="eastAsia"/>
          <w:lang w:val="en-US" w:eastAsia="zh-CN"/>
        </w:rPr>
        <w:t>5.2.5落水人员应急处置措施</w:t>
      </w:r>
    </w:p>
    <w:p w14:paraId="4A8DB55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bookmarkStart w:id="112" w:name="_Toc4330"/>
      <w:bookmarkStart w:id="113" w:name="_Toc8320"/>
      <w:bookmarkStart w:id="114" w:name="_Toc25962"/>
      <w:r>
        <w:rPr>
          <w:rFonts w:hint="eastAsia" w:ascii="宋体" w:hAnsi="宋体" w:eastAsia="宋体" w:cs="宋体"/>
          <w:b w:val="0"/>
          <w:bCs w:val="0"/>
          <w:color w:val="auto"/>
          <w:kern w:val="0"/>
          <w:sz w:val="24"/>
          <w:szCs w:val="24"/>
          <w:lang w:val="en-US" w:eastAsia="zh-CN" w:bidi="ar"/>
        </w:rPr>
        <w:t>（1）交通船舶必须符合水上航行安全要求，备妥救生工具如救生衣、救生圈、救生竹篙等救生器材。</w:t>
      </w:r>
    </w:p>
    <w:p w14:paraId="747C243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（2）水上施工作业及船上流动作业人员应按规定穿着救生衣。符合高处作业条件的，还应按高处作业的规定系好安全带。</w:t>
      </w:r>
    </w:p>
    <w:p w14:paraId="7D727BA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（3）交通船必须按定员，不准超载。乘坐人员应听从船员的指挥，船到位后，应待靠稳拴牢方可上、下。不得抢上抢下或船未靠稳就跳船。</w:t>
      </w:r>
    </w:p>
    <w:p w14:paraId="5775D34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（4）乘坐人员应听从船员的指挥，自觉入舱，不得站立和坐骑在船头、船尾和船帮上，遇有风浪时，船上乘坐人员不得来回走动。非本船驾驶人员严禁擅自操作。</w:t>
      </w:r>
    </w:p>
    <w:p w14:paraId="3219610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（5）施工人员应开展游泳培训，加强自救和互救的能力。</w:t>
      </w:r>
    </w:p>
    <w:p w14:paraId="47F91F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（6）人员上下通道必须设安全网，跳板要固定。作业平台应满铺脚手板，周边必须有栏杆和安全网等可靠的临边维护。</w:t>
      </w:r>
    </w:p>
    <w:p w14:paraId="46BC79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lang w:val="en-US" w:eastAsia="zh-CN" w:bidi="ar"/>
        </w:rPr>
        <w:t>（7）作业平台上应配置足够数量的救生圈等救生设备，并配备一定数量的固定</w:t>
      </w:r>
      <w:r>
        <w:rPr>
          <w:rFonts w:hint="eastAsia" w:ascii="宋体" w:hAnsi="宋体" w:eastAsia="宋体" w:cs="宋体"/>
          <w:b w:val="0"/>
          <w:bCs w:val="0"/>
          <w:color w:val="auto"/>
          <w:kern w:val="0"/>
          <w:sz w:val="24"/>
          <w:szCs w:val="24"/>
          <w:highlight w:val="none"/>
          <w:lang w:val="en-US" w:eastAsia="zh-CN" w:bidi="ar"/>
        </w:rPr>
        <w:t>式防水灯，保证夜间足够的照明。</w:t>
      </w:r>
    </w:p>
    <w:p w14:paraId="5C3095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（8）作业平台上设置多条安全通道，以防不测时人员迅速疏散。</w:t>
      </w:r>
    </w:p>
    <w:p w14:paraId="5D290A1C">
      <w:pPr>
        <w:pStyle w:val="3"/>
        <w:tabs>
          <w:tab w:val="left" w:pos="525"/>
          <w:tab w:val="left" w:pos="601"/>
          <w:tab w:val="clear" w:pos="240"/>
        </w:tabs>
        <w:bidi w:val="0"/>
        <w:rPr>
          <w:rFonts w:hint="default"/>
          <w:highlight w:val="none"/>
          <w:lang w:val="en-US" w:eastAsia="zh-CN"/>
        </w:rPr>
      </w:pPr>
      <w:bookmarkStart w:id="115" w:name="_Toc7751"/>
      <w:r>
        <w:rPr>
          <w:rFonts w:hint="eastAsia"/>
          <w:highlight w:val="none"/>
          <w:lang w:val="en-US" w:eastAsia="zh-CN"/>
        </w:rPr>
        <w:t>5.</w:t>
      </w:r>
      <w:bookmarkEnd w:id="112"/>
      <w:bookmarkEnd w:id="113"/>
      <w:bookmarkEnd w:id="114"/>
      <w:r>
        <w:rPr>
          <w:rFonts w:hint="eastAsia"/>
          <w:highlight w:val="none"/>
          <w:lang w:val="en-US" w:eastAsia="zh-CN"/>
        </w:rPr>
        <w:t>3紧急救援措施</w:t>
      </w:r>
      <w:bookmarkEnd w:id="115"/>
    </w:p>
    <w:bookmarkEnd w:id="82"/>
    <w:bookmarkEnd w:id="83"/>
    <w:bookmarkEnd w:id="84"/>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15"/>
        <w:bidi w:val="0"/>
        <w:rPr>
          <w:rFonts w:hint="eastAsia"/>
          <w:lang w:val="en-US" w:eastAsia="zh-CN"/>
        </w:rPr>
      </w:pPr>
      <w:r>
        <w:t>表</w:t>
      </w:r>
      <w:r>
        <w:rPr>
          <w:rFonts w:hint="eastAsia"/>
          <w:lang w:val="en-US" w:eastAsia="zh-CN"/>
        </w:rPr>
        <w:t>5.3-1应急物资、机械设备表</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4F4F1" w:themeFill="accent5" w:themeFillTint="32"/>
            <w:noWrap w:val="0"/>
            <w:vAlign w:val="center"/>
          </w:tcPr>
          <w:p w14:paraId="03AC62B3">
            <w:pPr>
              <w:pStyle w:val="38"/>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4F4F1" w:themeFill="accent5" w:themeFillTint="32"/>
            <w:noWrap w:val="0"/>
            <w:vAlign w:val="center"/>
          </w:tcPr>
          <w:p w14:paraId="55C38F40">
            <w:pPr>
              <w:pStyle w:val="38"/>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4F4F1" w:themeFill="accent5" w:themeFillTint="32"/>
            <w:noWrap w:val="0"/>
            <w:vAlign w:val="center"/>
          </w:tcPr>
          <w:p w14:paraId="4F54F2C9">
            <w:pPr>
              <w:pStyle w:val="38"/>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4F4F1" w:themeFill="accent5" w:themeFillTint="32"/>
            <w:noWrap w:val="0"/>
            <w:vAlign w:val="center"/>
          </w:tcPr>
          <w:p w14:paraId="4518FBC0">
            <w:pPr>
              <w:pStyle w:val="38"/>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4F4F1" w:themeFill="accent5" w:themeFillTint="32"/>
            <w:noWrap w:val="0"/>
            <w:vAlign w:val="center"/>
          </w:tcPr>
          <w:p w14:paraId="4D813F3B">
            <w:pPr>
              <w:pStyle w:val="38"/>
              <w:bidi w:val="0"/>
              <w:rPr>
                <w:rFonts w:hint="eastAsia"/>
                <w:highlight w:val="none"/>
                <w:lang w:val="en-US" w:eastAsia="zh-CN"/>
              </w:rPr>
            </w:pPr>
            <w:r>
              <w:rPr>
                <w:rFonts w:hint="eastAsia"/>
                <w:highlight w:val="none"/>
                <w:lang w:val="en-US" w:eastAsia="zh-CN"/>
              </w:rPr>
              <w:t>备注</w:t>
            </w:r>
          </w:p>
        </w:tc>
      </w:tr>
      <w:tr w14:paraId="30C8B55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38"/>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38"/>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38"/>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38"/>
              <w:bidi w:val="0"/>
              <w:rPr>
                <w:rFonts w:hint="eastAsia"/>
                <w:highlight w:val="none"/>
                <w:lang w:val="en-US" w:eastAsia="zh-CN"/>
              </w:rPr>
            </w:pPr>
            <w:r>
              <w:rPr>
                <w:rFonts w:hint="eastAsia"/>
                <w:highlight w:val="none"/>
                <w:lang w:val="en-US" w:eastAsia="zh-CN"/>
              </w:rPr>
              <w:t>220型</w:t>
            </w:r>
          </w:p>
        </w:tc>
      </w:tr>
      <w:tr w14:paraId="1C5073D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38"/>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38"/>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38"/>
              <w:bidi w:val="0"/>
              <w:rPr>
                <w:rFonts w:hint="eastAsia"/>
                <w:highlight w:val="none"/>
                <w:lang w:val="en-US" w:eastAsia="zh-CN"/>
              </w:rPr>
            </w:pPr>
            <w:r>
              <w:rPr>
                <w:rFonts w:hint="eastAsia"/>
                <w:highlight w:val="none"/>
                <w:lang w:val="en-US" w:eastAsia="zh-CN"/>
              </w:rPr>
              <w:t>50型</w:t>
            </w:r>
          </w:p>
        </w:tc>
      </w:tr>
      <w:tr w14:paraId="1033BC3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38"/>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38"/>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38"/>
              <w:bidi w:val="0"/>
              <w:rPr>
                <w:rFonts w:hint="eastAsia"/>
                <w:highlight w:val="none"/>
                <w:lang w:val="en-US" w:eastAsia="zh-CN"/>
              </w:rPr>
            </w:pPr>
            <w:r>
              <w:rPr>
                <w:rFonts w:hint="eastAsia"/>
                <w:highlight w:val="none"/>
                <w:lang w:val="en-US" w:eastAsia="zh-CN"/>
              </w:rPr>
              <w:t>200千瓦</w:t>
            </w:r>
          </w:p>
        </w:tc>
      </w:tr>
      <w:tr w14:paraId="6F5C3DB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38"/>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38"/>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38"/>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38"/>
              <w:bidi w:val="0"/>
              <w:rPr>
                <w:rFonts w:hint="eastAsia"/>
                <w:highlight w:val="none"/>
                <w:lang w:val="en-US" w:eastAsia="zh-CN"/>
              </w:rPr>
            </w:pPr>
            <w:r>
              <w:rPr>
                <w:rFonts w:hint="eastAsia"/>
                <w:highlight w:val="none"/>
                <w:lang w:val="en-US" w:eastAsia="zh-CN"/>
              </w:rPr>
              <w:t>400吨</w:t>
            </w:r>
          </w:p>
        </w:tc>
      </w:tr>
      <w:tr w14:paraId="2E71712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38"/>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38"/>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38"/>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38"/>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38"/>
              <w:bidi w:val="0"/>
              <w:rPr>
                <w:rFonts w:hint="eastAsia"/>
                <w:highlight w:val="none"/>
                <w:lang w:val="en-US" w:eastAsia="zh-CN"/>
              </w:rPr>
            </w:pPr>
          </w:p>
        </w:tc>
      </w:tr>
      <w:tr w14:paraId="63FE7D1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38"/>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38"/>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38"/>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38"/>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38"/>
              <w:bidi w:val="0"/>
              <w:rPr>
                <w:rFonts w:hint="eastAsia"/>
                <w:highlight w:val="none"/>
                <w:lang w:val="en-US" w:eastAsia="zh-CN"/>
              </w:rPr>
            </w:pPr>
          </w:p>
        </w:tc>
      </w:tr>
      <w:tr w14:paraId="7F2478E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38"/>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38"/>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38"/>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38"/>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38"/>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38"/>
              <w:bidi w:val="0"/>
              <w:rPr>
                <w:rFonts w:hint="eastAsia"/>
                <w:highlight w:val="none"/>
                <w:lang w:val="en-US" w:eastAsia="zh-CN"/>
              </w:rPr>
            </w:pPr>
          </w:p>
        </w:tc>
      </w:tr>
      <w:tr w14:paraId="0ED5010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38"/>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38"/>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38"/>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38"/>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38"/>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116" w:name="_Toc15656"/>
      <w:r>
        <w:rPr>
          <w:rFonts w:hint="eastAsia" w:ascii="宋体" w:hAnsi="宋体" w:eastAsia="宋体"/>
          <w:highlight w:val="none"/>
          <w:lang w:val="en-US" w:eastAsia="zh-CN"/>
        </w:rPr>
        <w:t>2、应急电话及救援路线图</w:t>
      </w:r>
      <w:bookmarkEnd w:id="116"/>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15"/>
        <w:bidi w:val="0"/>
        <w:rPr>
          <w:rFonts w:hint="eastAsia"/>
          <w:lang w:val="en-US" w:eastAsia="zh-CN"/>
        </w:rPr>
      </w:pPr>
      <w:r>
        <w:t>表</w:t>
      </w:r>
      <w:r>
        <w:rPr>
          <w:rFonts w:hint="eastAsia"/>
          <w:lang w:val="en-US" w:eastAsia="zh-CN"/>
        </w:rPr>
        <w:t>5.3-2项目附近救援机构联系方式及位置</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10" w:type="pct"/>
            <w:tcBorders>
              <w:tl2br w:val="nil"/>
              <w:tr2bl w:val="nil"/>
            </w:tcBorders>
            <w:shd w:val="clear" w:color="auto" w:fill="D4F4F1" w:themeFill="accent5" w:themeFillTint="32"/>
            <w:noWrap w:val="0"/>
            <w:vAlign w:val="center"/>
          </w:tcPr>
          <w:p w14:paraId="1918F4A3">
            <w:pPr>
              <w:pStyle w:val="38"/>
              <w:bidi w:val="0"/>
              <w:rPr>
                <w:rFonts w:hint="eastAsia"/>
                <w:highlight w:val="none"/>
              </w:rPr>
            </w:pPr>
            <w:r>
              <w:rPr>
                <w:rFonts w:hint="eastAsia"/>
                <w:highlight w:val="none"/>
              </w:rPr>
              <w:t>序号</w:t>
            </w:r>
          </w:p>
        </w:tc>
        <w:tc>
          <w:tcPr>
            <w:tcW w:w="1464" w:type="pct"/>
            <w:tcBorders>
              <w:tl2br w:val="nil"/>
              <w:tr2bl w:val="nil"/>
            </w:tcBorders>
            <w:shd w:val="clear" w:color="auto" w:fill="D4F4F1" w:themeFill="accent5" w:themeFillTint="32"/>
            <w:noWrap w:val="0"/>
            <w:vAlign w:val="center"/>
          </w:tcPr>
          <w:p w14:paraId="6AE9834D">
            <w:pPr>
              <w:pStyle w:val="38"/>
              <w:bidi w:val="0"/>
              <w:rPr>
                <w:rFonts w:hint="eastAsia"/>
                <w:highlight w:val="none"/>
              </w:rPr>
            </w:pPr>
            <w:r>
              <w:rPr>
                <w:rFonts w:hint="eastAsia"/>
                <w:highlight w:val="none"/>
              </w:rPr>
              <w:t>周边资源</w:t>
            </w:r>
          </w:p>
        </w:tc>
        <w:tc>
          <w:tcPr>
            <w:tcW w:w="993" w:type="pct"/>
            <w:tcBorders>
              <w:tl2br w:val="nil"/>
              <w:tr2bl w:val="nil"/>
            </w:tcBorders>
            <w:shd w:val="clear" w:color="auto" w:fill="D4F4F1" w:themeFill="accent5" w:themeFillTint="32"/>
            <w:noWrap w:val="0"/>
            <w:vAlign w:val="center"/>
          </w:tcPr>
          <w:p w14:paraId="7971B0E4">
            <w:pPr>
              <w:pStyle w:val="38"/>
              <w:bidi w:val="0"/>
              <w:rPr>
                <w:rFonts w:hint="eastAsia"/>
                <w:highlight w:val="none"/>
              </w:rPr>
            </w:pPr>
            <w:r>
              <w:rPr>
                <w:rFonts w:hint="eastAsia"/>
                <w:highlight w:val="none"/>
              </w:rPr>
              <w:t>联系方式</w:t>
            </w:r>
          </w:p>
        </w:tc>
        <w:tc>
          <w:tcPr>
            <w:tcW w:w="1074" w:type="pct"/>
            <w:tcBorders>
              <w:tl2br w:val="nil"/>
              <w:tr2bl w:val="nil"/>
            </w:tcBorders>
            <w:shd w:val="clear" w:color="auto" w:fill="D4F4F1" w:themeFill="accent5" w:themeFillTint="32"/>
            <w:noWrap w:val="0"/>
            <w:vAlign w:val="center"/>
          </w:tcPr>
          <w:p w14:paraId="7790F91C">
            <w:pPr>
              <w:pStyle w:val="38"/>
              <w:bidi w:val="0"/>
              <w:rPr>
                <w:rFonts w:hint="eastAsia"/>
                <w:highlight w:val="none"/>
              </w:rPr>
            </w:pPr>
            <w:r>
              <w:rPr>
                <w:rFonts w:hint="eastAsia"/>
                <w:highlight w:val="none"/>
              </w:rPr>
              <w:t>位置</w:t>
            </w:r>
          </w:p>
        </w:tc>
        <w:tc>
          <w:tcPr>
            <w:tcW w:w="1056" w:type="pct"/>
            <w:tcBorders>
              <w:tl2br w:val="nil"/>
              <w:tr2bl w:val="nil"/>
            </w:tcBorders>
            <w:shd w:val="clear" w:color="auto" w:fill="D4F4F1" w:themeFill="accent5" w:themeFillTint="32"/>
            <w:noWrap w:val="0"/>
            <w:vAlign w:val="center"/>
          </w:tcPr>
          <w:p w14:paraId="5427F3F5">
            <w:pPr>
              <w:pStyle w:val="38"/>
              <w:bidi w:val="0"/>
              <w:rPr>
                <w:rFonts w:hint="eastAsia"/>
                <w:highlight w:val="none"/>
              </w:rPr>
            </w:pPr>
            <w:r>
              <w:rPr>
                <w:rFonts w:hint="eastAsia"/>
                <w:highlight w:val="none"/>
              </w:rPr>
              <w:t>用途</w:t>
            </w:r>
          </w:p>
        </w:tc>
      </w:tr>
      <w:tr w14:paraId="16E07FA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38"/>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38"/>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38"/>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38"/>
              <w:bidi w:val="0"/>
              <w:rPr>
                <w:rFonts w:hint="eastAsia"/>
                <w:highlight w:val="none"/>
                <w:lang w:val="en-US" w:eastAsia="zh-CN"/>
              </w:rPr>
            </w:pPr>
            <w:r>
              <w:rPr>
                <w:rFonts w:hint="eastAsia"/>
                <w:highlight w:val="none"/>
              </w:rPr>
              <w:t>火灾报警救援</w:t>
            </w:r>
          </w:p>
        </w:tc>
      </w:tr>
      <w:tr w14:paraId="60448D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38"/>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38"/>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38"/>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38"/>
              <w:bidi w:val="0"/>
              <w:rPr>
                <w:rFonts w:hint="eastAsia"/>
                <w:highlight w:val="none"/>
                <w:lang w:val="en-US" w:eastAsia="zh-CN"/>
              </w:rPr>
            </w:pPr>
            <w:r>
              <w:rPr>
                <w:rFonts w:hint="eastAsia"/>
                <w:highlight w:val="none"/>
              </w:rPr>
              <w:t>治安事件报警救援</w:t>
            </w:r>
          </w:p>
        </w:tc>
      </w:tr>
      <w:tr w14:paraId="52BAABF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38"/>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38"/>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38"/>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38"/>
              <w:bidi w:val="0"/>
              <w:rPr>
                <w:rFonts w:hint="eastAsia"/>
                <w:highlight w:val="none"/>
                <w:lang w:val="en-US" w:eastAsia="zh-CN"/>
              </w:rPr>
            </w:pPr>
            <w:r>
              <w:rPr>
                <w:rFonts w:hint="eastAsia"/>
                <w:highlight w:val="none"/>
              </w:rPr>
              <w:t>气象信息</w:t>
            </w:r>
          </w:p>
        </w:tc>
      </w:tr>
      <w:tr w14:paraId="7D6CF00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38"/>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38"/>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38"/>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38"/>
              <w:bidi w:val="0"/>
              <w:rPr>
                <w:rFonts w:hint="eastAsia"/>
                <w:highlight w:val="none"/>
                <w:lang w:val="en-US" w:eastAsia="zh-CN"/>
              </w:rPr>
            </w:pPr>
            <w:r>
              <w:rPr>
                <w:rFonts w:hint="eastAsia"/>
                <w:highlight w:val="none"/>
              </w:rPr>
              <w:t>电话号码查询</w:t>
            </w:r>
          </w:p>
        </w:tc>
      </w:tr>
      <w:tr w14:paraId="4CFE678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38"/>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38"/>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38"/>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38"/>
              <w:bidi w:val="0"/>
              <w:rPr>
                <w:rFonts w:hint="eastAsia"/>
                <w:highlight w:val="none"/>
                <w:lang w:val="en-US" w:eastAsia="zh-CN"/>
              </w:rPr>
            </w:pPr>
            <w:r>
              <w:rPr>
                <w:rFonts w:hint="eastAsia"/>
                <w:highlight w:val="none"/>
              </w:rPr>
              <w:t>人员伤亡急救</w:t>
            </w:r>
          </w:p>
        </w:tc>
      </w:tr>
      <w:tr w14:paraId="0390A4E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38"/>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38"/>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38"/>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38"/>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18415" b="254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47"/>
                    <a:srcRect b="6944"/>
                    <a:stretch>
                      <a:fillRect/>
                    </a:stretch>
                  </pic:blipFill>
                  <pic:spPr>
                    <a:xfrm>
                      <a:off x="0" y="0"/>
                      <a:ext cx="4458335" cy="2416810"/>
                    </a:xfrm>
                    <a:prstGeom prst="rect">
                      <a:avLst/>
                    </a:prstGeom>
                    <a:noFill/>
                    <a:ln w="9525">
                      <a:noFill/>
                    </a:ln>
                  </pic:spPr>
                </pic:pic>
              </a:graphicData>
            </a:graphic>
          </wp:inline>
        </w:drawing>
      </w:r>
    </w:p>
    <w:p w14:paraId="741763BE">
      <w:pPr>
        <w:pStyle w:val="15"/>
        <w:bidi w:val="0"/>
        <w:rPr>
          <w:rFonts w:hint="eastAsia"/>
          <w:lang w:val="en-US" w:eastAsia="zh-CN"/>
        </w:rPr>
      </w:pPr>
      <w:r>
        <w:rPr>
          <w:rFonts w:hint="eastAsia"/>
          <w:lang w:val="en-US" w:eastAsia="zh-CN"/>
        </w:rPr>
        <w:t>图5.3</w:t>
      </w:r>
      <w:r>
        <w:rPr>
          <w:rFonts w:hint="default"/>
          <w:lang w:val="en-US" w:eastAsia="zh-CN"/>
        </w:rPr>
        <w:t xml:space="preserve">-1 </w:t>
      </w:r>
      <w:r>
        <w:rPr>
          <w:rFonts w:hint="eastAsia"/>
          <w:lang w:val="en-US" w:eastAsia="zh-CN"/>
        </w:rPr>
        <w:t>应急路线图</w:t>
      </w:r>
    </w:p>
    <w:p w14:paraId="05444003">
      <w:pPr>
        <w:bidi w:val="0"/>
        <w:jc w:val="cente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C5F11A2">
      <w:pPr>
        <w:pStyle w:val="2"/>
        <w:bidi w:val="0"/>
        <w:rPr>
          <w:rFonts w:hint="eastAsia"/>
          <w:lang w:val="en-US" w:eastAsia="zh-CN"/>
        </w:rPr>
      </w:pPr>
      <w:bookmarkStart w:id="117" w:name="_Toc1290"/>
      <w:r>
        <w:rPr>
          <w:rFonts w:hint="eastAsia"/>
          <w:lang w:val="en-US" w:eastAsia="zh-CN"/>
        </w:rPr>
        <w:t>6附件</w:t>
      </w:r>
      <w:bookmarkEnd w:id="85"/>
      <w:bookmarkEnd w:id="86"/>
      <w:bookmarkEnd w:id="87"/>
      <w:bookmarkEnd w:id="88"/>
      <w:bookmarkEnd w:id="89"/>
      <w:bookmarkEnd w:id="90"/>
      <w:bookmarkEnd w:id="91"/>
      <w:bookmarkEnd w:id="92"/>
      <w:bookmarkEnd w:id="117"/>
    </w:p>
    <w:p w14:paraId="4247A973">
      <w:pPr>
        <w:pStyle w:val="3"/>
        <w:bidi w:val="0"/>
        <w:rPr>
          <w:rFonts w:hint="eastAsia"/>
          <w:lang w:val="en-US" w:eastAsia="zh-CN"/>
        </w:rPr>
      </w:pPr>
      <w:bookmarkStart w:id="118" w:name="_Toc1391"/>
      <w:bookmarkStart w:id="119" w:name="_Toc30117"/>
      <w:bookmarkStart w:id="120" w:name="_Toc18774"/>
      <w:bookmarkStart w:id="121" w:name="_Toc20334"/>
      <w:bookmarkStart w:id="122" w:name="_Toc3010"/>
      <w:bookmarkStart w:id="123" w:name="_Toc30563"/>
      <w:bookmarkStart w:id="124" w:name="_Toc10600"/>
      <w:bookmarkStart w:id="125" w:name="_Toc31940"/>
      <w:bookmarkStart w:id="126" w:name="_Toc30036"/>
      <w:r>
        <w:rPr>
          <w:rFonts w:hint="eastAsia"/>
          <w:lang w:val="en-US" w:eastAsia="zh-CN"/>
        </w:rPr>
        <w:t>附件一：工序施工控制要点一览表</w:t>
      </w:r>
      <w:bookmarkEnd w:id="118"/>
      <w:bookmarkEnd w:id="119"/>
      <w:bookmarkEnd w:id="120"/>
      <w:bookmarkEnd w:id="121"/>
      <w:bookmarkEnd w:id="122"/>
      <w:bookmarkEnd w:id="123"/>
      <w:bookmarkEnd w:id="124"/>
      <w:bookmarkEnd w:id="125"/>
      <w:bookmarkEnd w:id="126"/>
    </w:p>
    <w:tbl>
      <w:tblPr>
        <w:tblStyle w:val="29"/>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161"/>
        <w:gridCol w:w="4355"/>
        <w:gridCol w:w="4467"/>
        <w:gridCol w:w="1980"/>
      </w:tblGrid>
      <w:tr w14:paraId="0B2B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1C46EA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6E5EEE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3F3E39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5E32B0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002" w:type="dxa"/>
            <w:gridSpan w:val="3"/>
            <w:vAlign w:val="center"/>
          </w:tcPr>
          <w:p w14:paraId="290A44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355" w:type="dxa"/>
            <w:vMerge w:val="restart"/>
            <w:vAlign w:val="center"/>
          </w:tcPr>
          <w:p w14:paraId="67C029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3F5177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7EC1AE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11BF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6381CB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655EF1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242F0E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72381A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67EC20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56069B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161" w:type="dxa"/>
            <w:vAlign w:val="center"/>
          </w:tcPr>
          <w:p w14:paraId="0CCCFC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355" w:type="dxa"/>
            <w:vMerge w:val="continue"/>
            <w:vAlign w:val="center"/>
          </w:tcPr>
          <w:p w14:paraId="42F7583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0D8920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578071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12D5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2FDFA1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135419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1D88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02E63D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09A757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70BB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711" w:type="dxa"/>
            <w:vAlign w:val="center"/>
          </w:tcPr>
          <w:p w14:paraId="33846C67">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4AE36D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施工步骤1</w:t>
            </w:r>
          </w:p>
        </w:tc>
        <w:tc>
          <w:tcPr>
            <w:tcW w:w="1329" w:type="dxa"/>
            <w:vAlign w:val="center"/>
          </w:tcPr>
          <w:p w14:paraId="1903C4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安装2节基础节</w:t>
            </w:r>
          </w:p>
        </w:tc>
        <w:tc>
          <w:tcPr>
            <w:tcW w:w="3107" w:type="dxa"/>
            <w:vAlign w:val="center"/>
          </w:tcPr>
          <w:p w14:paraId="7A3227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将吊具挂在塔身基础节上，张紧吊具并将塔身基础节放正，安装在</w:t>
            </w:r>
            <w:r>
              <w:rPr>
                <w:rFonts w:hint="eastAsia" w:ascii="宋体" w:hAnsi="宋体" w:cs="宋体"/>
                <w:sz w:val="20"/>
                <w:szCs w:val="20"/>
                <w:highlight w:val="none"/>
                <w:lang w:val="en-US" w:eastAsia="zh-CN"/>
              </w:rPr>
              <w:t>预埋支腿基础</w:t>
            </w:r>
            <w:r>
              <w:rPr>
                <w:rFonts w:hint="eastAsia" w:ascii="宋体" w:hAnsi="宋体" w:eastAsia="宋体" w:cs="宋体"/>
                <w:sz w:val="20"/>
                <w:szCs w:val="20"/>
                <w:highlight w:val="none"/>
                <w:lang w:val="en-US" w:eastAsia="zh-CN"/>
              </w:rPr>
              <w:t>上，</w:t>
            </w:r>
            <w:r>
              <w:rPr>
                <w:rFonts w:hint="eastAsia" w:ascii="宋体" w:hAnsi="宋体" w:cs="宋体"/>
                <w:sz w:val="20"/>
                <w:szCs w:val="20"/>
                <w:highlight w:val="none"/>
                <w:lang w:val="en-US" w:eastAsia="zh-CN"/>
              </w:rPr>
              <w:t>插入销轴</w:t>
            </w:r>
            <w:r>
              <w:rPr>
                <w:rFonts w:hint="eastAsia" w:ascii="宋体" w:hAnsi="宋体" w:eastAsia="宋体" w:cs="宋体"/>
                <w:sz w:val="20"/>
                <w:szCs w:val="20"/>
                <w:highlight w:val="none"/>
                <w:lang w:val="en-US" w:eastAsia="zh-CN"/>
              </w:rPr>
              <w:t>。。然后再次从两个方向进行复测，垂直度偏差≤1/1000；若垂直度不满足要求应重新调整，然后再复测，直符合要求后用销轴固定。</w:t>
            </w:r>
          </w:p>
        </w:tc>
        <w:tc>
          <w:tcPr>
            <w:tcW w:w="1459" w:type="dxa"/>
            <w:vAlign w:val="center"/>
          </w:tcPr>
          <w:p w14:paraId="32F350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4217DF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3D93AA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5AE6D1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w:t>
            </w:r>
            <w:r>
              <w:rPr>
                <w:rFonts w:hint="eastAsia" w:ascii="宋体" w:hAnsi="宋体" w:eastAsia="宋体" w:cs="宋体"/>
                <w:kern w:val="2"/>
                <w:sz w:val="20"/>
                <w:szCs w:val="20"/>
                <w:lang w:val="en-US" w:eastAsia="zh-CN" w:bidi="ar-SA"/>
              </w:rPr>
              <w:t>基础强度不足导致倾覆；吊物坠落</w:t>
            </w:r>
            <w:r>
              <w:rPr>
                <w:rFonts w:hint="default" w:ascii="宋体" w:hAnsi="宋体" w:eastAsia="宋体" w:cs="宋体"/>
                <w:kern w:val="2"/>
                <w:sz w:val="20"/>
                <w:szCs w:val="20"/>
                <w:lang w:val="en-US" w:eastAsia="zh-CN" w:bidi="ar-SA"/>
              </w:rPr>
              <w:t>。</w:t>
            </w:r>
          </w:p>
          <w:p w14:paraId="41E927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w:t>
            </w:r>
            <w:r>
              <w:rPr>
                <w:rFonts w:hint="eastAsia" w:ascii="宋体" w:hAnsi="宋体" w:eastAsia="宋体" w:cs="宋体"/>
                <w:kern w:val="2"/>
                <w:sz w:val="20"/>
                <w:szCs w:val="20"/>
                <w:lang w:val="en-US" w:eastAsia="zh-CN" w:bidi="ar-SA"/>
              </w:rPr>
              <w:t>基础混凝土强度</w:t>
            </w:r>
            <w:r>
              <w:rPr>
                <w:rFonts w:hint="eastAsia" w:ascii="宋体" w:hAnsi="宋体" w:cs="宋体"/>
                <w:kern w:val="2"/>
                <w:sz w:val="20"/>
                <w:szCs w:val="20"/>
                <w:lang w:val="en-US" w:eastAsia="zh-CN" w:bidi="ar-SA"/>
              </w:rPr>
              <w:t>8</w:t>
            </w:r>
            <w:r>
              <w:rPr>
                <w:rFonts w:hint="eastAsia" w:ascii="宋体" w:hAnsi="宋体" w:eastAsia="宋体" w:cs="宋体"/>
                <w:kern w:val="2"/>
                <w:sz w:val="20"/>
                <w:szCs w:val="20"/>
                <w:lang w:val="en-US" w:eastAsia="zh-CN" w:bidi="ar-SA"/>
              </w:rPr>
              <w:t>0%检测报告</w:t>
            </w:r>
            <w:r>
              <w:rPr>
                <w:rFonts w:hint="default" w:ascii="宋体" w:hAnsi="宋体" w:eastAsia="宋体" w:cs="宋体"/>
                <w:kern w:val="2"/>
                <w:sz w:val="20"/>
                <w:szCs w:val="20"/>
                <w:lang w:val="en-US" w:eastAsia="zh-CN" w:bidi="ar-SA"/>
              </w:rPr>
              <w:t>。</w:t>
            </w:r>
          </w:p>
        </w:tc>
        <w:tc>
          <w:tcPr>
            <w:tcW w:w="4467" w:type="dxa"/>
            <w:vAlign w:val="center"/>
          </w:tcPr>
          <w:p w14:paraId="1801AC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基础节踏步安装方向应与建筑物方向垂直,基础节垂直度≤1/1000；地脚螺栓紧固扭矩达标</w:t>
            </w:r>
          </w:p>
        </w:tc>
        <w:tc>
          <w:tcPr>
            <w:tcW w:w="1980" w:type="dxa"/>
            <w:vAlign w:val="center"/>
          </w:tcPr>
          <w:p w14:paraId="72EE4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46D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50AEFE2">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8318F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2</w:t>
            </w:r>
          </w:p>
        </w:tc>
        <w:tc>
          <w:tcPr>
            <w:tcW w:w="1329" w:type="dxa"/>
            <w:vAlign w:val="center"/>
          </w:tcPr>
          <w:p w14:paraId="5C5B71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安装爬升架</w:t>
            </w:r>
          </w:p>
        </w:tc>
        <w:tc>
          <w:tcPr>
            <w:tcW w:w="3107" w:type="dxa"/>
            <w:vAlign w:val="center"/>
          </w:tcPr>
          <w:p w14:paraId="59EB41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在地面上组装爬升架，待爬升架完成后，再安装爬升架。先将吊具挂在爬升架上，拉紧钢丝绳吊起；将爬升架缓慢套装在标准节外侧；将爬升架上的活动爬爪放在标准节的第一节（从下往上数）上部的踏步上；安装顶升油缸，将液压泵站油管连接到顶升油缸上。</w:t>
            </w:r>
          </w:p>
          <w:p w14:paraId="3F0ACD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1459" w:type="dxa"/>
            <w:vAlign w:val="center"/>
          </w:tcPr>
          <w:p w14:paraId="4D14EF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590E97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5DD547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240D4E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11F571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：爬升架与塔身卡滞、碰撞；液压系统失灵导致架体下坠。</w:t>
            </w:r>
          </w:p>
          <w:p w14:paraId="1C6C9A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安全条件：已安装塔身结构无变形；风速＜4级。</w:t>
            </w:r>
          </w:p>
          <w:p w14:paraId="0B29B1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14754A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爬升架与塔身间隙均匀；导向轮调整到位无卡涩</w:t>
            </w:r>
          </w:p>
        </w:tc>
        <w:tc>
          <w:tcPr>
            <w:tcW w:w="1980" w:type="dxa"/>
            <w:vAlign w:val="center"/>
          </w:tcPr>
          <w:p w14:paraId="64155A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1912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3A925EAF">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77664B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施工步骤3</w:t>
            </w:r>
          </w:p>
        </w:tc>
        <w:tc>
          <w:tcPr>
            <w:tcW w:w="1329" w:type="dxa"/>
            <w:vAlign w:val="center"/>
          </w:tcPr>
          <w:p w14:paraId="660F12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安装特殊节</w:t>
            </w:r>
          </w:p>
        </w:tc>
        <w:tc>
          <w:tcPr>
            <w:tcW w:w="3107" w:type="dxa"/>
            <w:vAlign w:val="center"/>
          </w:tcPr>
          <w:p w14:paraId="6BC0E7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将吊索绕入特殊节四根主弦的连接套，并挂至吊钩，移动到塔身上方，确保与塔身节的爬梯一致后，缓缓落下，将特殊节支腿与与爬升架耳板孔对准后，插入销轴及开口销；同时将特殊节与塔身节用</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紧固。</w:t>
            </w:r>
          </w:p>
        </w:tc>
        <w:tc>
          <w:tcPr>
            <w:tcW w:w="1459" w:type="dxa"/>
            <w:vAlign w:val="center"/>
          </w:tcPr>
          <w:p w14:paraId="3AB86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2E83AD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580DED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096641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：非标件变形、吊具脱钩。</w:t>
            </w:r>
          </w:p>
          <w:p w14:paraId="4E70F6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安全条件：专用吊具认证、平移路径净空、垂直度偏差≤2‰。</w:t>
            </w:r>
          </w:p>
        </w:tc>
        <w:tc>
          <w:tcPr>
            <w:tcW w:w="4467" w:type="dxa"/>
            <w:vAlign w:val="center"/>
          </w:tcPr>
          <w:p w14:paraId="203162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臂节销轴孔磨损量≤2mm，吊装后结构无扭曲变形，拉杆销轴润滑脂覆盖率≥90%</w:t>
            </w:r>
          </w:p>
        </w:tc>
        <w:tc>
          <w:tcPr>
            <w:tcW w:w="1980" w:type="dxa"/>
            <w:vAlign w:val="center"/>
          </w:tcPr>
          <w:p w14:paraId="32C26D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7B1A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E57A8BF">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90026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施工步骤4</w:t>
            </w:r>
          </w:p>
        </w:tc>
        <w:tc>
          <w:tcPr>
            <w:tcW w:w="1329" w:type="dxa"/>
            <w:vAlign w:val="center"/>
          </w:tcPr>
          <w:p w14:paraId="772561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安装回转总成</w:t>
            </w:r>
          </w:p>
        </w:tc>
        <w:tc>
          <w:tcPr>
            <w:tcW w:w="3107" w:type="dxa"/>
            <w:vAlign w:val="center"/>
          </w:tcPr>
          <w:p w14:paraId="6E1186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回转总成包括下支座、回转支承、上支座、回转机构共四部分，下支座下部分别与塔身节和爬升架相连，上部与回转支承通过高强度螺栓连接。在吊装回转总成时，必须同时采用4 个吊耳进行吊装。吊起回转总成（</w:t>
            </w:r>
            <w:r>
              <w:rPr>
                <w:rFonts w:hint="default" w:ascii="宋体" w:hAnsi="宋体" w:eastAsia="宋体" w:cs="宋体"/>
                <w:sz w:val="20"/>
                <w:szCs w:val="20"/>
                <w:highlight w:val="none"/>
                <w:lang w:val="en-US" w:eastAsia="zh-CN"/>
              </w:rPr>
              <w:t>1</w:t>
            </w:r>
            <w:r>
              <w:rPr>
                <w:rFonts w:hint="eastAsia" w:ascii="宋体" w:hAnsi="宋体" w:eastAsia="宋体" w:cs="宋体"/>
                <w:sz w:val="20"/>
                <w:szCs w:val="20"/>
                <w:highlight w:val="none"/>
                <w:lang w:val="en-US" w:eastAsia="zh-CN"/>
              </w:rPr>
              <w:t xml:space="preserve">）至特殊节上方，注意下支座爬梯方向与特殊节爬梯方向保持一致，将回转总成缓慢的落下，通过 </w:t>
            </w:r>
            <w:r>
              <w:rPr>
                <w:rFonts w:hint="default" w:ascii="宋体" w:hAnsi="宋体" w:eastAsia="宋体" w:cs="宋体"/>
                <w:sz w:val="20"/>
                <w:szCs w:val="20"/>
                <w:highlight w:val="none"/>
                <w:lang w:val="en-US" w:eastAsia="zh-CN"/>
              </w:rPr>
              <w:t xml:space="preserve">8 </w:t>
            </w:r>
            <w:r>
              <w:rPr>
                <w:rFonts w:hint="eastAsia" w:ascii="宋体" w:hAnsi="宋体" w:eastAsia="宋体" w:cs="宋体"/>
                <w:sz w:val="20"/>
                <w:szCs w:val="20"/>
                <w:highlight w:val="none"/>
                <w:lang w:val="en-US" w:eastAsia="zh-CN"/>
              </w:rPr>
              <w:t>个销轴（</w:t>
            </w:r>
            <w:r>
              <w:rPr>
                <w:rFonts w:hint="default" w:ascii="宋体" w:hAnsi="宋体" w:eastAsia="宋体" w:cs="宋体"/>
                <w:sz w:val="20"/>
                <w:szCs w:val="20"/>
                <w:highlight w:val="none"/>
                <w:lang w:val="en-US" w:eastAsia="zh-CN"/>
              </w:rPr>
              <w:t>2</w:t>
            </w:r>
            <w:r>
              <w:rPr>
                <w:rFonts w:hint="eastAsia" w:ascii="宋体" w:hAnsi="宋体" w:eastAsia="宋体" w:cs="宋体"/>
                <w:sz w:val="20"/>
                <w:szCs w:val="20"/>
                <w:highlight w:val="none"/>
                <w:lang w:val="en-US" w:eastAsia="zh-CN"/>
              </w:rPr>
              <w:t>）连接，为防止销轴脱出，两个销轴之间通过立销（</w:t>
            </w:r>
            <w:r>
              <w:rPr>
                <w:rFonts w:hint="default" w:ascii="宋体" w:hAnsi="宋体" w:eastAsia="宋体" w:cs="宋体"/>
                <w:sz w:val="20"/>
                <w:szCs w:val="20"/>
                <w:highlight w:val="none"/>
                <w:lang w:val="en-US" w:eastAsia="zh-CN"/>
              </w:rPr>
              <w:t>3</w:t>
            </w:r>
            <w:r>
              <w:rPr>
                <w:rFonts w:hint="eastAsia" w:ascii="宋体" w:hAnsi="宋体" w:eastAsia="宋体" w:cs="宋体"/>
                <w:sz w:val="20"/>
                <w:szCs w:val="20"/>
                <w:highlight w:val="none"/>
                <w:lang w:val="en-US" w:eastAsia="zh-CN"/>
              </w:rPr>
              <w:t>）固定，立销下端穿入。</w:t>
            </w:r>
          </w:p>
        </w:tc>
        <w:tc>
          <w:tcPr>
            <w:tcW w:w="1459" w:type="dxa"/>
            <w:vAlign w:val="center"/>
          </w:tcPr>
          <w:p w14:paraId="58E526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7AA0CD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2ACAD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775254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 部件重心偏置吊装失衡；就位时连接销轴或螺栓孔位对不准。</w:t>
            </w:r>
          </w:p>
          <w:p w14:paraId="4A7A94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吊索长度需保证吊装角度＞45°；风速＜4级；下方严禁站人。</w:t>
            </w:r>
          </w:p>
        </w:tc>
        <w:tc>
          <w:tcPr>
            <w:tcW w:w="4467" w:type="dxa"/>
            <w:vAlign w:val="center"/>
          </w:tcPr>
          <w:p w14:paraId="56DA79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与塔身连接螺栓扭矩100%达标；回转支座与塔身断面间隙均匀（≤0.5mm）</w:t>
            </w:r>
          </w:p>
        </w:tc>
        <w:tc>
          <w:tcPr>
            <w:tcW w:w="1980" w:type="dxa"/>
            <w:vAlign w:val="center"/>
          </w:tcPr>
          <w:p w14:paraId="0F14D2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5BB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4E28B9DC">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5D5E9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施工步骤5</w:t>
            </w:r>
          </w:p>
        </w:tc>
        <w:tc>
          <w:tcPr>
            <w:tcW w:w="1329" w:type="dxa"/>
            <w:vAlign w:val="center"/>
          </w:tcPr>
          <w:p w14:paraId="75F84E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w:t>
            </w:r>
            <w:r>
              <w:rPr>
                <w:rFonts w:hint="eastAsia" w:ascii="宋体" w:hAnsi="宋体" w:cs="宋体"/>
                <w:sz w:val="20"/>
                <w:szCs w:val="20"/>
                <w:highlight w:val="none"/>
                <w:lang w:val="en-US" w:eastAsia="zh-CN"/>
              </w:rPr>
              <w:t>臂根节</w:t>
            </w:r>
          </w:p>
        </w:tc>
        <w:tc>
          <w:tcPr>
            <w:tcW w:w="3107" w:type="dxa"/>
            <w:vAlign w:val="center"/>
          </w:tcPr>
          <w:p w14:paraId="04901F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w:t>
            </w:r>
          </w:p>
        </w:tc>
        <w:tc>
          <w:tcPr>
            <w:tcW w:w="1459" w:type="dxa"/>
            <w:vAlign w:val="center"/>
          </w:tcPr>
          <w:p w14:paraId="3223B7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61C52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6F98E3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w:t>
            </w:r>
          </w:p>
        </w:tc>
        <w:tc>
          <w:tcPr>
            <w:tcW w:w="4355" w:type="dxa"/>
            <w:vAlign w:val="center"/>
          </w:tcPr>
          <w:p w14:paraId="186B10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p w14:paraId="2220AC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风险：塔臂根节重心偏移，吊装过程中发生旋转或摆动，与塔身、爬升架等已有结构发生碰撞</w:t>
            </w:r>
            <w:r>
              <w:rPr>
                <w:rFonts w:hint="eastAsia" w:ascii="宋体" w:hAnsi="宋体" w:cs="宋体"/>
                <w:sz w:val="20"/>
                <w:szCs w:val="20"/>
                <w:highlight w:val="none"/>
                <w:lang w:val="en-US" w:eastAsia="zh-CN"/>
              </w:rPr>
              <w:t>。</w:t>
            </w:r>
          </w:p>
          <w:p w14:paraId="796A29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安全条件：风速＜4级；使用牵引绳控制空中姿态。</w:t>
            </w:r>
          </w:p>
        </w:tc>
        <w:tc>
          <w:tcPr>
            <w:tcW w:w="4467" w:type="dxa"/>
            <w:vAlign w:val="center"/>
          </w:tcPr>
          <w:p w14:paraId="658718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与回转总成连接的销轴必须安装到位，并使用开口销锁定，防止脱出</w:t>
            </w:r>
            <w:r>
              <w:rPr>
                <w:rFonts w:hint="eastAsia" w:ascii="宋体" w:hAnsi="宋体" w:cs="宋体"/>
                <w:sz w:val="20"/>
                <w:szCs w:val="20"/>
                <w:highlight w:val="none"/>
                <w:lang w:val="en-US" w:eastAsia="zh-CN"/>
              </w:rPr>
              <w:t>。结构本体及焊缝，无变形、裂纹等缺陷</w:t>
            </w:r>
          </w:p>
        </w:tc>
        <w:tc>
          <w:tcPr>
            <w:tcW w:w="1980" w:type="dxa"/>
            <w:vAlign w:val="center"/>
          </w:tcPr>
          <w:p w14:paraId="1E5313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2AB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79B72033">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F7087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施工步骤6</w:t>
            </w:r>
          </w:p>
        </w:tc>
        <w:tc>
          <w:tcPr>
            <w:tcW w:w="1329" w:type="dxa"/>
            <w:vAlign w:val="center"/>
          </w:tcPr>
          <w:p w14:paraId="02C7F5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安装平衡臂</w:t>
            </w:r>
          </w:p>
        </w:tc>
        <w:tc>
          <w:tcPr>
            <w:tcW w:w="3107" w:type="dxa"/>
            <w:vAlign w:val="center"/>
          </w:tcPr>
          <w:p w14:paraId="71DC96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将组装好的平衡臂吊起，对接回转总成上支座连接耳板，插入销轴、立销及R型销，缓慢放下。</w:t>
            </w:r>
          </w:p>
        </w:tc>
        <w:tc>
          <w:tcPr>
            <w:tcW w:w="1459" w:type="dxa"/>
            <w:vAlign w:val="center"/>
          </w:tcPr>
          <w:p w14:paraId="656FBD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0979B2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57386B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355" w:type="dxa"/>
            <w:vAlign w:val="center"/>
          </w:tcPr>
          <w:p w14:paraId="22E4F7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 吊装晃动导致碰撞；就位时连接销轴挤压伤人。</w:t>
            </w:r>
          </w:p>
          <w:p w14:paraId="3DCA6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 使用两根等长钢丝绳吊装；人员站位安全；风速＜4级</w:t>
            </w:r>
          </w:p>
        </w:tc>
        <w:tc>
          <w:tcPr>
            <w:tcW w:w="4467" w:type="dxa"/>
            <w:vAlign w:val="center"/>
          </w:tcPr>
          <w:p w14:paraId="696EFC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与回转总成铰点连接销轴安装到位，锁定可靠；拉杆安装后臂架水平度符合要求。</w:t>
            </w:r>
          </w:p>
        </w:tc>
        <w:tc>
          <w:tcPr>
            <w:tcW w:w="1980" w:type="dxa"/>
            <w:vAlign w:val="center"/>
          </w:tcPr>
          <w:p w14:paraId="249984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4EBC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FFAB04D">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9232B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7</w:t>
            </w:r>
          </w:p>
        </w:tc>
        <w:tc>
          <w:tcPr>
            <w:tcW w:w="1329" w:type="dxa"/>
            <w:vAlign w:val="center"/>
          </w:tcPr>
          <w:p w14:paraId="1835FB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安装两块平平衡重</w:t>
            </w:r>
          </w:p>
        </w:tc>
        <w:tc>
          <w:tcPr>
            <w:tcW w:w="3107" w:type="dxa"/>
            <w:vAlign w:val="center"/>
          </w:tcPr>
          <w:p w14:paraId="40DDFC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另一端与卸扣连接，卸扣与吊耳通过销轴连接，并在平衡重栓好2根溜绳。启动吊机，将一块配重块缓慢提升，用溜绳控制其摆动。从平衡臂端部开口处平稳起吊，装入平衡臂节，位置靠近起升机构旁边，用配重销紧固在平衡臂上，即完成平衡臂安装。平衡重安装后，作业人员解除卸扣与平衡重吊耳的连接</w:t>
            </w:r>
            <w:r>
              <w:rPr>
                <w:rFonts w:hint="default" w:ascii="宋体" w:hAnsi="宋体" w:eastAsia="宋体" w:cs="宋体"/>
                <w:sz w:val="20"/>
                <w:szCs w:val="20"/>
                <w:highlight w:val="none"/>
                <w:lang w:val="en-US" w:eastAsia="zh-CN"/>
              </w:rPr>
              <w:t>。</w:t>
            </w:r>
          </w:p>
        </w:tc>
        <w:tc>
          <w:tcPr>
            <w:tcW w:w="1459" w:type="dxa"/>
            <w:vAlign w:val="center"/>
          </w:tcPr>
          <w:p w14:paraId="59B59F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27DCD9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174B46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355" w:type="dxa"/>
            <w:vAlign w:val="center"/>
          </w:tcPr>
          <w:p w14:paraId="7AE5CA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60C105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05A693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平衡重块安装位置准确，间距均匀</w:t>
            </w:r>
          </w:p>
        </w:tc>
        <w:tc>
          <w:tcPr>
            <w:tcW w:w="1980" w:type="dxa"/>
            <w:vAlign w:val="center"/>
          </w:tcPr>
          <w:p w14:paraId="4B07C9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6C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FC2EF3C">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374FA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8</w:t>
            </w:r>
          </w:p>
        </w:tc>
        <w:tc>
          <w:tcPr>
            <w:tcW w:w="1329" w:type="dxa"/>
            <w:vAlign w:val="center"/>
          </w:tcPr>
          <w:p w14:paraId="0E7282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安装起重臂</w:t>
            </w:r>
          </w:p>
        </w:tc>
        <w:tc>
          <w:tcPr>
            <w:tcW w:w="3107" w:type="dxa"/>
            <w:vAlign w:val="center"/>
          </w:tcPr>
          <w:p w14:paraId="0F0B95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，完成一节起重臂的安装。</w:t>
            </w:r>
          </w:p>
        </w:tc>
        <w:tc>
          <w:tcPr>
            <w:tcW w:w="1459" w:type="dxa"/>
            <w:vAlign w:val="center"/>
          </w:tcPr>
          <w:p w14:paraId="2E1438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552653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25t汽车吊</w:t>
            </w:r>
          </w:p>
        </w:tc>
        <w:tc>
          <w:tcPr>
            <w:tcW w:w="1161" w:type="dxa"/>
            <w:vAlign w:val="center"/>
          </w:tcPr>
          <w:p w14:paraId="3EF364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355" w:type="dxa"/>
            <w:vAlign w:val="center"/>
          </w:tcPr>
          <w:p w14:paraId="54E57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 臂节连接时接口碰撞；高空安装人员坠落。</w:t>
            </w:r>
          </w:p>
          <w:p w14:paraId="34B0E0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0B40E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每节臂必须安装临时连接销；作业人员全程系挂安全带。</w:t>
            </w:r>
          </w:p>
        </w:tc>
        <w:tc>
          <w:tcPr>
            <w:tcW w:w="4467" w:type="dxa"/>
            <w:vAlign w:val="center"/>
          </w:tcPr>
          <w:p w14:paraId="5995CA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 xml:space="preserve"> 各节臂架连接销轴安装到位，锁定可靠。</w:t>
            </w:r>
          </w:p>
        </w:tc>
        <w:tc>
          <w:tcPr>
            <w:tcW w:w="1980" w:type="dxa"/>
            <w:vAlign w:val="center"/>
          </w:tcPr>
          <w:p w14:paraId="5CEB4D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576B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E4FA975">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EB480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9</w:t>
            </w:r>
          </w:p>
        </w:tc>
        <w:tc>
          <w:tcPr>
            <w:tcW w:w="1329" w:type="dxa"/>
            <w:vAlign w:val="center"/>
          </w:tcPr>
          <w:p w14:paraId="6E050C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安装剩余平衡重</w:t>
            </w:r>
          </w:p>
        </w:tc>
        <w:tc>
          <w:tcPr>
            <w:tcW w:w="3107" w:type="dxa"/>
            <w:vAlign w:val="center"/>
          </w:tcPr>
          <w:p w14:paraId="3CE9D3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按从起升机构侧向塔身侧依次吊装平衡重。</w:t>
            </w:r>
          </w:p>
          <w:p w14:paraId="123327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tc>
        <w:tc>
          <w:tcPr>
            <w:tcW w:w="1459" w:type="dxa"/>
            <w:vAlign w:val="center"/>
          </w:tcPr>
          <w:p w14:paraId="66761A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8F59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62FDE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1633AA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41D73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325D45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平衡重块安装位置准确，间距均匀</w:t>
            </w:r>
          </w:p>
        </w:tc>
        <w:tc>
          <w:tcPr>
            <w:tcW w:w="1980" w:type="dxa"/>
            <w:vAlign w:val="center"/>
          </w:tcPr>
          <w:p w14:paraId="1019A8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96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11B9248">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7E4F0B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10</w:t>
            </w:r>
          </w:p>
        </w:tc>
        <w:tc>
          <w:tcPr>
            <w:tcW w:w="1329" w:type="dxa"/>
            <w:vAlign w:val="center"/>
          </w:tcPr>
          <w:p w14:paraId="617B10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穿绕起升钢丝绳及安装吊钩</w:t>
            </w:r>
          </w:p>
        </w:tc>
        <w:tc>
          <w:tcPr>
            <w:tcW w:w="3107" w:type="dxa"/>
            <w:vAlign w:val="center"/>
          </w:tcPr>
          <w:p w14:paraId="5383DE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地面组装好吊钩组，通过</w:t>
            </w:r>
            <w:r>
              <w:rPr>
                <w:rFonts w:hint="eastAsia" w:ascii="宋体" w:hAnsi="宋体" w:cs="宋体"/>
                <w:sz w:val="20"/>
                <w:szCs w:val="20"/>
                <w:highlight w:val="none"/>
                <w:lang w:val="en-US" w:eastAsia="zh-CN"/>
              </w:rPr>
              <w:t>臂根节</w:t>
            </w:r>
            <w:r>
              <w:rPr>
                <w:rFonts w:hint="eastAsia" w:ascii="宋体" w:hAnsi="宋体" w:eastAsia="宋体" w:cs="宋体"/>
                <w:sz w:val="20"/>
                <w:szCs w:val="20"/>
                <w:highlight w:val="none"/>
                <w:lang w:val="en-US" w:eastAsia="zh-CN"/>
              </w:rPr>
              <w:t>滑轮、臂架滑轮等，按说明书图示顺序逐级穿绕钢丝绳，最后将绳端可靠固定在臂端。</w:t>
            </w:r>
          </w:p>
        </w:tc>
        <w:tc>
          <w:tcPr>
            <w:tcW w:w="1459" w:type="dxa"/>
            <w:vAlign w:val="center"/>
          </w:tcPr>
          <w:p w14:paraId="7C6C81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B6969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057B47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3E4E53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钢丝绳弹射伤人；吊钩组件意外坠落。</w:t>
            </w:r>
          </w:p>
          <w:p w14:paraId="397CA4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吊钩组件地面组装可靠；穿绳时人员避开绳道。</w:t>
            </w:r>
          </w:p>
        </w:tc>
        <w:tc>
          <w:tcPr>
            <w:tcW w:w="4467" w:type="dxa"/>
            <w:vAlign w:val="center"/>
          </w:tcPr>
          <w:p w14:paraId="61AD29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钢丝绳穿绕正确无扭结；绳端固定可靠；防脱钩装置有效</w:t>
            </w:r>
          </w:p>
        </w:tc>
        <w:tc>
          <w:tcPr>
            <w:tcW w:w="1980" w:type="dxa"/>
            <w:vAlign w:val="center"/>
          </w:tcPr>
          <w:p w14:paraId="2BE0F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3A01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1849BE7">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FAB6F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11</w:t>
            </w:r>
          </w:p>
        </w:tc>
        <w:tc>
          <w:tcPr>
            <w:tcW w:w="1329" w:type="dxa"/>
            <w:vAlign w:val="center"/>
          </w:tcPr>
          <w:p w14:paraId="26323E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顶升</w:t>
            </w:r>
          </w:p>
        </w:tc>
        <w:tc>
          <w:tcPr>
            <w:tcW w:w="3107" w:type="dxa"/>
            <w:vAlign w:val="center"/>
          </w:tcPr>
          <w:p w14:paraId="60F3EA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操作液压系统顶升套架，形成标准节安装空间，吊入标准节并就位，紧固连接</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后收回油缸，使套架与塔身连成整体。</w:t>
            </w:r>
          </w:p>
        </w:tc>
        <w:tc>
          <w:tcPr>
            <w:tcW w:w="1459" w:type="dxa"/>
            <w:vAlign w:val="center"/>
          </w:tcPr>
          <w:p w14:paraId="06BA4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C07D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315AD5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05A891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顶升过程失衡导致倾覆；液压系统失效。</w:t>
            </w:r>
          </w:p>
          <w:p w14:paraId="25FF4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确保前后臂平衡；风速必须＜4级；严禁回转作业。</w:t>
            </w:r>
          </w:p>
        </w:tc>
        <w:tc>
          <w:tcPr>
            <w:tcW w:w="4467" w:type="dxa"/>
            <w:vAlign w:val="center"/>
          </w:tcPr>
          <w:p w14:paraId="3086EE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新加节与原有塔身连接螺栓扭矩100%达标；顶升后塔身垂直度≤4/1000。</w:t>
            </w:r>
          </w:p>
        </w:tc>
        <w:tc>
          <w:tcPr>
            <w:tcW w:w="1980" w:type="dxa"/>
            <w:vAlign w:val="center"/>
          </w:tcPr>
          <w:p w14:paraId="61F509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85A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338BA932">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A2F83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12</w:t>
            </w:r>
          </w:p>
        </w:tc>
        <w:tc>
          <w:tcPr>
            <w:tcW w:w="1329" w:type="dxa"/>
            <w:vAlign w:val="center"/>
          </w:tcPr>
          <w:p w14:paraId="0ADB65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安装附着</w:t>
            </w:r>
          </w:p>
        </w:tc>
        <w:tc>
          <w:tcPr>
            <w:tcW w:w="3107" w:type="dxa"/>
            <w:vAlign w:val="center"/>
          </w:tcPr>
          <w:p w14:paraId="34B2C4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附着装置时，首先在塔身上固定操作平台，作业人员系挂好安全带；随后采用两点吊装方式吊起附着杆，并用溜绳控制其空中摆动，辅助就位；最后用销轴将杆件两端分别与塔身附着框和主体结构预埋耳座可靠连接，并通过调节杆件长度控制塔身垂直度。</w:t>
            </w:r>
          </w:p>
        </w:tc>
        <w:tc>
          <w:tcPr>
            <w:tcW w:w="1459" w:type="dxa"/>
            <w:vAlign w:val="center"/>
          </w:tcPr>
          <w:p w14:paraId="38EC4E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0292D3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6D66A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08B47B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高空坠落；杆件吊装摆动撞击。</w:t>
            </w:r>
          </w:p>
          <w:p w14:paraId="089FF7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操作平台固定牢靠；全程系挂安全带；风速＜4级。</w:t>
            </w:r>
          </w:p>
        </w:tc>
        <w:tc>
          <w:tcPr>
            <w:tcW w:w="4467" w:type="dxa"/>
            <w:vAlign w:val="center"/>
          </w:tcPr>
          <w:p w14:paraId="341183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最上一道附着以上塔身垂直度≤4/1000；以下≤2/1000；所有连接销轴锁定可靠</w:t>
            </w:r>
          </w:p>
        </w:tc>
        <w:tc>
          <w:tcPr>
            <w:tcW w:w="1980" w:type="dxa"/>
            <w:vAlign w:val="center"/>
          </w:tcPr>
          <w:p w14:paraId="2D0AA6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bl>
    <w:p w14:paraId="64C229A6">
      <w:pPr>
        <w:rPr>
          <w:rFonts w:hint="default"/>
          <w:lang w:val="en-US" w:eastAsia="zh-CN"/>
        </w:rPr>
        <w:sectPr>
          <w:headerReference r:id="rId8" w:type="default"/>
          <w:footerReference r:id="rId9"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3"/>
        <w:bidi w:val="0"/>
        <w:rPr>
          <w:rFonts w:hint="eastAsia" w:ascii="宋体" w:hAnsi="宋体" w:eastAsia="宋体" w:cs="宋体"/>
          <w:lang w:val="en-US" w:eastAsia="zh-CN"/>
        </w:rPr>
      </w:pPr>
      <w:bookmarkStart w:id="127" w:name="_Toc14350"/>
      <w:bookmarkStart w:id="128" w:name="_Toc15121"/>
      <w:bookmarkStart w:id="129" w:name="_Toc29358"/>
      <w:bookmarkStart w:id="130" w:name="_Toc12179"/>
      <w:bookmarkStart w:id="131" w:name="_Toc8810"/>
      <w:bookmarkStart w:id="132" w:name="_Toc21652"/>
      <w:bookmarkStart w:id="133" w:name="_Toc32557"/>
      <w:bookmarkStart w:id="134" w:name="_Toc594"/>
      <w:bookmarkStart w:id="135" w:name="_Toc1217"/>
      <w:r>
        <w:rPr>
          <w:rFonts w:hint="eastAsia" w:ascii="宋体" w:hAnsi="宋体" w:eastAsia="宋体" w:cs="宋体"/>
          <w:lang w:val="en-US" w:eastAsia="zh-CN"/>
        </w:rPr>
        <w:t>附件二：工序相关设计图表</w:t>
      </w:r>
      <w:bookmarkEnd w:id="127"/>
      <w:bookmarkEnd w:id="128"/>
      <w:bookmarkEnd w:id="129"/>
      <w:bookmarkEnd w:id="130"/>
      <w:bookmarkEnd w:id="131"/>
      <w:bookmarkEnd w:id="132"/>
      <w:bookmarkEnd w:id="133"/>
      <w:bookmarkEnd w:id="134"/>
      <w:bookmarkEnd w:id="135"/>
    </w:p>
    <w:p w14:paraId="17BAFF10">
      <w:pPr>
        <w:pStyle w:val="14"/>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drawing>
          <wp:inline distT="0" distB="0" distL="114300" distR="114300">
            <wp:extent cx="4744085" cy="6050915"/>
            <wp:effectExtent l="0" t="0" r="1841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4744085" cy="6050915"/>
                    </a:xfrm>
                    <a:prstGeom prst="rect">
                      <a:avLst/>
                    </a:prstGeom>
                    <a:noFill/>
                    <a:ln>
                      <a:noFill/>
                    </a:ln>
                  </pic:spPr>
                </pic:pic>
              </a:graphicData>
            </a:graphic>
          </wp:inline>
        </w:drawing>
      </w:r>
    </w:p>
    <w:p w14:paraId="2158A187">
      <w:pPr>
        <w:pStyle w:val="3"/>
        <w:bidi w:val="0"/>
        <w:rPr>
          <w:rFonts w:hint="eastAsia"/>
          <w:lang w:val="en-US" w:eastAsia="zh-CN"/>
        </w:rPr>
      </w:pPr>
      <w:bookmarkStart w:id="136" w:name="_Toc18382"/>
      <w:bookmarkStart w:id="137" w:name="_Toc5839"/>
      <w:r>
        <w:rPr>
          <w:rFonts w:hint="eastAsia"/>
          <w:lang w:val="en-US" w:eastAsia="zh-CN"/>
        </w:rPr>
        <w:t>附件三：工序施工记录表</w:t>
      </w:r>
      <w:bookmarkEnd w:id="136"/>
      <w:bookmarkEnd w:id="137"/>
    </w:p>
    <w:p w14:paraId="58EEA86E">
      <w:pPr>
        <w:jc w:val="center"/>
        <w:rPr>
          <w:rFonts w:hint="default" w:ascii="仿宋" w:hAnsi="仿宋" w:eastAsia="宋体" w:cs="仿宋"/>
          <w:b/>
          <w:bCs/>
          <w:color w:val="auto"/>
          <w:lang w:val="en-US" w:eastAsia="zh-CN"/>
        </w:rPr>
      </w:pPr>
      <w:bookmarkStart w:id="138" w:name="_Toc464"/>
      <w:bookmarkStart w:id="139" w:name="_Toc7812"/>
      <w:bookmarkStart w:id="140" w:name="_Toc20043"/>
      <w:r>
        <w:rPr>
          <w:rFonts w:hint="eastAsia" w:ascii="仿宋" w:hAnsi="仿宋" w:eastAsia="宋体" w:cs="仿宋"/>
          <w:b/>
          <w:bCs/>
          <w:color w:val="auto"/>
          <w:lang w:val="en-US" w:eastAsia="zh-CN"/>
        </w:rPr>
        <w:t>塔吊安装自检表</w:t>
      </w:r>
    </w:p>
    <w:tbl>
      <w:tblPr>
        <w:tblStyle w:val="2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61E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121B473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5979" w:type="dxa"/>
            <w:gridSpan w:val="4"/>
            <w:vAlign w:val="center"/>
          </w:tcPr>
          <w:p w14:paraId="7C7E5DD4">
            <w:pPr>
              <w:pStyle w:val="16"/>
              <w:rPr>
                <w:rFonts w:hint="eastAsia" w:ascii="宋体" w:hAnsi="宋体" w:eastAsia="宋体" w:cs="宋体"/>
                <w:b w:val="0"/>
                <w:bCs w:val="0"/>
                <w:sz w:val="21"/>
                <w:szCs w:val="21"/>
              </w:rPr>
            </w:pPr>
          </w:p>
        </w:tc>
        <w:tc>
          <w:tcPr>
            <w:tcW w:w="1618" w:type="dxa"/>
            <w:gridSpan w:val="2"/>
            <w:vAlign w:val="center"/>
          </w:tcPr>
          <w:p w14:paraId="2F7F18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施工地址</w:t>
            </w:r>
          </w:p>
        </w:tc>
        <w:tc>
          <w:tcPr>
            <w:tcW w:w="1116" w:type="dxa"/>
            <w:vAlign w:val="center"/>
          </w:tcPr>
          <w:p w14:paraId="28A25D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项目工地</w:t>
            </w:r>
          </w:p>
        </w:tc>
      </w:tr>
      <w:tr w14:paraId="713C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70BD2EA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出租单位</w:t>
            </w:r>
          </w:p>
        </w:tc>
        <w:tc>
          <w:tcPr>
            <w:tcW w:w="8713" w:type="dxa"/>
            <w:gridSpan w:val="7"/>
            <w:vAlign w:val="center"/>
          </w:tcPr>
          <w:p w14:paraId="7A58EC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四川科斗文智能装备有限公司</w:t>
            </w:r>
          </w:p>
        </w:tc>
      </w:tr>
      <w:tr w14:paraId="497D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DFEDF8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型号</w:t>
            </w:r>
          </w:p>
        </w:tc>
        <w:tc>
          <w:tcPr>
            <w:tcW w:w="1897" w:type="dxa"/>
            <w:gridSpan w:val="2"/>
            <w:vAlign w:val="center"/>
          </w:tcPr>
          <w:p w14:paraId="04752923">
            <w:pPr>
              <w:pStyle w:val="16"/>
              <w:rPr>
                <w:rFonts w:hint="eastAsia" w:ascii="宋体" w:hAnsi="宋体" w:eastAsia="宋体" w:cs="宋体"/>
                <w:b w:val="0"/>
                <w:bCs w:val="0"/>
                <w:sz w:val="21"/>
                <w:szCs w:val="21"/>
              </w:rPr>
            </w:pPr>
          </w:p>
        </w:tc>
        <w:tc>
          <w:tcPr>
            <w:tcW w:w="3056" w:type="dxa"/>
            <w:vAlign w:val="center"/>
          </w:tcPr>
          <w:p w14:paraId="61957A3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设备编号</w:t>
            </w:r>
          </w:p>
        </w:tc>
        <w:tc>
          <w:tcPr>
            <w:tcW w:w="1041" w:type="dxa"/>
            <w:gridSpan w:val="2"/>
            <w:vAlign w:val="center"/>
          </w:tcPr>
          <w:p w14:paraId="22595DF7">
            <w:pPr>
              <w:pStyle w:val="16"/>
              <w:rPr>
                <w:rFonts w:hint="eastAsia" w:ascii="宋体" w:hAnsi="宋体" w:eastAsia="宋体" w:cs="宋体"/>
                <w:b w:val="0"/>
                <w:bCs w:val="0"/>
                <w:sz w:val="21"/>
                <w:szCs w:val="21"/>
              </w:rPr>
            </w:pPr>
          </w:p>
        </w:tc>
        <w:tc>
          <w:tcPr>
            <w:tcW w:w="1603" w:type="dxa"/>
            <w:vAlign w:val="center"/>
          </w:tcPr>
          <w:p w14:paraId="37CC51A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施工高度</w:t>
            </w:r>
          </w:p>
        </w:tc>
        <w:tc>
          <w:tcPr>
            <w:tcW w:w="1116" w:type="dxa"/>
            <w:vAlign w:val="center"/>
          </w:tcPr>
          <w:p w14:paraId="77197361">
            <w:pPr>
              <w:pStyle w:val="16"/>
              <w:rPr>
                <w:rFonts w:hint="eastAsia" w:ascii="宋体" w:hAnsi="宋体" w:eastAsia="宋体" w:cs="宋体"/>
                <w:b w:val="0"/>
                <w:bCs w:val="0"/>
                <w:sz w:val="21"/>
                <w:szCs w:val="21"/>
              </w:rPr>
            </w:pPr>
          </w:p>
        </w:tc>
      </w:tr>
      <w:tr w14:paraId="47AC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5CB4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附墙个数</w:t>
            </w:r>
          </w:p>
        </w:tc>
        <w:tc>
          <w:tcPr>
            <w:tcW w:w="1897" w:type="dxa"/>
            <w:gridSpan w:val="2"/>
            <w:vAlign w:val="center"/>
          </w:tcPr>
          <w:p w14:paraId="1E728B57">
            <w:pPr>
              <w:pStyle w:val="16"/>
              <w:rPr>
                <w:rFonts w:hint="eastAsia" w:ascii="宋体" w:hAnsi="宋体" w:eastAsia="宋体" w:cs="宋体"/>
                <w:b w:val="0"/>
                <w:bCs w:val="0"/>
                <w:sz w:val="21"/>
                <w:szCs w:val="21"/>
              </w:rPr>
            </w:pPr>
          </w:p>
        </w:tc>
        <w:tc>
          <w:tcPr>
            <w:tcW w:w="3056" w:type="dxa"/>
            <w:vAlign w:val="center"/>
          </w:tcPr>
          <w:p w14:paraId="39DE5DD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最大载重量</w:t>
            </w:r>
          </w:p>
        </w:tc>
        <w:tc>
          <w:tcPr>
            <w:tcW w:w="1041" w:type="dxa"/>
            <w:gridSpan w:val="2"/>
            <w:vAlign w:val="center"/>
          </w:tcPr>
          <w:p w14:paraId="301D3AF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吨</w:t>
            </w:r>
          </w:p>
        </w:tc>
        <w:tc>
          <w:tcPr>
            <w:tcW w:w="1603" w:type="dxa"/>
            <w:vAlign w:val="center"/>
          </w:tcPr>
          <w:p w14:paraId="18F237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检查日期</w:t>
            </w:r>
          </w:p>
        </w:tc>
        <w:tc>
          <w:tcPr>
            <w:tcW w:w="1116" w:type="dxa"/>
            <w:vAlign w:val="center"/>
          </w:tcPr>
          <w:p w14:paraId="6023D3A9">
            <w:pPr>
              <w:pStyle w:val="16"/>
              <w:rPr>
                <w:rFonts w:hint="eastAsia" w:ascii="宋体" w:hAnsi="宋体" w:eastAsia="宋体" w:cs="宋体"/>
                <w:b w:val="0"/>
                <w:bCs w:val="0"/>
                <w:sz w:val="21"/>
                <w:szCs w:val="21"/>
              </w:rPr>
            </w:pPr>
          </w:p>
        </w:tc>
      </w:tr>
      <w:tr w14:paraId="2455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352207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       查      内      容</w:t>
            </w:r>
          </w:p>
        </w:tc>
        <w:tc>
          <w:tcPr>
            <w:tcW w:w="1618" w:type="dxa"/>
            <w:gridSpan w:val="2"/>
            <w:vAlign w:val="center"/>
          </w:tcPr>
          <w:p w14:paraId="36F513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参照标准</w:t>
            </w:r>
          </w:p>
        </w:tc>
        <w:tc>
          <w:tcPr>
            <w:tcW w:w="1116" w:type="dxa"/>
            <w:vAlign w:val="center"/>
          </w:tcPr>
          <w:p w14:paraId="7F3007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14A1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1DE19D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（一）基</w:t>
            </w:r>
          </w:p>
          <w:p w14:paraId="2D58B6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础</w:t>
            </w:r>
          </w:p>
        </w:tc>
        <w:tc>
          <w:tcPr>
            <w:tcW w:w="5799" w:type="dxa"/>
            <w:gridSpan w:val="3"/>
            <w:vAlign w:val="center"/>
          </w:tcPr>
          <w:p w14:paraId="0300FB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1.稳定性；</w:t>
            </w:r>
          </w:p>
        </w:tc>
        <w:tc>
          <w:tcPr>
            <w:tcW w:w="1618" w:type="dxa"/>
            <w:gridSpan w:val="2"/>
            <w:vMerge w:val="restart"/>
            <w:vAlign w:val="center"/>
          </w:tcPr>
          <w:p w14:paraId="0D7472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JBJ/T187-2009</w:t>
            </w:r>
          </w:p>
        </w:tc>
        <w:tc>
          <w:tcPr>
            <w:tcW w:w="1116" w:type="dxa"/>
            <w:vAlign w:val="center"/>
          </w:tcPr>
          <w:p w14:paraId="7564D851">
            <w:pPr>
              <w:pStyle w:val="16"/>
              <w:rPr>
                <w:rFonts w:hint="eastAsia" w:ascii="宋体" w:hAnsi="宋体" w:eastAsia="宋体" w:cs="宋体"/>
                <w:b w:val="0"/>
                <w:bCs w:val="0"/>
                <w:sz w:val="21"/>
                <w:szCs w:val="21"/>
              </w:rPr>
            </w:pPr>
          </w:p>
        </w:tc>
      </w:tr>
      <w:tr w14:paraId="08E2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65C74CA">
            <w:pPr>
              <w:pStyle w:val="16"/>
              <w:rPr>
                <w:rFonts w:hint="eastAsia" w:ascii="宋体" w:hAnsi="宋体" w:eastAsia="宋体" w:cs="宋体"/>
                <w:b w:val="0"/>
                <w:bCs w:val="0"/>
                <w:sz w:val="21"/>
                <w:szCs w:val="21"/>
              </w:rPr>
            </w:pPr>
          </w:p>
        </w:tc>
        <w:tc>
          <w:tcPr>
            <w:tcW w:w="5799" w:type="dxa"/>
            <w:gridSpan w:val="3"/>
            <w:vAlign w:val="center"/>
          </w:tcPr>
          <w:p w14:paraId="00AD35D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2.排水措施；</w:t>
            </w:r>
          </w:p>
        </w:tc>
        <w:tc>
          <w:tcPr>
            <w:tcW w:w="1618" w:type="dxa"/>
            <w:gridSpan w:val="2"/>
            <w:vMerge w:val="continue"/>
            <w:vAlign w:val="center"/>
          </w:tcPr>
          <w:p w14:paraId="3042BA7B">
            <w:pPr>
              <w:pStyle w:val="16"/>
              <w:rPr>
                <w:rFonts w:hint="eastAsia" w:ascii="宋体" w:hAnsi="宋体" w:eastAsia="宋体" w:cs="宋体"/>
                <w:b w:val="0"/>
                <w:bCs w:val="0"/>
                <w:sz w:val="21"/>
                <w:szCs w:val="21"/>
              </w:rPr>
            </w:pPr>
          </w:p>
        </w:tc>
        <w:tc>
          <w:tcPr>
            <w:tcW w:w="1116" w:type="dxa"/>
            <w:vAlign w:val="center"/>
          </w:tcPr>
          <w:p w14:paraId="2B368A3C">
            <w:pPr>
              <w:pStyle w:val="16"/>
              <w:rPr>
                <w:rFonts w:hint="eastAsia" w:ascii="宋体" w:hAnsi="宋体" w:eastAsia="宋体" w:cs="宋体"/>
                <w:b w:val="0"/>
                <w:bCs w:val="0"/>
                <w:sz w:val="21"/>
                <w:szCs w:val="21"/>
              </w:rPr>
            </w:pPr>
          </w:p>
        </w:tc>
      </w:tr>
      <w:tr w14:paraId="746E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2DDC55FE">
            <w:pPr>
              <w:pStyle w:val="16"/>
              <w:rPr>
                <w:rFonts w:hint="eastAsia" w:ascii="宋体" w:hAnsi="宋体" w:eastAsia="宋体" w:cs="宋体"/>
                <w:b w:val="0"/>
                <w:bCs w:val="0"/>
                <w:sz w:val="21"/>
                <w:szCs w:val="21"/>
              </w:rPr>
            </w:pPr>
          </w:p>
        </w:tc>
        <w:tc>
          <w:tcPr>
            <w:tcW w:w="5799" w:type="dxa"/>
            <w:gridSpan w:val="3"/>
            <w:vAlign w:val="center"/>
          </w:tcPr>
          <w:p w14:paraId="606F2BE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3.沉降量不大于50mm。</w:t>
            </w:r>
          </w:p>
        </w:tc>
        <w:tc>
          <w:tcPr>
            <w:tcW w:w="1618" w:type="dxa"/>
            <w:gridSpan w:val="2"/>
            <w:vMerge w:val="continue"/>
            <w:vAlign w:val="center"/>
          </w:tcPr>
          <w:p w14:paraId="6496C5DD">
            <w:pPr>
              <w:pStyle w:val="16"/>
              <w:rPr>
                <w:rFonts w:hint="eastAsia" w:ascii="宋体" w:hAnsi="宋体" w:eastAsia="宋体" w:cs="宋体"/>
                <w:b w:val="0"/>
                <w:bCs w:val="0"/>
                <w:sz w:val="21"/>
                <w:szCs w:val="21"/>
              </w:rPr>
            </w:pPr>
          </w:p>
        </w:tc>
        <w:tc>
          <w:tcPr>
            <w:tcW w:w="1116" w:type="dxa"/>
            <w:vAlign w:val="center"/>
          </w:tcPr>
          <w:p w14:paraId="5C2C79E0">
            <w:pPr>
              <w:pStyle w:val="16"/>
              <w:rPr>
                <w:rFonts w:hint="eastAsia" w:ascii="宋体" w:hAnsi="宋体" w:eastAsia="宋体" w:cs="宋体"/>
                <w:b w:val="0"/>
                <w:bCs w:val="0"/>
                <w:sz w:val="21"/>
                <w:szCs w:val="21"/>
              </w:rPr>
            </w:pPr>
          </w:p>
        </w:tc>
      </w:tr>
      <w:tr w14:paraId="2B2D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04CEFF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（二）塔</w:t>
            </w:r>
          </w:p>
          <w:p w14:paraId="1219C6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身</w:t>
            </w:r>
          </w:p>
          <w:p w14:paraId="401544A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结</w:t>
            </w:r>
          </w:p>
          <w:p w14:paraId="2A2EA4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构</w:t>
            </w:r>
          </w:p>
        </w:tc>
        <w:tc>
          <w:tcPr>
            <w:tcW w:w="5799" w:type="dxa"/>
            <w:gridSpan w:val="3"/>
            <w:vAlign w:val="center"/>
          </w:tcPr>
          <w:p w14:paraId="39426F8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1.结构无变形、开焊、裂纹；</w:t>
            </w:r>
          </w:p>
        </w:tc>
        <w:tc>
          <w:tcPr>
            <w:tcW w:w="1618" w:type="dxa"/>
            <w:gridSpan w:val="2"/>
            <w:vMerge w:val="restart"/>
            <w:vAlign w:val="center"/>
          </w:tcPr>
          <w:p w14:paraId="30853E4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2A589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3A973D2">
            <w:pPr>
              <w:pStyle w:val="16"/>
              <w:rPr>
                <w:rFonts w:hint="eastAsia" w:ascii="宋体" w:hAnsi="宋体" w:eastAsia="宋体" w:cs="宋体"/>
                <w:b w:val="0"/>
                <w:bCs w:val="0"/>
                <w:sz w:val="21"/>
                <w:szCs w:val="21"/>
              </w:rPr>
            </w:pPr>
          </w:p>
        </w:tc>
      </w:tr>
      <w:tr w14:paraId="1452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AB9F392">
            <w:pPr>
              <w:pStyle w:val="16"/>
              <w:rPr>
                <w:rFonts w:hint="eastAsia" w:ascii="宋体" w:hAnsi="宋体" w:eastAsia="宋体" w:cs="宋体"/>
                <w:b w:val="0"/>
                <w:bCs w:val="0"/>
                <w:sz w:val="21"/>
                <w:szCs w:val="21"/>
              </w:rPr>
            </w:pPr>
          </w:p>
        </w:tc>
        <w:tc>
          <w:tcPr>
            <w:tcW w:w="5799" w:type="dxa"/>
            <w:gridSpan w:val="3"/>
            <w:vAlign w:val="center"/>
          </w:tcPr>
          <w:p w14:paraId="246BB4C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2.过渡节、销轴、高强度螺栓等零部件配置齐全、无松动、缺损、无严重锈蚀；</w:t>
            </w:r>
          </w:p>
        </w:tc>
        <w:tc>
          <w:tcPr>
            <w:tcW w:w="1618" w:type="dxa"/>
            <w:gridSpan w:val="2"/>
            <w:vMerge w:val="continue"/>
            <w:vAlign w:val="center"/>
          </w:tcPr>
          <w:p w14:paraId="6A13A2C3">
            <w:pPr>
              <w:pStyle w:val="16"/>
              <w:rPr>
                <w:rFonts w:hint="eastAsia" w:ascii="宋体" w:hAnsi="宋体" w:eastAsia="宋体" w:cs="宋体"/>
                <w:b w:val="0"/>
                <w:bCs w:val="0"/>
                <w:sz w:val="21"/>
                <w:szCs w:val="21"/>
              </w:rPr>
            </w:pPr>
          </w:p>
        </w:tc>
        <w:tc>
          <w:tcPr>
            <w:tcW w:w="1116" w:type="dxa"/>
            <w:vAlign w:val="center"/>
          </w:tcPr>
          <w:p w14:paraId="6F0CAB71">
            <w:pPr>
              <w:pStyle w:val="16"/>
              <w:rPr>
                <w:rFonts w:hint="eastAsia" w:ascii="宋体" w:hAnsi="宋体" w:eastAsia="宋体" w:cs="宋体"/>
                <w:b w:val="0"/>
                <w:bCs w:val="0"/>
                <w:sz w:val="21"/>
                <w:szCs w:val="21"/>
              </w:rPr>
            </w:pPr>
          </w:p>
        </w:tc>
      </w:tr>
      <w:tr w14:paraId="0E08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10F7A07B">
            <w:pPr>
              <w:pStyle w:val="16"/>
              <w:rPr>
                <w:rFonts w:hint="eastAsia" w:ascii="宋体" w:hAnsi="宋体" w:eastAsia="宋体" w:cs="宋体"/>
                <w:b w:val="0"/>
                <w:bCs w:val="0"/>
                <w:sz w:val="21"/>
                <w:szCs w:val="21"/>
              </w:rPr>
            </w:pPr>
          </w:p>
        </w:tc>
        <w:tc>
          <w:tcPr>
            <w:tcW w:w="5799" w:type="dxa"/>
            <w:gridSpan w:val="3"/>
            <w:vAlign w:val="center"/>
          </w:tcPr>
          <w:p w14:paraId="1510C93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3.垂直度≤3‰；</w:t>
            </w:r>
          </w:p>
        </w:tc>
        <w:tc>
          <w:tcPr>
            <w:tcW w:w="1618" w:type="dxa"/>
            <w:gridSpan w:val="2"/>
            <w:vMerge w:val="continue"/>
            <w:vAlign w:val="center"/>
          </w:tcPr>
          <w:p w14:paraId="639FC44D">
            <w:pPr>
              <w:pStyle w:val="16"/>
              <w:rPr>
                <w:rFonts w:hint="eastAsia" w:ascii="宋体" w:hAnsi="宋体" w:eastAsia="宋体" w:cs="宋体"/>
                <w:b w:val="0"/>
                <w:bCs w:val="0"/>
                <w:sz w:val="21"/>
                <w:szCs w:val="21"/>
              </w:rPr>
            </w:pPr>
          </w:p>
        </w:tc>
        <w:tc>
          <w:tcPr>
            <w:tcW w:w="1116" w:type="dxa"/>
            <w:vAlign w:val="center"/>
          </w:tcPr>
          <w:p w14:paraId="44E098FA">
            <w:pPr>
              <w:pStyle w:val="16"/>
              <w:rPr>
                <w:rFonts w:hint="eastAsia" w:ascii="宋体" w:hAnsi="宋体" w:eastAsia="宋体" w:cs="宋体"/>
                <w:b w:val="0"/>
                <w:bCs w:val="0"/>
                <w:sz w:val="21"/>
                <w:szCs w:val="21"/>
              </w:rPr>
            </w:pPr>
          </w:p>
        </w:tc>
      </w:tr>
      <w:tr w14:paraId="188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B3D0A7B">
            <w:pPr>
              <w:pStyle w:val="16"/>
              <w:rPr>
                <w:rFonts w:hint="eastAsia" w:ascii="宋体" w:hAnsi="宋体" w:eastAsia="宋体" w:cs="宋体"/>
                <w:b w:val="0"/>
                <w:bCs w:val="0"/>
                <w:sz w:val="21"/>
                <w:szCs w:val="21"/>
              </w:rPr>
            </w:pPr>
          </w:p>
        </w:tc>
        <w:tc>
          <w:tcPr>
            <w:tcW w:w="5799" w:type="dxa"/>
            <w:gridSpan w:val="3"/>
            <w:vAlign w:val="center"/>
          </w:tcPr>
          <w:p w14:paraId="6F1B5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4.爬梯设置防护圈应符合国家标准；</w:t>
            </w:r>
          </w:p>
        </w:tc>
        <w:tc>
          <w:tcPr>
            <w:tcW w:w="1618" w:type="dxa"/>
            <w:gridSpan w:val="2"/>
            <w:vMerge w:val="continue"/>
            <w:vAlign w:val="center"/>
          </w:tcPr>
          <w:p w14:paraId="105E2CAE">
            <w:pPr>
              <w:pStyle w:val="16"/>
              <w:rPr>
                <w:rFonts w:hint="eastAsia" w:ascii="宋体" w:hAnsi="宋体" w:eastAsia="宋体" w:cs="宋体"/>
                <w:b w:val="0"/>
                <w:bCs w:val="0"/>
                <w:sz w:val="21"/>
                <w:szCs w:val="21"/>
              </w:rPr>
            </w:pPr>
          </w:p>
        </w:tc>
        <w:tc>
          <w:tcPr>
            <w:tcW w:w="1116" w:type="dxa"/>
            <w:vAlign w:val="center"/>
          </w:tcPr>
          <w:p w14:paraId="3B45F008">
            <w:pPr>
              <w:pStyle w:val="16"/>
              <w:rPr>
                <w:rFonts w:hint="eastAsia" w:ascii="宋体" w:hAnsi="宋体" w:eastAsia="宋体" w:cs="宋体"/>
                <w:b w:val="0"/>
                <w:bCs w:val="0"/>
                <w:sz w:val="21"/>
                <w:szCs w:val="21"/>
              </w:rPr>
            </w:pPr>
          </w:p>
        </w:tc>
      </w:tr>
      <w:tr w14:paraId="12E0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94AB6C8">
            <w:pPr>
              <w:pStyle w:val="16"/>
              <w:rPr>
                <w:rFonts w:hint="eastAsia" w:ascii="宋体" w:hAnsi="宋体" w:eastAsia="宋体" w:cs="宋体"/>
                <w:b w:val="0"/>
                <w:bCs w:val="0"/>
                <w:sz w:val="21"/>
                <w:szCs w:val="21"/>
              </w:rPr>
            </w:pPr>
          </w:p>
        </w:tc>
        <w:tc>
          <w:tcPr>
            <w:tcW w:w="5799" w:type="dxa"/>
            <w:gridSpan w:val="3"/>
            <w:vAlign w:val="center"/>
          </w:tcPr>
          <w:p w14:paraId="6700341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5.开口销不得用金属丝等代替。</w:t>
            </w:r>
          </w:p>
        </w:tc>
        <w:tc>
          <w:tcPr>
            <w:tcW w:w="1618" w:type="dxa"/>
            <w:gridSpan w:val="2"/>
            <w:vMerge w:val="continue"/>
            <w:vAlign w:val="center"/>
          </w:tcPr>
          <w:p w14:paraId="1AFA1A86">
            <w:pPr>
              <w:pStyle w:val="16"/>
              <w:rPr>
                <w:rFonts w:hint="eastAsia" w:ascii="宋体" w:hAnsi="宋体" w:eastAsia="宋体" w:cs="宋体"/>
                <w:b w:val="0"/>
                <w:bCs w:val="0"/>
                <w:sz w:val="21"/>
                <w:szCs w:val="21"/>
              </w:rPr>
            </w:pPr>
          </w:p>
        </w:tc>
        <w:tc>
          <w:tcPr>
            <w:tcW w:w="1116" w:type="dxa"/>
            <w:vAlign w:val="center"/>
          </w:tcPr>
          <w:p w14:paraId="412F5C3D">
            <w:pPr>
              <w:pStyle w:val="16"/>
              <w:rPr>
                <w:rFonts w:hint="eastAsia" w:ascii="宋体" w:hAnsi="宋体" w:eastAsia="宋体" w:cs="宋体"/>
                <w:b w:val="0"/>
                <w:bCs w:val="0"/>
                <w:sz w:val="21"/>
                <w:szCs w:val="21"/>
              </w:rPr>
            </w:pPr>
          </w:p>
        </w:tc>
      </w:tr>
      <w:tr w14:paraId="7A30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18D93C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（三）钢</w:t>
            </w:r>
          </w:p>
          <w:p w14:paraId="3F6D20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丝</w:t>
            </w:r>
          </w:p>
          <w:p w14:paraId="40FB0F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w:t>
            </w:r>
          </w:p>
        </w:tc>
        <w:tc>
          <w:tcPr>
            <w:tcW w:w="5799" w:type="dxa"/>
            <w:gridSpan w:val="3"/>
            <w:vAlign w:val="center"/>
          </w:tcPr>
          <w:p w14:paraId="03111DF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1.完好、无断股；</w:t>
            </w:r>
          </w:p>
        </w:tc>
        <w:tc>
          <w:tcPr>
            <w:tcW w:w="1618" w:type="dxa"/>
            <w:gridSpan w:val="2"/>
            <w:vMerge w:val="restart"/>
            <w:vAlign w:val="center"/>
          </w:tcPr>
          <w:p w14:paraId="0EAB9D3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GBT5972-2016</w:t>
            </w:r>
          </w:p>
          <w:p w14:paraId="14A663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2DB1F3C">
            <w:pPr>
              <w:pStyle w:val="16"/>
              <w:rPr>
                <w:rFonts w:hint="eastAsia" w:ascii="宋体" w:hAnsi="宋体" w:eastAsia="宋体" w:cs="宋体"/>
                <w:b w:val="0"/>
                <w:bCs w:val="0"/>
                <w:sz w:val="21"/>
                <w:szCs w:val="21"/>
              </w:rPr>
            </w:pPr>
          </w:p>
        </w:tc>
      </w:tr>
      <w:tr w14:paraId="1719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2735808">
            <w:pPr>
              <w:pStyle w:val="16"/>
              <w:rPr>
                <w:rFonts w:hint="eastAsia" w:ascii="宋体" w:hAnsi="宋体" w:eastAsia="宋体" w:cs="宋体"/>
                <w:b w:val="0"/>
                <w:bCs w:val="0"/>
                <w:sz w:val="21"/>
                <w:szCs w:val="21"/>
              </w:rPr>
            </w:pPr>
          </w:p>
        </w:tc>
        <w:tc>
          <w:tcPr>
            <w:tcW w:w="5799" w:type="dxa"/>
            <w:gridSpan w:val="3"/>
            <w:vAlign w:val="center"/>
          </w:tcPr>
          <w:p w14:paraId="00E3F1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2.断丝不超过10％；</w:t>
            </w:r>
          </w:p>
        </w:tc>
        <w:tc>
          <w:tcPr>
            <w:tcW w:w="1618" w:type="dxa"/>
            <w:gridSpan w:val="2"/>
            <w:vMerge w:val="continue"/>
            <w:vAlign w:val="center"/>
          </w:tcPr>
          <w:p w14:paraId="34A146B8">
            <w:pPr>
              <w:pStyle w:val="16"/>
              <w:rPr>
                <w:rFonts w:hint="eastAsia" w:ascii="宋体" w:hAnsi="宋体" w:eastAsia="宋体" w:cs="宋体"/>
                <w:b w:val="0"/>
                <w:bCs w:val="0"/>
                <w:sz w:val="21"/>
                <w:szCs w:val="21"/>
              </w:rPr>
            </w:pPr>
          </w:p>
        </w:tc>
        <w:tc>
          <w:tcPr>
            <w:tcW w:w="1116" w:type="dxa"/>
            <w:vAlign w:val="center"/>
          </w:tcPr>
          <w:p w14:paraId="7DEC5B29">
            <w:pPr>
              <w:pStyle w:val="16"/>
              <w:rPr>
                <w:rFonts w:hint="eastAsia" w:ascii="宋体" w:hAnsi="宋体" w:eastAsia="宋体" w:cs="宋体"/>
                <w:b w:val="0"/>
                <w:bCs w:val="0"/>
                <w:sz w:val="21"/>
                <w:szCs w:val="21"/>
              </w:rPr>
            </w:pPr>
          </w:p>
        </w:tc>
      </w:tr>
      <w:tr w14:paraId="24EF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E6EEA7C">
            <w:pPr>
              <w:pStyle w:val="16"/>
              <w:rPr>
                <w:rFonts w:hint="eastAsia" w:ascii="宋体" w:hAnsi="宋体" w:eastAsia="宋体" w:cs="宋体"/>
                <w:b w:val="0"/>
                <w:bCs w:val="0"/>
                <w:sz w:val="21"/>
                <w:szCs w:val="21"/>
              </w:rPr>
            </w:pPr>
          </w:p>
        </w:tc>
        <w:tc>
          <w:tcPr>
            <w:tcW w:w="5799" w:type="dxa"/>
            <w:gridSpan w:val="3"/>
            <w:vAlign w:val="center"/>
          </w:tcPr>
          <w:p w14:paraId="08E08027">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3.型号、规格、长度符合本机说明书规定；</w:t>
            </w:r>
          </w:p>
        </w:tc>
        <w:tc>
          <w:tcPr>
            <w:tcW w:w="1618" w:type="dxa"/>
            <w:gridSpan w:val="2"/>
            <w:vMerge w:val="continue"/>
            <w:vAlign w:val="center"/>
          </w:tcPr>
          <w:p w14:paraId="2BCEFE48">
            <w:pPr>
              <w:pStyle w:val="16"/>
              <w:rPr>
                <w:rFonts w:hint="eastAsia" w:ascii="宋体" w:hAnsi="宋体" w:eastAsia="宋体" w:cs="宋体"/>
                <w:b w:val="0"/>
                <w:bCs w:val="0"/>
                <w:sz w:val="21"/>
                <w:szCs w:val="21"/>
              </w:rPr>
            </w:pPr>
          </w:p>
        </w:tc>
        <w:tc>
          <w:tcPr>
            <w:tcW w:w="1116" w:type="dxa"/>
            <w:vAlign w:val="center"/>
          </w:tcPr>
          <w:p w14:paraId="6B516E82">
            <w:pPr>
              <w:pStyle w:val="16"/>
              <w:rPr>
                <w:rFonts w:hint="eastAsia" w:ascii="宋体" w:hAnsi="宋体" w:eastAsia="宋体" w:cs="宋体"/>
                <w:b w:val="0"/>
                <w:bCs w:val="0"/>
                <w:sz w:val="21"/>
                <w:szCs w:val="21"/>
              </w:rPr>
            </w:pPr>
          </w:p>
        </w:tc>
      </w:tr>
      <w:tr w14:paraId="77FB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332C7E8">
            <w:pPr>
              <w:pStyle w:val="16"/>
              <w:rPr>
                <w:rFonts w:hint="eastAsia" w:ascii="宋体" w:hAnsi="宋体" w:eastAsia="宋体" w:cs="宋体"/>
                <w:b w:val="0"/>
                <w:bCs w:val="0"/>
                <w:sz w:val="21"/>
                <w:szCs w:val="21"/>
              </w:rPr>
            </w:pPr>
          </w:p>
        </w:tc>
        <w:tc>
          <w:tcPr>
            <w:tcW w:w="5799" w:type="dxa"/>
            <w:gridSpan w:val="3"/>
            <w:vAlign w:val="center"/>
          </w:tcPr>
          <w:p w14:paraId="6D6E216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4.固定绳卡数量与绳径匹配，卡间距为6-7倍绳径；</w:t>
            </w:r>
          </w:p>
        </w:tc>
        <w:tc>
          <w:tcPr>
            <w:tcW w:w="1618" w:type="dxa"/>
            <w:gridSpan w:val="2"/>
            <w:vMerge w:val="continue"/>
            <w:vAlign w:val="center"/>
          </w:tcPr>
          <w:p w14:paraId="362901EC">
            <w:pPr>
              <w:pStyle w:val="16"/>
              <w:rPr>
                <w:rFonts w:hint="eastAsia" w:ascii="宋体" w:hAnsi="宋体" w:eastAsia="宋体" w:cs="宋体"/>
                <w:b w:val="0"/>
                <w:bCs w:val="0"/>
                <w:sz w:val="21"/>
                <w:szCs w:val="21"/>
              </w:rPr>
            </w:pPr>
          </w:p>
        </w:tc>
        <w:tc>
          <w:tcPr>
            <w:tcW w:w="1116" w:type="dxa"/>
            <w:vAlign w:val="center"/>
          </w:tcPr>
          <w:p w14:paraId="070025B8">
            <w:pPr>
              <w:pStyle w:val="16"/>
              <w:rPr>
                <w:rFonts w:hint="eastAsia" w:ascii="宋体" w:hAnsi="宋体" w:eastAsia="宋体" w:cs="宋体"/>
                <w:b w:val="0"/>
                <w:bCs w:val="0"/>
                <w:sz w:val="21"/>
                <w:szCs w:val="21"/>
              </w:rPr>
            </w:pPr>
          </w:p>
        </w:tc>
      </w:tr>
      <w:tr w14:paraId="0896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483E88D5">
            <w:pPr>
              <w:pStyle w:val="16"/>
              <w:rPr>
                <w:rFonts w:hint="eastAsia" w:ascii="宋体" w:hAnsi="宋体" w:eastAsia="宋体" w:cs="宋体"/>
                <w:b w:val="0"/>
                <w:bCs w:val="0"/>
                <w:sz w:val="21"/>
                <w:szCs w:val="21"/>
              </w:rPr>
            </w:pPr>
          </w:p>
        </w:tc>
        <w:tc>
          <w:tcPr>
            <w:tcW w:w="5799" w:type="dxa"/>
            <w:gridSpan w:val="3"/>
            <w:vAlign w:val="center"/>
          </w:tcPr>
          <w:p w14:paraId="6672A5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5.钢绳磨损量不超过钢丝绳的10%；</w:t>
            </w:r>
          </w:p>
        </w:tc>
        <w:tc>
          <w:tcPr>
            <w:tcW w:w="1618" w:type="dxa"/>
            <w:gridSpan w:val="2"/>
            <w:vMerge w:val="continue"/>
            <w:vAlign w:val="center"/>
          </w:tcPr>
          <w:p w14:paraId="5CF10FEB">
            <w:pPr>
              <w:pStyle w:val="16"/>
              <w:rPr>
                <w:rFonts w:hint="eastAsia" w:ascii="宋体" w:hAnsi="宋体" w:eastAsia="宋体" w:cs="宋体"/>
                <w:b w:val="0"/>
                <w:bCs w:val="0"/>
                <w:sz w:val="21"/>
                <w:szCs w:val="21"/>
              </w:rPr>
            </w:pPr>
          </w:p>
        </w:tc>
        <w:tc>
          <w:tcPr>
            <w:tcW w:w="1116" w:type="dxa"/>
            <w:vAlign w:val="center"/>
          </w:tcPr>
          <w:p w14:paraId="3724ED34">
            <w:pPr>
              <w:pStyle w:val="16"/>
              <w:rPr>
                <w:rFonts w:hint="eastAsia" w:ascii="宋体" w:hAnsi="宋体" w:eastAsia="宋体" w:cs="宋体"/>
                <w:b w:val="0"/>
                <w:bCs w:val="0"/>
                <w:sz w:val="21"/>
                <w:szCs w:val="21"/>
              </w:rPr>
            </w:pPr>
          </w:p>
        </w:tc>
      </w:tr>
      <w:tr w14:paraId="1CC2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48C4443">
            <w:pPr>
              <w:pStyle w:val="16"/>
              <w:rPr>
                <w:rFonts w:hint="eastAsia" w:ascii="宋体" w:hAnsi="宋体" w:eastAsia="宋体" w:cs="宋体"/>
                <w:b w:val="0"/>
                <w:bCs w:val="0"/>
                <w:sz w:val="21"/>
                <w:szCs w:val="21"/>
              </w:rPr>
            </w:pPr>
          </w:p>
        </w:tc>
        <w:tc>
          <w:tcPr>
            <w:tcW w:w="5799" w:type="dxa"/>
            <w:gridSpan w:val="3"/>
            <w:vAlign w:val="center"/>
          </w:tcPr>
          <w:p w14:paraId="232BEE7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6.捆绑起重索具符合要求。</w:t>
            </w:r>
          </w:p>
        </w:tc>
        <w:tc>
          <w:tcPr>
            <w:tcW w:w="1618" w:type="dxa"/>
            <w:gridSpan w:val="2"/>
            <w:vMerge w:val="continue"/>
            <w:vAlign w:val="center"/>
          </w:tcPr>
          <w:p w14:paraId="70D6E8A1">
            <w:pPr>
              <w:pStyle w:val="16"/>
              <w:rPr>
                <w:rFonts w:hint="eastAsia" w:ascii="宋体" w:hAnsi="宋体" w:eastAsia="宋体" w:cs="宋体"/>
                <w:b w:val="0"/>
                <w:bCs w:val="0"/>
                <w:sz w:val="21"/>
                <w:szCs w:val="21"/>
              </w:rPr>
            </w:pPr>
          </w:p>
        </w:tc>
        <w:tc>
          <w:tcPr>
            <w:tcW w:w="1116" w:type="dxa"/>
            <w:vAlign w:val="center"/>
          </w:tcPr>
          <w:p w14:paraId="0EE6C325">
            <w:pPr>
              <w:pStyle w:val="16"/>
              <w:rPr>
                <w:rFonts w:hint="eastAsia" w:ascii="宋体" w:hAnsi="宋体" w:eastAsia="宋体" w:cs="宋体"/>
                <w:b w:val="0"/>
                <w:bCs w:val="0"/>
                <w:sz w:val="21"/>
                <w:szCs w:val="21"/>
              </w:rPr>
            </w:pPr>
          </w:p>
        </w:tc>
      </w:tr>
      <w:tr w14:paraId="3BBE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35C1EB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（四）吊</w:t>
            </w:r>
          </w:p>
          <w:p w14:paraId="3CDF26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w:t>
            </w:r>
          </w:p>
        </w:tc>
        <w:tc>
          <w:tcPr>
            <w:tcW w:w="5799" w:type="dxa"/>
            <w:gridSpan w:val="3"/>
            <w:vAlign w:val="center"/>
          </w:tcPr>
          <w:p w14:paraId="24604E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1.无裂纹、变形、严重磨损；</w:t>
            </w:r>
          </w:p>
        </w:tc>
        <w:tc>
          <w:tcPr>
            <w:tcW w:w="1618" w:type="dxa"/>
            <w:gridSpan w:val="2"/>
            <w:vMerge w:val="restart"/>
            <w:vAlign w:val="center"/>
          </w:tcPr>
          <w:p w14:paraId="0107A6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4AC11D9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4FAC36B6">
            <w:pPr>
              <w:pStyle w:val="16"/>
              <w:rPr>
                <w:rFonts w:hint="eastAsia" w:ascii="宋体" w:hAnsi="宋体" w:eastAsia="宋体" w:cs="宋体"/>
                <w:b w:val="0"/>
                <w:bCs w:val="0"/>
                <w:sz w:val="21"/>
                <w:szCs w:val="21"/>
              </w:rPr>
            </w:pPr>
          </w:p>
        </w:tc>
      </w:tr>
      <w:tr w14:paraId="4758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2FF5123">
            <w:pPr>
              <w:pStyle w:val="16"/>
              <w:rPr>
                <w:rFonts w:hint="eastAsia" w:ascii="宋体" w:hAnsi="宋体" w:eastAsia="宋体" w:cs="宋体"/>
                <w:b w:val="0"/>
                <w:bCs w:val="0"/>
                <w:sz w:val="21"/>
                <w:szCs w:val="21"/>
              </w:rPr>
            </w:pPr>
          </w:p>
        </w:tc>
        <w:tc>
          <w:tcPr>
            <w:tcW w:w="5799" w:type="dxa"/>
            <w:gridSpan w:val="3"/>
            <w:vAlign w:val="center"/>
          </w:tcPr>
          <w:p w14:paraId="60F6032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2.钩身无补焊、钻孔现象；</w:t>
            </w:r>
          </w:p>
        </w:tc>
        <w:tc>
          <w:tcPr>
            <w:tcW w:w="1618" w:type="dxa"/>
            <w:gridSpan w:val="2"/>
            <w:vMerge w:val="continue"/>
            <w:vAlign w:val="center"/>
          </w:tcPr>
          <w:p w14:paraId="19C2F6F1">
            <w:pPr>
              <w:pStyle w:val="16"/>
              <w:rPr>
                <w:rFonts w:hint="eastAsia" w:ascii="宋体" w:hAnsi="宋体" w:eastAsia="宋体" w:cs="宋体"/>
                <w:b w:val="0"/>
                <w:bCs w:val="0"/>
                <w:sz w:val="21"/>
                <w:szCs w:val="21"/>
              </w:rPr>
            </w:pPr>
          </w:p>
        </w:tc>
        <w:tc>
          <w:tcPr>
            <w:tcW w:w="1116" w:type="dxa"/>
            <w:vAlign w:val="center"/>
          </w:tcPr>
          <w:p w14:paraId="4B6CF9C0">
            <w:pPr>
              <w:pStyle w:val="16"/>
              <w:rPr>
                <w:rFonts w:hint="eastAsia" w:ascii="宋体" w:hAnsi="宋体" w:eastAsia="宋体" w:cs="宋体"/>
                <w:b w:val="0"/>
                <w:bCs w:val="0"/>
                <w:sz w:val="21"/>
                <w:szCs w:val="21"/>
              </w:rPr>
            </w:pPr>
          </w:p>
        </w:tc>
      </w:tr>
      <w:tr w14:paraId="72F5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63827BA">
            <w:pPr>
              <w:pStyle w:val="16"/>
              <w:rPr>
                <w:rFonts w:hint="eastAsia" w:ascii="宋体" w:hAnsi="宋体" w:eastAsia="宋体" w:cs="宋体"/>
                <w:b w:val="0"/>
                <w:bCs w:val="0"/>
                <w:sz w:val="21"/>
                <w:szCs w:val="21"/>
              </w:rPr>
            </w:pPr>
          </w:p>
        </w:tc>
        <w:tc>
          <w:tcPr>
            <w:tcW w:w="5799" w:type="dxa"/>
            <w:gridSpan w:val="3"/>
            <w:vAlign w:val="center"/>
          </w:tcPr>
          <w:p w14:paraId="1EC8D53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3.具有防脱装置;</w:t>
            </w:r>
          </w:p>
        </w:tc>
        <w:tc>
          <w:tcPr>
            <w:tcW w:w="1618" w:type="dxa"/>
            <w:gridSpan w:val="2"/>
            <w:vMerge w:val="continue"/>
            <w:vAlign w:val="center"/>
          </w:tcPr>
          <w:p w14:paraId="6564AC69">
            <w:pPr>
              <w:pStyle w:val="16"/>
              <w:rPr>
                <w:rFonts w:hint="eastAsia" w:ascii="宋体" w:hAnsi="宋体" w:eastAsia="宋体" w:cs="宋体"/>
                <w:b w:val="0"/>
                <w:bCs w:val="0"/>
                <w:sz w:val="21"/>
                <w:szCs w:val="21"/>
              </w:rPr>
            </w:pPr>
          </w:p>
        </w:tc>
        <w:tc>
          <w:tcPr>
            <w:tcW w:w="1116" w:type="dxa"/>
            <w:vAlign w:val="center"/>
          </w:tcPr>
          <w:p w14:paraId="0D2C82CD">
            <w:pPr>
              <w:pStyle w:val="16"/>
              <w:rPr>
                <w:rFonts w:hint="eastAsia" w:ascii="宋体" w:hAnsi="宋体" w:eastAsia="宋体" w:cs="宋体"/>
                <w:b w:val="0"/>
                <w:bCs w:val="0"/>
                <w:sz w:val="21"/>
                <w:szCs w:val="21"/>
              </w:rPr>
            </w:pPr>
          </w:p>
        </w:tc>
      </w:tr>
      <w:tr w14:paraId="63CA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2D4CDC31">
            <w:pPr>
              <w:pStyle w:val="16"/>
              <w:rPr>
                <w:rFonts w:hint="eastAsia" w:ascii="宋体" w:hAnsi="宋体" w:eastAsia="宋体" w:cs="宋体"/>
                <w:b w:val="0"/>
                <w:bCs w:val="0"/>
                <w:sz w:val="21"/>
                <w:szCs w:val="21"/>
              </w:rPr>
            </w:pPr>
          </w:p>
        </w:tc>
        <w:tc>
          <w:tcPr>
            <w:tcW w:w="5799" w:type="dxa"/>
            <w:gridSpan w:val="3"/>
            <w:vAlign w:val="center"/>
          </w:tcPr>
          <w:p w14:paraId="4494F1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4.挂绳处截面磨损量不超过原高度的10%；</w:t>
            </w:r>
          </w:p>
        </w:tc>
        <w:tc>
          <w:tcPr>
            <w:tcW w:w="1618" w:type="dxa"/>
            <w:gridSpan w:val="2"/>
            <w:vMerge w:val="continue"/>
            <w:vAlign w:val="center"/>
          </w:tcPr>
          <w:p w14:paraId="5936EF3E">
            <w:pPr>
              <w:pStyle w:val="16"/>
              <w:rPr>
                <w:rFonts w:hint="eastAsia" w:ascii="宋体" w:hAnsi="宋体" w:eastAsia="宋体" w:cs="宋体"/>
                <w:b w:val="0"/>
                <w:bCs w:val="0"/>
                <w:sz w:val="21"/>
                <w:szCs w:val="21"/>
              </w:rPr>
            </w:pPr>
          </w:p>
        </w:tc>
        <w:tc>
          <w:tcPr>
            <w:tcW w:w="1116" w:type="dxa"/>
            <w:vAlign w:val="center"/>
          </w:tcPr>
          <w:p w14:paraId="36759E08">
            <w:pPr>
              <w:pStyle w:val="16"/>
              <w:rPr>
                <w:rFonts w:hint="eastAsia" w:ascii="宋体" w:hAnsi="宋体" w:eastAsia="宋体" w:cs="宋体"/>
                <w:b w:val="0"/>
                <w:bCs w:val="0"/>
                <w:sz w:val="21"/>
                <w:szCs w:val="21"/>
              </w:rPr>
            </w:pPr>
          </w:p>
        </w:tc>
      </w:tr>
      <w:tr w14:paraId="31A6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4579AEC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（五）高度限位</w:t>
            </w:r>
          </w:p>
        </w:tc>
        <w:tc>
          <w:tcPr>
            <w:tcW w:w="5799" w:type="dxa"/>
            <w:gridSpan w:val="3"/>
            <w:vAlign w:val="center"/>
          </w:tcPr>
          <w:p w14:paraId="44730F9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1.吊钩顶部距起重臂下端800mm，能立即停止起升，但有向下、向内变幅运动；</w:t>
            </w:r>
          </w:p>
        </w:tc>
        <w:tc>
          <w:tcPr>
            <w:tcW w:w="1618" w:type="dxa"/>
            <w:gridSpan w:val="2"/>
            <w:vMerge w:val="restart"/>
            <w:vAlign w:val="center"/>
          </w:tcPr>
          <w:p w14:paraId="0CF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25A587D5">
            <w:pPr>
              <w:pStyle w:val="16"/>
              <w:rPr>
                <w:rFonts w:hint="eastAsia" w:ascii="宋体" w:hAnsi="宋体" w:eastAsia="宋体" w:cs="宋体"/>
                <w:b w:val="0"/>
                <w:bCs w:val="0"/>
                <w:sz w:val="21"/>
                <w:szCs w:val="21"/>
              </w:rPr>
            </w:pPr>
          </w:p>
        </w:tc>
      </w:tr>
      <w:tr w14:paraId="4D20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D3B1A77">
            <w:pPr>
              <w:pStyle w:val="16"/>
              <w:rPr>
                <w:rFonts w:hint="eastAsia" w:ascii="宋体" w:hAnsi="宋体" w:eastAsia="宋体" w:cs="宋体"/>
                <w:b w:val="0"/>
                <w:bCs w:val="0"/>
                <w:sz w:val="21"/>
                <w:szCs w:val="21"/>
              </w:rPr>
            </w:pPr>
          </w:p>
        </w:tc>
        <w:tc>
          <w:tcPr>
            <w:tcW w:w="5799" w:type="dxa"/>
            <w:gridSpan w:val="3"/>
            <w:vAlign w:val="center"/>
          </w:tcPr>
          <w:p w14:paraId="218C5AA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2.吊钩不能再下降或卷筒上钢丝绳只剩3圈时，应能立即停止下降运动；</w:t>
            </w:r>
          </w:p>
        </w:tc>
        <w:tc>
          <w:tcPr>
            <w:tcW w:w="1618" w:type="dxa"/>
            <w:gridSpan w:val="2"/>
            <w:vMerge w:val="continue"/>
            <w:vAlign w:val="center"/>
          </w:tcPr>
          <w:p w14:paraId="165167F3">
            <w:pPr>
              <w:pStyle w:val="16"/>
              <w:rPr>
                <w:rFonts w:hint="eastAsia" w:ascii="宋体" w:hAnsi="宋体" w:eastAsia="宋体" w:cs="宋体"/>
                <w:b w:val="0"/>
                <w:bCs w:val="0"/>
                <w:sz w:val="21"/>
                <w:szCs w:val="21"/>
              </w:rPr>
            </w:pPr>
          </w:p>
        </w:tc>
        <w:tc>
          <w:tcPr>
            <w:tcW w:w="1116" w:type="dxa"/>
            <w:vAlign w:val="center"/>
          </w:tcPr>
          <w:p w14:paraId="229D2CB3">
            <w:pPr>
              <w:pStyle w:val="16"/>
              <w:rPr>
                <w:rFonts w:hint="eastAsia" w:ascii="宋体" w:hAnsi="宋体" w:eastAsia="宋体" w:cs="宋体"/>
                <w:b w:val="0"/>
                <w:bCs w:val="0"/>
                <w:sz w:val="21"/>
                <w:szCs w:val="21"/>
              </w:rPr>
            </w:pPr>
          </w:p>
        </w:tc>
      </w:tr>
      <w:tr w14:paraId="62A7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69D73924">
            <w:pPr>
              <w:pStyle w:val="16"/>
              <w:rPr>
                <w:rFonts w:hint="eastAsia" w:ascii="宋体" w:hAnsi="宋体" w:eastAsia="宋体" w:cs="宋体"/>
                <w:b w:val="0"/>
                <w:bCs w:val="0"/>
                <w:sz w:val="21"/>
                <w:szCs w:val="21"/>
              </w:rPr>
            </w:pPr>
          </w:p>
        </w:tc>
        <w:tc>
          <w:tcPr>
            <w:tcW w:w="5799" w:type="dxa"/>
            <w:gridSpan w:val="3"/>
            <w:vAlign w:val="center"/>
          </w:tcPr>
          <w:p w14:paraId="511141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3.钢丝绳松弛可能造成卷筒上钢丝绳乱绳或反卷，设置下限位。</w:t>
            </w:r>
          </w:p>
        </w:tc>
        <w:tc>
          <w:tcPr>
            <w:tcW w:w="1618" w:type="dxa"/>
            <w:gridSpan w:val="2"/>
            <w:vMerge w:val="continue"/>
            <w:vAlign w:val="center"/>
          </w:tcPr>
          <w:p w14:paraId="6711325C">
            <w:pPr>
              <w:pStyle w:val="16"/>
              <w:rPr>
                <w:rFonts w:hint="eastAsia" w:ascii="宋体" w:hAnsi="宋体" w:eastAsia="宋体" w:cs="宋体"/>
                <w:b w:val="0"/>
                <w:bCs w:val="0"/>
                <w:sz w:val="21"/>
                <w:szCs w:val="21"/>
              </w:rPr>
            </w:pPr>
          </w:p>
        </w:tc>
        <w:tc>
          <w:tcPr>
            <w:tcW w:w="1116" w:type="dxa"/>
            <w:vAlign w:val="center"/>
          </w:tcPr>
          <w:p w14:paraId="25F0D72B">
            <w:pPr>
              <w:pStyle w:val="16"/>
              <w:rPr>
                <w:rFonts w:hint="eastAsia" w:ascii="宋体" w:hAnsi="宋体" w:eastAsia="宋体" w:cs="宋体"/>
                <w:b w:val="0"/>
                <w:bCs w:val="0"/>
                <w:sz w:val="21"/>
                <w:szCs w:val="21"/>
              </w:rPr>
            </w:pPr>
          </w:p>
        </w:tc>
      </w:tr>
      <w:tr w14:paraId="2EF0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0B45339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（六）幅度限位装置</w:t>
            </w:r>
          </w:p>
        </w:tc>
        <w:tc>
          <w:tcPr>
            <w:tcW w:w="5799" w:type="dxa"/>
            <w:gridSpan w:val="3"/>
            <w:vAlign w:val="center"/>
          </w:tcPr>
          <w:p w14:paraId="3E59D2B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1.小车前后两端应设置限位开关和缓冲装置；</w:t>
            </w:r>
          </w:p>
        </w:tc>
        <w:tc>
          <w:tcPr>
            <w:tcW w:w="1618" w:type="dxa"/>
            <w:gridSpan w:val="2"/>
            <w:vMerge w:val="restart"/>
            <w:vAlign w:val="center"/>
          </w:tcPr>
          <w:p w14:paraId="33BC0A8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759A238A">
            <w:pPr>
              <w:pStyle w:val="16"/>
              <w:rPr>
                <w:rFonts w:hint="eastAsia" w:ascii="宋体" w:hAnsi="宋体" w:eastAsia="宋体" w:cs="宋体"/>
                <w:b w:val="0"/>
                <w:bCs w:val="0"/>
                <w:sz w:val="21"/>
                <w:szCs w:val="21"/>
              </w:rPr>
            </w:pPr>
          </w:p>
        </w:tc>
      </w:tr>
      <w:tr w14:paraId="7A9B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58F79823">
            <w:pPr>
              <w:pStyle w:val="16"/>
              <w:rPr>
                <w:rFonts w:hint="eastAsia" w:ascii="宋体" w:hAnsi="宋体" w:eastAsia="宋体" w:cs="宋体"/>
                <w:b w:val="0"/>
                <w:bCs w:val="0"/>
                <w:sz w:val="21"/>
                <w:szCs w:val="21"/>
              </w:rPr>
            </w:pPr>
          </w:p>
        </w:tc>
        <w:tc>
          <w:tcPr>
            <w:tcW w:w="5799" w:type="dxa"/>
            <w:gridSpan w:val="3"/>
            <w:vAlign w:val="center"/>
          </w:tcPr>
          <w:p w14:paraId="32A5AC4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2.限位开关距小车停车时其端部缓冲装置最小距离200mm。</w:t>
            </w:r>
          </w:p>
        </w:tc>
        <w:tc>
          <w:tcPr>
            <w:tcW w:w="1618" w:type="dxa"/>
            <w:gridSpan w:val="2"/>
            <w:vMerge w:val="continue"/>
            <w:vAlign w:val="center"/>
          </w:tcPr>
          <w:p w14:paraId="6731D5B7">
            <w:pPr>
              <w:pStyle w:val="16"/>
              <w:rPr>
                <w:rFonts w:hint="eastAsia" w:ascii="宋体" w:hAnsi="宋体" w:eastAsia="宋体" w:cs="宋体"/>
                <w:b w:val="0"/>
                <w:bCs w:val="0"/>
                <w:sz w:val="21"/>
                <w:szCs w:val="21"/>
              </w:rPr>
            </w:pPr>
          </w:p>
        </w:tc>
        <w:tc>
          <w:tcPr>
            <w:tcW w:w="1116" w:type="dxa"/>
            <w:vAlign w:val="center"/>
          </w:tcPr>
          <w:p w14:paraId="7FC6891C">
            <w:pPr>
              <w:pStyle w:val="16"/>
              <w:rPr>
                <w:rFonts w:hint="eastAsia" w:ascii="宋体" w:hAnsi="宋体" w:eastAsia="宋体" w:cs="宋体"/>
                <w:b w:val="0"/>
                <w:bCs w:val="0"/>
                <w:sz w:val="21"/>
                <w:szCs w:val="21"/>
              </w:rPr>
            </w:pPr>
          </w:p>
        </w:tc>
      </w:tr>
      <w:tr w14:paraId="7B09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BF4C4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（七）力矩限制器</w:t>
            </w:r>
          </w:p>
        </w:tc>
        <w:tc>
          <w:tcPr>
            <w:tcW w:w="5799" w:type="dxa"/>
            <w:gridSpan w:val="3"/>
            <w:vAlign w:val="center"/>
          </w:tcPr>
          <w:p w14:paraId="54372DE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1.应设置力矩限制器；</w:t>
            </w:r>
          </w:p>
        </w:tc>
        <w:tc>
          <w:tcPr>
            <w:tcW w:w="1618" w:type="dxa"/>
            <w:gridSpan w:val="2"/>
            <w:vMerge w:val="restart"/>
            <w:vAlign w:val="center"/>
          </w:tcPr>
          <w:p w14:paraId="556EE0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GB12602-2020</w:t>
            </w:r>
          </w:p>
        </w:tc>
        <w:tc>
          <w:tcPr>
            <w:tcW w:w="1116" w:type="dxa"/>
            <w:vAlign w:val="center"/>
          </w:tcPr>
          <w:p w14:paraId="6733E857">
            <w:pPr>
              <w:pStyle w:val="16"/>
              <w:rPr>
                <w:rFonts w:hint="eastAsia" w:ascii="宋体" w:hAnsi="宋体" w:eastAsia="宋体" w:cs="宋体"/>
                <w:b w:val="0"/>
                <w:bCs w:val="0"/>
                <w:sz w:val="21"/>
                <w:szCs w:val="21"/>
              </w:rPr>
            </w:pPr>
          </w:p>
        </w:tc>
      </w:tr>
      <w:tr w14:paraId="4482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A8FC8DA">
            <w:pPr>
              <w:pStyle w:val="16"/>
              <w:rPr>
                <w:rFonts w:hint="eastAsia" w:ascii="宋体" w:hAnsi="宋体" w:eastAsia="宋体" w:cs="宋体"/>
                <w:b w:val="0"/>
                <w:bCs w:val="0"/>
                <w:sz w:val="21"/>
                <w:szCs w:val="21"/>
              </w:rPr>
            </w:pPr>
          </w:p>
        </w:tc>
        <w:tc>
          <w:tcPr>
            <w:tcW w:w="5799" w:type="dxa"/>
            <w:gridSpan w:val="3"/>
            <w:vAlign w:val="center"/>
          </w:tcPr>
          <w:p w14:paraId="6F2A6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2.起重量达到90%-95%时，能发出报警信号；</w:t>
            </w:r>
          </w:p>
        </w:tc>
        <w:tc>
          <w:tcPr>
            <w:tcW w:w="1618" w:type="dxa"/>
            <w:gridSpan w:val="2"/>
            <w:vMerge w:val="continue"/>
            <w:vAlign w:val="center"/>
          </w:tcPr>
          <w:p w14:paraId="73AE6584">
            <w:pPr>
              <w:pStyle w:val="16"/>
              <w:rPr>
                <w:rFonts w:hint="eastAsia" w:ascii="宋体" w:hAnsi="宋体" w:eastAsia="宋体" w:cs="宋体"/>
                <w:b w:val="0"/>
                <w:bCs w:val="0"/>
                <w:sz w:val="21"/>
                <w:szCs w:val="21"/>
              </w:rPr>
            </w:pPr>
          </w:p>
        </w:tc>
        <w:tc>
          <w:tcPr>
            <w:tcW w:w="1116" w:type="dxa"/>
            <w:vAlign w:val="center"/>
          </w:tcPr>
          <w:p w14:paraId="1EBA62E1">
            <w:pPr>
              <w:pStyle w:val="16"/>
              <w:rPr>
                <w:rFonts w:hint="eastAsia" w:ascii="宋体" w:hAnsi="宋体" w:eastAsia="宋体" w:cs="宋体"/>
                <w:b w:val="0"/>
                <w:bCs w:val="0"/>
                <w:sz w:val="21"/>
                <w:szCs w:val="21"/>
              </w:rPr>
            </w:pPr>
          </w:p>
        </w:tc>
      </w:tr>
      <w:tr w14:paraId="1B5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31B0E999">
            <w:pPr>
              <w:pStyle w:val="16"/>
              <w:rPr>
                <w:rFonts w:hint="eastAsia" w:ascii="宋体" w:hAnsi="宋体" w:eastAsia="宋体" w:cs="宋体"/>
                <w:b w:val="0"/>
                <w:bCs w:val="0"/>
                <w:sz w:val="21"/>
                <w:szCs w:val="21"/>
              </w:rPr>
            </w:pPr>
          </w:p>
        </w:tc>
        <w:tc>
          <w:tcPr>
            <w:tcW w:w="5799" w:type="dxa"/>
            <w:gridSpan w:val="3"/>
            <w:vAlign w:val="center"/>
          </w:tcPr>
          <w:p w14:paraId="29FA90E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3.起重量达到105%-110%时，能停止向不安全方向继续动作。</w:t>
            </w:r>
          </w:p>
        </w:tc>
        <w:tc>
          <w:tcPr>
            <w:tcW w:w="1618" w:type="dxa"/>
            <w:gridSpan w:val="2"/>
            <w:vMerge w:val="continue"/>
            <w:vAlign w:val="center"/>
          </w:tcPr>
          <w:p w14:paraId="70F6FA8E">
            <w:pPr>
              <w:pStyle w:val="16"/>
              <w:rPr>
                <w:rFonts w:hint="eastAsia" w:ascii="宋体" w:hAnsi="宋体" w:eastAsia="宋体" w:cs="宋体"/>
                <w:b w:val="0"/>
                <w:bCs w:val="0"/>
                <w:sz w:val="21"/>
                <w:szCs w:val="21"/>
              </w:rPr>
            </w:pPr>
          </w:p>
        </w:tc>
        <w:tc>
          <w:tcPr>
            <w:tcW w:w="1116" w:type="dxa"/>
            <w:vAlign w:val="center"/>
          </w:tcPr>
          <w:p w14:paraId="630D5023">
            <w:pPr>
              <w:pStyle w:val="16"/>
              <w:rPr>
                <w:rFonts w:hint="eastAsia" w:ascii="宋体" w:hAnsi="宋体" w:eastAsia="宋体" w:cs="宋体"/>
                <w:b w:val="0"/>
                <w:bCs w:val="0"/>
                <w:sz w:val="21"/>
                <w:szCs w:val="21"/>
              </w:rPr>
            </w:pPr>
          </w:p>
        </w:tc>
      </w:tr>
      <w:tr w14:paraId="4074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769018D0">
            <w:pPr>
              <w:pStyle w:val="16"/>
              <w:rPr>
                <w:rFonts w:hint="eastAsia" w:ascii="宋体" w:hAnsi="宋体" w:eastAsia="宋体" w:cs="宋体"/>
                <w:b w:val="0"/>
                <w:bCs w:val="0"/>
                <w:sz w:val="21"/>
                <w:szCs w:val="21"/>
              </w:rPr>
            </w:pPr>
          </w:p>
        </w:tc>
        <w:tc>
          <w:tcPr>
            <w:tcW w:w="5799" w:type="dxa"/>
            <w:gridSpan w:val="3"/>
            <w:vAlign w:val="center"/>
          </w:tcPr>
          <w:p w14:paraId="548E99F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4.力矩限制器综合误差不超过±8%。</w:t>
            </w:r>
          </w:p>
        </w:tc>
        <w:tc>
          <w:tcPr>
            <w:tcW w:w="1618" w:type="dxa"/>
            <w:gridSpan w:val="2"/>
            <w:vMerge w:val="continue"/>
            <w:vAlign w:val="center"/>
          </w:tcPr>
          <w:p w14:paraId="66767727">
            <w:pPr>
              <w:pStyle w:val="16"/>
              <w:rPr>
                <w:rFonts w:hint="eastAsia" w:ascii="宋体" w:hAnsi="宋体" w:eastAsia="宋体" w:cs="宋体"/>
                <w:b w:val="0"/>
                <w:bCs w:val="0"/>
                <w:sz w:val="21"/>
                <w:szCs w:val="21"/>
              </w:rPr>
            </w:pPr>
          </w:p>
        </w:tc>
        <w:tc>
          <w:tcPr>
            <w:tcW w:w="1116" w:type="dxa"/>
            <w:vAlign w:val="center"/>
          </w:tcPr>
          <w:p w14:paraId="6282BA68">
            <w:pPr>
              <w:pStyle w:val="16"/>
              <w:rPr>
                <w:rFonts w:hint="eastAsia" w:ascii="宋体" w:hAnsi="宋体" w:eastAsia="宋体" w:cs="宋体"/>
                <w:b w:val="0"/>
                <w:bCs w:val="0"/>
                <w:sz w:val="21"/>
                <w:szCs w:val="21"/>
              </w:rPr>
            </w:pPr>
          </w:p>
        </w:tc>
      </w:tr>
      <w:tr w14:paraId="2459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41B77C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（八）附</w:t>
            </w:r>
          </w:p>
          <w:p w14:paraId="1A0FE5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着</w:t>
            </w:r>
          </w:p>
          <w:p w14:paraId="7B9C05E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架</w:t>
            </w:r>
          </w:p>
        </w:tc>
        <w:tc>
          <w:tcPr>
            <w:tcW w:w="5799" w:type="dxa"/>
            <w:gridSpan w:val="3"/>
            <w:vAlign w:val="center"/>
          </w:tcPr>
          <w:p w14:paraId="695332E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1.框架、附着杆安装正确、牢固；无开焊、变形、裂纹；</w:t>
            </w:r>
          </w:p>
        </w:tc>
        <w:tc>
          <w:tcPr>
            <w:tcW w:w="1618" w:type="dxa"/>
            <w:gridSpan w:val="2"/>
            <w:vMerge w:val="restart"/>
            <w:vAlign w:val="center"/>
          </w:tcPr>
          <w:p w14:paraId="43B198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7DB0C137">
            <w:pPr>
              <w:pStyle w:val="16"/>
              <w:rPr>
                <w:rFonts w:hint="eastAsia" w:ascii="宋体" w:hAnsi="宋体" w:eastAsia="宋体" w:cs="宋体"/>
                <w:b w:val="0"/>
                <w:bCs w:val="0"/>
                <w:sz w:val="21"/>
                <w:szCs w:val="21"/>
              </w:rPr>
            </w:pPr>
          </w:p>
        </w:tc>
      </w:tr>
      <w:tr w14:paraId="3B91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B282A3F">
            <w:pPr>
              <w:pStyle w:val="16"/>
              <w:rPr>
                <w:rFonts w:hint="eastAsia" w:ascii="宋体" w:hAnsi="宋体" w:eastAsia="宋体" w:cs="宋体"/>
                <w:b w:val="0"/>
                <w:bCs w:val="0"/>
                <w:sz w:val="21"/>
                <w:szCs w:val="21"/>
              </w:rPr>
            </w:pPr>
          </w:p>
        </w:tc>
        <w:tc>
          <w:tcPr>
            <w:tcW w:w="5799" w:type="dxa"/>
            <w:gridSpan w:val="3"/>
            <w:vAlign w:val="center"/>
          </w:tcPr>
          <w:p w14:paraId="7C15B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2.各处螺栓、轴销齐全牢固；</w:t>
            </w:r>
          </w:p>
        </w:tc>
        <w:tc>
          <w:tcPr>
            <w:tcW w:w="1618" w:type="dxa"/>
            <w:gridSpan w:val="2"/>
            <w:vMerge w:val="continue"/>
            <w:vAlign w:val="center"/>
          </w:tcPr>
          <w:p w14:paraId="43E47177">
            <w:pPr>
              <w:pStyle w:val="16"/>
              <w:rPr>
                <w:rFonts w:hint="eastAsia" w:ascii="宋体" w:hAnsi="宋体" w:eastAsia="宋体" w:cs="宋体"/>
                <w:b w:val="0"/>
                <w:bCs w:val="0"/>
                <w:sz w:val="21"/>
                <w:szCs w:val="21"/>
              </w:rPr>
            </w:pPr>
          </w:p>
        </w:tc>
        <w:tc>
          <w:tcPr>
            <w:tcW w:w="1116" w:type="dxa"/>
            <w:vAlign w:val="center"/>
          </w:tcPr>
          <w:p w14:paraId="6C4BA362">
            <w:pPr>
              <w:pStyle w:val="16"/>
              <w:rPr>
                <w:rFonts w:hint="eastAsia" w:ascii="宋体" w:hAnsi="宋体" w:eastAsia="宋体" w:cs="宋体"/>
                <w:b w:val="0"/>
                <w:bCs w:val="0"/>
                <w:sz w:val="21"/>
                <w:szCs w:val="21"/>
              </w:rPr>
            </w:pPr>
          </w:p>
        </w:tc>
      </w:tr>
      <w:tr w14:paraId="0AD4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84EB4C9">
            <w:pPr>
              <w:pStyle w:val="16"/>
              <w:rPr>
                <w:rFonts w:hint="eastAsia" w:ascii="宋体" w:hAnsi="宋体" w:eastAsia="宋体" w:cs="宋体"/>
                <w:b w:val="0"/>
                <w:bCs w:val="0"/>
                <w:sz w:val="21"/>
                <w:szCs w:val="21"/>
              </w:rPr>
            </w:pPr>
          </w:p>
        </w:tc>
        <w:tc>
          <w:tcPr>
            <w:tcW w:w="5799" w:type="dxa"/>
            <w:gridSpan w:val="3"/>
            <w:vAlign w:val="center"/>
          </w:tcPr>
          <w:p w14:paraId="32F62FA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3.间距、数量、安装固定符合说明书要求；</w:t>
            </w:r>
          </w:p>
        </w:tc>
        <w:tc>
          <w:tcPr>
            <w:tcW w:w="1618" w:type="dxa"/>
            <w:gridSpan w:val="2"/>
            <w:vMerge w:val="continue"/>
            <w:vAlign w:val="center"/>
          </w:tcPr>
          <w:p w14:paraId="24876D2F">
            <w:pPr>
              <w:pStyle w:val="16"/>
              <w:rPr>
                <w:rFonts w:hint="eastAsia" w:ascii="宋体" w:hAnsi="宋体" w:eastAsia="宋体" w:cs="宋体"/>
                <w:b w:val="0"/>
                <w:bCs w:val="0"/>
                <w:sz w:val="21"/>
                <w:szCs w:val="21"/>
              </w:rPr>
            </w:pPr>
          </w:p>
        </w:tc>
        <w:tc>
          <w:tcPr>
            <w:tcW w:w="1116" w:type="dxa"/>
            <w:vAlign w:val="center"/>
          </w:tcPr>
          <w:p w14:paraId="0108B9C0">
            <w:pPr>
              <w:pStyle w:val="16"/>
              <w:rPr>
                <w:rFonts w:hint="eastAsia" w:ascii="宋体" w:hAnsi="宋体" w:eastAsia="宋体" w:cs="宋体"/>
                <w:b w:val="0"/>
                <w:bCs w:val="0"/>
                <w:sz w:val="21"/>
                <w:szCs w:val="21"/>
              </w:rPr>
            </w:pPr>
          </w:p>
        </w:tc>
      </w:tr>
      <w:tr w14:paraId="5F5E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5640055">
            <w:pPr>
              <w:pStyle w:val="16"/>
              <w:rPr>
                <w:rFonts w:hint="eastAsia" w:ascii="宋体" w:hAnsi="宋体" w:eastAsia="宋体" w:cs="宋体"/>
                <w:b w:val="0"/>
                <w:bCs w:val="0"/>
                <w:sz w:val="21"/>
                <w:szCs w:val="21"/>
              </w:rPr>
            </w:pPr>
          </w:p>
        </w:tc>
        <w:tc>
          <w:tcPr>
            <w:tcW w:w="5799" w:type="dxa"/>
            <w:gridSpan w:val="3"/>
            <w:vAlign w:val="center"/>
          </w:tcPr>
          <w:p w14:paraId="17318CB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4.架体不得擅自改动。</w:t>
            </w:r>
          </w:p>
        </w:tc>
        <w:tc>
          <w:tcPr>
            <w:tcW w:w="1618" w:type="dxa"/>
            <w:gridSpan w:val="2"/>
            <w:vMerge w:val="continue"/>
            <w:vAlign w:val="center"/>
          </w:tcPr>
          <w:p w14:paraId="1C66D7DF">
            <w:pPr>
              <w:pStyle w:val="16"/>
              <w:rPr>
                <w:rFonts w:hint="eastAsia" w:ascii="宋体" w:hAnsi="宋体" w:eastAsia="宋体" w:cs="宋体"/>
                <w:b w:val="0"/>
                <w:bCs w:val="0"/>
                <w:sz w:val="21"/>
                <w:szCs w:val="21"/>
              </w:rPr>
            </w:pPr>
          </w:p>
        </w:tc>
        <w:tc>
          <w:tcPr>
            <w:tcW w:w="1116" w:type="dxa"/>
            <w:vAlign w:val="center"/>
          </w:tcPr>
          <w:p w14:paraId="7D0422A9">
            <w:pPr>
              <w:pStyle w:val="16"/>
              <w:rPr>
                <w:rFonts w:hint="eastAsia" w:ascii="宋体" w:hAnsi="宋体" w:eastAsia="宋体" w:cs="宋体"/>
                <w:b w:val="0"/>
                <w:bCs w:val="0"/>
                <w:sz w:val="21"/>
                <w:szCs w:val="21"/>
              </w:rPr>
            </w:pPr>
          </w:p>
        </w:tc>
      </w:tr>
      <w:tr w14:paraId="3B1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24336A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（九）电</w:t>
            </w:r>
          </w:p>
          <w:p w14:paraId="7F358A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气</w:t>
            </w:r>
          </w:p>
        </w:tc>
        <w:tc>
          <w:tcPr>
            <w:tcW w:w="5799" w:type="dxa"/>
            <w:gridSpan w:val="3"/>
            <w:vAlign w:val="center"/>
          </w:tcPr>
          <w:p w14:paraId="63D674E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1.电缆无破损，无老化；</w:t>
            </w:r>
          </w:p>
        </w:tc>
        <w:tc>
          <w:tcPr>
            <w:tcW w:w="1618" w:type="dxa"/>
            <w:gridSpan w:val="2"/>
            <w:vMerge w:val="restart"/>
            <w:vAlign w:val="center"/>
          </w:tcPr>
          <w:p w14:paraId="2C5D46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GB5226.1-2002</w:t>
            </w:r>
          </w:p>
          <w:p w14:paraId="0A7FE5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p w14:paraId="496BE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5E0C1CD4">
            <w:pPr>
              <w:pStyle w:val="16"/>
              <w:rPr>
                <w:rFonts w:hint="eastAsia" w:ascii="宋体" w:hAnsi="宋体" w:eastAsia="宋体" w:cs="宋体"/>
                <w:b w:val="0"/>
                <w:bCs w:val="0"/>
                <w:sz w:val="21"/>
                <w:szCs w:val="21"/>
              </w:rPr>
            </w:pPr>
          </w:p>
        </w:tc>
      </w:tr>
      <w:tr w14:paraId="40E9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21E2E272">
            <w:pPr>
              <w:pStyle w:val="16"/>
              <w:rPr>
                <w:rFonts w:hint="eastAsia" w:ascii="宋体" w:hAnsi="宋体" w:eastAsia="宋体" w:cs="宋体"/>
                <w:b w:val="0"/>
                <w:bCs w:val="0"/>
                <w:sz w:val="21"/>
                <w:szCs w:val="21"/>
              </w:rPr>
            </w:pPr>
          </w:p>
        </w:tc>
        <w:tc>
          <w:tcPr>
            <w:tcW w:w="5799" w:type="dxa"/>
            <w:gridSpan w:val="3"/>
            <w:vAlign w:val="center"/>
          </w:tcPr>
          <w:p w14:paraId="05E54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2.各接地、接零保护装置符合要求；</w:t>
            </w:r>
          </w:p>
        </w:tc>
        <w:tc>
          <w:tcPr>
            <w:tcW w:w="1618" w:type="dxa"/>
            <w:gridSpan w:val="2"/>
            <w:vMerge w:val="continue"/>
            <w:vAlign w:val="center"/>
          </w:tcPr>
          <w:p w14:paraId="72C87107">
            <w:pPr>
              <w:pStyle w:val="16"/>
              <w:rPr>
                <w:rFonts w:hint="eastAsia" w:ascii="宋体" w:hAnsi="宋体" w:eastAsia="宋体" w:cs="宋体"/>
                <w:b w:val="0"/>
                <w:bCs w:val="0"/>
                <w:sz w:val="21"/>
                <w:szCs w:val="21"/>
              </w:rPr>
            </w:pPr>
          </w:p>
        </w:tc>
        <w:tc>
          <w:tcPr>
            <w:tcW w:w="1116" w:type="dxa"/>
            <w:vAlign w:val="center"/>
          </w:tcPr>
          <w:p w14:paraId="31A96D08">
            <w:pPr>
              <w:pStyle w:val="16"/>
              <w:rPr>
                <w:rFonts w:hint="eastAsia" w:ascii="宋体" w:hAnsi="宋体" w:eastAsia="宋体" w:cs="宋体"/>
                <w:b w:val="0"/>
                <w:bCs w:val="0"/>
                <w:sz w:val="21"/>
                <w:szCs w:val="21"/>
              </w:rPr>
            </w:pPr>
          </w:p>
        </w:tc>
      </w:tr>
      <w:tr w14:paraId="41D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88133FC">
            <w:pPr>
              <w:pStyle w:val="16"/>
              <w:rPr>
                <w:rFonts w:hint="eastAsia" w:ascii="宋体" w:hAnsi="宋体" w:eastAsia="宋体" w:cs="宋体"/>
                <w:b w:val="0"/>
                <w:bCs w:val="0"/>
                <w:sz w:val="21"/>
                <w:szCs w:val="21"/>
              </w:rPr>
            </w:pPr>
          </w:p>
        </w:tc>
        <w:tc>
          <w:tcPr>
            <w:tcW w:w="5799" w:type="dxa"/>
            <w:gridSpan w:val="3"/>
            <w:vAlign w:val="center"/>
          </w:tcPr>
          <w:p w14:paraId="1AB66AE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3.开关等配电装置齐全有效；</w:t>
            </w:r>
          </w:p>
        </w:tc>
        <w:tc>
          <w:tcPr>
            <w:tcW w:w="1618" w:type="dxa"/>
            <w:gridSpan w:val="2"/>
            <w:vMerge w:val="continue"/>
            <w:vAlign w:val="center"/>
          </w:tcPr>
          <w:p w14:paraId="7776FE21">
            <w:pPr>
              <w:pStyle w:val="16"/>
              <w:rPr>
                <w:rFonts w:hint="eastAsia" w:ascii="宋体" w:hAnsi="宋体" w:eastAsia="宋体" w:cs="宋体"/>
                <w:b w:val="0"/>
                <w:bCs w:val="0"/>
                <w:sz w:val="21"/>
                <w:szCs w:val="21"/>
              </w:rPr>
            </w:pPr>
          </w:p>
        </w:tc>
        <w:tc>
          <w:tcPr>
            <w:tcW w:w="1116" w:type="dxa"/>
            <w:vAlign w:val="center"/>
          </w:tcPr>
          <w:p w14:paraId="4719CB72">
            <w:pPr>
              <w:pStyle w:val="16"/>
              <w:rPr>
                <w:rFonts w:hint="eastAsia" w:ascii="宋体" w:hAnsi="宋体" w:eastAsia="宋体" w:cs="宋体"/>
                <w:b w:val="0"/>
                <w:bCs w:val="0"/>
                <w:sz w:val="21"/>
                <w:szCs w:val="21"/>
              </w:rPr>
            </w:pPr>
          </w:p>
        </w:tc>
      </w:tr>
      <w:tr w14:paraId="0E3C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67F223C">
            <w:pPr>
              <w:pStyle w:val="16"/>
              <w:rPr>
                <w:rFonts w:hint="eastAsia" w:ascii="宋体" w:hAnsi="宋体" w:eastAsia="宋体" w:cs="宋体"/>
                <w:b w:val="0"/>
                <w:bCs w:val="0"/>
                <w:sz w:val="21"/>
                <w:szCs w:val="21"/>
              </w:rPr>
            </w:pPr>
          </w:p>
        </w:tc>
        <w:tc>
          <w:tcPr>
            <w:tcW w:w="5799" w:type="dxa"/>
            <w:gridSpan w:val="3"/>
            <w:vAlign w:val="center"/>
          </w:tcPr>
          <w:p w14:paraId="67BBA6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4.绝缘良好；</w:t>
            </w:r>
          </w:p>
        </w:tc>
        <w:tc>
          <w:tcPr>
            <w:tcW w:w="1618" w:type="dxa"/>
            <w:gridSpan w:val="2"/>
            <w:vMerge w:val="continue"/>
            <w:vAlign w:val="center"/>
          </w:tcPr>
          <w:p w14:paraId="541993E3">
            <w:pPr>
              <w:pStyle w:val="16"/>
              <w:rPr>
                <w:rFonts w:hint="eastAsia" w:ascii="宋体" w:hAnsi="宋体" w:eastAsia="宋体" w:cs="宋体"/>
                <w:b w:val="0"/>
                <w:bCs w:val="0"/>
                <w:sz w:val="21"/>
                <w:szCs w:val="21"/>
              </w:rPr>
            </w:pPr>
          </w:p>
        </w:tc>
        <w:tc>
          <w:tcPr>
            <w:tcW w:w="1116" w:type="dxa"/>
            <w:vAlign w:val="center"/>
          </w:tcPr>
          <w:p w14:paraId="0C93E3BE">
            <w:pPr>
              <w:pStyle w:val="16"/>
              <w:rPr>
                <w:rFonts w:hint="eastAsia" w:ascii="宋体" w:hAnsi="宋体" w:eastAsia="宋体" w:cs="宋体"/>
                <w:b w:val="0"/>
                <w:bCs w:val="0"/>
                <w:sz w:val="21"/>
                <w:szCs w:val="21"/>
              </w:rPr>
            </w:pPr>
          </w:p>
        </w:tc>
      </w:tr>
      <w:tr w14:paraId="4110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2FF28B0">
            <w:pPr>
              <w:pStyle w:val="16"/>
              <w:rPr>
                <w:rFonts w:hint="eastAsia" w:ascii="宋体" w:hAnsi="宋体" w:eastAsia="宋体" w:cs="宋体"/>
                <w:b w:val="0"/>
                <w:bCs w:val="0"/>
                <w:sz w:val="21"/>
                <w:szCs w:val="21"/>
              </w:rPr>
            </w:pPr>
          </w:p>
        </w:tc>
        <w:tc>
          <w:tcPr>
            <w:tcW w:w="5799" w:type="dxa"/>
            <w:gridSpan w:val="3"/>
            <w:vAlign w:val="center"/>
          </w:tcPr>
          <w:p w14:paraId="290BA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5.接闪器、避雷等接地装置良好,；</w:t>
            </w:r>
          </w:p>
        </w:tc>
        <w:tc>
          <w:tcPr>
            <w:tcW w:w="1618" w:type="dxa"/>
            <w:gridSpan w:val="2"/>
            <w:vMerge w:val="continue"/>
            <w:vAlign w:val="center"/>
          </w:tcPr>
          <w:p w14:paraId="32D63542">
            <w:pPr>
              <w:pStyle w:val="16"/>
              <w:rPr>
                <w:rFonts w:hint="eastAsia" w:ascii="宋体" w:hAnsi="宋体" w:eastAsia="宋体" w:cs="宋体"/>
                <w:b w:val="0"/>
                <w:bCs w:val="0"/>
                <w:sz w:val="21"/>
                <w:szCs w:val="21"/>
              </w:rPr>
            </w:pPr>
          </w:p>
        </w:tc>
        <w:tc>
          <w:tcPr>
            <w:tcW w:w="1116" w:type="dxa"/>
            <w:vAlign w:val="center"/>
          </w:tcPr>
          <w:p w14:paraId="7EE8BBA8">
            <w:pPr>
              <w:pStyle w:val="16"/>
              <w:rPr>
                <w:rFonts w:hint="eastAsia" w:ascii="宋体" w:hAnsi="宋体" w:eastAsia="宋体" w:cs="宋体"/>
                <w:b w:val="0"/>
                <w:bCs w:val="0"/>
                <w:sz w:val="21"/>
                <w:szCs w:val="21"/>
              </w:rPr>
            </w:pPr>
          </w:p>
        </w:tc>
      </w:tr>
      <w:tr w14:paraId="30E0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CD13993">
            <w:pPr>
              <w:pStyle w:val="16"/>
              <w:rPr>
                <w:rFonts w:hint="eastAsia" w:ascii="宋体" w:hAnsi="宋体" w:eastAsia="宋体" w:cs="宋体"/>
                <w:b w:val="0"/>
                <w:bCs w:val="0"/>
                <w:sz w:val="21"/>
                <w:szCs w:val="21"/>
              </w:rPr>
            </w:pPr>
          </w:p>
        </w:tc>
        <w:tc>
          <w:tcPr>
            <w:tcW w:w="5799" w:type="dxa"/>
            <w:gridSpan w:val="3"/>
            <w:vAlign w:val="center"/>
          </w:tcPr>
          <w:p w14:paraId="12CD117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6.动力电路和控制电路对地绝缘值不超过0.5兆欧；</w:t>
            </w:r>
          </w:p>
        </w:tc>
        <w:tc>
          <w:tcPr>
            <w:tcW w:w="1618" w:type="dxa"/>
            <w:gridSpan w:val="2"/>
            <w:vMerge w:val="continue"/>
            <w:vAlign w:val="center"/>
          </w:tcPr>
          <w:p w14:paraId="663468FD">
            <w:pPr>
              <w:pStyle w:val="16"/>
              <w:rPr>
                <w:rFonts w:hint="eastAsia" w:ascii="宋体" w:hAnsi="宋体" w:eastAsia="宋体" w:cs="宋体"/>
                <w:b w:val="0"/>
                <w:bCs w:val="0"/>
                <w:sz w:val="21"/>
                <w:szCs w:val="21"/>
              </w:rPr>
            </w:pPr>
          </w:p>
        </w:tc>
        <w:tc>
          <w:tcPr>
            <w:tcW w:w="1116" w:type="dxa"/>
            <w:vAlign w:val="center"/>
          </w:tcPr>
          <w:p w14:paraId="765F51FA">
            <w:pPr>
              <w:pStyle w:val="16"/>
              <w:rPr>
                <w:rFonts w:hint="eastAsia" w:ascii="宋体" w:hAnsi="宋体" w:eastAsia="宋体" w:cs="宋体"/>
                <w:b w:val="0"/>
                <w:bCs w:val="0"/>
                <w:sz w:val="21"/>
                <w:szCs w:val="21"/>
              </w:rPr>
            </w:pPr>
          </w:p>
        </w:tc>
      </w:tr>
      <w:tr w14:paraId="635C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3283AC7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（十）机构油类</w:t>
            </w:r>
          </w:p>
        </w:tc>
        <w:tc>
          <w:tcPr>
            <w:tcW w:w="5799" w:type="dxa"/>
            <w:gridSpan w:val="3"/>
            <w:vAlign w:val="center"/>
          </w:tcPr>
          <w:p w14:paraId="6709F12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1.减速机、卷扬机、回转机构、液压顶升系统部件齐全、工作正常；</w:t>
            </w:r>
          </w:p>
        </w:tc>
        <w:tc>
          <w:tcPr>
            <w:tcW w:w="1618" w:type="dxa"/>
            <w:gridSpan w:val="2"/>
            <w:vMerge w:val="restart"/>
            <w:vAlign w:val="center"/>
          </w:tcPr>
          <w:p w14:paraId="1B548BB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6FAB80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6C5DA2BF">
            <w:pPr>
              <w:pStyle w:val="16"/>
              <w:rPr>
                <w:rFonts w:hint="eastAsia" w:ascii="宋体" w:hAnsi="宋体" w:eastAsia="宋体" w:cs="宋体"/>
                <w:b w:val="0"/>
                <w:bCs w:val="0"/>
                <w:sz w:val="21"/>
                <w:szCs w:val="21"/>
              </w:rPr>
            </w:pPr>
          </w:p>
        </w:tc>
      </w:tr>
      <w:tr w14:paraId="3F5E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BE2AC82">
            <w:pPr>
              <w:pStyle w:val="16"/>
              <w:rPr>
                <w:rFonts w:hint="eastAsia" w:ascii="宋体" w:hAnsi="宋体" w:eastAsia="宋体" w:cs="宋体"/>
                <w:b w:val="0"/>
                <w:bCs w:val="0"/>
                <w:sz w:val="21"/>
                <w:szCs w:val="21"/>
              </w:rPr>
            </w:pPr>
          </w:p>
        </w:tc>
        <w:tc>
          <w:tcPr>
            <w:tcW w:w="5799" w:type="dxa"/>
            <w:gridSpan w:val="3"/>
            <w:vAlign w:val="center"/>
          </w:tcPr>
          <w:p w14:paraId="2775AA3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2.传动部位有防护罩；</w:t>
            </w:r>
          </w:p>
        </w:tc>
        <w:tc>
          <w:tcPr>
            <w:tcW w:w="1618" w:type="dxa"/>
            <w:gridSpan w:val="2"/>
            <w:vMerge w:val="continue"/>
            <w:vAlign w:val="center"/>
          </w:tcPr>
          <w:p w14:paraId="7809BE5E">
            <w:pPr>
              <w:pStyle w:val="16"/>
              <w:rPr>
                <w:rFonts w:hint="eastAsia" w:ascii="宋体" w:hAnsi="宋体" w:eastAsia="宋体" w:cs="宋体"/>
                <w:b w:val="0"/>
                <w:bCs w:val="0"/>
                <w:sz w:val="21"/>
                <w:szCs w:val="21"/>
              </w:rPr>
            </w:pPr>
          </w:p>
        </w:tc>
        <w:tc>
          <w:tcPr>
            <w:tcW w:w="1116" w:type="dxa"/>
            <w:vAlign w:val="center"/>
          </w:tcPr>
          <w:p w14:paraId="4A42837A">
            <w:pPr>
              <w:pStyle w:val="16"/>
              <w:rPr>
                <w:rFonts w:hint="eastAsia" w:ascii="宋体" w:hAnsi="宋体" w:eastAsia="宋体" w:cs="宋体"/>
                <w:b w:val="0"/>
                <w:bCs w:val="0"/>
                <w:sz w:val="21"/>
                <w:szCs w:val="21"/>
              </w:rPr>
            </w:pPr>
          </w:p>
        </w:tc>
      </w:tr>
      <w:tr w14:paraId="72CB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59F3CBE">
            <w:pPr>
              <w:pStyle w:val="16"/>
              <w:rPr>
                <w:rFonts w:hint="eastAsia" w:ascii="宋体" w:hAnsi="宋体" w:eastAsia="宋体" w:cs="宋体"/>
                <w:b w:val="0"/>
                <w:bCs w:val="0"/>
                <w:sz w:val="21"/>
                <w:szCs w:val="21"/>
              </w:rPr>
            </w:pPr>
          </w:p>
        </w:tc>
        <w:tc>
          <w:tcPr>
            <w:tcW w:w="5799" w:type="dxa"/>
            <w:gridSpan w:val="3"/>
            <w:vAlign w:val="center"/>
          </w:tcPr>
          <w:p w14:paraId="7BB43F1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3.油箱有足够容量；</w:t>
            </w:r>
          </w:p>
        </w:tc>
        <w:tc>
          <w:tcPr>
            <w:tcW w:w="1618" w:type="dxa"/>
            <w:gridSpan w:val="2"/>
            <w:vMerge w:val="continue"/>
            <w:vAlign w:val="center"/>
          </w:tcPr>
          <w:p w14:paraId="6E5C8651">
            <w:pPr>
              <w:pStyle w:val="16"/>
              <w:rPr>
                <w:rFonts w:hint="eastAsia" w:ascii="宋体" w:hAnsi="宋体" w:eastAsia="宋体" w:cs="宋体"/>
                <w:b w:val="0"/>
                <w:bCs w:val="0"/>
                <w:sz w:val="21"/>
                <w:szCs w:val="21"/>
              </w:rPr>
            </w:pPr>
          </w:p>
        </w:tc>
        <w:tc>
          <w:tcPr>
            <w:tcW w:w="1116" w:type="dxa"/>
            <w:vAlign w:val="center"/>
          </w:tcPr>
          <w:p w14:paraId="6E3AB437">
            <w:pPr>
              <w:pStyle w:val="16"/>
              <w:rPr>
                <w:rFonts w:hint="eastAsia" w:ascii="宋体" w:hAnsi="宋体" w:eastAsia="宋体" w:cs="宋体"/>
                <w:b w:val="0"/>
                <w:bCs w:val="0"/>
                <w:sz w:val="21"/>
                <w:szCs w:val="21"/>
              </w:rPr>
            </w:pPr>
          </w:p>
        </w:tc>
      </w:tr>
      <w:tr w14:paraId="5198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979188">
            <w:pPr>
              <w:pStyle w:val="16"/>
              <w:rPr>
                <w:rFonts w:hint="eastAsia" w:ascii="宋体" w:hAnsi="宋体" w:eastAsia="宋体" w:cs="宋体"/>
                <w:b w:val="0"/>
                <w:bCs w:val="0"/>
                <w:sz w:val="21"/>
                <w:szCs w:val="21"/>
              </w:rPr>
            </w:pPr>
          </w:p>
        </w:tc>
        <w:tc>
          <w:tcPr>
            <w:tcW w:w="5799" w:type="dxa"/>
            <w:gridSpan w:val="3"/>
            <w:vAlign w:val="center"/>
          </w:tcPr>
          <w:p w14:paraId="4E5A6D3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4.油路无泄露、堵塞现象。</w:t>
            </w:r>
          </w:p>
        </w:tc>
        <w:tc>
          <w:tcPr>
            <w:tcW w:w="1618" w:type="dxa"/>
            <w:gridSpan w:val="2"/>
            <w:vMerge w:val="continue"/>
            <w:vAlign w:val="center"/>
          </w:tcPr>
          <w:p w14:paraId="510664DA">
            <w:pPr>
              <w:pStyle w:val="16"/>
              <w:rPr>
                <w:rFonts w:hint="eastAsia" w:ascii="宋体" w:hAnsi="宋体" w:eastAsia="宋体" w:cs="宋体"/>
                <w:b w:val="0"/>
                <w:bCs w:val="0"/>
                <w:sz w:val="21"/>
                <w:szCs w:val="21"/>
              </w:rPr>
            </w:pPr>
          </w:p>
        </w:tc>
        <w:tc>
          <w:tcPr>
            <w:tcW w:w="1116" w:type="dxa"/>
            <w:vAlign w:val="center"/>
          </w:tcPr>
          <w:p w14:paraId="547636B4">
            <w:pPr>
              <w:pStyle w:val="16"/>
              <w:rPr>
                <w:rFonts w:hint="eastAsia" w:ascii="宋体" w:hAnsi="宋体" w:eastAsia="宋体" w:cs="宋体"/>
                <w:b w:val="0"/>
                <w:bCs w:val="0"/>
                <w:sz w:val="21"/>
                <w:szCs w:val="21"/>
              </w:rPr>
            </w:pPr>
          </w:p>
        </w:tc>
      </w:tr>
      <w:tr w14:paraId="5D9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1C37A4A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十一</w:t>
            </w:r>
          </w:p>
          <w:p w14:paraId="24BE58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w:t>
            </w:r>
          </w:p>
          <w:p w14:paraId="03FF57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w:t>
            </w:r>
          </w:p>
          <w:p w14:paraId="659FC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器</w:t>
            </w:r>
          </w:p>
        </w:tc>
        <w:tc>
          <w:tcPr>
            <w:tcW w:w="5799" w:type="dxa"/>
            <w:gridSpan w:val="3"/>
            <w:vAlign w:val="center"/>
          </w:tcPr>
          <w:p w14:paraId="5AA5296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1.无可见裂纹;</w:t>
            </w:r>
          </w:p>
        </w:tc>
        <w:tc>
          <w:tcPr>
            <w:tcW w:w="1618" w:type="dxa"/>
            <w:gridSpan w:val="2"/>
            <w:vMerge w:val="restart"/>
            <w:vAlign w:val="center"/>
          </w:tcPr>
          <w:p w14:paraId="45A6DB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GB5144-2006</w:t>
            </w:r>
          </w:p>
          <w:p w14:paraId="2CBF09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7E14243C">
            <w:pPr>
              <w:pStyle w:val="16"/>
              <w:rPr>
                <w:rFonts w:hint="eastAsia" w:ascii="宋体" w:hAnsi="宋体" w:eastAsia="宋体" w:cs="宋体"/>
                <w:b w:val="0"/>
                <w:bCs w:val="0"/>
                <w:sz w:val="21"/>
                <w:szCs w:val="21"/>
              </w:rPr>
            </w:pPr>
          </w:p>
        </w:tc>
      </w:tr>
      <w:tr w14:paraId="3AB7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6B3AD314">
            <w:pPr>
              <w:pStyle w:val="16"/>
              <w:rPr>
                <w:rFonts w:hint="eastAsia" w:ascii="宋体" w:hAnsi="宋体" w:eastAsia="宋体" w:cs="宋体"/>
                <w:b w:val="0"/>
                <w:bCs w:val="0"/>
                <w:sz w:val="21"/>
                <w:szCs w:val="21"/>
              </w:rPr>
            </w:pPr>
          </w:p>
        </w:tc>
        <w:tc>
          <w:tcPr>
            <w:tcW w:w="5799" w:type="dxa"/>
            <w:gridSpan w:val="3"/>
            <w:vAlign w:val="center"/>
          </w:tcPr>
          <w:p w14:paraId="5CA4720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2.制动块摩擦衬垫磨损量未达原厚度的50%;</w:t>
            </w:r>
          </w:p>
        </w:tc>
        <w:tc>
          <w:tcPr>
            <w:tcW w:w="1618" w:type="dxa"/>
            <w:gridSpan w:val="2"/>
            <w:vMerge w:val="continue"/>
            <w:vAlign w:val="center"/>
          </w:tcPr>
          <w:p w14:paraId="59C788CB">
            <w:pPr>
              <w:pStyle w:val="16"/>
              <w:rPr>
                <w:rFonts w:hint="eastAsia" w:ascii="宋体" w:hAnsi="宋体" w:eastAsia="宋体" w:cs="宋体"/>
                <w:b w:val="0"/>
                <w:bCs w:val="0"/>
                <w:sz w:val="21"/>
                <w:szCs w:val="21"/>
              </w:rPr>
            </w:pPr>
          </w:p>
        </w:tc>
        <w:tc>
          <w:tcPr>
            <w:tcW w:w="1116" w:type="dxa"/>
            <w:vAlign w:val="center"/>
          </w:tcPr>
          <w:p w14:paraId="550184BB">
            <w:pPr>
              <w:pStyle w:val="16"/>
              <w:rPr>
                <w:rFonts w:hint="eastAsia" w:ascii="宋体" w:hAnsi="宋体" w:eastAsia="宋体" w:cs="宋体"/>
                <w:b w:val="0"/>
                <w:bCs w:val="0"/>
                <w:sz w:val="21"/>
                <w:szCs w:val="21"/>
              </w:rPr>
            </w:pPr>
          </w:p>
        </w:tc>
      </w:tr>
      <w:tr w14:paraId="00C5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41BEA2E6">
            <w:pPr>
              <w:pStyle w:val="16"/>
              <w:rPr>
                <w:rFonts w:hint="eastAsia" w:ascii="宋体" w:hAnsi="宋体" w:eastAsia="宋体" w:cs="宋体"/>
                <w:b w:val="0"/>
                <w:bCs w:val="0"/>
                <w:sz w:val="21"/>
                <w:szCs w:val="21"/>
              </w:rPr>
            </w:pPr>
          </w:p>
        </w:tc>
        <w:tc>
          <w:tcPr>
            <w:tcW w:w="5799" w:type="dxa"/>
            <w:gridSpan w:val="3"/>
            <w:vAlign w:val="center"/>
          </w:tcPr>
          <w:p w14:paraId="43CE38A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3.制动轮表面磨损量未达1.5 mm ~2mm;</w:t>
            </w:r>
          </w:p>
        </w:tc>
        <w:tc>
          <w:tcPr>
            <w:tcW w:w="1618" w:type="dxa"/>
            <w:gridSpan w:val="2"/>
            <w:vMerge w:val="continue"/>
            <w:vAlign w:val="center"/>
          </w:tcPr>
          <w:p w14:paraId="1BB6A33A">
            <w:pPr>
              <w:pStyle w:val="16"/>
              <w:rPr>
                <w:rFonts w:hint="eastAsia" w:ascii="宋体" w:hAnsi="宋体" w:eastAsia="宋体" w:cs="宋体"/>
                <w:b w:val="0"/>
                <w:bCs w:val="0"/>
                <w:sz w:val="21"/>
                <w:szCs w:val="21"/>
              </w:rPr>
            </w:pPr>
          </w:p>
        </w:tc>
        <w:tc>
          <w:tcPr>
            <w:tcW w:w="1116" w:type="dxa"/>
            <w:vAlign w:val="center"/>
          </w:tcPr>
          <w:p w14:paraId="3DC908D5">
            <w:pPr>
              <w:pStyle w:val="16"/>
              <w:rPr>
                <w:rFonts w:hint="eastAsia" w:ascii="宋体" w:hAnsi="宋体" w:eastAsia="宋体" w:cs="宋体"/>
                <w:b w:val="0"/>
                <w:bCs w:val="0"/>
                <w:sz w:val="21"/>
                <w:szCs w:val="21"/>
              </w:rPr>
            </w:pPr>
          </w:p>
        </w:tc>
      </w:tr>
      <w:tr w14:paraId="0E30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591ABD2B">
            <w:pPr>
              <w:pStyle w:val="16"/>
              <w:rPr>
                <w:rFonts w:hint="eastAsia" w:ascii="宋体" w:hAnsi="宋体" w:eastAsia="宋体" w:cs="宋体"/>
                <w:b w:val="0"/>
                <w:bCs w:val="0"/>
                <w:sz w:val="21"/>
                <w:szCs w:val="21"/>
              </w:rPr>
            </w:pPr>
          </w:p>
        </w:tc>
        <w:tc>
          <w:tcPr>
            <w:tcW w:w="5799" w:type="dxa"/>
            <w:gridSpan w:val="3"/>
            <w:vAlign w:val="center"/>
          </w:tcPr>
          <w:p w14:paraId="1F2A8BF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4.弹簧未出现塑性变形;</w:t>
            </w:r>
          </w:p>
        </w:tc>
        <w:tc>
          <w:tcPr>
            <w:tcW w:w="1618" w:type="dxa"/>
            <w:gridSpan w:val="2"/>
            <w:vMerge w:val="continue"/>
            <w:vAlign w:val="center"/>
          </w:tcPr>
          <w:p w14:paraId="464B90FA">
            <w:pPr>
              <w:pStyle w:val="16"/>
              <w:rPr>
                <w:rFonts w:hint="eastAsia" w:ascii="宋体" w:hAnsi="宋体" w:eastAsia="宋体" w:cs="宋体"/>
                <w:b w:val="0"/>
                <w:bCs w:val="0"/>
                <w:sz w:val="21"/>
                <w:szCs w:val="21"/>
              </w:rPr>
            </w:pPr>
          </w:p>
        </w:tc>
        <w:tc>
          <w:tcPr>
            <w:tcW w:w="1116" w:type="dxa"/>
            <w:vAlign w:val="center"/>
          </w:tcPr>
          <w:p w14:paraId="5E2B08FB">
            <w:pPr>
              <w:pStyle w:val="16"/>
              <w:rPr>
                <w:rFonts w:hint="eastAsia" w:ascii="宋体" w:hAnsi="宋体" w:eastAsia="宋体" w:cs="宋体"/>
                <w:b w:val="0"/>
                <w:bCs w:val="0"/>
                <w:sz w:val="21"/>
                <w:szCs w:val="21"/>
              </w:rPr>
            </w:pPr>
          </w:p>
        </w:tc>
      </w:tr>
      <w:tr w14:paraId="7722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4EF4D5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十二</w:t>
            </w:r>
          </w:p>
          <w:p w14:paraId="73A8938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w:t>
            </w:r>
          </w:p>
          <w:p w14:paraId="631E4C4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全</w:t>
            </w:r>
          </w:p>
          <w:p w14:paraId="5DDCEC8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距</w:t>
            </w:r>
          </w:p>
          <w:p w14:paraId="4C083E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离</w:t>
            </w:r>
          </w:p>
        </w:tc>
        <w:tc>
          <w:tcPr>
            <w:tcW w:w="5799" w:type="dxa"/>
            <w:gridSpan w:val="3"/>
            <w:vAlign w:val="center"/>
          </w:tcPr>
          <w:p w14:paraId="6305564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1.与建筑物周围施工设施之间距离≥0.5米；</w:t>
            </w:r>
          </w:p>
        </w:tc>
        <w:tc>
          <w:tcPr>
            <w:tcW w:w="1618" w:type="dxa"/>
            <w:gridSpan w:val="2"/>
            <w:vMerge w:val="restart"/>
            <w:vAlign w:val="center"/>
          </w:tcPr>
          <w:p w14:paraId="1C5222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p w14:paraId="658EA2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172812BC">
            <w:pPr>
              <w:pStyle w:val="16"/>
              <w:rPr>
                <w:rFonts w:hint="eastAsia" w:ascii="宋体" w:hAnsi="宋体" w:eastAsia="宋体" w:cs="宋体"/>
                <w:b w:val="0"/>
                <w:bCs w:val="0"/>
                <w:sz w:val="21"/>
                <w:szCs w:val="21"/>
              </w:rPr>
            </w:pPr>
          </w:p>
        </w:tc>
      </w:tr>
      <w:tr w14:paraId="19D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4F6EBBE7">
            <w:pPr>
              <w:pStyle w:val="16"/>
              <w:rPr>
                <w:rFonts w:hint="eastAsia" w:ascii="宋体" w:hAnsi="宋体" w:eastAsia="宋体" w:cs="宋体"/>
                <w:b w:val="0"/>
                <w:bCs w:val="0"/>
                <w:sz w:val="21"/>
                <w:szCs w:val="21"/>
              </w:rPr>
            </w:pPr>
          </w:p>
        </w:tc>
        <w:tc>
          <w:tcPr>
            <w:tcW w:w="5799" w:type="dxa"/>
            <w:gridSpan w:val="3"/>
            <w:vAlign w:val="center"/>
          </w:tcPr>
          <w:p w14:paraId="75060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2.多塔作业相互间应符合要求，有防碰撞措施；</w:t>
            </w:r>
          </w:p>
        </w:tc>
        <w:tc>
          <w:tcPr>
            <w:tcW w:w="1618" w:type="dxa"/>
            <w:gridSpan w:val="2"/>
            <w:vMerge w:val="continue"/>
            <w:vAlign w:val="center"/>
          </w:tcPr>
          <w:p w14:paraId="04BD1817">
            <w:pPr>
              <w:pStyle w:val="16"/>
              <w:rPr>
                <w:rFonts w:hint="eastAsia" w:ascii="宋体" w:hAnsi="宋体" w:eastAsia="宋体" w:cs="宋体"/>
                <w:b w:val="0"/>
                <w:bCs w:val="0"/>
                <w:sz w:val="21"/>
                <w:szCs w:val="21"/>
              </w:rPr>
            </w:pPr>
          </w:p>
        </w:tc>
        <w:tc>
          <w:tcPr>
            <w:tcW w:w="1116" w:type="dxa"/>
            <w:vAlign w:val="center"/>
          </w:tcPr>
          <w:p w14:paraId="5CD43C50">
            <w:pPr>
              <w:pStyle w:val="16"/>
              <w:rPr>
                <w:rFonts w:hint="eastAsia" w:ascii="宋体" w:hAnsi="宋体" w:eastAsia="宋体" w:cs="宋体"/>
                <w:b w:val="0"/>
                <w:bCs w:val="0"/>
                <w:sz w:val="21"/>
                <w:szCs w:val="21"/>
              </w:rPr>
            </w:pPr>
          </w:p>
        </w:tc>
      </w:tr>
      <w:tr w14:paraId="4809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7E2B6CC2">
            <w:pPr>
              <w:pStyle w:val="16"/>
              <w:rPr>
                <w:rFonts w:hint="eastAsia" w:ascii="宋体" w:hAnsi="宋体" w:eastAsia="宋体" w:cs="宋体"/>
                <w:b w:val="0"/>
                <w:bCs w:val="0"/>
                <w:sz w:val="21"/>
                <w:szCs w:val="21"/>
              </w:rPr>
            </w:pPr>
          </w:p>
        </w:tc>
        <w:tc>
          <w:tcPr>
            <w:tcW w:w="5799" w:type="dxa"/>
            <w:gridSpan w:val="3"/>
            <w:vAlign w:val="center"/>
          </w:tcPr>
          <w:p w14:paraId="75F6ED3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3.各部位与外电线路保持安全距离，达不到要求的必须按规定采取防护措施，防护措施应达到电业部门规定要求。</w:t>
            </w:r>
          </w:p>
        </w:tc>
        <w:tc>
          <w:tcPr>
            <w:tcW w:w="1618" w:type="dxa"/>
            <w:gridSpan w:val="2"/>
            <w:vMerge w:val="continue"/>
            <w:vAlign w:val="center"/>
          </w:tcPr>
          <w:p w14:paraId="6C21026C">
            <w:pPr>
              <w:pStyle w:val="16"/>
              <w:rPr>
                <w:rFonts w:hint="eastAsia" w:ascii="宋体" w:hAnsi="宋体" w:eastAsia="宋体" w:cs="宋体"/>
                <w:b w:val="0"/>
                <w:bCs w:val="0"/>
                <w:sz w:val="21"/>
                <w:szCs w:val="21"/>
              </w:rPr>
            </w:pPr>
          </w:p>
        </w:tc>
        <w:tc>
          <w:tcPr>
            <w:tcW w:w="1116" w:type="dxa"/>
            <w:vAlign w:val="center"/>
          </w:tcPr>
          <w:p w14:paraId="189A93C0">
            <w:pPr>
              <w:pStyle w:val="16"/>
              <w:rPr>
                <w:rFonts w:hint="eastAsia" w:ascii="宋体" w:hAnsi="宋体" w:eastAsia="宋体" w:cs="宋体"/>
                <w:b w:val="0"/>
                <w:bCs w:val="0"/>
                <w:sz w:val="21"/>
                <w:szCs w:val="21"/>
              </w:rPr>
            </w:pPr>
          </w:p>
        </w:tc>
      </w:tr>
      <w:tr w14:paraId="0B7B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CD0AC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十三</w:t>
            </w:r>
          </w:p>
          <w:p w14:paraId="00832B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w:t>
            </w:r>
          </w:p>
          <w:p w14:paraId="2AB5E0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筒</w:t>
            </w:r>
          </w:p>
          <w:p w14:paraId="57DE36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w:t>
            </w:r>
          </w:p>
          <w:p w14:paraId="1ABC41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轮</w:t>
            </w:r>
          </w:p>
        </w:tc>
        <w:tc>
          <w:tcPr>
            <w:tcW w:w="5799" w:type="dxa"/>
            <w:gridSpan w:val="3"/>
            <w:vAlign w:val="center"/>
          </w:tcPr>
          <w:p w14:paraId="2C5BEEE0">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1.卷筒两侧边沿的高度大于钢丝绳直径2倍；</w:t>
            </w:r>
          </w:p>
        </w:tc>
        <w:tc>
          <w:tcPr>
            <w:tcW w:w="1618" w:type="dxa"/>
            <w:gridSpan w:val="2"/>
            <w:vMerge w:val="restart"/>
            <w:vAlign w:val="center"/>
          </w:tcPr>
          <w:p w14:paraId="50E54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GBT13752-2017</w:t>
            </w:r>
          </w:p>
          <w:p w14:paraId="5B7DDD3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3165D1E3">
            <w:pPr>
              <w:pStyle w:val="16"/>
              <w:rPr>
                <w:rFonts w:hint="eastAsia" w:ascii="宋体" w:hAnsi="宋体" w:eastAsia="宋体" w:cs="宋体"/>
                <w:b w:val="0"/>
                <w:bCs w:val="0"/>
                <w:sz w:val="21"/>
                <w:szCs w:val="21"/>
              </w:rPr>
            </w:pPr>
          </w:p>
        </w:tc>
      </w:tr>
      <w:tr w14:paraId="6A09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186EC5F">
            <w:pPr>
              <w:pStyle w:val="16"/>
              <w:rPr>
                <w:rFonts w:hint="eastAsia" w:ascii="宋体" w:hAnsi="宋体" w:eastAsia="宋体" w:cs="宋体"/>
                <w:b w:val="0"/>
                <w:bCs w:val="0"/>
                <w:sz w:val="21"/>
                <w:szCs w:val="21"/>
              </w:rPr>
            </w:pPr>
          </w:p>
        </w:tc>
        <w:tc>
          <w:tcPr>
            <w:tcW w:w="5799" w:type="dxa"/>
            <w:gridSpan w:val="3"/>
            <w:vAlign w:val="center"/>
          </w:tcPr>
          <w:p w14:paraId="3213469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2.卷筒上的钢丝绳至少保留3圈；</w:t>
            </w:r>
          </w:p>
        </w:tc>
        <w:tc>
          <w:tcPr>
            <w:tcW w:w="1618" w:type="dxa"/>
            <w:gridSpan w:val="2"/>
            <w:vMerge w:val="continue"/>
            <w:vAlign w:val="center"/>
          </w:tcPr>
          <w:p w14:paraId="13566001">
            <w:pPr>
              <w:pStyle w:val="16"/>
              <w:rPr>
                <w:rFonts w:hint="eastAsia" w:ascii="宋体" w:hAnsi="宋体" w:eastAsia="宋体" w:cs="宋体"/>
                <w:b w:val="0"/>
                <w:bCs w:val="0"/>
                <w:sz w:val="21"/>
                <w:szCs w:val="21"/>
              </w:rPr>
            </w:pPr>
          </w:p>
        </w:tc>
        <w:tc>
          <w:tcPr>
            <w:tcW w:w="1116" w:type="dxa"/>
            <w:vAlign w:val="center"/>
          </w:tcPr>
          <w:p w14:paraId="6E85B149">
            <w:pPr>
              <w:pStyle w:val="16"/>
              <w:rPr>
                <w:rFonts w:hint="eastAsia" w:ascii="宋体" w:hAnsi="宋体" w:eastAsia="宋体" w:cs="宋体"/>
                <w:b w:val="0"/>
                <w:bCs w:val="0"/>
                <w:sz w:val="21"/>
                <w:szCs w:val="21"/>
              </w:rPr>
            </w:pPr>
          </w:p>
        </w:tc>
      </w:tr>
      <w:tr w14:paraId="146F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49FA4A5C">
            <w:pPr>
              <w:pStyle w:val="16"/>
              <w:rPr>
                <w:rFonts w:hint="eastAsia" w:ascii="宋体" w:hAnsi="宋体" w:eastAsia="宋体" w:cs="宋体"/>
                <w:b w:val="0"/>
                <w:bCs w:val="0"/>
                <w:sz w:val="21"/>
                <w:szCs w:val="21"/>
              </w:rPr>
            </w:pPr>
          </w:p>
        </w:tc>
        <w:tc>
          <w:tcPr>
            <w:tcW w:w="5799" w:type="dxa"/>
            <w:gridSpan w:val="3"/>
            <w:vAlign w:val="center"/>
          </w:tcPr>
          <w:p w14:paraId="62B7984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3.滑轮应设有防绳跳槽装置，且与滑轮最外沿间隙不得超过钢丝绳直径的20％；</w:t>
            </w:r>
          </w:p>
        </w:tc>
        <w:tc>
          <w:tcPr>
            <w:tcW w:w="1618" w:type="dxa"/>
            <w:gridSpan w:val="2"/>
            <w:vMerge w:val="continue"/>
            <w:vAlign w:val="center"/>
          </w:tcPr>
          <w:p w14:paraId="19890AA3">
            <w:pPr>
              <w:pStyle w:val="16"/>
              <w:rPr>
                <w:rFonts w:hint="eastAsia" w:ascii="宋体" w:hAnsi="宋体" w:eastAsia="宋体" w:cs="宋体"/>
                <w:b w:val="0"/>
                <w:bCs w:val="0"/>
                <w:sz w:val="21"/>
                <w:szCs w:val="21"/>
              </w:rPr>
            </w:pPr>
          </w:p>
        </w:tc>
        <w:tc>
          <w:tcPr>
            <w:tcW w:w="1116" w:type="dxa"/>
            <w:vAlign w:val="center"/>
          </w:tcPr>
          <w:p w14:paraId="4ECE59D3">
            <w:pPr>
              <w:pStyle w:val="16"/>
              <w:rPr>
                <w:rFonts w:hint="eastAsia" w:ascii="宋体" w:hAnsi="宋体" w:eastAsia="宋体" w:cs="宋体"/>
                <w:b w:val="0"/>
                <w:bCs w:val="0"/>
                <w:sz w:val="21"/>
                <w:szCs w:val="21"/>
              </w:rPr>
            </w:pPr>
          </w:p>
        </w:tc>
      </w:tr>
      <w:tr w14:paraId="4D53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7E4C256B">
            <w:pPr>
              <w:pStyle w:val="16"/>
              <w:rPr>
                <w:rFonts w:hint="eastAsia" w:ascii="宋体" w:hAnsi="宋体" w:eastAsia="宋体" w:cs="宋体"/>
                <w:b w:val="0"/>
                <w:bCs w:val="0"/>
                <w:sz w:val="21"/>
                <w:szCs w:val="21"/>
              </w:rPr>
            </w:pPr>
          </w:p>
        </w:tc>
        <w:tc>
          <w:tcPr>
            <w:tcW w:w="5799" w:type="dxa"/>
            <w:gridSpan w:val="3"/>
            <w:vAlign w:val="center"/>
          </w:tcPr>
          <w:p w14:paraId="10D029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4.滑轮转动灵活、无卡塞现象。</w:t>
            </w:r>
          </w:p>
        </w:tc>
        <w:tc>
          <w:tcPr>
            <w:tcW w:w="1618" w:type="dxa"/>
            <w:gridSpan w:val="2"/>
            <w:vMerge w:val="continue"/>
            <w:vAlign w:val="center"/>
          </w:tcPr>
          <w:p w14:paraId="0C0D0223">
            <w:pPr>
              <w:pStyle w:val="16"/>
              <w:rPr>
                <w:rFonts w:hint="eastAsia" w:ascii="宋体" w:hAnsi="宋体" w:eastAsia="宋体" w:cs="宋体"/>
                <w:b w:val="0"/>
                <w:bCs w:val="0"/>
                <w:sz w:val="21"/>
                <w:szCs w:val="21"/>
              </w:rPr>
            </w:pPr>
          </w:p>
        </w:tc>
        <w:tc>
          <w:tcPr>
            <w:tcW w:w="1116" w:type="dxa"/>
            <w:vAlign w:val="center"/>
          </w:tcPr>
          <w:p w14:paraId="7C6418C5">
            <w:pPr>
              <w:pStyle w:val="16"/>
              <w:rPr>
                <w:rFonts w:hint="eastAsia" w:ascii="宋体" w:hAnsi="宋体" w:eastAsia="宋体" w:cs="宋体"/>
                <w:b w:val="0"/>
                <w:bCs w:val="0"/>
                <w:sz w:val="21"/>
                <w:szCs w:val="21"/>
              </w:rPr>
            </w:pPr>
          </w:p>
        </w:tc>
      </w:tr>
      <w:tr w14:paraId="737A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022BC6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十四</w:t>
            </w:r>
          </w:p>
          <w:p w14:paraId="19A90B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持证上岗</w:t>
            </w:r>
          </w:p>
        </w:tc>
        <w:tc>
          <w:tcPr>
            <w:tcW w:w="5799" w:type="dxa"/>
            <w:gridSpan w:val="3"/>
            <w:vAlign w:val="center"/>
          </w:tcPr>
          <w:p w14:paraId="64FFDEB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1.使用过程中塔吊司机必须持证上岗。</w:t>
            </w:r>
          </w:p>
        </w:tc>
        <w:tc>
          <w:tcPr>
            <w:tcW w:w="1618" w:type="dxa"/>
            <w:gridSpan w:val="2"/>
            <w:vAlign w:val="center"/>
          </w:tcPr>
          <w:p w14:paraId="1BB1F08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36E677B1">
            <w:pPr>
              <w:pStyle w:val="16"/>
              <w:rPr>
                <w:rFonts w:hint="eastAsia" w:ascii="宋体" w:hAnsi="宋体" w:eastAsia="宋体" w:cs="宋体"/>
                <w:b w:val="0"/>
                <w:bCs w:val="0"/>
                <w:sz w:val="21"/>
                <w:szCs w:val="21"/>
              </w:rPr>
            </w:pPr>
          </w:p>
        </w:tc>
      </w:tr>
      <w:tr w14:paraId="4F17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2A3A95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十五</w:t>
            </w:r>
          </w:p>
          <w:p w14:paraId="5F0326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检查结论及整改措施</w:t>
            </w:r>
          </w:p>
        </w:tc>
        <w:tc>
          <w:tcPr>
            <w:tcW w:w="8713" w:type="dxa"/>
            <w:gridSpan w:val="7"/>
            <w:tcBorders>
              <w:bottom w:val="single" w:color="auto" w:sz="4" w:space="0"/>
            </w:tcBorders>
            <w:vAlign w:val="center"/>
          </w:tcPr>
          <w:p w14:paraId="1038BC50">
            <w:pPr>
              <w:pStyle w:val="16"/>
              <w:rPr>
                <w:rFonts w:hint="eastAsia" w:ascii="宋体" w:hAnsi="宋体" w:eastAsia="宋体" w:cs="宋体"/>
                <w:b w:val="0"/>
                <w:bCs w:val="0"/>
                <w:sz w:val="21"/>
                <w:szCs w:val="21"/>
              </w:rPr>
            </w:pPr>
          </w:p>
          <w:p w14:paraId="659F91CC">
            <w:pPr>
              <w:pStyle w:val="16"/>
              <w:rPr>
                <w:rFonts w:hint="eastAsia" w:ascii="宋体" w:hAnsi="宋体" w:eastAsia="宋体" w:cs="宋体"/>
                <w:b w:val="0"/>
                <w:bCs w:val="0"/>
                <w:sz w:val="21"/>
                <w:szCs w:val="21"/>
              </w:rPr>
            </w:pPr>
          </w:p>
          <w:p w14:paraId="62B6090F">
            <w:pPr>
              <w:pStyle w:val="16"/>
              <w:rPr>
                <w:rFonts w:hint="eastAsia" w:ascii="宋体" w:hAnsi="宋体" w:eastAsia="宋体" w:cs="宋体"/>
                <w:b w:val="0"/>
                <w:bCs w:val="0"/>
                <w:sz w:val="21"/>
                <w:szCs w:val="21"/>
              </w:rPr>
            </w:pPr>
          </w:p>
        </w:tc>
      </w:tr>
    </w:tbl>
    <w:p w14:paraId="4E2F19A8">
      <w:pPr>
        <w:pStyle w:val="15"/>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28"/>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5D58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33AA0B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C7C459E">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6A9EF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73B821D">
            <w:pPr>
              <w:pStyle w:val="16"/>
              <w:rPr>
                <w:rFonts w:hint="eastAsia" w:ascii="宋体" w:hAnsi="宋体" w:eastAsia="宋体" w:cs="宋体"/>
                <w:b w:val="0"/>
                <w:bCs w:val="0"/>
                <w:sz w:val="21"/>
                <w:szCs w:val="21"/>
              </w:rPr>
            </w:pPr>
          </w:p>
        </w:tc>
      </w:tr>
      <w:tr w14:paraId="14B0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68BFDF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26E5EECB">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2C2252A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B89AAD9">
            <w:pPr>
              <w:pStyle w:val="16"/>
              <w:rPr>
                <w:rFonts w:hint="eastAsia" w:ascii="宋体" w:hAnsi="宋体" w:eastAsia="宋体" w:cs="宋体"/>
                <w:b w:val="0"/>
                <w:bCs w:val="0"/>
                <w:sz w:val="21"/>
                <w:szCs w:val="21"/>
              </w:rPr>
            </w:pPr>
          </w:p>
        </w:tc>
      </w:tr>
      <w:tr w14:paraId="14C0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EB4C19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4153B180">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20334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3E0D2D9">
            <w:pPr>
              <w:pStyle w:val="16"/>
              <w:rPr>
                <w:rFonts w:hint="eastAsia" w:ascii="宋体" w:hAnsi="宋体" w:eastAsia="宋体" w:cs="宋体"/>
                <w:b w:val="0"/>
                <w:bCs w:val="0"/>
                <w:sz w:val="21"/>
                <w:szCs w:val="21"/>
              </w:rPr>
            </w:pPr>
          </w:p>
        </w:tc>
      </w:tr>
      <w:tr w14:paraId="1835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D6493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C509975">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57AEA72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54667A35">
            <w:pPr>
              <w:pStyle w:val="16"/>
              <w:rPr>
                <w:rFonts w:hint="eastAsia" w:ascii="宋体" w:hAnsi="宋体" w:eastAsia="宋体" w:cs="宋体"/>
                <w:b w:val="0"/>
                <w:bCs w:val="0"/>
                <w:sz w:val="21"/>
                <w:szCs w:val="21"/>
              </w:rPr>
            </w:pPr>
          </w:p>
        </w:tc>
      </w:tr>
      <w:tr w14:paraId="41CE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32CCF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279871">
            <w:pPr>
              <w:pStyle w:val="16"/>
              <w:rPr>
                <w:rFonts w:hint="eastAsia" w:ascii="宋体" w:hAnsi="宋体" w:eastAsia="宋体" w:cs="宋体"/>
                <w:b w:val="0"/>
                <w:bCs w:val="0"/>
                <w:sz w:val="21"/>
                <w:szCs w:val="21"/>
              </w:rPr>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6530032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1E96CD17">
            <w:pPr>
              <w:pStyle w:val="16"/>
              <w:rPr>
                <w:rFonts w:hint="eastAsia" w:ascii="宋体" w:hAnsi="宋体" w:eastAsia="宋体" w:cs="宋体"/>
                <w:b w:val="0"/>
                <w:bCs w:val="0"/>
                <w:sz w:val="21"/>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6EE4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计划安装</w:t>
            </w:r>
          </w:p>
          <w:p w14:paraId="4CE66A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747F5514">
            <w:pPr>
              <w:pStyle w:val="16"/>
              <w:rPr>
                <w:rFonts w:hint="eastAsia" w:ascii="宋体" w:hAnsi="宋体" w:eastAsia="宋体" w:cs="宋体"/>
                <w:b w:val="0"/>
                <w:bCs w:val="0"/>
                <w:sz w:val="21"/>
                <w:szCs w:val="21"/>
              </w:rPr>
            </w:pPr>
          </w:p>
        </w:tc>
      </w:tr>
      <w:tr w14:paraId="0E04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27353D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p w14:paraId="2A68164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3F0DCE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“√”=合格  “○”=整改后合格  “×”=不合格  “/”=无此项</w:t>
            </w:r>
          </w:p>
        </w:tc>
      </w:tr>
      <w:tr w14:paraId="2271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166156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0751906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4C02E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E5F1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504199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3A2777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备注</w:t>
            </w:r>
          </w:p>
        </w:tc>
      </w:tr>
      <w:tr w14:paraId="1E98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A7BD1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1646DA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01645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A6BD4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50A0BE5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A32908F">
            <w:pPr>
              <w:pStyle w:val="16"/>
              <w:rPr>
                <w:rFonts w:hint="eastAsia" w:ascii="宋体" w:hAnsi="宋体" w:eastAsia="宋体" w:cs="宋体"/>
                <w:b w:val="0"/>
                <w:bCs w:val="0"/>
                <w:sz w:val="21"/>
                <w:szCs w:val="21"/>
              </w:rPr>
            </w:pPr>
          </w:p>
        </w:tc>
      </w:tr>
      <w:tr w14:paraId="5111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826E0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C0CC9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3023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9514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71E7A9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4FBBB0">
            <w:pPr>
              <w:pStyle w:val="16"/>
              <w:rPr>
                <w:rFonts w:hint="eastAsia" w:ascii="宋体" w:hAnsi="宋体" w:eastAsia="宋体" w:cs="宋体"/>
                <w:b w:val="0"/>
                <w:bCs w:val="0"/>
                <w:sz w:val="21"/>
                <w:szCs w:val="21"/>
              </w:rPr>
            </w:pPr>
          </w:p>
        </w:tc>
      </w:tr>
      <w:tr w14:paraId="3E90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12BBF3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29D69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32634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B001B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A86FB9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07080">
            <w:pPr>
              <w:pStyle w:val="16"/>
              <w:rPr>
                <w:rFonts w:hint="eastAsia" w:ascii="宋体" w:hAnsi="宋体" w:eastAsia="宋体" w:cs="宋体"/>
                <w:b w:val="0"/>
                <w:bCs w:val="0"/>
                <w:sz w:val="21"/>
                <w:szCs w:val="21"/>
              </w:rPr>
            </w:pPr>
          </w:p>
        </w:tc>
      </w:tr>
      <w:tr w14:paraId="7659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294FCF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4841E56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B03A6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CCA6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2A25D5C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11C4D7D">
            <w:pPr>
              <w:pStyle w:val="16"/>
              <w:rPr>
                <w:rFonts w:hint="eastAsia" w:ascii="宋体" w:hAnsi="宋体" w:eastAsia="宋体" w:cs="宋体"/>
                <w:b w:val="0"/>
                <w:bCs w:val="0"/>
                <w:sz w:val="21"/>
                <w:szCs w:val="21"/>
              </w:rPr>
            </w:pPr>
          </w:p>
        </w:tc>
      </w:tr>
      <w:tr w14:paraId="417B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9E52B0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CBDD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61F1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34E0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02E2C1C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78CE689">
            <w:pPr>
              <w:pStyle w:val="16"/>
              <w:rPr>
                <w:rFonts w:hint="eastAsia" w:ascii="宋体" w:hAnsi="宋体" w:eastAsia="宋体" w:cs="宋体"/>
                <w:b w:val="0"/>
                <w:bCs w:val="0"/>
                <w:sz w:val="21"/>
                <w:szCs w:val="21"/>
              </w:rPr>
            </w:pPr>
          </w:p>
        </w:tc>
      </w:tr>
      <w:tr w14:paraId="7D79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D843CD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7D50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B7BE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DE568F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3958A8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A72A4">
            <w:pPr>
              <w:pStyle w:val="16"/>
              <w:rPr>
                <w:rFonts w:hint="eastAsia" w:ascii="宋体" w:hAnsi="宋体" w:eastAsia="宋体" w:cs="宋体"/>
                <w:b w:val="0"/>
                <w:bCs w:val="0"/>
                <w:sz w:val="21"/>
                <w:szCs w:val="21"/>
              </w:rPr>
            </w:pPr>
          </w:p>
        </w:tc>
      </w:tr>
      <w:tr w14:paraId="254A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510FD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802248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B68F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A33AF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227A14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063DE05">
            <w:pPr>
              <w:pStyle w:val="16"/>
              <w:rPr>
                <w:rFonts w:hint="eastAsia" w:ascii="宋体" w:hAnsi="宋体" w:eastAsia="宋体" w:cs="宋体"/>
                <w:b w:val="0"/>
                <w:bCs w:val="0"/>
                <w:sz w:val="21"/>
                <w:szCs w:val="21"/>
              </w:rPr>
            </w:pPr>
          </w:p>
        </w:tc>
      </w:tr>
      <w:tr w14:paraId="146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9AA23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EB4E4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BFC60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22009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F5A79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6D2C98D">
            <w:pPr>
              <w:pStyle w:val="16"/>
              <w:rPr>
                <w:rFonts w:hint="eastAsia" w:ascii="宋体" w:hAnsi="宋体" w:eastAsia="宋体" w:cs="宋体"/>
                <w:b w:val="0"/>
                <w:bCs w:val="0"/>
                <w:sz w:val="21"/>
                <w:szCs w:val="21"/>
              </w:rPr>
            </w:pPr>
          </w:p>
        </w:tc>
      </w:tr>
      <w:tr w14:paraId="7505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D648A6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51F177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D63C92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1724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16382E8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EB7FA8">
            <w:pPr>
              <w:pStyle w:val="16"/>
              <w:rPr>
                <w:rFonts w:hint="eastAsia" w:ascii="宋体" w:hAnsi="宋体" w:eastAsia="宋体" w:cs="宋体"/>
                <w:b w:val="0"/>
                <w:bCs w:val="0"/>
                <w:sz w:val="21"/>
                <w:szCs w:val="21"/>
              </w:rPr>
            </w:pPr>
          </w:p>
        </w:tc>
      </w:tr>
      <w:tr w14:paraId="2DDC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C9E8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4096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0906C5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9AE8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432253C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E5EBB10">
            <w:pPr>
              <w:pStyle w:val="16"/>
              <w:rPr>
                <w:rFonts w:hint="eastAsia" w:ascii="宋体" w:hAnsi="宋体" w:eastAsia="宋体" w:cs="宋体"/>
                <w:b w:val="0"/>
                <w:bCs w:val="0"/>
                <w:sz w:val="21"/>
                <w:szCs w:val="21"/>
              </w:rPr>
            </w:pPr>
          </w:p>
        </w:tc>
      </w:tr>
      <w:tr w14:paraId="09CD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B5F1D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477559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0103592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C69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11E5B37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E27553D">
            <w:pPr>
              <w:pStyle w:val="16"/>
              <w:rPr>
                <w:rFonts w:hint="eastAsia" w:ascii="宋体" w:hAnsi="宋体" w:eastAsia="宋体" w:cs="宋体"/>
                <w:b w:val="0"/>
                <w:bCs w:val="0"/>
                <w:sz w:val="21"/>
                <w:szCs w:val="21"/>
              </w:rPr>
            </w:pPr>
          </w:p>
        </w:tc>
      </w:tr>
      <w:tr w14:paraId="7C49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4070421">
            <w:pPr>
              <w:pStyle w:val="16"/>
              <w:rPr>
                <w:rFonts w:hint="eastAsia" w:ascii="宋体" w:hAnsi="宋体" w:eastAsia="宋体" w:cs="宋体"/>
                <w:b w:val="0"/>
                <w:bCs w:val="0"/>
                <w:sz w:val="21"/>
                <w:szCs w:val="21"/>
              </w:rPr>
            </w:pPr>
          </w:p>
          <w:p w14:paraId="057C12C7">
            <w:pPr>
              <w:pStyle w:val="16"/>
              <w:rPr>
                <w:rFonts w:hint="eastAsia" w:ascii="宋体" w:hAnsi="宋体" w:eastAsia="宋体" w:cs="宋体"/>
                <w:b w:val="0"/>
                <w:bCs w:val="0"/>
                <w:sz w:val="21"/>
                <w:szCs w:val="21"/>
              </w:rPr>
            </w:pPr>
          </w:p>
          <w:p w14:paraId="5450FC14">
            <w:pPr>
              <w:pStyle w:val="16"/>
              <w:rPr>
                <w:rFonts w:hint="eastAsia" w:ascii="宋体" w:hAnsi="宋体" w:eastAsia="宋体" w:cs="宋体"/>
                <w:b w:val="0"/>
                <w:bCs w:val="0"/>
                <w:sz w:val="21"/>
                <w:szCs w:val="21"/>
              </w:rPr>
            </w:pPr>
          </w:p>
          <w:p w14:paraId="4A3C5C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p w14:paraId="2677EA2A">
            <w:pPr>
              <w:pStyle w:val="16"/>
              <w:rPr>
                <w:rFonts w:hint="eastAsia" w:ascii="宋体" w:hAnsi="宋体" w:eastAsia="宋体" w:cs="宋体"/>
                <w:b w:val="0"/>
                <w:bCs w:val="0"/>
                <w:sz w:val="21"/>
                <w:szCs w:val="21"/>
              </w:rPr>
            </w:pPr>
          </w:p>
          <w:p w14:paraId="70A480F6">
            <w:pPr>
              <w:pStyle w:val="16"/>
              <w:rPr>
                <w:rFonts w:hint="eastAsia" w:ascii="宋体" w:hAnsi="宋体" w:eastAsia="宋体" w:cs="宋体"/>
                <w:b w:val="0"/>
                <w:bCs w:val="0"/>
                <w:sz w:val="21"/>
                <w:szCs w:val="21"/>
              </w:rPr>
            </w:pPr>
          </w:p>
          <w:p w14:paraId="047B026E">
            <w:pPr>
              <w:pStyle w:val="16"/>
              <w:rPr>
                <w:rFonts w:hint="eastAsia" w:ascii="宋体" w:hAnsi="宋体" w:eastAsia="宋体" w:cs="宋体"/>
                <w:b w:val="0"/>
                <w:bCs w:val="0"/>
                <w:sz w:val="21"/>
                <w:szCs w:val="21"/>
              </w:rPr>
            </w:pPr>
          </w:p>
          <w:p w14:paraId="44C12F54">
            <w:pPr>
              <w:pStyle w:val="16"/>
              <w:rPr>
                <w:rFonts w:hint="eastAsia" w:ascii="宋体" w:hAnsi="宋体" w:eastAsia="宋体" w:cs="宋体"/>
                <w:b w:val="0"/>
                <w:bCs w:val="0"/>
                <w:sz w:val="21"/>
                <w:szCs w:val="21"/>
              </w:rPr>
            </w:pPr>
          </w:p>
          <w:p w14:paraId="37C32E5E">
            <w:pPr>
              <w:pStyle w:val="16"/>
              <w:rPr>
                <w:rFonts w:hint="eastAsia" w:ascii="宋体" w:hAnsi="宋体" w:eastAsia="宋体" w:cs="宋体"/>
                <w:b w:val="0"/>
                <w:bCs w:val="0"/>
                <w:sz w:val="21"/>
                <w:szCs w:val="21"/>
              </w:rPr>
            </w:pPr>
          </w:p>
          <w:p w14:paraId="07D72FB2">
            <w:pPr>
              <w:pStyle w:val="16"/>
              <w:rPr>
                <w:rFonts w:hint="eastAsia" w:ascii="宋体" w:hAnsi="宋体" w:eastAsia="宋体" w:cs="宋体"/>
                <w:b w:val="0"/>
                <w:bCs w:val="0"/>
                <w:sz w:val="21"/>
                <w:szCs w:val="21"/>
              </w:rPr>
            </w:pPr>
          </w:p>
          <w:p w14:paraId="793B7578">
            <w:pPr>
              <w:pStyle w:val="16"/>
              <w:rPr>
                <w:rFonts w:hint="eastAsia" w:ascii="宋体" w:hAnsi="宋体" w:eastAsia="宋体" w:cs="宋体"/>
                <w:b w:val="0"/>
                <w:bCs w:val="0"/>
                <w:sz w:val="21"/>
                <w:szCs w:val="21"/>
              </w:rPr>
            </w:pPr>
          </w:p>
          <w:p w14:paraId="45D3C2C6">
            <w:pPr>
              <w:pStyle w:val="16"/>
              <w:rPr>
                <w:rFonts w:hint="eastAsia" w:ascii="宋体" w:hAnsi="宋体" w:eastAsia="宋体" w:cs="宋体"/>
                <w:b w:val="0"/>
                <w:bCs w:val="0"/>
                <w:sz w:val="21"/>
                <w:szCs w:val="21"/>
              </w:rPr>
            </w:pPr>
          </w:p>
          <w:p w14:paraId="3BDC77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1DCD1DF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910BC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921C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287D10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65C4170">
            <w:pPr>
              <w:pStyle w:val="16"/>
              <w:rPr>
                <w:rFonts w:hint="eastAsia" w:ascii="宋体" w:hAnsi="宋体" w:eastAsia="宋体" w:cs="宋体"/>
                <w:b w:val="0"/>
                <w:bCs w:val="0"/>
                <w:sz w:val="21"/>
                <w:szCs w:val="21"/>
              </w:rPr>
            </w:pPr>
          </w:p>
        </w:tc>
      </w:tr>
      <w:tr w14:paraId="7FA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026E3F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742B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7195E6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BB9E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61F39FA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9D3199E">
            <w:pPr>
              <w:pStyle w:val="16"/>
              <w:rPr>
                <w:rFonts w:hint="eastAsia" w:ascii="宋体" w:hAnsi="宋体" w:eastAsia="宋体" w:cs="宋体"/>
                <w:b w:val="0"/>
                <w:bCs w:val="0"/>
                <w:sz w:val="21"/>
                <w:szCs w:val="21"/>
              </w:rPr>
            </w:pPr>
          </w:p>
        </w:tc>
      </w:tr>
      <w:tr w14:paraId="13E1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FE7B4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6B1B0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1F9B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D8180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399ACC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006122A">
            <w:pPr>
              <w:pStyle w:val="16"/>
              <w:rPr>
                <w:rFonts w:hint="eastAsia" w:ascii="宋体" w:hAnsi="宋体" w:eastAsia="宋体" w:cs="宋体"/>
                <w:b w:val="0"/>
                <w:bCs w:val="0"/>
                <w:sz w:val="21"/>
                <w:szCs w:val="21"/>
              </w:rPr>
            </w:pPr>
          </w:p>
        </w:tc>
      </w:tr>
      <w:tr w14:paraId="553C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C44B1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5E9F6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AB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E1586F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57F582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9F80932">
            <w:pPr>
              <w:pStyle w:val="16"/>
              <w:rPr>
                <w:rFonts w:hint="eastAsia" w:ascii="宋体" w:hAnsi="宋体" w:eastAsia="宋体" w:cs="宋体"/>
                <w:b w:val="0"/>
                <w:bCs w:val="0"/>
                <w:sz w:val="21"/>
                <w:szCs w:val="21"/>
              </w:rPr>
            </w:pPr>
          </w:p>
        </w:tc>
      </w:tr>
      <w:tr w14:paraId="0488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091D37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EBAB5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87B3D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B959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36E6663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B3AB0E2">
            <w:pPr>
              <w:pStyle w:val="16"/>
              <w:rPr>
                <w:rFonts w:hint="eastAsia" w:ascii="宋体" w:hAnsi="宋体" w:eastAsia="宋体" w:cs="宋体"/>
                <w:b w:val="0"/>
                <w:bCs w:val="0"/>
                <w:sz w:val="21"/>
                <w:szCs w:val="21"/>
              </w:rPr>
            </w:pPr>
          </w:p>
        </w:tc>
      </w:tr>
      <w:tr w14:paraId="7D3C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F52A1E">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47397E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A2EA0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C75B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115CB26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C92DB3B">
            <w:pPr>
              <w:pStyle w:val="16"/>
              <w:rPr>
                <w:rFonts w:hint="eastAsia" w:ascii="宋体" w:hAnsi="宋体" w:eastAsia="宋体" w:cs="宋体"/>
                <w:b w:val="0"/>
                <w:bCs w:val="0"/>
                <w:sz w:val="21"/>
                <w:szCs w:val="21"/>
              </w:rPr>
            </w:pPr>
          </w:p>
        </w:tc>
      </w:tr>
      <w:tr w14:paraId="6B35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4310A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733DD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688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1A98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219FCAE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DE1C40C">
            <w:pPr>
              <w:pStyle w:val="16"/>
              <w:rPr>
                <w:rFonts w:hint="eastAsia" w:ascii="宋体" w:hAnsi="宋体" w:eastAsia="宋体" w:cs="宋体"/>
                <w:b w:val="0"/>
                <w:bCs w:val="0"/>
                <w:sz w:val="21"/>
                <w:szCs w:val="21"/>
              </w:rPr>
            </w:pPr>
          </w:p>
        </w:tc>
      </w:tr>
      <w:tr w14:paraId="18C8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85757D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7BCF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1A4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911C4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290E397D">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A3A537">
            <w:pPr>
              <w:pStyle w:val="16"/>
              <w:rPr>
                <w:rFonts w:hint="eastAsia" w:ascii="宋体" w:hAnsi="宋体" w:eastAsia="宋体" w:cs="宋体"/>
                <w:b w:val="0"/>
                <w:bCs w:val="0"/>
                <w:sz w:val="21"/>
                <w:szCs w:val="21"/>
              </w:rPr>
            </w:pPr>
          </w:p>
        </w:tc>
      </w:tr>
      <w:tr w14:paraId="1F3E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34A8883">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3441D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6D48A2">
            <w:pPr>
              <w:pStyle w:val="16"/>
              <w:rPr>
                <w:rFonts w:hint="eastAsia" w:ascii="宋体" w:hAnsi="宋体" w:eastAsia="宋体" w:cs="宋体"/>
                <w:b w:val="0"/>
                <w:bCs w:val="0"/>
                <w:sz w:val="21"/>
                <w:szCs w:val="21"/>
              </w:rPr>
            </w:pPr>
            <w:r>
              <w:rPr>
                <w:rFonts w:hint="eastAsia" w:ascii="宋体" w:hAnsi="宋体" w:eastAsia="宋体" w:cs="宋体"/>
                <w:b w:val="0"/>
                <w:bCs w:val="0"/>
                <w:spacing w:val="-11"/>
                <w:sz w:val="21"/>
                <w:szCs w:val="21"/>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692F5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03F11E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AAED49">
            <w:pPr>
              <w:pStyle w:val="16"/>
              <w:rPr>
                <w:rFonts w:hint="eastAsia" w:ascii="宋体" w:hAnsi="宋体" w:eastAsia="宋体" w:cs="宋体"/>
                <w:b w:val="0"/>
                <w:bCs w:val="0"/>
                <w:sz w:val="21"/>
                <w:szCs w:val="21"/>
              </w:rPr>
            </w:pPr>
          </w:p>
        </w:tc>
      </w:tr>
      <w:tr w14:paraId="3507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2CAF8B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39BA91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C667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8A69D7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3AEE5CA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F6FA917">
            <w:pPr>
              <w:pStyle w:val="16"/>
              <w:rPr>
                <w:rFonts w:hint="eastAsia" w:ascii="宋体" w:hAnsi="宋体" w:eastAsia="宋体" w:cs="宋体"/>
                <w:b w:val="0"/>
                <w:bCs w:val="0"/>
                <w:sz w:val="21"/>
                <w:szCs w:val="21"/>
              </w:rPr>
            </w:pPr>
          </w:p>
        </w:tc>
      </w:tr>
      <w:tr w14:paraId="39EB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04F4FB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2A1D4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65159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93F9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683EA3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936FFB">
            <w:pPr>
              <w:pStyle w:val="16"/>
              <w:rPr>
                <w:rFonts w:hint="eastAsia" w:ascii="宋体" w:hAnsi="宋体" w:eastAsia="宋体" w:cs="宋体"/>
                <w:b w:val="0"/>
                <w:bCs w:val="0"/>
                <w:sz w:val="21"/>
                <w:szCs w:val="21"/>
              </w:rPr>
            </w:pPr>
          </w:p>
        </w:tc>
      </w:tr>
      <w:tr w14:paraId="4B2F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CA56B5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A93E3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4B46A7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CFF9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E76546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391CF6">
            <w:pPr>
              <w:pStyle w:val="16"/>
              <w:rPr>
                <w:rFonts w:hint="eastAsia" w:ascii="宋体" w:hAnsi="宋体" w:eastAsia="宋体" w:cs="宋体"/>
                <w:b w:val="0"/>
                <w:bCs w:val="0"/>
                <w:sz w:val="21"/>
                <w:szCs w:val="21"/>
              </w:rPr>
            </w:pPr>
          </w:p>
        </w:tc>
      </w:tr>
      <w:tr w14:paraId="0085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36388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12C738E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2E71E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583AB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002761A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7D314BD">
            <w:pPr>
              <w:pStyle w:val="16"/>
              <w:rPr>
                <w:rFonts w:hint="eastAsia" w:ascii="宋体" w:hAnsi="宋体" w:eastAsia="宋体" w:cs="宋体"/>
                <w:b w:val="0"/>
                <w:bCs w:val="0"/>
                <w:sz w:val="21"/>
                <w:szCs w:val="21"/>
              </w:rPr>
            </w:pPr>
          </w:p>
        </w:tc>
      </w:tr>
      <w:tr w14:paraId="1754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551541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D29CC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BF7C9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106F3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5A3E70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1A080F">
            <w:pPr>
              <w:pStyle w:val="16"/>
              <w:rPr>
                <w:rFonts w:hint="eastAsia" w:ascii="宋体" w:hAnsi="宋体" w:eastAsia="宋体" w:cs="宋体"/>
                <w:b w:val="0"/>
                <w:bCs w:val="0"/>
                <w:sz w:val="21"/>
                <w:szCs w:val="21"/>
              </w:rPr>
            </w:pPr>
          </w:p>
        </w:tc>
      </w:tr>
      <w:tr w14:paraId="3F7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9B4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12D4E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00D3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35A32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2C40C85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C78BC04">
            <w:pPr>
              <w:pStyle w:val="16"/>
              <w:rPr>
                <w:rFonts w:hint="eastAsia" w:ascii="宋体" w:hAnsi="宋体" w:eastAsia="宋体" w:cs="宋体"/>
                <w:b w:val="0"/>
                <w:bCs w:val="0"/>
                <w:sz w:val="21"/>
                <w:szCs w:val="21"/>
              </w:rPr>
            </w:pPr>
          </w:p>
        </w:tc>
      </w:tr>
      <w:tr w14:paraId="54FC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39EED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6893A9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41D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4404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5C5652F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84A1022">
            <w:pPr>
              <w:pStyle w:val="16"/>
              <w:rPr>
                <w:rFonts w:hint="eastAsia" w:ascii="宋体" w:hAnsi="宋体" w:eastAsia="宋体" w:cs="宋体"/>
                <w:b w:val="0"/>
                <w:bCs w:val="0"/>
                <w:sz w:val="21"/>
                <w:szCs w:val="21"/>
              </w:rPr>
            </w:pPr>
          </w:p>
        </w:tc>
      </w:tr>
      <w:tr w14:paraId="7FDB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4C8E6C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E1CD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54CE1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A784B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D77712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D951D9B">
            <w:pPr>
              <w:pStyle w:val="16"/>
              <w:rPr>
                <w:rFonts w:hint="eastAsia" w:ascii="宋体" w:hAnsi="宋体" w:eastAsia="宋体" w:cs="宋体"/>
                <w:b w:val="0"/>
                <w:bCs w:val="0"/>
                <w:sz w:val="21"/>
                <w:szCs w:val="21"/>
              </w:rPr>
            </w:pPr>
          </w:p>
        </w:tc>
      </w:tr>
      <w:tr w14:paraId="0FCE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7E2CC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D6742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8C5B3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B42EC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B7ADE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76A4AB">
            <w:pPr>
              <w:pStyle w:val="16"/>
              <w:rPr>
                <w:rFonts w:hint="eastAsia" w:ascii="宋体" w:hAnsi="宋体" w:eastAsia="宋体" w:cs="宋体"/>
                <w:b w:val="0"/>
                <w:bCs w:val="0"/>
                <w:sz w:val="21"/>
                <w:szCs w:val="21"/>
              </w:rPr>
            </w:pPr>
          </w:p>
        </w:tc>
      </w:tr>
      <w:tr w14:paraId="653A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D85B93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9E203B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B56AA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6A4BA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0BEF015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F2F45F">
            <w:pPr>
              <w:pStyle w:val="16"/>
              <w:rPr>
                <w:rFonts w:hint="eastAsia" w:ascii="宋体" w:hAnsi="宋体" w:eastAsia="宋体" w:cs="宋体"/>
                <w:b w:val="0"/>
                <w:bCs w:val="0"/>
                <w:sz w:val="21"/>
                <w:szCs w:val="21"/>
              </w:rPr>
            </w:pPr>
          </w:p>
        </w:tc>
      </w:tr>
      <w:tr w14:paraId="00DD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931D7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79801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37F0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8AC4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4CF513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49890B9">
            <w:pPr>
              <w:pStyle w:val="16"/>
              <w:rPr>
                <w:rFonts w:hint="eastAsia" w:ascii="宋体" w:hAnsi="宋体" w:eastAsia="宋体" w:cs="宋体"/>
                <w:b w:val="0"/>
                <w:bCs w:val="0"/>
                <w:sz w:val="21"/>
                <w:szCs w:val="21"/>
              </w:rPr>
            </w:pPr>
          </w:p>
        </w:tc>
      </w:tr>
      <w:tr w14:paraId="0257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2377DA1">
            <w:pPr>
              <w:pStyle w:val="16"/>
              <w:rPr>
                <w:rFonts w:hint="eastAsia" w:ascii="宋体" w:hAnsi="宋体" w:eastAsia="宋体" w:cs="宋体"/>
                <w:b w:val="0"/>
                <w:bCs w:val="0"/>
                <w:sz w:val="21"/>
                <w:szCs w:val="21"/>
              </w:rPr>
            </w:pPr>
          </w:p>
          <w:p w14:paraId="44DBFE47">
            <w:pPr>
              <w:pStyle w:val="16"/>
              <w:rPr>
                <w:rFonts w:hint="eastAsia" w:ascii="宋体" w:hAnsi="宋体" w:eastAsia="宋体" w:cs="宋体"/>
                <w:b w:val="0"/>
                <w:bCs w:val="0"/>
                <w:sz w:val="21"/>
                <w:szCs w:val="21"/>
              </w:rPr>
            </w:pPr>
          </w:p>
          <w:p w14:paraId="12F677E5">
            <w:pPr>
              <w:pStyle w:val="16"/>
              <w:rPr>
                <w:rFonts w:hint="eastAsia" w:ascii="宋体" w:hAnsi="宋体" w:eastAsia="宋体" w:cs="宋体"/>
                <w:b w:val="0"/>
                <w:bCs w:val="0"/>
                <w:sz w:val="21"/>
                <w:szCs w:val="21"/>
              </w:rPr>
            </w:pPr>
          </w:p>
          <w:p w14:paraId="15458CC3">
            <w:pPr>
              <w:pStyle w:val="16"/>
              <w:rPr>
                <w:rFonts w:hint="eastAsia" w:ascii="宋体" w:hAnsi="宋体" w:eastAsia="宋体" w:cs="宋体"/>
                <w:b w:val="0"/>
                <w:bCs w:val="0"/>
                <w:sz w:val="21"/>
                <w:szCs w:val="21"/>
              </w:rPr>
            </w:pPr>
          </w:p>
          <w:p w14:paraId="483D2F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525861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p w14:paraId="2997D440">
            <w:pPr>
              <w:pStyle w:val="16"/>
              <w:rPr>
                <w:rFonts w:hint="eastAsia" w:ascii="宋体" w:hAnsi="宋体" w:eastAsia="宋体" w:cs="宋体"/>
                <w:b w:val="0"/>
                <w:bCs w:val="0"/>
                <w:sz w:val="21"/>
                <w:szCs w:val="21"/>
              </w:rPr>
            </w:pPr>
          </w:p>
          <w:p w14:paraId="54404B3C">
            <w:pPr>
              <w:pStyle w:val="16"/>
              <w:rPr>
                <w:rFonts w:hint="eastAsia" w:ascii="宋体" w:hAnsi="宋体" w:eastAsia="宋体" w:cs="宋体"/>
                <w:b w:val="0"/>
                <w:bCs w:val="0"/>
                <w:sz w:val="21"/>
                <w:szCs w:val="21"/>
              </w:rPr>
            </w:pPr>
          </w:p>
          <w:p w14:paraId="26B62C65">
            <w:pPr>
              <w:pStyle w:val="16"/>
              <w:rPr>
                <w:rFonts w:hint="eastAsia" w:ascii="宋体" w:hAnsi="宋体" w:eastAsia="宋体" w:cs="宋体"/>
                <w:b w:val="0"/>
                <w:bCs w:val="0"/>
                <w:sz w:val="21"/>
                <w:szCs w:val="21"/>
              </w:rPr>
            </w:pPr>
          </w:p>
          <w:p w14:paraId="207F83CB">
            <w:pPr>
              <w:pStyle w:val="16"/>
              <w:rPr>
                <w:rFonts w:hint="eastAsia" w:ascii="宋体" w:hAnsi="宋体" w:eastAsia="宋体" w:cs="宋体"/>
                <w:b w:val="0"/>
                <w:bCs w:val="0"/>
                <w:sz w:val="21"/>
                <w:szCs w:val="21"/>
              </w:rPr>
            </w:pPr>
          </w:p>
          <w:p w14:paraId="01648A94">
            <w:pPr>
              <w:pStyle w:val="16"/>
              <w:rPr>
                <w:rFonts w:hint="eastAsia" w:ascii="宋体" w:hAnsi="宋体" w:eastAsia="宋体" w:cs="宋体"/>
                <w:b w:val="0"/>
                <w:bCs w:val="0"/>
                <w:sz w:val="21"/>
                <w:szCs w:val="21"/>
              </w:rPr>
            </w:pPr>
          </w:p>
          <w:p w14:paraId="1F4F1688">
            <w:pPr>
              <w:pStyle w:val="16"/>
              <w:rPr>
                <w:rFonts w:hint="eastAsia" w:ascii="宋体" w:hAnsi="宋体" w:eastAsia="宋体" w:cs="宋体"/>
                <w:b w:val="0"/>
                <w:bCs w:val="0"/>
                <w:sz w:val="21"/>
                <w:szCs w:val="21"/>
              </w:rPr>
            </w:pPr>
          </w:p>
          <w:p w14:paraId="353E3611">
            <w:pPr>
              <w:pStyle w:val="16"/>
              <w:rPr>
                <w:rFonts w:hint="eastAsia" w:ascii="宋体" w:hAnsi="宋体" w:eastAsia="宋体" w:cs="宋体"/>
                <w:b w:val="0"/>
                <w:bCs w:val="0"/>
                <w:sz w:val="21"/>
                <w:szCs w:val="21"/>
              </w:rPr>
            </w:pPr>
          </w:p>
          <w:p w14:paraId="2282AC24">
            <w:pPr>
              <w:pStyle w:val="16"/>
              <w:rPr>
                <w:rFonts w:hint="eastAsia" w:ascii="宋体" w:hAnsi="宋体" w:eastAsia="宋体" w:cs="宋体"/>
                <w:b w:val="0"/>
                <w:bCs w:val="0"/>
                <w:sz w:val="21"/>
                <w:szCs w:val="21"/>
              </w:rPr>
            </w:pPr>
          </w:p>
          <w:p w14:paraId="417C8744">
            <w:pPr>
              <w:pStyle w:val="16"/>
              <w:rPr>
                <w:rFonts w:hint="eastAsia" w:ascii="宋体" w:hAnsi="宋体" w:eastAsia="宋体" w:cs="宋体"/>
                <w:b w:val="0"/>
                <w:bCs w:val="0"/>
                <w:sz w:val="21"/>
                <w:szCs w:val="21"/>
              </w:rPr>
            </w:pPr>
          </w:p>
          <w:p w14:paraId="6FC44A63">
            <w:pPr>
              <w:pStyle w:val="16"/>
              <w:rPr>
                <w:rFonts w:hint="eastAsia" w:ascii="宋体" w:hAnsi="宋体" w:eastAsia="宋体" w:cs="宋体"/>
                <w:b w:val="0"/>
                <w:bCs w:val="0"/>
                <w:sz w:val="21"/>
                <w:szCs w:val="21"/>
              </w:rPr>
            </w:pPr>
          </w:p>
          <w:p w14:paraId="55A8A989">
            <w:pPr>
              <w:pStyle w:val="16"/>
              <w:rPr>
                <w:rFonts w:hint="eastAsia" w:ascii="宋体" w:hAnsi="宋体" w:eastAsia="宋体" w:cs="宋体"/>
                <w:b w:val="0"/>
                <w:bCs w:val="0"/>
                <w:sz w:val="21"/>
                <w:szCs w:val="21"/>
              </w:rPr>
            </w:pPr>
          </w:p>
          <w:p w14:paraId="1E1C063A">
            <w:pPr>
              <w:pStyle w:val="16"/>
              <w:rPr>
                <w:rFonts w:hint="eastAsia" w:ascii="宋体" w:hAnsi="宋体" w:eastAsia="宋体" w:cs="宋体"/>
                <w:b w:val="0"/>
                <w:bCs w:val="0"/>
                <w:sz w:val="21"/>
                <w:szCs w:val="21"/>
              </w:rPr>
            </w:pPr>
          </w:p>
          <w:p w14:paraId="3EDCE21E">
            <w:pPr>
              <w:pStyle w:val="16"/>
              <w:rPr>
                <w:rFonts w:hint="eastAsia" w:ascii="宋体" w:hAnsi="宋体" w:eastAsia="宋体" w:cs="宋体"/>
                <w:b w:val="0"/>
                <w:bCs w:val="0"/>
                <w:sz w:val="21"/>
                <w:szCs w:val="21"/>
              </w:rPr>
            </w:pPr>
          </w:p>
          <w:p w14:paraId="11AB050C">
            <w:pPr>
              <w:pStyle w:val="16"/>
              <w:rPr>
                <w:rFonts w:hint="eastAsia" w:ascii="宋体" w:hAnsi="宋体" w:eastAsia="宋体" w:cs="宋体"/>
                <w:b w:val="0"/>
                <w:bCs w:val="0"/>
                <w:sz w:val="21"/>
                <w:szCs w:val="21"/>
              </w:rPr>
            </w:pPr>
          </w:p>
          <w:p w14:paraId="0EE9FA5A">
            <w:pPr>
              <w:pStyle w:val="16"/>
              <w:rPr>
                <w:rFonts w:hint="eastAsia" w:ascii="宋体" w:hAnsi="宋体" w:eastAsia="宋体" w:cs="宋体"/>
                <w:b w:val="0"/>
                <w:bCs w:val="0"/>
                <w:sz w:val="21"/>
                <w:szCs w:val="21"/>
              </w:rPr>
            </w:pPr>
          </w:p>
          <w:p w14:paraId="3D01DEE8">
            <w:pPr>
              <w:pStyle w:val="16"/>
              <w:rPr>
                <w:rFonts w:hint="eastAsia" w:ascii="宋体" w:hAnsi="宋体" w:eastAsia="宋体" w:cs="宋体"/>
                <w:b w:val="0"/>
                <w:bCs w:val="0"/>
                <w:sz w:val="21"/>
                <w:szCs w:val="21"/>
              </w:rPr>
            </w:pPr>
          </w:p>
          <w:p w14:paraId="583D803A">
            <w:pPr>
              <w:pStyle w:val="16"/>
              <w:rPr>
                <w:rFonts w:hint="eastAsia" w:ascii="宋体" w:hAnsi="宋体" w:eastAsia="宋体" w:cs="宋体"/>
                <w:b w:val="0"/>
                <w:bCs w:val="0"/>
                <w:sz w:val="21"/>
                <w:szCs w:val="21"/>
              </w:rPr>
            </w:pPr>
          </w:p>
          <w:p w14:paraId="4F768CFF">
            <w:pPr>
              <w:pStyle w:val="16"/>
              <w:rPr>
                <w:rFonts w:hint="eastAsia" w:ascii="宋体" w:hAnsi="宋体" w:eastAsia="宋体" w:cs="宋体"/>
                <w:b w:val="0"/>
                <w:bCs w:val="0"/>
                <w:sz w:val="21"/>
                <w:szCs w:val="21"/>
              </w:rPr>
            </w:pPr>
          </w:p>
          <w:p w14:paraId="3E5A5957">
            <w:pPr>
              <w:pStyle w:val="16"/>
              <w:rPr>
                <w:rFonts w:hint="eastAsia" w:ascii="宋体" w:hAnsi="宋体" w:eastAsia="宋体" w:cs="宋体"/>
                <w:b w:val="0"/>
                <w:bCs w:val="0"/>
                <w:sz w:val="21"/>
                <w:szCs w:val="21"/>
              </w:rPr>
            </w:pPr>
          </w:p>
          <w:p w14:paraId="2DC83BA9">
            <w:pPr>
              <w:pStyle w:val="16"/>
              <w:rPr>
                <w:rFonts w:hint="eastAsia" w:ascii="宋体" w:hAnsi="宋体" w:eastAsia="宋体" w:cs="宋体"/>
                <w:b w:val="0"/>
                <w:bCs w:val="0"/>
                <w:sz w:val="21"/>
                <w:szCs w:val="21"/>
              </w:rPr>
            </w:pPr>
          </w:p>
          <w:p w14:paraId="63E8C671">
            <w:pPr>
              <w:pStyle w:val="16"/>
              <w:rPr>
                <w:rFonts w:hint="eastAsia" w:ascii="宋体" w:hAnsi="宋体" w:eastAsia="宋体" w:cs="宋体"/>
                <w:b w:val="0"/>
                <w:bCs w:val="0"/>
                <w:sz w:val="21"/>
                <w:szCs w:val="21"/>
              </w:rPr>
            </w:pPr>
          </w:p>
          <w:p w14:paraId="452F6473">
            <w:pPr>
              <w:pStyle w:val="16"/>
              <w:rPr>
                <w:rFonts w:hint="eastAsia" w:ascii="宋体" w:hAnsi="宋体" w:eastAsia="宋体" w:cs="宋体"/>
                <w:b w:val="0"/>
                <w:bCs w:val="0"/>
                <w:sz w:val="21"/>
                <w:szCs w:val="21"/>
              </w:rPr>
            </w:pPr>
          </w:p>
          <w:p w14:paraId="7B69CD9F">
            <w:pPr>
              <w:pStyle w:val="16"/>
              <w:rPr>
                <w:rFonts w:hint="eastAsia" w:ascii="宋体" w:hAnsi="宋体" w:eastAsia="宋体" w:cs="宋体"/>
                <w:b w:val="0"/>
                <w:bCs w:val="0"/>
                <w:sz w:val="21"/>
                <w:szCs w:val="21"/>
              </w:rPr>
            </w:pPr>
          </w:p>
          <w:p w14:paraId="10E22D5E">
            <w:pPr>
              <w:pStyle w:val="16"/>
              <w:rPr>
                <w:rFonts w:hint="eastAsia" w:ascii="宋体" w:hAnsi="宋体" w:eastAsia="宋体" w:cs="宋体"/>
                <w:b w:val="0"/>
                <w:bCs w:val="0"/>
                <w:sz w:val="21"/>
                <w:szCs w:val="21"/>
              </w:rPr>
            </w:pPr>
          </w:p>
          <w:p w14:paraId="4B2477D6">
            <w:pPr>
              <w:pStyle w:val="16"/>
              <w:rPr>
                <w:rFonts w:hint="eastAsia" w:ascii="宋体" w:hAnsi="宋体" w:eastAsia="宋体" w:cs="宋体"/>
                <w:b w:val="0"/>
                <w:bCs w:val="0"/>
                <w:sz w:val="21"/>
                <w:szCs w:val="21"/>
              </w:rPr>
            </w:pPr>
          </w:p>
          <w:p w14:paraId="33F0E7A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375A684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02210BE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59FA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D8BB11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7475C2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B1A43E9">
            <w:pPr>
              <w:pStyle w:val="16"/>
              <w:rPr>
                <w:rFonts w:hint="eastAsia" w:ascii="宋体" w:hAnsi="宋体" w:eastAsia="宋体" w:cs="宋体"/>
                <w:b w:val="0"/>
                <w:bCs w:val="0"/>
                <w:sz w:val="21"/>
                <w:szCs w:val="21"/>
              </w:rPr>
            </w:pPr>
          </w:p>
        </w:tc>
      </w:tr>
      <w:tr w14:paraId="6A2F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F9D4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AAE28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25F37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F2F4BE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1E6C583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F65F43C">
            <w:pPr>
              <w:pStyle w:val="16"/>
              <w:rPr>
                <w:rFonts w:hint="eastAsia" w:ascii="宋体" w:hAnsi="宋体" w:eastAsia="宋体" w:cs="宋体"/>
                <w:b w:val="0"/>
                <w:bCs w:val="0"/>
                <w:sz w:val="21"/>
                <w:szCs w:val="21"/>
              </w:rPr>
            </w:pPr>
          </w:p>
        </w:tc>
      </w:tr>
      <w:tr w14:paraId="26D1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316A6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3B40DE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A812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611AB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3AA59E7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F82245">
            <w:pPr>
              <w:pStyle w:val="16"/>
              <w:rPr>
                <w:rFonts w:hint="eastAsia" w:ascii="宋体" w:hAnsi="宋体" w:eastAsia="宋体" w:cs="宋体"/>
                <w:b w:val="0"/>
                <w:bCs w:val="0"/>
                <w:sz w:val="21"/>
                <w:szCs w:val="21"/>
              </w:rPr>
            </w:pPr>
          </w:p>
        </w:tc>
      </w:tr>
      <w:tr w14:paraId="1553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2C3298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A8BAF3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D286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D569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25A50A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3D8C79">
            <w:pPr>
              <w:pStyle w:val="16"/>
              <w:rPr>
                <w:rFonts w:hint="eastAsia" w:ascii="宋体" w:hAnsi="宋体" w:eastAsia="宋体" w:cs="宋体"/>
                <w:b w:val="0"/>
                <w:bCs w:val="0"/>
                <w:sz w:val="21"/>
                <w:szCs w:val="21"/>
              </w:rPr>
            </w:pPr>
          </w:p>
        </w:tc>
      </w:tr>
      <w:tr w14:paraId="29C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88887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F1B8FB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310B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48375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540B501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2DDF4D3">
            <w:pPr>
              <w:pStyle w:val="16"/>
              <w:rPr>
                <w:rFonts w:hint="eastAsia" w:ascii="宋体" w:hAnsi="宋体" w:eastAsia="宋体" w:cs="宋体"/>
                <w:b w:val="0"/>
                <w:bCs w:val="0"/>
                <w:sz w:val="21"/>
                <w:szCs w:val="21"/>
              </w:rPr>
            </w:pPr>
          </w:p>
        </w:tc>
      </w:tr>
      <w:tr w14:paraId="2F1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77245D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296599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338AD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6217A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03DF82F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CE6C699">
            <w:pPr>
              <w:pStyle w:val="16"/>
              <w:rPr>
                <w:rFonts w:hint="eastAsia" w:ascii="宋体" w:hAnsi="宋体" w:eastAsia="宋体" w:cs="宋体"/>
                <w:b w:val="0"/>
                <w:bCs w:val="0"/>
                <w:sz w:val="21"/>
                <w:szCs w:val="21"/>
              </w:rPr>
            </w:pPr>
          </w:p>
        </w:tc>
      </w:tr>
      <w:tr w14:paraId="5B62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35E33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DC1A0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F96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360A6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28F2D79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861CD8E">
            <w:pPr>
              <w:pStyle w:val="16"/>
              <w:rPr>
                <w:rFonts w:hint="eastAsia" w:ascii="宋体" w:hAnsi="宋体" w:eastAsia="宋体" w:cs="宋体"/>
                <w:b w:val="0"/>
                <w:bCs w:val="0"/>
                <w:sz w:val="21"/>
                <w:szCs w:val="21"/>
              </w:rPr>
            </w:pPr>
          </w:p>
        </w:tc>
      </w:tr>
      <w:tr w14:paraId="0FA0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F7C5B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B1B74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7AC87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钢丝绳穿绕方式、润</w:t>
            </w:r>
          </w:p>
          <w:p w14:paraId="6673FC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CB9D5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1C20340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B1A35D9">
            <w:pPr>
              <w:pStyle w:val="16"/>
              <w:rPr>
                <w:rFonts w:hint="eastAsia" w:ascii="宋体" w:hAnsi="宋体" w:eastAsia="宋体" w:cs="宋体"/>
                <w:b w:val="0"/>
                <w:bCs w:val="0"/>
                <w:sz w:val="21"/>
                <w:szCs w:val="21"/>
              </w:rPr>
            </w:pPr>
          </w:p>
        </w:tc>
      </w:tr>
      <w:tr w14:paraId="0DA4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086E7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70845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B827E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839E9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68B04E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5F7676F">
            <w:pPr>
              <w:pStyle w:val="16"/>
              <w:rPr>
                <w:rFonts w:hint="eastAsia" w:ascii="宋体" w:hAnsi="宋体" w:eastAsia="宋体" w:cs="宋体"/>
                <w:b w:val="0"/>
                <w:bCs w:val="0"/>
                <w:sz w:val="21"/>
                <w:szCs w:val="21"/>
              </w:rPr>
            </w:pPr>
          </w:p>
        </w:tc>
      </w:tr>
      <w:tr w14:paraId="611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23584A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C2F7E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22E2F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1458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4286F6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1FC114E">
            <w:pPr>
              <w:pStyle w:val="16"/>
              <w:rPr>
                <w:rFonts w:hint="eastAsia" w:ascii="宋体" w:hAnsi="宋体" w:eastAsia="宋体" w:cs="宋体"/>
                <w:b w:val="0"/>
                <w:bCs w:val="0"/>
                <w:sz w:val="21"/>
                <w:szCs w:val="21"/>
              </w:rPr>
            </w:pPr>
          </w:p>
        </w:tc>
      </w:tr>
      <w:tr w14:paraId="31CB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6CAA2DE">
            <w:pPr>
              <w:pStyle w:val="16"/>
              <w:rPr>
                <w:rFonts w:hint="eastAsia" w:ascii="宋体" w:hAnsi="宋体" w:eastAsia="宋体" w:cs="宋体"/>
                <w:b w:val="0"/>
                <w:bCs w:val="0"/>
                <w:sz w:val="21"/>
                <w:szCs w:val="21"/>
              </w:rPr>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6130EA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4159425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C32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C1892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5322B8C">
            <w:pPr>
              <w:pStyle w:val="16"/>
              <w:rPr>
                <w:rFonts w:hint="eastAsia" w:ascii="宋体" w:hAnsi="宋体" w:eastAsia="宋体" w:cs="宋体"/>
                <w:b w:val="0"/>
                <w:bCs w:val="0"/>
                <w:sz w:val="21"/>
                <w:szCs w:val="21"/>
              </w:rPr>
            </w:pPr>
          </w:p>
        </w:tc>
      </w:tr>
      <w:tr w14:paraId="72EA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76DD4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456848C1">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D236435">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EF4D5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5D86C1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007DEF">
            <w:pPr>
              <w:pStyle w:val="16"/>
              <w:rPr>
                <w:rFonts w:hint="eastAsia" w:ascii="宋体" w:hAnsi="宋体" w:eastAsia="宋体" w:cs="宋体"/>
                <w:b w:val="0"/>
                <w:bCs w:val="0"/>
                <w:sz w:val="21"/>
                <w:szCs w:val="21"/>
              </w:rPr>
            </w:pPr>
          </w:p>
        </w:tc>
      </w:tr>
      <w:tr w14:paraId="35E1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EE3F4B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6C56737">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54B0F622">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D44F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3896F4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E3DB4B">
            <w:pPr>
              <w:pStyle w:val="16"/>
              <w:rPr>
                <w:rFonts w:hint="eastAsia" w:ascii="宋体" w:hAnsi="宋体" w:eastAsia="宋体" w:cs="宋体"/>
                <w:b w:val="0"/>
                <w:bCs w:val="0"/>
                <w:sz w:val="21"/>
                <w:szCs w:val="21"/>
              </w:rPr>
            </w:pPr>
          </w:p>
        </w:tc>
      </w:tr>
      <w:tr w14:paraId="2F7F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472D305">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50159CF">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47F1E4F6">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E4A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59B224A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B1685E">
            <w:pPr>
              <w:pStyle w:val="16"/>
              <w:rPr>
                <w:rFonts w:hint="eastAsia" w:ascii="宋体" w:hAnsi="宋体" w:eastAsia="宋体" w:cs="宋体"/>
                <w:b w:val="0"/>
                <w:bCs w:val="0"/>
                <w:sz w:val="21"/>
                <w:szCs w:val="21"/>
              </w:rPr>
            </w:pPr>
          </w:p>
        </w:tc>
      </w:tr>
      <w:tr w14:paraId="62B4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80300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36FE5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F5076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00E23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763DEE9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1E0977E">
            <w:pPr>
              <w:pStyle w:val="16"/>
              <w:rPr>
                <w:rFonts w:hint="eastAsia" w:ascii="宋体" w:hAnsi="宋体" w:eastAsia="宋体" w:cs="宋体"/>
                <w:b w:val="0"/>
                <w:bCs w:val="0"/>
                <w:sz w:val="21"/>
                <w:szCs w:val="21"/>
              </w:rPr>
            </w:pPr>
          </w:p>
        </w:tc>
      </w:tr>
      <w:tr w14:paraId="0F9A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7DD12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5F6C83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07F3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19859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31516A4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8FC8183">
            <w:pPr>
              <w:pStyle w:val="16"/>
              <w:rPr>
                <w:rFonts w:hint="eastAsia" w:ascii="宋体" w:hAnsi="宋体" w:eastAsia="宋体" w:cs="宋体"/>
                <w:b w:val="0"/>
                <w:bCs w:val="0"/>
                <w:sz w:val="21"/>
                <w:szCs w:val="21"/>
              </w:rPr>
            </w:pPr>
          </w:p>
        </w:tc>
      </w:tr>
      <w:tr w14:paraId="502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C4AFC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9AC4E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84BBD4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F8F9E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521BBA3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7E7FE2D">
            <w:pPr>
              <w:pStyle w:val="16"/>
              <w:rPr>
                <w:rFonts w:hint="eastAsia" w:ascii="宋体" w:hAnsi="宋体" w:eastAsia="宋体" w:cs="宋体"/>
                <w:b w:val="0"/>
                <w:bCs w:val="0"/>
                <w:sz w:val="21"/>
                <w:szCs w:val="21"/>
              </w:rPr>
            </w:pPr>
          </w:p>
        </w:tc>
      </w:tr>
      <w:tr w14:paraId="0E22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EA912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201618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A9A37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0C95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2F74BC8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3C9ED21">
            <w:pPr>
              <w:pStyle w:val="16"/>
              <w:rPr>
                <w:rFonts w:hint="eastAsia" w:ascii="宋体" w:hAnsi="宋体" w:eastAsia="宋体" w:cs="宋体"/>
                <w:b w:val="0"/>
                <w:bCs w:val="0"/>
                <w:sz w:val="21"/>
                <w:szCs w:val="21"/>
              </w:rPr>
            </w:pPr>
          </w:p>
        </w:tc>
      </w:tr>
      <w:tr w14:paraId="2832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A0062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16E1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8336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6EB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0BCD312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BE460E4">
            <w:pPr>
              <w:pStyle w:val="16"/>
              <w:rPr>
                <w:rFonts w:hint="eastAsia" w:ascii="宋体" w:hAnsi="宋体" w:eastAsia="宋体" w:cs="宋体"/>
                <w:b w:val="0"/>
                <w:bCs w:val="0"/>
                <w:sz w:val="21"/>
                <w:szCs w:val="21"/>
              </w:rPr>
            </w:pPr>
          </w:p>
        </w:tc>
      </w:tr>
      <w:tr w14:paraId="2148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282C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30AD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EA0F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8A33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19DEB6C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FF8F39">
            <w:pPr>
              <w:pStyle w:val="16"/>
              <w:rPr>
                <w:rFonts w:hint="eastAsia" w:ascii="宋体" w:hAnsi="宋体" w:eastAsia="宋体" w:cs="宋体"/>
                <w:b w:val="0"/>
                <w:bCs w:val="0"/>
                <w:sz w:val="21"/>
                <w:szCs w:val="21"/>
              </w:rPr>
            </w:pPr>
          </w:p>
        </w:tc>
      </w:tr>
      <w:tr w14:paraId="3BF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291391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B7B0F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EC9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D6256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4A30044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54775E2">
            <w:pPr>
              <w:pStyle w:val="16"/>
              <w:rPr>
                <w:rFonts w:hint="eastAsia" w:ascii="宋体" w:hAnsi="宋体" w:eastAsia="宋体" w:cs="宋体"/>
                <w:b w:val="0"/>
                <w:bCs w:val="0"/>
                <w:sz w:val="21"/>
                <w:szCs w:val="21"/>
              </w:rPr>
            </w:pPr>
          </w:p>
        </w:tc>
      </w:tr>
      <w:tr w14:paraId="274E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3B5D12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C0E6B1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AEA1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31E8B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4E574A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FDCAE98">
            <w:pPr>
              <w:pStyle w:val="16"/>
              <w:rPr>
                <w:rFonts w:hint="eastAsia" w:ascii="宋体" w:hAnsi="宋体" w:eastAsia="宋体" w:cs="宋体"/>
                <w:b w:val="0"/>
                <w:bCs w:val="0"/>
                <w:sz w:val="21"/>
                <w:szCs w:val="21"/>
              </w:rPr>
            </w:pPr>
          </w:p>
        </w:tc>
      </w:tr>
      <w:tr w14:paraId="36C6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9D05B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506E3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9BD05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7BF95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777C5C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F3DC750">
            <w:pPr>
              <w:pStyle w:val="16"/>
              <w:rPr>
                <w:rFonts w:hint="eastAsia" w:ascii="宋体" w:hAnsi="宋体" w:eastAsia="宋体" w:cs="宋体"/>
                <w:b w:val="0"/>
                <w:bCs w:val="0"/>
                <w:sz w:val="21"/>
                <w:szCs w:val="21"/>
              </w:rPr>
            </w:pPr>
          </w:p>
        </w:tc>
      </w:tr>
      <w:tr w14:paraId="00A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28BC8F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F094C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D9F0E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BF94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56C780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10D16E">
            <w:pPr>
              <w:pStyle w:val="16"/>
              <w:rPr>
                <w:rFonts w:hint="eastAsia" w:ascii="宋体" w:hAnsi="宋体" w:eastAsia="宋体" w:cs="宋体"/>
                <w:b w:val="0"/>
                <w:bCs w:val="0"/>
                <w:sz w:val="21"/>
                <w:szCs w:val="21"/>
              </w:rPr>
            </w:pPr>
          </w:p>
        </w:tc>
      </w:tr>
      <w:tr w14:paraId="02FE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79D8D4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41975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8D153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31A3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回转塔身高度大于30m且高于周围建筑物时应安装，该指示灯的供电不应受停机的影响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7C77D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69FC74E">
            <w:pPr>
              <w:pStyle w:val="16"/>
              <w:rPr>
                <w:rFonts w:hint="eastAsia" w:ascii="宋体" w:hAnsi="宋体" w:eastAsia="宋体" w:cs="宋体"/>
                <w:b w:val="0"/>
                <w:bCs w:val="0"/>
                <w:sz w:val="21"/>
                <w:szCs w:val="21"/>
              </w:rPr>
            </w:pPr>
          </w:p>
        </w:tc>
      </w:tr>
      <w:tr w14:paraId="3EFD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56977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151812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FC28D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65671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4242F6D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2F0BFD9">
            <w:pPr>
              <w:pStyle w:val="16"/>
              <w:rPr>
                <w:rFonts w:hint="eastAsia" w:ascii="宋体" w:hAnsi="宋体" w:eastAsia="宋体" w:cs="宋体"/>
                <w:b w:val="0"/>
                <w:bCs w:val="0"/>
                <w:sz w:val="21"/>
                <w:szCs w:val="21"/>
              </w:rPr>
            </w:pPr>
          </w:p>
        </w:tc>
      </w:tr>
      <w:tr w14:paraId="50D6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6240B5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FC7AB5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EBA8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0C807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278EC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5765A2C">
            <w:pPr>
              <w:pStyle w:val="16"/>
              <w:rPr>
                <w:rFonts w:hint="eastAsia" w:ascii="宋体" w:hAnsi="宋体" w:eastAsia="宋体" w:cs="宋体"/>
                <w:b w:val="0"/>
                <w:bCs w:val="0"/>
                <w:sz w:val="21"/>
                <w:szCs w:val="21"/>
              </w:rPr>
            </w:pPr>
          </w:p>
        </w:tc>
      </w:tr>
      <w:tr w14:paraId="6B15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E89FF2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6E9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8101D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D700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367D1A8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EA27DAA">
            <w:pPr>
              <w:pStyle w:val="16"/>
              <w:rPr>
                <w:rFonts w:hint="eastAsia" w:ascii="宋体" w:hAnsi="宋体" w:eastAsia="宋体" w:cs="宋体"/>
                <w:b w:val="0"/>
                <w:bCs w:val="0"/>
                <w:sz w:val="21"/>
                <w:szCs w:val="21"/>
              </w:rPr>
            </w:pPr>
          </w:p>
        </w:tc>
      </w:tr>
      <w:tr w14:paraId="2525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199A0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1CF6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16FB8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440FE0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1646402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FD4BA6B">
            <w:pPr>
              <w:pStyle w:val="16"/>
              <w:rPr>
                <w:rFonts w:hint="eastAsia" w:ascii="宋体" w:hAnsi="宋体" w:eastAsia="宋体" w:cs="宋体"/>
                <w:b w:val="0"/>
                <w:bCs w:val="0"/>
                <w:sz w:val="21"/>
                <w:szCs w:val="21"/>
              </w:rPr>
            </w:pPr>
          </w:p>
        </w:tc>
      </w:tr>
      <w:tr w14:paraId="5A9E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CA34B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25D8B9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3D7D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E909D2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64A3A4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A76B11B">
            <w:pPr>
              <w:pStyle w:val="16"/>
              <w:rPr>
                <w:rFonts w:hint="eastAsia" w:ascii="宋体" w:hAnsi="宋体" w:eastAsia="宋体" w:cs="宋体"/>
                <w:b w:val="0"/>
                <w:bCs w:val="0"/>
                <w:sz w:val="21"/>
                <w:szCs w:val="21"/>
              </w:rPr>
            </w:pPr>
          </w:p>
        </w:tc>
      </w:tr>
      <w:tr w14:paraId="6EEB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5C745E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2C40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27D41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344E4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18C3CD9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9A165E">
            <w:pPr>
              <w:pStyle w:val="16"/>
              <w:rPr>
                <w:rFonts w:hint="eastAsia" w:ascii="宋体" w:hAnsi="宋体" w:eastAsia="宋体" w:cs="宋体"/>
                <w:b w:val="0"/>
                <w:bCs w:val="0"/>
                <w:sz w:val="21"/>
                <w:szCs w:val="21"/>
              </w:rPr>
            </w:pPr>
          </w:p>
        </w:tc>
      </w:tr>
      <w:tr w14:paraId="6A61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27B333D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2A60EE3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92D5B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7E67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410E27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BB12D3">
            <w:pPr>
              <w:pStyle w:val="16"/>
              <w:rPr>
                <w:rFonts w:hint="eastAsia" w:ascii="宋体" w:hAnsi="宋体" w:eastAsia="宋体" w:cs="宋体"/>
                <w:b w:val="0"/>
                <w:bCs w:val="0"/>
                <w:sz w:val="21"/>
                <w:szCs w:val="21"/>
              </w:rPr>
            </w:pPr>
          </w:p>
        </w:tc>
      </w:tr>
      <w:tr w14:paraId="3E9A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FC129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DB213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A903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门窗和灭火器、雨刷</w:t>
            </w:r>
          </w:p>
          <w:p w14:paraId="4CFB9E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348FD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5404E4C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3B2778A">
            <w:pPr>
              <w:pStyle w:val="16"/>
              <w:rPr>
                <w:rFonts w:hint="eastAsia" w:ascii="宋体" w:hAnsi="宋体" w:eastAsia="宋体" w:cs="宋体"/>
                <w:b w:val="0"/>
                <w:bCs w:val="0"/>
                <w:sz w:val="21"/>
                <w:szCs w:val="21"/>
              </w:rPr>
            </w:pPr>
          </w:p>
        </w:tc>
      </w:tr>
      <w:tr w14:paraId="3FFF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5C66750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44C3362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804AE1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65EDF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4FF7A6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84A3CE2">
            <w:pPr>
              <w:pStyle w:val="16"/>
              <w:rPr>
                <w:rFonts w:hint="eastAsia" w:ascii="宋体" w:hAnsi="宋体" w:eastAsia="宋体" w:cs="宋体"/>
                <w:b w:val="0"/>
                <w:bCs w:val="0"/>
                <w:sz w:val="21"/>
                <w:szCs w:val="21"/>
              </w:rPr>
            </w:pPr>
          </w:p>
        </w:tc>
      </w:tr>
      <w:tr w14:paraId="03D7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14A0CB8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454E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08AAAA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4CBFAAA4">
            <w:pPr>
              <w:pStyle w:val="16"/>
              <w:rPr>
                <w:rFonts w:hint="eastAsia" w:ascii="宋体" w:hAnsi="宋体" w:eastAsia="宋体" w:cs="宋体"/>
                <w:b w:val="0"/>
                <w:bCs w:val="0"/>
                <w:sz w:val="21"/>
                <w:szCs w:val="21"/>
              </w:rPr>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5943E97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EFB6BD2">
            <w:pPr>
              <w:pStyle w:val="16"/>
              <w:rPr>
                <w:rFonts w:hint="eastAsia" w:ascii="宋体" w:hAnsi="宋体" w:eastAsia="宋体" w:cs="宋体"/>
                <w:b w:val="0"/>
                <w:bCs w:val="0"/>
                <w:sz w:val="21"/>
                <w:szCs w:val="21"/>
              </w:rPr>
            </w:pPr>
          </w:p>
        </w:tc>
      </w:tr>
      <w:tr w14:paraId="6BAF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096E4C7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租赁单位意见：</w:t>
            </w:r>
          </w:p>
          <w:p w14:paraId="45D624CE">
            <w:pPr>
              <w:pStyle w:val="16"/>
              <w:rPr>
                <w:rFonts w:hint="eastAsia" w:ascii="宋体" w:hAnsi="宋体" w:eastAsia="宋体" w:cs="宋体"/>
                <w:b w:val="0"/>
                <w:bCs w:val="0"/>
                <w:kern w:val="0"/>
                <w:sz w:val="21"/>
                <w:szCs w:val="21"/>
                <w:lang w:bidi="ar"/>
              </w:rPr>
            </w:pPr>
          </w:p>
          <w:p w14:paraId="46D2CA42">
            <w:pPr>
              <w:pStyle w:val="16"/>
              <w:rPr>
                <w:rFonts w:hint="eastAsia" w:ascii="宋体" w:hAnsi="宋体" w:eastAsia="宋体" w:cs="宋体"/>
                <w:b w:val="0"/>
                <w:bCs w:val="0"/>
                <w:kern w:val="0"/>
                <w:sz w:val="21"/>
                <w:szCs w:val="21"/>
                <w:lang w:bidi="ar"/>
              </w:rPr>
            </w:pPr>
          </w:p>
          <w:p w14:paraId="22E6C22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租赁负责人（签字）：                      （盖章）</w:t>
            </w:r>
          </w:p>
          <w:p w14:paraId="1024F6C8">
            <w:pPr>
              <w:pStyle w:val="16"/>
              <w:rPr>
                <w:rFonts w:hint="eastAsia" w:ascii="宋体" w:hAnsi="宋体" w:eastAsia="宋体" w:cs="宋体"/>
                <w:b w:val="0"/>
                <w:bCs w:val="0"/>
                <w:kern w:val="0"/>
                <w:sz w:val="21"/>
                <w:szCs w:val="21"/>
                <w:lang w:bidi="ar"/>
              </w:rPr>
            </w:pPr>
          </w:p>
          <w:p w14:paraId="1DBBCF44">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68826EB2">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使用单位意见：</w:t>
            </w:r>
          </w:p>
          <w:p w14:paraId="778023AC">
            <w:pPr>
              <w:pStyle w:val="16"/>
              <w:rPr>
                <w:rFonts w:hint="eastAsia" w:ascii="宋体" w:hAnsi="宋体" w:eastAsia="宋体" w:cs="宋体"/>
                <w:b w:val="0"/>
                <w:bCs w:val="0"/>
                <w:kern w:val="0"/>
                <w:sz w:val="21"/>
                <w:szCs w:val="21"/>
                <w:lang w:bidi="ar"/>
              </w:rPr>
            </w:pPr>
          </w:p>
          <w:p w14:paraId="685CEEE3">
            <w:pPr>
              <w:pStyle w:val="16"/>
              <w:rPr>
                <w:rFonts w:hint="eastAsia" w:ascii="宋体" w:hAnsi="宋体" w:eastAsia="宋体" w:cs="宋体"/>
                <w:b w:val="0"/>
                <w:bCs w:val="0"/>
                <w:kern w:val="0"/>
                <w:sz w:val="21"/>
                <w:szCs w:val="21"/>
                <w:lang w:bidi="ar"/>
              </w:rPr>
            </w:pPr>
          </w:p>
          <w:p w14:paraId="2C16466C">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项目技术负责人或机械员（签字）            （盖章）</w:t>
            </w:r>
          </w:p>
          <w:p w14:paraId="5B58C867">
            <w:pPr>
              <w:pStyle w:val="16"/>
              <w:rPr>
                <w:rFonts w:hint="eastAsia" w:ascii="宋体" w:hAnsi="宋体" w:eastAsia="宋体" w:cs="宋体"/>
                <w:b w:val="0"/>
                <w:bCs w:val="0"/>
                <w:kern w:val="0"/>
                <w:sz w:val="21"/>
                <w:szCs w:val="21"/>
                <w:lang w:bidi="ar"/>
              </w:rPr>
            </w:pPr>
          </w:p>
          <w:p w14:paraId="4B388AFE">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r w14:paraId="75AF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2102903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安装单位意见：</w:t>
            </w:r>
          </w:p>
          <w:p w14:paraId="00B62F57">
            <w:pPr>
              <w:pStyle w:val="16"/>
              <w:rPr>
                <w:rFonts w:hint="eastAsia" w:ascii="宋体" w:hAnsi="宋体" w:eastAsia="宋体" w:cs="宋体"/>
                <w:b w:val="0"/>
                <w:bCs w:val="0"/>
                <w:kern w:val="0"/>
                <w:sz w:val="21"/>
                <w:szCs w:val="21"/>
                <w:lang w:bidi="ar"/>
              </w:rPr>
            </w:pPr>
          </w:p>
          <w:p w14:paraId="677214A4">
            <w:pPr>
              <w:pStyle w:val="16"/>
              <w:rPr>
                <w:rFonts w:hint="eastAsia" w:ascii="宋体" w:hAnsi="宋体" w:eastAsia="宋体" w:cs="宋体"/>
                <w:b w:val="0"/>
                <w:bCs w:val="0"/>
                <w:kern w:val="0"/>
                <w:sz w:val="21"/>
                <w:szCs w:val="21"/>
                <w:lang w:bidi="ar"/>
              </w:rPr>
            </w:pPr>
          </w:p>
          <w:p w14:paraId="471FF717">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 xml:space="preserve"> 技术负责人（或受委托负责人）（签字）      （盖章）</w:t>
            </w:r>
          </w:p>
          <w:p w14:paraId="0F3F6B15">
            <w:pPr>
              <w:pStyle w:val="16"/>
              <w:rPr>
                <w:rFonts w:hint="eastAsia" w:ascii="宋体" w:hAnsi="宋体" w:eastAsia="宋体" w:cs="宋体"/>
                <w:b w:val="0"/>
                <w:bCs w:val="0"/>
                <w:kern w:val="0"/>
                <w:sz w:val="21"/>
                <w:szCs w:val="21"/>
                <w:lang w:bidi="ar"/>
              </w:rPr>
            </w:pPr>
          </w:p>
          <w:p w14:paraId="7E2CF95D">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3C3DFCC1">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监理单位意见：</w:t>
            </w:r>
          </w:p>
          <w:p w14:paraId="5DB66222">
            <w:pPr>
              <w:pStyle w:val="16"/>
              <w:rPr>
                <w:rFonts w:hint="eastAsia" w:ascii="宋体" w:hAnsi="宋体" w:eastAsia="宋体" w:cs="宋体"/>
                <w:b w:val="0"/>
                <w:bCs w:val="0"/>
                <w:kern w:val="0"/>
                <w:sz w:val="21"/>
                <w:szCs w:val="21"/>
                <w:lang w:bidi="ar"/>
              </w:rPr>
            </w:pPr>
          </w:p>
          <w:p w14:paraId="1FC8C720">
            <w:pPr>
              <w:pStyle w:val="16"/>
              <w:rPr>
                <w:rFonts w:hint="eastAsia" w:ascii="宋体" w:hAnsi="宋体" w:eastAsia="宋体" w:cs="宋体"/>
                <w:b w:val="0"/>
                <w:bCs w:val="0"/>
                <w:kern w:val="0"/>
                <w:sz w:val="21"/>
                <w:szCs w:val="21"/>
                <w:lang w:bidi="ar"/>
              </w:rPr>
            </w:pPr>
          </w:p>
          <w:p w14:paraId="15ABBA5A">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总监或专业监理工程师（签字）：             （盖章）</w:t>
            </w:r>
          </w:p>
          <w:p w14:paraId="281606BE">
            <w:pPr>
              <w:pStyle w:val="16"/>
              <w:rPr>
                <w:rFonts w:hint="eastAsia" w:ascii="宋体" w:hAnsi="宋体" w:eastAsia="宋体" w:cs="宋体"/>
                <w:b w:val="0"/>
                <w:bCs w:val="0"/>
                <w:kern w:val="0"/>
                <w:sz w:val="21"/>
                <w:szCs w:val="21"/>
                <w:lang w:bidi="ar"/>
              </w:rPr>
            </w:pPr>
          </w:p>
          <w:p w14:paraId="4C0798B7">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bl>
    <w:p w14:paraId="41BCCFBA"/>
    <w:p w14:paraId="105D7FD2">
      <w:pPr>
        <w:pStyle w:val="3"/>
        <w:bidi w:val="0"/>
        <w:rPr>
          <w:rFonts w:hint="eastAsia"/>
          <w:lang w:val="en-US" w:eastAsia="zh-CN"/>
        </w:rPr>
      </w:pPr>
      <w:bookmarkStart w:id="141" w:name="_Toc6309"/>
      <w:r>
        <w:rPr>
          <w:rFonts w:hint="eastAsia"/>
          <w:lang w:val="en-US" w:eastAsia="zh-CN"/>
        </w:rPr>
        <w:t>附件四：工序参考工效</w:t>
      </w:r>
      <w:bookmarkEnd w:id="138"/>
      <w:bookmarkEnd w:id="139"/>
      <w:bookmarkEnd w:id="140"/>
      <w:bookmarkEnd w:id="141"/>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5"/>
        <w:rPr>
          <w:rFonts w:hint="default" w:eastAsia="黑体"/>
          <w:lang w:val="en-US" w:eastAsia="zh-CN"/>
        </w:rPr>
      </w:pPr>
      <w:r>
        <w:rPr>
          <w:rFonts w:hint="eastAsia"/>
          <w:lang w:val="en-US" w:eastAsia="zh-CN"/>
        </w:rPr>
        <w:t>塔吊安装施工计划</w:t>
      </w:r>
    </w:p>
    <w:tbl>
      <w:tblPr>
        <w:tblStyle w:val="28"/>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800"/>
        <w:gridCol w:w="5783"/>
        <w:gridCol w:w="1877"/>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4F4F1"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4F4F1"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74104814">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6644ACAA">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安装</w:t>
            </w:r>
          </w:p>
        </w:tc>
        <w:tc>
          <w:tcPr>
            <w:tcW w:w="3056" w:type="pct"/>
            <w:shd w:val="clear" w:color="auto" w:fill="auto"/>
            <w:noWrap w:val="0"/>
            <w:vAlign w:val="center"/>
          </w:tcPr>
          <w:p w14:paraId="4618A6D0">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b/>
                <w:bCs/>
                <w:color w:val="000000" w:themeColor="text1"/>
                <w:kern w:val="2"/>
                <w:sz w:val="21"/>
                <w:szCs w:val="21"/>
                <w:lang w:val="en-US" w:eastAsia="zh-CN" w:bidi="ar-SA"/>
                <w14:textFill>
                  <w14:solidFill>
                    <w14:schemeClr w14:val="tx1"/>
                  </w14:solidFill>
                </w14:textFill>
              </w:rPr>
            </w:pPr>
            <w:r>
              <w:rPr>
                <w:rFonts w:hint="eastAsia" w:ascii="仿宋" w:hAnsi="仿宋" w:eastAsia="仿宋" w:cs="仿宋"/>
                <w:kern w:val="2"/>
                <w:sz w:val="21"/>
                <w:szCs w:val="21"/>
                <w:lang w:val="en-US" w:eastAsia="zh-CN" w:bidi="ar-SA"/>
              </w:rPr>
              <w:t>基础节、爬升架</w:t>
            </w:r>
          </w:p>
        </w:tc>
        <w:tc>
          <w:tcPr>
            <w:tcW w:w="992" w:type="pct"/>
            <w:shd w:val="clear" w:color="auto" w:fill="auto"/>
            <w:noWrap w:val="0"/>
            <w:vAlign w:val="center"/>
          </w:tcPr>
          <w:p w14:paraId="34403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880D209">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特殊节、回转总成，臂根节</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424" w:hRule="atLeast"/>
          <w:jc w:val="center"/>
        </w:trPr>
        <w:tc>
          <w:tcPr>
            <w:tcW w:w="951" w:type="pct"/>
            <w:vMerge w:val="continue"/>
            <w:noWrap w:val="0"/>
            <w:vAlign w:val="center"/>
          </w:tcPr>
          <w:p w14:paraId="6403437F">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平衡臂、平衡重、起重臂、钢丝绳</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顶升加节</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bl>
    <w:p w14:paraId="453A4F57">
      <w:pPr>
        <w:pStyle w:val="14"/>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ISOCT">
    <w:panose1 w:val="00000400000000000000"/>
    <w:charset w:val="00"/>
    <w:family w:val="auto"/>
    <w:pitch w:val="default"/>
    <w:sig w:usb0="00000007" w:usb1="00000000" w:usb2="00000000"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21"/>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46C7F">
                          <w:pPr>
                            <w:pStyle w:val="2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D46C7F">
                    <w:pPr>
                      <w:pStyle w:val="2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22"/>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7"/>
      <w:lvlText w:val="%1.%2.%3.%4.%5."/>
      <w:lvlJc w:val="left"/>
      <w:pPr>
        <w:ind w:left="991" w:hanging="991"/>
      </w:pPr>
      <w:rPr>
        <w:rFonts w:hint="default" w:ascii="微软雅黑" w:hAnsi="微软雅黑" w:eastAsia="微软雅黑"/>
      </w:rPr>
    </w:lvl>
    <w:lvl w:ilvl="5" w:tentative="0">
      <w:start w:val="1"/>
      <w:numFmt w:val="decimal"/>
      <w:pStyle w:val="8"/>
      <w:lvlText w:val="%1.%2.%3.%4.%5.%6."/>
      <w:lvlJc w:val="left"/>
      <w:pPr>
        <w:ind w:left="1134" w:hanging="1134"/>
      </w:pPr>
      <w:rPr>
        <w:rFonts w:hint="default"/>
      </w:rPr>
    </w:lvl>
    <w:lvl w:ilvl="6" w:tentative="0">
      <w:start w:val="1"/>
      <w:numFmt w:val="decimal"/>
      <w:pStyle w:val="9"/>
      <w:lvlText w:val="%1.%2.%3.%4.%5.%6.%7."/>
      <w:lvlJc w:val="left"/>
      <w:pPr>
        <w:ind w:left="1275" w:hanging="1275"/>
      </w:pPr>
      <w:rPr>
        <w:rFonts w:hint="default"/>
      </w:rPr>
    </w:lvl>
    <w:lvl w:ilvl="7" w:tentative="0">
      <w:start w:val="1"/>
      <w:numFmt w:val="decimal"/>
      <w:pStyle w:val="10"/>
      <w:lvlText w:val="%1.%2.%3.%4.%5.%6.%7.%8."/>
      <w:lvlJc w:val="left"/>
      <w:pPr>
        <w:ind w:left="1418" w:hanging="1418"/>
      </w:pPr>
      <w:rPr>
        <w:rFonts w:hint="default"/>
      </w:rPr>
    </w:lvl>
    <w:lvl w:ilvl="8" w:tentative="0">
      <w:start w:val="1"/>
      <w:numFmt w:val="decimal"/>
      <w:pStyle w:val="11"/>
      <w:lvlText w:val="%1.%2.%3.%4.%5.%6.%7.%8.%9."/>
      <w:lvlJc w:val="left"/>
      <w:pPr>
        <w:ind w:left="1558" w:hanging="1558"/>
      </w:pPr>
      <w:rPr>
        <w:rFonts w:hint="default"/>
      </w:rPr>
    </w:lvl>
  </w:abstractNum>
  <w:abstractNum w:abstractNumId="1">
    <w:nsid w:val="0BA2A609"/>
    <w:multiLevelType w:val="multilevel"/>
    <w:tmpl w:val="0BA2A609"/>
    <w:lvl w:ilvl="0" w:tentative="0">
      <w:start w:val="2"/>
      <w:numFmt w:val="decimal"/>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32"/>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47242BD0"/>
    <w:multiLevelType w:val="multilevel"/>
    <w:tmpl w:val="47242BD0"/>
    <w:lvl w:ilvl="0" w:tentative="0">
      <w:start w:val="2"/>
      <w:numFmt w:val="decimal"/>
      <w:suff w:val="space"/>
      <w:lvlText w:val="%1"/>
      <w:lvlJc w:val="left"/>
      <w:pPr>
        <w:tabs>
          <w:tab w:val="left" w:pos="0"/>
        </w:tabs>
        <w:ind w:left="0" w:firstLine="0"/>
      </w:pPr>
      <w:rPr>
        <w:rFonts w:hint="default" w:ascii="宋体" w:hAnsi="宋体" w:eastAsia="宋体"/>
        <w:b/>
        <w:i w:val="0"/>
        <w:color w:val="0000FF"/>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5CF49B8C"/>
    <w:multiLevelType w:val="singleLevel"/>
    <w:tmpl w:val="5CF49B8C"/>
    <w:lvl w:ilvl="0" w:tentative="0">
      <w:start w:val="1"/>
      <w:numFmt w:val="decimal"/>
      <w:suff w:val="nothing"/>
      <w:lvlText w:val="%1"/>
      <w:lvlJc w:val="left"/>
      <w:pPr>
        <w:tabs>
          <w:tab w:val="left" w:pos="0"/>
        </w:tabs>
        <w:ind w:left="0" w:leftChars="0" w:firstLine="0" w:firstLineChars="0"/>
      </w:pPr>
      <w:rPr>
        <w:rFont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0BA7CA7"/>
    <w:rsid w:val="02BA49FA"/>
    <w:rsid w:val="02C40969"/>
    <w:rsid w:val="02EB4148"/>
    <w:rsid w:val="03C07B58"/>
    <w:rsid w:val="043B7CF6"/>
    <w:rsid w:val="053A4D56"/>
    <w:rsid w:val="07006FA3"/>
    <w:rsid w:val="097B73B5"/>
    <w:rsid w:val="09C94AB7"/>
    <w:rsid w:val="0A0750BB"/>
    <w:rsid w:val="0AEC3153"/>
    <w:rsid w:val="0AF112FD"/>
    <w:rsid w:val="0DD13BC6"/>
    <w:rsid w:val="0E8530AF"/>
    <w:rsid w:val="0E8611C8"/>
    <w:rsid w:val="0E9C6845"/>
    <w:rsid w:val="0ED2440E"/>
    <w:rsid w:val="0FB66492"/>
    <w:rsid w:val="0FD41499"/>
    <w:rsid w:val="107C6D27"/>
    <w:rsid w:val="11400705"/>
    <w:rsid w:val="11D72E87"/>
    <w:rsid w:val="122E4051"/>
    <w:rsid w:val="12D93FBD"/>
    <w:rsid w:val="14B101D2"/>
    <w:rsid w:val="155B5152"/>
    <w:rsid w:val="17E717E0"/>
    <w:rsid w:val="19A37470"/>
    <w:rsid w:val="1A7A165A"/>
    <w:rsid w:val="1B495A57"/>
    <w:rsid w:val="1B724934"/>
    <w:rsid w:val="1B8448F8"/>
    <w:rsid w:val="1C4954A8"/>
    <w:rsid w:val="1D097256"/>
    <w:rsid w:val="1D1125BF"/>
    <w:rsid w:val="1E1B2B3C"/>
    <w:rsid w:val="1ECD61C2"/>
    <w:rsid w:val="1EFB52BB"/>
    <w:rsid w:val="1F3A074E"/>
    <w:rsid w:val="1F521A61"/>
    <w:rsid w:val="1FB25809"/>
    <w:rsid w:val="204F4FBC"/>
    <w:rsid w:val="213539EE"/>
    <w:rsid w:val="24151124"/>
    <w:rsid w:val="25DA3E7C"/>
    <w:rsid w:val="268661F7"/>
    <w:rsid w:val="283D7E81"/>
    <w:rsid w:val="293E5DCA"/>
    <w:rsid w:val="294A6DC7"/>
    <w:rsid w:val="29766DCC"/>
    <w:rsid w:val="2B567E47"/>
    <w:rsid w:val="2EBD27EC"/>
    <w:rsid w:val="2FE31DE5"/>
    <w:rsid w:val="317F1A54"/>
    <w:rsid w:val="31EC573B"/>
    <w:rsid w:val="33245CBD"/>
    <w:rsid w:val="357A03C4"/>
    <w:rsid w:val="364B7A83"/>
    <w:rsid w:val="371B2122"/>
    <w:rsid w:val="371B361D"/>
    <w:rsid w:val="39C11B7F"/>
    <w:rsid w:val="39D32C64"/>
    <w:rsid w:val="3B9E2D5F"/>
    <w:rsid w:val="3F743FC9"/>
    <w:rsid w:val="3FCF5D54"/>
    <w:rsid w:val="3FEA7202"/>
    <w:rsid w:val="414C5861"/>
    <w:rsid w:val="42613D77"/>
    <w:rsid w:val="44BD02DA"/>
    <w:rsid w:val="4541761C"/>
    <w:rsid w:val="46560EA5"/>
    <w:rsid w:val="46AE329E"/>
    <w:rsid w:val="481E56FF"/>
    <w:rsid w:val="489803A9"/>
    <w:rsid w:val="49F807DC"/>
    <w:rsid w:val="4A45370A"/>
    <w:rsid w:val="4B0B5835"/>
    <w:rsid w:val="4B9B2D83"/>
    <w:rsid w:val="4C6A664B"/>
    <w:rsid w:val="4EC07B5F"/>
    <w:rsid w:val="4FB35515"/>
    <w:rsid w:val="50020B50"/>
    <w:rsid w:val="50813520"/>
    <w:rsid w:val="54DD7D86"/>
    <w:rsid w:val="55CA2106"/>
    <w:rsid w:val="57D45054"/>
    <w:rsid w:val="593212FE"/>
    <w:rsid w:val="59E01002"/>
    <w:rsid w:val="5BFE196B"/>
    <w:rsid w:val="607E39E0"/>
    <w:rsid w:val="62F647DD"/>
    <w:rsid w:val="646269C6"/>
    <w:rsid w:val="66CA7019"/>
    <w:rsid w:val="68010AE0"/>
    <w:rsid w:val="696C13D9"/>
    <w:rsid w:val="69740693"/>
    <w:rsid w:val="6A8B7E5B"/>
    <w:rsid w:val="6AE218D7"/>
    <w:rsid w:val="6C5C14B3"/>
    <w:rsid w:val="6C866EFE"/>
    <w:rsid w:val="6DD62748"/>
    <w:rsid w:val="70241EE0"/>
    <w:rsid w:val="70651BCC"/>
    <w:rsid w:val="70DA7C66"/>
    <w:rsid w:val="7301673F"/>
    <w:rsid w:val="73CE3FD7"/>
    <w:rsid w:val="743C5BB1"/>
    <w:rsid w:val="76107D30"/>
    <w:rsid w:val="765B20CA"/>
    <w:rsid w:val="77F933B9"/>
    <w:rsid w:val="78281DF2"/>
    <w:rsid w:val="791D56CF"/>
    <w:rsid w:val="793D48A8"/>
    <w:rsid w:val="7C395C9C"/>
    <w:rsid w:val="7E983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3">
    <w:name w:val="heading 2"/>
    <w:basedOn w:val="1"/>
    <w:next w:val="1"/>
    <w:link w:val="33"/>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4">
    <w:name w:val="heading 3"/>
    <w:basedOn w:val="3"/>
    <w:next w:val="1"/>
    <w:unhideWhenUsed/>
    <w:qFormat/>
    <w:uiPriority w:val="0"/>
    <w:pPr>
      <w:tabs>
        <w:tab w:val="left" w:pos="312"/>
        <w:tab w:val="clear" w:pos="240"/>
      </w:tabs>
      <w:spacing w:line="360" w:lineRule="auto"/>
      <w:ind w:left="709" w:hanging="709"/>
      <w:outlineLvl w:val="2"/>
    </w:pPr>
    <w:rPr>
      <w:rFonts w:ascii="宋体" w:hAnsi="宋体" w:eastAsia="宋体" w:cs="宋体"/>
      <w:color w:val="0000D9"/>
      <w:szCs w:val="30"/>
    </w:rPr>
  </w:style>
  <w:style w:type="paragraph" w:styleId="5">
    <w:name w:val="heading 4"/>
    <w:basedOn w:val="6"/>
    <w:next w:val="1"/>
    <w:unhideWhenUsed/>
    <w:qFormat/>
    <w:uiPriority w:val="0"/>
    <w:pPr>
      <w:tabs>
        <w:tab w:val="left" w:pos="0"/>
      </w:tabs>
      <w:spacing w:line="360" w:lineRule="auto"/>
      <w:ind w:left="850" w:hanging="850"/>
      <w:outlineLvl w:val="3"/>
    </w:pPr>
    <w:rPr>
      <w:rFonts w:ascii="宋体" w:hAnsi="宋体" w:eastAsia="宋体" w:cs="宋体"/>
      <w:color w:val="0000D9"/>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30">
    <w:name w:val="Default Paragraph Font"/>
    <w:unhideWhenUsed/>
    <w:qFormat/>
    <w:uiPriority w:val="1"/>
  </w:style>
  <w:style w:type="table" w:default="1" w:styleId="28">
    <w:name w:val="Normal Table"/>
    <w:semiHidden/>
    <w:qFormat/>
    <w:uiPriority w:val="0"/>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tabs>
        <w:tab w:val="left" w:pos="0"/>
        <w:tab w:val="clear" w:pos="312"/>
      </w:tabs>
    </w:pPr>
  </w:style>
  <w:style w:type="paragraph" w:styleId="12">
    <w:name w:val="Normal Indent"/>
    <w:basedOn w:val="1"/>
    <w:next w:val="13"/>
    <w:qFormat/>
    <w:uiPriority w:val="0"/>
    <w:pPr>
      <w:ind w:firstLine="420" w:firstLineChars="200"/>
    </w:pPr>
  </w:style>
  <w:style w:type="paragraph" w:styleId="13">
    <w:name w:val="Body Text First Indent"/>
    <w:basedOn w:val="14"/>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paragraph" w:styleId="14">
    <w:name w:val="Body Text"/>
    <w:basedOn w:val="1"/>
    <w:qFormat/>
    <w:uiPriority w:val="1"/>
    <w:pPr>
      <w:ind w:firstLine="562" w:firstLineChars="200"/>
    </w:pPr>
    <w:rPr>
      <w:rFonts w:ascii="宋体" w:hAnsi="宋体" w:eastAsia="仿宋"/>
      <w:kern w:val="0"/>
      <w:sz w:val="28"/>
      <w:szCs w:val="28"/>
      <w:lang w:eastAsia="en-US"/>
    </w:rPr>
  </w:style>
  <w:style w:type="paragraph" w:styleId="15">
    <w:name w:val="caption"/>
    <w:basedOn w:val="1"/>
    <w:next w:val="16"/>
    <w:link w:val="37"/>
    <w:unhideWhenUsed/>
    <w:qFormat/>
    <w:uiPriority w:val="0"/>
    <w:pPr>
      <w:ind w:firstLine="0" w:firstLineChars="0"/>
      <w:jc w:val="center"/>
    </w:pPr>
    <w:rPr>
      <w:rFonts w:eastAsia="黑体"/>
      <w:sz w:val="21"/>
      <w:szCs w:val="21"/>
    </w:rPr>
  </w:style>
  <w:style w:type="paragraph" w:customStyle="1" w:styleId="16">
    <w:name w:val="表内文字"/>
    <w:basedOn w:val="17"/>
    <w:next w:val="1"/>
    <w:qFormat/>
    <w:uiPriority w:val="0"/>
    <w:pPr>
      <w:spacing w:line="240" w:lineRule="auto"/>
      <w:ind w:firstLine="0" w:firstLineChars="0"/>
      <w:jc w:val="center"/>
    </w:pPr>
    <w:rPr>
      <w:sz w:val="21"/>
    </w:rPr>
  </w:style>
  <w:style w:type="paragraph" w:customStyle="1" w:styleId="1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Body Text Indent"/>
    <w:basedOn w:val="1"/>
    <w:next w:val="19"/>
    <w:qFormat/>
    <w:uiPriority w:val="99"/>
    <w:pPr>
      <w:spacing w:after="120"/>
      <w:ind w:left="420" w:leftChars="200"/>
    </w:pPr>
    <w:rPr>
      <w:rFonts w:ascii="Times New Roman" w:hAnsi="Times New Roman"/>
      <w:kern w:val="0"/>
    </w:rPr>
  </w:style>
  <w:style w:type="paragraph" w:customStyle="1" w:styleId="19">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20">
    <w:name w:val="Plain Text"/>
    <w:basedOn w:val="1"/>
    <w:qFormat/>
    <w:uiPriority w:val="0"/>
    <w:rPr>
      <w:rFonts w:ascii="宋体" w:hAnsi="ISOCT"/>
      <w:szCs w:val="20"/>
    </w:rPr>
  </w:style>
  <w:style w:type="paragraph" w:styleId="21">
    <w:name w:val="footer"/>
    <w:basedOn w:val="1"/>
    <w:unhideWhenUsed/>
    <w:qFormat/>
    <w:uiPriority w:val="99"/>
    <w:pPr>
      <w:tabs>
        <w:tab w:val="center" w:pos="4153"/>
        <w:tab w:val="right" w:pos="8306"/>
      </w:tabs>
      <w:snapToGrid w:val="0"/>
      <w:jc w:val="left"/>
    </w:pPr>
    <w:rPr>
      <w:sz w:val="18"/>
      <w:szCs w:val="18"/>
    </w:rPr>
  </w:style>
  <w:style w:type="paragraph" w:styleId="2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4">
    <w:name w:val="toc 6"/>
    <w:basedOn w:val="1"/>
    <w:next w:val="1"/>
    <w:qFormat/>
    <w:uiPriority w:val="39"/>
    <w:pPr>
      <w:ind w:left="1050"/>
      <w:jc w:val="left"/>
    </w:pPr>
    <w:rPr>
      <w:sz w:val="18"/>
      <w:szCs w:val="18"/>
    </w:rPr>
  </w:style>
  <w:style w:type="paragraph" w:styleId="25">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7">
    <w:name w:val="Body Text First Indent 2"/>
    <w:basedOn w:val="18"/>
    <w:next w:val="20"/>
    <w:qFormat/>
    <w:uiPriority w:val="99"/>
    <w:pPr>
      <w:ind w:firstLine="420" w:firstLineChars="200"/>
    </w:pPr>
  </w:style>
  <w:style w:type="table" w:styleId="29">
    <w:name w:val="Table Grid"/>
    <w:basedOn w:val="28"/>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paragraph" w:customStyle="1" w:styleId="32">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33">
    <w:name w:val="标题 2 字符"/>
    <w:basedOn w:val="30"/>
    <w:link w:val="3"/>
    <w:qFormat/>
    <w:uiPriority w:val="9"/>
    <w:rPr>
      <w:rFonts w:ascii="宋体" w:hAnsi="宋体" w:eastAsia="宋体" w:cs="宋体"/>
      <w:b/>
      <w:color w:val="0000D9"/>
      <w:kern w:val="44"/>
      <w:sz w:val="24"/>
      <w:szCs w:val="24"/>
    </w:rPr>
  </w:style>
  <w:style w:type="paragraph" w:customStyle="1" w:styleId="34">
    <w:name w:val="图名"/>
    <w:basedOn w:val="35"/>
    <w:qFormat/>
    <w:uiPriority w:val="0"/>
    <w:rPr>
      <w:rFonts w:ascii="仿宋" w:hAnsi="仿宋" w:eastAsia="仿宋" w:cs="仿宋"/>
      <w:color w:val="C00000"/>
      <w:szCs w:val="24"/>
    </w:rPr>
  </w:style>
  <w:style w:type="paragraph" w:customStyle="1" w:styleId="35">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6">
    <w:name w:val="题注 Char"/>
    <w:qFormat/>
    <w:uiPriority w:val="0"/>
    <w:rPr>
      <w:rFonts w:ascii="黑体" w:hAnsi="黑体" w:eastAsia="黑体" w:cs="黑体"/>
      <w:kern w:val="2"/>
      <w:sz w:val="21"/>
      <w:szCs w:val="21"/>
      <w:lang w:val="en-US" w:eastAsia="zh-CN" w:bidi="ar-SA"/>
    </w:rPr>
  </w:style>
  <w:style w:type="character" w:customStyle="1" w:styleId="37">
    <w:name w:val="题注 字符"/>
    <w:link w:val="15"/>
    <w:qFormat/>
    <w:uiPriority w:val="0"/>
    <w:rPr>
      <w:rFonts w:eastAsia="黑体"/>
      <w:sz w:val="21"/>
      <w:szCs w:val="21"/>
    </w:rPr>
  </w:style>
  <w:style w:type="paragraph" w:customStyle="1" w:styleId="38">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9">
    <w:name w:val="表格内容"/>
    <w:basedOn w:val="40"/>
    <w:qFormat/>
    <w:uiPriority w:val="0"/>
    <w:rPr>
      <w:b w:val="0"/>
      <w:sz w:val="20"/>
    </w:rPr>
  </w:style>
  <w:style w:type="paragraph" w:customStyle="1" w:styleId="40">
    <w:name w:val="表格标题"/>
    <w:basedOn w:val="1"/>
    <w:qFormat/>
    <w:uiPriority w:val="0"/>
    <w:pPr>
      <w:jc w:val="center"/>
    </w:pPr>
    <w:rPr>
      <w:b/>
      <w:sz w:val="21"/>
    </w:rPr>
  </w:style>
  <w:style w:type="table" w:customStyle="1" w:styleId="41">
    <w:name w:val="K表格"/>
    <w:basedOn w:val="28"/>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paragraph" w:customStyle="1" w:styleId="42">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3">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4">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5">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4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47">
    <w:name w:val="表格内文字"/>
    <w:qFormat/>
    <w:uiPriority w:val="0"/>
    <w:rPr>
      <w:rFonts w:ascii="Times New Roman" w:hAnsi="Times New Roman" w:eastAsia="宋体"/>
      <w:color w:val="auto"/>
      <w:sz w:val="21"/>
    </w:rPr>
  </w:style>
  <w:style w:type="paragraph" w:customStyle="1" w:styleId="48">
    <w:name w:val="表格居中"/>
    <w:basedOn w:val="49"/>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9">
    <w:name w:val="插图"/>
    <w:basedOn w:val="50"/>
    <w:qFormat/>
    <w:uiPriority w:val="0"/>
    <w:pPr>
      <w:spacing w:line="240" w:lineRule="auto"/>
      <w:ind w:firstLine="0"/>
      <w:jc w:val="center"/>
    </w:pPr>
  </w:style>
  <w:style w:type="paragraph" w:customStyle="1" w:styleId="50">
    <w:name w:val="方案正文"/>
    <w:basedOn w:val="1"/>
    <w:qFormat/>
    <w:uiPriority w:val="0"/>
    <w:pPr>
      <w:adjustRightInd w:val="0"/>
      <w:snapToGrid w:val="0"/>
      <w:spacing w:line="312" w:lineRule="auto"/>
      <w:ind w:firstLine="425"/>
    </w:pPr>
    <w:rPr>
      <w:sz w:val="24"/>
    </w:rPr>
  </w:style>
  <w:style w:type="paragraph" w:customStyle="1" w:styleId="51">
    <w:name w:val="k 正文"/>
    <w:basedOn w:val="1"/>
    <w:qFormat/>
    <w:uiPriority w:val="0"/>
  </w:style>
  <w:style w:type="paragraph" w:styleId="52">
    <w:name w:val="No Spacing"/>
    <w:basedOn w:val="1"/>
    <w:next w:val="1"/>
    <w:qFormat/>
    <w:uiPriority w:val="0"/>
    <w:pPr>
      <w:widowControl w:val="0"/>
      <w:spacing w:line="360" w:lineRule="auto"/>
      <w:jc w:val="center"/>
    </w:pPr>
    <w:rPr>
      <w:rFonts w:ascii="黑体" w:hAnsi="黑体"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26806</Words>
  <Characters>28554</Characters>
  <Lines>0</Lines>
  <Paragraphs>0</Paragraphs>
  <TotalTime>2</TotalTime>
  <ScaleCrop>false</ScaleCrop>
  <LinksUpToDate>false</LinksUpToDate>
  <CharactersWithSpaces>29069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2025-10-16T08:25:33Z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FF1635116B4442AC8C60C7ED88D17D0E_13</vt:lpwstr>
  </property>
  <property fmtid="{D5CDD505-2E9C-101B-9397-08002B2CF9AE}" pid="4" name="KSOTemplateDocerSaveRecord">
    <vt:lpwstr>eyJoZGlkIjoiYjMyYjBlMGJhZjI3ZDdiYzUzOWVmOGZjYTMwOWZhYzEiLCJ1c2VySWQiOiIyMDEyMTQ5OSJ9</vt:lpwstr>
  </property>
</Properties>
</file>