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28A74">
      <w:pPr>
        <w:numPr>
          <w:ilvl w:val="0"/>
          <w:numId w:val="0"/>
        </w:numPr>
        <w:rPr>
          <w:color w:val="0000FF"/>
        </w:rPr>
      </w:pPr>
    </w:p>
    <w:p w14:paraId="02CAE9FC">
      <w:pPr>
        <w:ind w:firstLine="560"/>
        <w:jc w:val="right"/>
        <w:rPr>
          <w:bCs/>
          <w:color w:val="0000FF"/>
          <w:sz w:val="28"/>
          <w:szCs w:val="28"/>
        </w:rPr>
      </w:pPr>
      <w:r>
        <w:rPr>
          <w:rFonts w:ascii="黑体" w:hAnsi="黑体" w:eastAsia="黑体"/>
          <w:color w:val="0000FF"/>
          <w:sz w:val="28"/>
          <w:szCs w:val="28"/>
        </w:rPr>
        <w:t>方案编号</w:t>
      </w:r>
    </w:p>
    <w:p w14:paraId="004E32F5">
      <w:pPr>
        <w:ind w:firstLine="562" w:firstLineChars="201"/>
        <w:jc w:val="left"/>
        <w:rPr>
          <w:bCs/>
          <w:color w:val="auto"/>
          <w:sz w:val="28"/>
          <w:szCs w:val="28"/>
        </w:rPr>
      </w:pPr>
    </w:p>
    <w:p w14:paraId="270387E4">
      <w:pPr>
        <w:ind w:firstLine="0" w:firstLineChars="0"/>
        <w:jc w:val="center"/>
        <w:outlineLvl w:val="9"/>
        <w:rPr>
          <w:rFonts w:hint="eastAsia" w:ascii="宋体" w:hAnsi="宋体" w:eastAsia="宋体" w:cs="宋体"/>
          <w:b/>
          <w:bCs/>
          <w:color w:val="auto"/>
          <w:sz w:val="44"/>
          <w:szCs w:val="44"/>
          <w:lang w:val="en-US" w:eastAsia="zh-CN"/>
        </w:rPr>
      </w:pPr>
      <w:bookmarkStart w:id="0" w:name="_Toc40273440"/>
      <w:bookmarkStart w:id="1" w:name="_Toc40778419"/>
      <w:bookmarkStart w:id="2" w:name="_Toc13281"/>
      <w:bookmarkStart w:id="3" w:name="_Toc40446029"/>
      <w:bookmarkStart w:id="4" w:name="_Toc40445698"/>
      <w:r>
        <w:rPr>
          <w:rFonts w:hint="eastAsia" w:ascii="宋体" w:hAnsi="宋体" w:eastAsia="宋体" w:cs="宋体"/>
          <w:b/>
          <w:bCs/>
          <w:color w:val="auto"/>
          <w:sz w:val="44"/>
          <w:szCs w:val="44"/>
          <w:lang w:val="en-US" w:eastAsia="zh-CN"/>
        </w:rPr>
        <w:t>　彭州市龙兴寺片区PZ2024-16地块商住建设项目</w:t>
      </w:r>
    </w:p>
    <w:p w14:paraId="38F2A638">
      <w:pPr>
        <w:ind w:firstLine="0" w:firstLineChars="0"/>
        <w:jc w:val="center"/>
        <w:outlineLvl w:val="9"/>
        <w:rPr>
          <w:rFonts w:ascii="宋体" w:hAnsi="宋体"/>
          <w:b/>
          <w:color w:val="auto"/>
          <w:sz w:val="44"/>
          <w:szCs w:val="44"/>
        </w:rPr>
      </w:pPr>
      <w:r>
        <w:rPr>
          <w:rFonts w:hint="eastAsia" w:ascii="宋体" w:hAnsi="宋体"/>
          <w:b/>
          <w:color w:val="auto"/>
          <w:sz w:val="40"/>
          <w:szCs w:val="40"/>
          <w:lang w:eastAsia="zh-CN"/>
        </w:rPr>
        <w:t>　</w:t>
      </w:r>
      <w:bookmarkStart w:id="5" w:name="_Toc13858"/>
      <w:r>
        <w:rPr>
          <w:rFonts w:hint="eastAsia" w:ascii="宋体" w:hAnsi="宋体"/>
          <w:b/>
          <w:color w:val="auto"/>
          <w:sz w:val="40"/>
          <w:szCs w:val="40"/>
          <w:lang w:val="en-US" w:eastAsia="zh-CN"/>
        </w:rPr>
        <w:t>2#</w:t>
      </w:r>
      <w:r>
        <w:rPr>
          <w:rFonts w:hint="eastAsia" w:ascii="宋体" w:hAnsi="宋体"/>
          <w:b/>
          <w:color w:val="auto"/>
          <w:sz w:val="40"/>
          <w:szCs w:val="40"/>
        </w:rPr>
        <w:t>塔吊</w:t>
      </w:r>
      <w:r>
        <w:rPr>
          <w:rFonts w:hint="eastAsia" w:ascii="宋体" w:hAnsi="宋体"/>
          <w:b/>
          <w:color w:val="auto"/>
          <w:sz w:val="40"/>
          <w:szCs w:val="40"/>
          <w:lang w:val="en-US" w:eastAsia="zh-CN"/>
        </w:rPr>
        <w:t>缩臂降节</w:t>
      </w:r>
      <w:r>
        <w:rPr>
          <w:rFonts w:hint="eastAsia" w:ascii="宋体" w:hAnsi="宋体"/>
          <w:b/>
          <w:color w:val="auto"/>
          <w:sz w:val="40"/>
          <w:szCs w:val="40"/>
        </w:rPr>
        <w:t>专项施工方案</w:t>
      </w:r>
      <w:bookmarkEnd w:id="5"/>
    </w:p>
    <w:bookmarkEnd w:id="0"/>
    <w:bookmarkEnd w:id="1"/>
    <w:bookmarkEnd w:id="2"/>
    <w:bookmarkEnd w:id="3"/>
    <w:bookmarkEnd w:id="4"/>
    <w:p w14:paraId="4CB90CD0">
      <w:pPr>
        <w:ind w:firstLine="562" w:firstLineChars="201"/>
        <w:jc w:val="left"/>
        <w:rPr>
          <w:bCs/>
          <w:color w:val="auto"/>
          <w:sz w:val="28"/>
          <w:szCs w:val="28"/>
        </w:rPr>
      </w:pPr>
    </w:p>
    <w:p w14:paraId="751944FE">
      <w:pPr>
        <w:ind w:firstLine="562" w:firstLineChars="201"/>
        <w:jc w:val="left"/>
        <w:rPr>
          <w:bCs/>
          <w:color w:val="auto"/>
          <w:sz w:val="28"/>
          <w:szCs w:val="28"/>
        </w:rPr>
      </w:pPr>
    </w:p>
    <w:p w14:paraId="57C56830">
      <w:pPr>
        <w:ind w:firstLine="0" w:firstLineChars="0"/>
        <w:jc w:val="center"/>
        <w:rPr>
          <w:color w:val="auto"/>
          <w:sz w:val="28"/>
          <w:szCs w:val="28"/>
        </w:rPr>
      </w:pPr>
      <w:r>
        <w:rPr>
          <w:color w:val="auto"/>
          <w:sz w:val="28"/>
          <w:szCs w:val="28"/>
        </w:rPr>
        <w:drawing>
          <wp:inline distT="0" distB="0" distL="0" distR="0">
            <wp:extent cx="2247900" cy="2647950"/>
            <wp:effectExtent l="19050" t="0" r="0" b="0"/>
            <wp:docPr id="9"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2"/>
                    <pic:cNvPicPr>
                      <a:picLocks noChangeAspect="1" noChangeArrowheads="1"/>
                    </pic:cNvPicPr>
                  </pic:nvPicPr>
                  <pic:blipFill>
                    <a:blip r:embed="rId21" cstate="print"/>
                    <a:srcRect/>
                    <a:stretch>
                      <a:fillRect/>
                    </a:stretch>
                  </pic:blipFill>
                  <pic:spPr>
                    <a:xfrm>
                      <a:off x="0" y="0"/>
                      <a:ext cx="2247900" cy="2647950"/>
                    </a:xfrm>
                    <a:prstGeom prst="rect">
                      <a:avLst/>
                    </a:prstGeom>
                    <a:noFill/>
                    <a:ln w="9525">
                      <a:noFill/>
                      <a:miter lim="800000"/>
                      <a:headEnd/>
                      <a:tailEnd/>
                    </a:ln>
                  </pic:spPr>
                </pic:pic>
              </a:graphicData>
            </a:graphic>
          </wp:inline>
        </w:drawing>
      </w:r>
    </w:p>
    <w:p w14:paraId="38949DD4">
      <w:pPr>
        <w:ind w:firstLine="565" w:firstLineChars="201"/>
        <w:jc w:val="left"/>
        <w:rPr>
          <w:b/>
          <w:color w:val="auto"/>
          <w:sz w:val="28"/>
          <w:szCs w:val="28"/>
        </w:rPr>
      </w:pPr>
      <w:r>
        <w:rPr>
          <w:rFonts w:hint="eastAsia"/>
          <w:b/>
          <w:color w:val="auto"/>
          <w:sz w:val="28"/>
          <w:szCs w:val="28"/>
        </w:rPr>
        <w:t xml:space="preserve">                                </w:t>
      </w:r>
    </w:p>
    <w:p w14:paraId="4250733A">
      <w:pPr>
        <w:ind w:firstLine="562" w:firstLineChars="201"/>
        <w:jc w:val="left"/>
        <w:rPr>
          <w:bCs/>
          <w:color w:val="auto"/>
          <w:sz w:val="28"/>
          <w:szCs w:val="28"/>
        </w:rPr>
      </w:pPr>
    </w:p>
    <w:p w14:paraId="1088683C">
      <w:pPr>
        <w:ind w:firstLine="562" w:firstLineChars="201"/>
        <w:jc w:val="left"/>
        <w:rPr>
          <w:bCs/>
          <w:color w:val="auto"/>
          <w:sz w:val="28"/>
          <w:szCs w:val="28"/>
        </w:rPr>
      </w:pPr>
    </w:p>
    <w:p w14:paraId="0D9E7F8C">
      <w:pPr>
        <w:ind w:left="0" w:leftChars="0" w:firstLine="0" w:firstLineChars="0"/>
        <w:jc w:val="left"/>
        <w:rPr>
          <w:bCs/>
          <w:color w:val="auto"/>
          <w:sz w:val="28"/>
          <w:szCs w:val="28"/>
        </w:rPr>
      </w:pPr>
    </w:p>
    <w:p w14:paraId="6607BE15">
      <w:pPr>
        <w:ind w:firstLine="562" w:firstLineChars="201"/>
        <w:jc w:val="left"/>
        <w:rPr>
          <w:bCs/>
          <w:color w:val="auto"/>
          <w:sz w:val="28"/>
          <w:szCs w:val="28"/>
        </w:rPr>
      </w:pPr>
    </w:p>
    <w:p w14:paraId="0E6B585D">
      <w:pPr>
        <w:ind w:firstLine="646" w:firstLineChars="201"/>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中交第二航务工程局有限公司</w:t>
      </w:r>
    </w:p>
    <w:p w14:paraId="5D616B4F">
      <w:pPr>
        <w:ind w:firstLine="646" w:firstLineChars="201"/>
        <w:jc w:val="center"/>
        <w:rPr>
          <w:rFonts w:hint="eastAsia" w:ascii="宋体" w:hAnsi="宋体" w:cs="宋体"/>
          <w:b/>
          <w:color w:val="auto"/>
          <w:sz w:val="32"/>
          <w:szCs w:val="32"/>
          <w:highlight w:val="none"/>
          <w:lang w:val="en-US" w:eastAsia="zh-CN"/>
        </w:rPr>
      </w:pPr>
      <w:r>
        <w:rPr>
          <w:rFonts w:hint="eastAsia" w:ascii="宋体" w:hAnsi="宋体" w:cs="宋体"/>
          <w:b/>
          <w:color w:val="auto"/>
          <w:sz w:val="32"/>
          <w:szCs w:val="32"/>
          <w:highlight w:val="none"/>
          <w:lang w:val="en-US" w:eastAsia="zh-CN"/>
        </w:rPr>
        <w:t>彭州市龙兴寺片区PZ2024-16地块商住建设项目</w:t>
      </w:r>
    </w:p>
    <w:p w14:paraId="1CE99564">
      <w:pPr>
        <w:ind w:firstLine="646" w:firstLineChars="201"/>
        <w:jc w:val="center"/>
        <w:rPr>
          <w:rFonts w:hint="eastAsia" w:ascii="宋体" w:hAnsi="宋体" w:eastAsia="宋体" w:cs="宋体"/>
          <w:b/>
          <w:color w:val="auto"/>
          <w:sz w:val="32"/>
          <w:szCs w:val="32"/>
          <w:highlight w:val="none"/>
        </w:rPr>
      </w:pPr>
      <w:r>
        <w:rPr>
          <w:rFonts w:hint="eastAsia" w:ascii="宋体" w:hAnsi="宋体" w:cs="宋体"/>
          <w:b/>
          <w:color w:val="auto"/>
          <w:sz w:val="32"/>
          <w:szCs w:val="32"/>
          <w:highlight w:val="none"/>
          <w:lang w:val="en-US" w:eastAsia="zh-CN"/>
        </w:rPr>
        <w:t>2025</w:t>
      </w:r>
      <w:r>
        <w:rPr>
          <w:rFonts w:hint="eastAsia" w:ascii="宋体" w:hAnsi="宋体" w:eastAsia="宋体" w:cs="宋体"/>
          <w:b/>
          <w:color w:val="auto"/>
          <w:sz w:val="32"/>
          <w:szCs w:val="32"/>
          <w:highlight w:val="none"/>
        </w:rPr>
        <w:t>年</w:t>
      </w:r>
      <w:r>
        <w:rPr>
          <w:rFonts w:hint="eastAsia" w:ascii="宋体" w:hAnsi="宋体" w:cs="宋体"/>
          <w:b/>
          <w:color w:val="auto"/>
          <w:sz w:val="32"/>
          <w:szCs w:val="32"/>
          <w:highlight w:val="none"/>
          <w:lang w:val="en-US" w:eastAsia="zh-CN"/>
        </w:rPr>
        <w:t>10</w:t>
      </w:r>
      <w:r>
        <w:rPr>
          <w:rFonts w:hint="eastAsia" w:ascii="宋体" w:hAnsi="宋体" w:eastAsia="宋体" w:cs="宋体"/>
          <w:b/>
          <w:color w:val="auto"/>
          <w:sz w:val="32"/>
          <w:szCs w:val="32"/>
          <w:highlight w:val="none"/>
        </w:rPr>
        <w:t>月</w:t>
      </w:r>
      <w:bookmarkStart w:id="6" w:name="_Toc276521510"/>
      <w:bookmarkEnd w:id="6"/>
      <w:bookmarkStart w:id="7" w:name="_Toc271909489"/>
      <w:bookmarkEnd w:id="7"/>
      <w:bookmarkStart w:id="8" w:name="_Toc277275498"/>
      <w:bookmarkEnd w:id="8"/>
    </w:p>
    <w:p w14:paraId="72F01838">
      <w:pPr>
        <w:ind w:firstLine="562" w:firstLineChars="201"/>
        <w:jc w:val="left"/>
        <w:rPr>
          <w:bCs/>
          <w:color w:val="auto"/>
          <w:sz w:val="28"/>
          <w:szCs w:val="28"/>
        </w:rPr>
      </w:pPr>
      <w:r>
        <w:rPr>
          <w:bCs/>
          <w:color w:val="auto"/>
          <w:sz w:val="28"/>
          <w:szCs w:val="28"/>
        </w:rPr>
        <w:br w:type="page"/>
      </w:r>
    </w:p>
    <w:p w14:paraId="7AE29C2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Cs/>
          <w:color w:val="auto"/>
          <w:sz w:val="28"/>
          <w:szCs w:val="28"/>
          <w:lang w:eastAsia="zh-CN"/>
        </w:rPr>
      </w:pPr>
      <w:r>
        <w:rPr>
          <w:rFonts w:hint="eastAsia" w:eastAsia="宋体"/>
          <w:bCs/>
          <w:color w:val="auto"/>
          <w:sz w:val="28"/>
          <w:szCs w:val="28"/>
          <w:lang w:eastAsia="zh-CN"/>
        </w:rPr>
        <w:drawing>
          <wp:inline distT="0" distB="0" distL="114300" distR="114300">
            <wp:extent cx="5925820" cy="8382000"/>
            <wp:effectExtent l="0" t="0" r="17780" b="0"/>
            <wp:docPr id="20" name="图片 20" descr="科斗文封面签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科斗文封面签字2#"/>
                    <pic:cNvPicPr>
                      <a:picLocks noChangeAspect="1"/>
                    </pic:cNvPicPr>
                  </pic:nvPicPr>
                  <pic:blipFill>
                    <a:blip r:embed="rId22"/>
                    <a:stretch>
                      <a:fillRect/>
                    </a:stretch>
                  </pic:blipFill>
                  <pic:spPr>
                    <a:xfrm>
                      <a:off x="0" y="0"/>
                      <a:ext cx="5925820" cy="8382000"/>
                    </a:xfrm>
                    <a:prstGeom prst="rect">
                      <a:avLst/>
                    </a:prstGeom>
                  </pic:spPr>
                </pic:pic>
              </a:graphicData>
            </a:graphic>
          </wp:inline>
        </w:drawing>
      </w:r>
    </w:p>
    <w:p w14:paraId="6533E860">
      <w:pPr>
        <w:ind w:firstLine="726" w:firstLineChars="201"/>
        <w:jc w:val="center"/>
        <w:rPr>
          <w:rFonts w:hint="default"/>
          <w:b/>
          <w:color w:val="auto"/>
          <w:sz w:val="36"/>
          <w:szCs w:val="36"/>
          <w:lang w:val="en-US" w:eastAsia="zh-CN"/>
        </w:rPr>
      </w:pPr>
    </w:p>
    <w:p w14:paraId="483649F0">
      <w:pPr>
        <w:keepNext w:val="0"/>
        <w:keepLines w:val="0"/>
        <w:pageBreakBefore w:val="0"/>
        <w:widowControl w:val="0"/>
        <w:kinsoku/>
        <w:wordWrap/>
        <w:overflowPunct/>
        <w:topLinePunct w:val="0"/>
        <w:bidi w:val="0"/>
        <w:snapToGrid/>
        <w:spacing w:line="360" w:lineRule="auto"/>
        <w:ind w:firstLine="964"/>
        <w:jc w:val="center"/>
        <w:textAlignment w:val="auto"/>
        <w:rPr>
          <w:b/>
          <w:color w:val="auto"/>
          <w:sz w:val="52"/>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NumType w:fmt="decimal"/>
          <w:cols w:space="425" w:num="1"/>
          <w:docGrid w:linePitch="498" w:charSpace="17788"/>
        </w:sectPr>
      </w:pPr>
    </w:p>
    <w:sdt>
      <w:sdtPr>
        <w:rPr>
          <w:rFonts w:ascii="宋体" w:hAnsi="宋体" w:eastAsia="宋体" w:cs="Times New Roman"/>
          <w:color w:val="auto"/>
          <w:kern w:val="2"/>
          <w:sz w:val="32"/>
          <w:szCs w:val="32"/>
          <w:lang w:val="en-US" w:eastAsia="zh-CN" w:bidi="ar-SA"/>
        </w:rPr>
        <w:id w:val="147462089"/>
        <w15:color w:val="DBDBDB"/>
        <w:docPartObj>
          <w:docPartGallery w:val="Table of Contents"/>
          <w:docPartUnique/>
        </w:docPartObj>
      </w:sdtPr>
      <w:sdtEndPr>
        <w:rPr>
          <w:rFonts w:ascii="Times New Roman" w:hAnsi="Times New Roman" w:eastAsia="宋体" w:cs="Times New Roman"/>
          <w:b/>
          <w:color w:val="auto"/>
          <w:kern w:val="2"/>
          <w:sz w:val="28"/>
          <w:szCs w:val="32"/>
          <w:lang w:val="en-US" w:eastAsia="zh-CN" w:bidi="ar-SA"/>
        </w:rPr>
      </w:sdtEndPr>
      <w:sdtContent>
        <w:p w14:paraId="744EEAE0">
          <w:pPr>
            <w:spacing w:before="0" w:beforeLines="0" w:after="0" w:afterLines="0" w:line="240" w:lineRule="auto"/>
            <w:ind w:left="0" w:leftChars="0" w:right="0" w:rightChars="0" w:firstLine="0" w:firstLineChars="0"/>
            <w:jc w:val="center"/>
            <w:rPr>
              <w:rFonts w:hint="eastAsia" w:ascii="宋体" w:hAnsi="宋体" w:eastAsia="宋体" w:cs="宋体"/>
              <w:color w:val="auto"/>
              <w:sz w:val="32"/>
              <w:szCs w:val="32"/>
            </w:rPr>
          </w:pPr>
          <w:r>
            <w:rPr>
              <w:rFonts w:hint="eastAsia" w:ascii="宋体" w:hAnsi="宋体" w:eastAsia="宋体" w:cs="宋体"/>
              <w:color w:val="auto"/>
              <w:sz w:val="32"/>
              <w:szCs w:val="32"/>
            </w:rPr>
            <w:t>目</w:t>
          </w:r>
          <w:r>
            <w:rPr>
              <w:rFonts w:hint="eastAsia" w:ascii="宋体" w:hAnsi="宋体" w:eastAsia="宋体" w:cs="宋体"/>
              <w:color w:val="auto"/>
              <w:sz w:val="32"/>
              <w:szCs w:val="32"/>
              <w:lang w:val="en-US" w:eastAsia="zh-CN"/>
            </w:rPr>
            <w:t xml:space="preserve">    </w:t>
          </w:r>
          <w:r>
            <w:rPr>
              <w:rFonts w:hint="eastAsia" w:ascii="宋体" w:hAnsi="宋体" w:eastAsia="宋体" w:cs="宋体"/>
              <w:color w:val="auto"/>
              <w:sz w:val="32"/>
              <w:szCs w:val="32"/>
            </w:rPr>
            <w:t>录</w:t>
          </w:r>
        </w:p>
        <w:p w14:paraId="4B0F3F91">
          <w:pPr>
            <w:pStyle w:val="20"/>
            <w:tabs>
              <w:tab w:val="right" w:leader="dot" w:pos="9070"/>
              <w:tab w:val="clear" w:pos="9060"/>
            </w:tabs>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TOC \o "1-2" \h \u </w:instrText>
          </w:r>
          <w:r>
            <w:rPr>
              <w:rFonts w:hint="eastAsia" w:ascii="宋体" w:hAnsi="宋体" w:eastAsia="宋体" w:cs="宋体"/>
              <w:color w:val="auto"/>
              <w:sz w:val="24"/>
              <w:szCs w:val="24"/>
            </w:rPr>
            <w:fldChar w:fldCharType="separate"/>
          </w: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_Toc4435 </w:instrText>
          </w:r>
          <w:r>
            <w:rPr>
              <w:rFonts w:hint="eastAsia" w:ascii="宋体" w:hAnsi="宋体" w:eastAsia="宋体" w:cs="宋体"/>
              <w:szCs w:val="24"/>
            </w:rPr>
            <w:fldChar w:fldCharType="separate"/>
          </w:r>
          <w:r>
            <w:rPr>
              <w:rFonts w:hint="default" w:ascii="宋体" w:hAnsi="宋体" w:eastAsia="宋体" w:cs="宋体"/>
              <w:szCs w:val="32"/>
            </w:rPr>
            <w:t xml:space="preserve">1 </w:t>
          </w:r>
          <w:r>
            <w:rPr>
              <w:rFonts w:hint="eastAsia"/>
            </w:rPr>
            <w:t>编制说明、依据及适用范围</w:t>
          </w:r>
          <w:r>
            <w:tab/>
          </w:r>
          <w:r>
            <w:fldChar w:fldCharType="begin"/>
          </w:r>
          <w:r>
            <w:instrText xml:space="preserve"> PAGEREF _Toc4435 \h </w:instrText>
          </w:r>
          <w:r>
            <w:fldChar w:fldCharType="separate"/>
          </w:r>
          <w:r>
            <w:t>1</w:t>
          </w:r>
          <w:r>
            <w:fldChar w:fldCharType="end"/>
          </w:r>
          <w:r>
            <w:rPr>
              <w:rFonts w:hint="eastAsia" w:ascii="宋体" w:hAnsi="宋体" w:eastAsia="宋体" w:cs="宋体"/>
              <w:color w:val="auto"/>
              <w:szCs w:val="24"/>
            </w:rPr>
            <w:fldChar w:fldCharType="end"/>
          </w:r>
        </w:p>
        <w:p w14:paraId="250A4FC1">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_Toc19078 </w:instrText>
          </w:r>
          <w:r>
            <w:rPr>
              <w:rFonts w:hint="eastAsia" w:ascii="宋体" w:hAnsi="宋体" w:eastAsia="宋体" w:cs="宋体"/>
              <w:szCs w:val="24"/>
            </w:rPr>
            <w:fldChar w:fldCharType="separate"/>
          </w:r>
          <w:r>
            <w:rPr>
              <w:rFonts w:hint="default" w:ascii="宋体" w:hAnsi="宋体" w:eastAsia="宋体" w:cs="宋体"/>
            </w:rPr>
            <w:t xml:space="preserve">1.1 </w:t>
          </w:r>
          <w:r>
            <w:rPr>
              <w:rFonts w:hint="eastAsia"/>
            </w:rPr>
            <w:t>编制说明</w:t>
          </w:r>
          <w:r>
            <w:tab/>
          </w:r>
          <w:r>
            <w:fldChar w:fldCharType="begin"/>
          </w:r>
          <w:r>
            <w:instrText xml:space="preserve"> PAGEREF _Toc19078 \h </w:instrText>
          </w:r>
          <w:r>
            <w:fldChar w:fldCharType="separate"/>
          </w:r>
          <w:r>
            <w:t>1</w:t>
          </w:r>
          <w:r>
            <w:fldChar w:fldCharType="end"/>
          </w:r>
          <w:r>
            <w:rPr>
              <w:rFonts w:hint="eastAsia" w:ascii="宋体" w:hAnsi="宋体" w:eastAsia="宋体" w:cs="宋体"/>
              <w:color w:val="auto"/>
              <w:szCs w:val="24"/>
            </w:rPr>
            <w:fldChar w:fldCharType="end"/>
          </w:r>
        </w:p>
        <w:p w14:paraId="488044F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_Toc13298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1.2 </w:t>
          </w:r>
          <w:r>
            <w:rPr>
              <w:rFonts w:hint="eastAsia"/>
              <w:lang w:val="en-US" w:eastAsia="zh-CN"/>
            </w:rPr>
            <w:t>编制依据</w:t>
          </w:r>
          <w:r>
            <w:tab/>
          </w:r>
          <w:r>
            <w:fldChar w:fldCharType="begin"/>
          </w:r>
          <w:r>
            <w:instrText xml:space="preserve"> PAGEREF _Toc13298 \h </w:instrText>
          </w:r>
          <w:r>
            <w:fldChar w:fldCharType="separate"/>
          </w:r>
          <w:r>
            <w:t>1</w:t>
          </w:r>
          <w:r>
            <w:fldChar w:fldCharType="end"/>
          </w:r>
          <w:r>
            <w:rPr>
              <w:rFonts w:hint="eastAsia" w:ascii="宋体" w:hAnsi="宋体" w:eastAsia="宋体" w:cs="宋体"/>
              <w:color w:val="auto"/>
              <w:szCs w:val="24"/>
            </w:rPr>
            <w:fldChar w:fldCharType="end"/>
          </w:r>
        </w:p>
        <w:p w14:paraId="2DD7C3DF">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_Toc25296 </w:instrText>
          </w:r>
          <w:r>
            <w:rPr>
              <w:rFonts w:hint="eastAsia" w:ascii="宋体" w:hAnsi="宋体" w:eastAsia="宋体" w:cs="宋体"/>
              <w:szCs w:val="24"/>
            </w:rPr>
            <w:fldChar w:fldCharType="separate"/>
          </w:r>
          <w:r>
            <w:rPr>
              <w:rFonts w:hint="default" w:ascii="宋体" w:hAnsi="宋体" w:eastAsia="宋体" w:cs="宋体"/>
            </w:rPr>
            <w:t xml:space="preserve">1.3 </w:t>
          </w:r>
          <w:r>
            <w:rPr>
              <w:rFonts w:hint="eastAsia"/>
            </w:rPr>
            <w:t>编制原则</w:t>
          </w:r>
          <w:r>
            <w:tab/>
          </w:r>
          <w:r>
            <w:fldChar w:fldCharType="begin"/>
          </w:r>
          <w:r>
            <w:instrText xml:space="preserve"> PAGEREF _Toc25296 \h </w:instrText>
          </w:r>
          <w:r>
            <w:fldChar w:fldCharType="separate"/>
          </w:r>
          <w:r>
            <w:t>2</w:t>
          </w:r>
          <w:r>
            <w:fldChar w:fldCharType="end"/>
          </w:r>
          <w:r>
            <w:rPr>
              <w:rFonts w:hint="eastAsia" w:ascii="宋体" w:hAnsi="宋体" w:eastAsia="宋体" w:cs="宋体"/>
              <w:color w:val="auto"/>
              <w:szCs w:val="24"/>
            </w:rPr>
            <w:fldChar w:fldCharType="end"/>
          </w:r>
        </w:p>
        <w:p w14:paraId="7036C5E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_Toc22081 </w:instrText>
          </w:r>
          <w:r>
            <w:rPr>
              <w:rFonts w:hint="eastAsia" w:ascii="宋体" w:hAnsi="宋体" w:eastAsia="宋体" w:cs="宋体"/>
              <w:szCs w:val="24"/>
            </w:rPr>
            <w:fldChar w:fldCharType="separate"/>
          </w:r>
          <w:r>
            <w:rPr>
              <w:rFonts w:hint="default" w:ascii="宋体" w:hAnsi="宋体" w:eastAsia="宋体" w:cs="宋体"/>
            </w:rPr>
            <w:t xml:space="preserve">1.4 </w:t>
          </w:r>
          <w:r>
            <w:rPr>
              <w:rFonts w:hint="eastAsia"/>
            </w:rPr>
            <w:t>适用范围</w:t>
          </w:r>
          <w:r>
            <w:tab/>
          </w:r>
          <w:r>
            <w:fldChar w:fldCharType="begin"/>
          </w:r>
          <w:r>
            <w:instrText xml:space="preserve"> PAGEREF _Toc22081 \h </w:instrText>
          </w:r>
          <w:r>
            <w:fldChar w:fldCharType="separate"/>
          </w:r>
          <w:r>
            <w:t>2</w:t>
          </w:r>
          <w:r>
            <w:fldChar w:fldCharType="end"/>
          </w:r>
          <w:r>
            <w:rPr>
              <w:rFonts w:hint="eastAsia" w:ascii="宋体" w:hAnsi="宋体" w:eastAsia="宋体" w:cs="宋体"/>
              <w:color w:val="auto"/>
              <w:szCs w:val="24"/>
            </w:rPr>
            <w:fldChar w:fldCharType="end"/>
          </w:r>
        </w:p>
        <w:p w14:paraId="79D42763">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_Toc30591 </w:instrText>
          </w:r>
          <w:r>
            <w:rPr>
              <w:rFonts w:hint="eastAsia" w:ascii="宋体" w:hAnsi="宋体" w:eastAsia="宋体" w:cs="宋体"/>
              <w:szCs w:val="24"/>
            </w:rPr>
            <w:fldChar w:fldCharType="separate"/>
          </w:r>
          <w:r>
            <w:rPr>
              <w:rFonts w:hint="default" w:ascii="宋体" w:hAnsi="宋体" w:eastAsia="宋体" w:cs="宋体"/>
              <w:szCs w:val="32"/>
            </w:rPr>
            <w:t xml:space="preserve">2 </w:t>
          </w:r>
          <w:r>
            <w:rPr>
              <w:rFonts w:hint="eastAsia"/>
            </w:rPr>
            <w:t>工程概况</w:t>
          </w:r>
          <w:r>
            <w:tab/>
          </w:r>
          <w:r>
            <w:fldChar w:fldCharType="begin"/>
          </w:r>
          <w:r>
            <w:instrText xml:space="preserve"> PAGEREF _Toc30591 \h </w:instrText>
          </w:r>
          <w:r>
            <w:fldChar w:fldCharType="separate"/>
          </w:r>
          <w:r>
            <w:t>3</w:t>
          </w:r>
          <w:r>
            <w:fldChar w:fldCharType="end"/>
          </w:r>
          <w:r>
            <w:rPr>
              <w:rFonts w:hint="eastAsia" w:ascii="宋体" w:hAnsi="宋体" w:eastAsia="宋体" w:cs="宋体"/>
              <w:color w:val="auto"/>
              <w:szCs w:val="24"/>
            </w:rPr>
            <w:fldChar w:fldCharType="end"/>
          </w:r>
        </w:p>
        <w:p w14:paraId="49E0270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_Toc28170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2.1 </w:t>
          </w:r>
          <w:r>
            <w:rPr>
              <w:rFonts w:hint="eastAsia" w:eastAsia="宋体"/>
              <w:lang w:eastAsia="zh-CN"/>
            </w:rPr>
            <w:t>项目概况</w:t>
          </w:r>
          <w:r>
            <w:tab/>
          </w:r>
          <w:r>
            <w:fldChar w:fldCharType="begin"/>
          </w:r>
          <w:r>
            <w:instrText xml:space="preserve"> PAGEREF _Toc28170 \h </w:instrText>
          </w:r>
          <w:r>
            <w:fldChar w:fldCharType="separate"/>
          </w:r>
          <w:r>
            <w:t>3</w:t>
          </w:r>
          <w:r>
            <w:fldChar w:fldCharType="end"/>
          </w:r>
          <w:r>
            <w:rPr>
              <w:rFonts w:hint="eastAsia" w:ascii="宋体" w:hAnsi="宋体" w:eastAsia="宋体" w:cs="宋体"/>
              <w:color w:val="auto"/>
              <w:szCs w:val="24"/>
            </w:rPr>
            <w:fldChar w:fldCharType="end"/>
          </w:r>
        </w:p>
        <w:p w14:paraId="40D876B9">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_Toc21707 </w:instrText>
          </w:r>
          <w:r>
            <w:rPr>
              <w:rFonts w:hint="eastAsia" w:ascii="宋体" w:hAnsi="宋体" w:eastAsia="宋体" w:cs="宋体"/>
              <w:szCs w:val="24"/>
            </w:rPr>
            <w:fldChar w:fldCharType="separate"/>
          </w:r>
          <w:r>
            <w:rPr>
              <w:rFonts w:hint="default" w:ascii="宋体" w:hAnsi="宋体" w:eastAsia="宋体" w:cs="宋体"/>
              <w:lang w:eastAsia="zh-CN"/>
            </w:rPr>
            <w:t xml:space="preserve">2.2 </w:t>
          </w:r>
          <w:r>
            <w:rPr>
              <w:rFonts w:hint="eastAsia"/>
              <w:lang w:eastAsia="zh-CN"/>
            </w:rPr>
            <w:t>工程特点</w:t>
          </w:r>
          <w:r>
            <w:tab/>
          </w:r>
          <w:r>
            <w:fldChar w:fldCharType="begin"/>
          </w:r>
          <w:r>
            <w:instrText xml:space="preserve"> PAGEREF _Toc21707 \h </w:instrText>
          </w:r>
          <w:r>
            <w:fldChar w:fldCharType="separate"/>
          </w:r>
          <w:r>
            <w:t>3</w:t>
          </w:r>
          <w:r>
            <w:fldChar w:fldCharType="end"/>
          </w:r>
          <w:r>
            <w:rPr>
              <w:rFonts w:hint="eastAsia" w:ascii="宋体" w:hAnsi="宋体" w:eastAsia="宋体" w:cs="宋体"/>
              <w:color w:val="auto"/>
              <w:szCs w:val="24"/>
            </w:rPr>
            <w:fldChar w:fldCharType="end"/>
          </w:r>
        </w:p>
        <w:p w14:paraId="2F03303B">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_Toc30161 </w:instrText>
          </w:r>
          <w:r>
            <w:rPr>
              <w:rFonts w:hint="eastAsia" w:ascii="宋体" w:hAnsi="宋体" w:eastAsia="宋体" w:cs="宋体"/>
              <w:szCs w:val="24"/>
            </w:rPr>
            <w:fldChar w:fldCharType="separate"/>
          </w:r>
          <w:r>
            <w:rPr>
              <w:rFonts w:hint="default" w:ascii="宋体" w:hAnsi="宋体" w:eastAsia="宋体" w:cs="宋体"/>
            </w:rPr>
            <w:t xml:space="preserve">2.3 </w:t>
          </w:r>
          <w:r>
            <w:rPr>
              <w:rFonts w:hint="eastAsia"/>
            </w:rPr>
            <w:t>施工平面布置</w:t>
          </w:r>
          <w:r>
            <w:tab/>
          </w:r>
          <w:r>
            <w:fldChar w:fldCharType="begin"/>
          </w:r>
          <w:r>
            <w:instrText xml:space="preserve"> PAGEREF _Toc30161 \h </w:instrText>
          </w:r>
          <w:r>
            <w:fldChar w:fldCharType="separate"/>
          </w:r>
          <w:r>
            <w:t>4</w:t>
          </w:r>
          <w:r>
            <w:fldChar w:fldCharType="end"/>
          </w:r>
          <w:r>
            <w:rPr>
              <w:rFonts w:hint="eastAsia" w:ascii="宋体" w:hAnsi="宋体" w:eastAsia="宋体" w:cs="宋体"/>
              <w:color w:val="auto"/>
              <w:szCs w:val="24"/>
            </w:rPr>
            <w:fldChar w:fldCharType="end"/>
          </w:r>
        </w:p>
        <w:p w14:paraId="44021707">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_Toc13716 </w:instrText>
          </w:r>
          <w:r>
            <w:rPr>
              <w:rFonts w:hint="eastAsia" w:ascii="宋体" w:hAnsi="宋体" w:eastAsia="宋体" w:cs="宋体"/>
              <w:szCs w:val="24"/>
            </w:rPr>
            <w:fldChar w:fldCharType="separate"/>
          </w:r>
          <w:r>
            <w:rPr>
              <w:rFonts w:hint="default" w:ascii="宋体" w:hAnsi="宋体" w:eastAsia="宋体" w:cs="宋体"/>
            </w:rPr>
            <w:t xml:space="preserve">2.4 </w:t>
          </w:r>
          <w:r>
            <w:rPr>
              <w:rFonts w:hint="eastAsia"/>
            </w:rPr>
            <w:t>施工要求</w:t>
          </w:r>
          <w:r>
            <w:tab/>
          </w:r>
          <w:r>
            <w:fldChar w:fldCharType="begin"/>
          </w:r>
          <w:r>
            <w:instrText xml:space="preserve"> PAGEREF _Toc13716 \h </w:instrText>
          </w:r>
          <w:r>
            <w:fldChar w:fldCharType="separate"/>
          </w:r>
          <w:r>
            <w:t>4</w:t>
          </w:r>
          <w:r>
            <w:fldChar w:fldCharType="end"/>
          </w:r>
          <w:r>
            <w:rPr>
              <w:rFonts w:hint="eastAsia" w:ascii="宋体" w:hAnsi="宋体" w:eastAsia="宋体" w:cs="宋体"/>
              <w:color w:val="auto"/>
              <w:szCs w:val="24"/>
            </w:rPr>
            <w:fldChar w:fldCharType="end"/>
          </w:r>
        </w:p>
        <w:p w14:paraId="6B59107C">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_Toc26042 </w:instrText>
          </w:r>
          <w:r>
            <w:rPr>
              <w:rFonts w:hint="eastAsia" w:ascii="宋体" w:hAnsi="宋体" w:eastAsia="宋体" w:cs="宋体"/>
              <w:szCs w:val="24"/>
            </w:rPr>
            <w:fldChar w:fldCharType="separate"/>
          </w:r>
          <w:r>
            <w:rPr>
              <w:rFonts w:hint="default" w:ascii="宋体" w:hAnsi="宋体" w:eastAsia="宋体" w:cs="宋体"/>
            </w:rPr>
            <w:t xml:space="preserve">2.5 </w:t>
          </w:r>
          <w:r>
            <w:rPr>
              <w:rFonts w:hint="eastAsia"/>
            </w:rPr>
            <w:t>技术保证条件</w:t>
          </w:r>
          <w:r>
            <w:tab/>
          </w:r>
          <w:r>
            <w:fldChar w:fldCharType="begin"/>
          </w:r>
          <w:r>
            <w:instrText xml:space="preserve"> PAGEREF _Toc26042 \h </w:instrText>
          </w:r>
          <w:r>
            <w:fldChar w:fldCharType="separate"/>
          </w:r>
          <w:r>
            <w:t>5</w:t>
          </w:r>
          <w:r>
            <w:fldChar w:fldCharType="end"/>
          </w:r>
          <w:r>
            <w:rPr>
              <w:rFonts w:hint="eastAsia" w:ascii="宋体" w:hAnsi="宋体" w:eastAsia="宋体" w:cs="宋体"/>
              <w:color w:val="auto"/>
              <w:szCs w:val="24"/>
            </w:rPr>
            <w:fldChar w:fldCharType="end"/>
          </w:r>
        </w:p>
        <w:p w14:paraId="57CC2348">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_Toc16169 </w:instrText>
          </w:r>
          <w:r>
            <w:rPr>
              <w:rFonts w:hint="eastAsia" w:ascii="宋体" w:hAnsi="宋体" w:eastAsia="宋体" w:cs="宋体"/>
              <w:szCs w:val="24"/>
            </w:rPr>
            <w:fldChar w:fldCharType="separate"/>
          </w:r>
          <w:r>
            <w:rPr>
              <w:rFonts w:hint="default" w:ascii="宋体" w:hAnsi="宋体" w:eastAsia="宋体" w:cs="宋体"/>
              <w:szCs w:val="32"/>
            </w:rPr>
            <w:t xml:space="preserve">3 </w:t>
          </w:r>
          <w:r>
            <w:rPr>
              <w:rFonts w:hint="eastAsia"/>
            </w:rPr>
            <w:t>施工计划</w:t>
          </w:r>
          <w:r>
            <w:tab/>
          </w:r>
          <w:r>
            <w:fldChar w:fldCharType="begin"/>
          </w:r>
          <w:r>
            <w:instrText xml:space="preserve"> PAGEREF _Toc16169 \h </w:instrText>
          </w:r>
          <w:r>
            <w:fldChar w:fldCharType="separate"/>
          </w:r>
          <w:r>
            <w:t>6</w:t>
          </w:r>
          <w:r>
            <w:fldChar w:fldCharType="end"/>
          </w:r>
          <w:r>
            <w:rPr>
              <w:rFonts w:hint="eastAsia" w:ascii="宋体" w:hAnsi="宋体" w:eastAsia="宋体" w:cs="宋体"/>
              <w:color w:val="auto"/>
              <w:szCs w:val="24"/>
            </w:rPr>
            <w:fldChar w:fldCharType="end"/>
          </w:r>
        </w:p>
        <w:p w14:paraId="2C75C44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_Toc3246 </w:instrText>
          </w:r>
          <w:r>
            <w:rPr>
              <w:rFonts w:hint="eastAsia" w:ascii="宋体" w:hAnsi="宋体" w:eastAsia="宋体" w:cs="宋体"/>
              <w:szCs w:val="24"/>
            </w:rPr>
            <w:fldChar w:fldCharType="separate"/>
          </w:r>
          <w:r>
            <w:rPr>
              <w:rFonts w:hint="default" w:ascii="宋体" w:hAnsi="宋体" w:eastAsia="宋体" w:cs="宋体"/>
            </w:rPr>
            <w:t xml:space="preserve">3.1 </w:t>
          </w:r>
          <w:r>
            <w:rPr>
              <w:rFonts w:hint="eastAsia"/>
            </w:rPr>
            <w:t>总体施工部署</w:t>
          </w:r>
          <w:r>
            <w:tab/>
          </w:r>
          <w:r>
            <w:fldChar w:fldCharType="begin"/>
          </w:r>
          <w:r>
            <w:instrText xml:space="preserve"> PAGEREF _Toc3246 \h </w:instrText>
          </w:r>
          <w:r>
            <w:fldChar w:fldCharType="separate"/>
          </w:r>
          <w:r>
            <w:t>6</w:t>
          </w:r>
          <w:r>
            <w:fldChar w:fldCharType="end"/>
          </w:r>
          <w:r>
            <w:rPr>
              <w:rFonts w:hint="eastAsia" w:ascii="宋体" w:hAnsi="宋体" w:eastAsia="宋体" w:cs="宋体"/>
              <w:color w:val="auto"/>
              <w:szCs w:val="24"/>
            </w:rPr>
            <w:fldChar w:fldCharType="end"/>
          </w:r>
        </w:p>
        <w:p w14:paraId="6B600D35">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_Toc4182 </w:instrText>
          </w:r>
          <w:r>
            <w:rPr>
              <w:rFonts w:hint="eastAsia" w:ascii="宋体" w:hAnsi="宋体" w:eastAsia="宋体" w:cs="宋体"/>
              <w:szCs w:val="24"/>
            </w:rPr>
            <w:fldChar w:fldCharType="separate"/>
          </w:r>
          <w:r>
            <w:rPr>
              <w:rFonts w:hint="default" w:ascii="宋体" w:hAnsi="宋体" w:eastAsia="宋体" w:cs="宋体"/>
            </w:rPr>
            <w:t xml:space="preserve">3.2 </w:t>
          </w:r>
          <w:r>
            <w:rPr>
              <w:rFonts w:hint="eastAsia"/>
            </w:rPr>
            <w:t>施工进度计划</w:t>
          </w:r>
          <w:r>
            <w:tab/>
          </w:r>
          <w:r>
            <w:fldChar w:fldCharType="begin"/>
          </w:r>
          <w:r>
            <w:instrText xml:space="preserve"> PAGEREF _Toc4182 \h </w:instrText>
          </w:r>
          <w:r>
            <w:fldChar w:fldCharType="separate"/>
          </w:r>
          <w:r>
            <w:t>6</w:t>
          </w:r>
          <w:r>
            <w:fldChar w:fldCharType="end"/>
          </w:r>
          <w:r>
            <w:rPr>
              <w:rFonts w:hint="eastAsia" w:ascii="宋体" w:hAnsi="宋体" w:eastAsia="宋体" w:cs="宋体"/>
              <w:color w:val="auto"/>
              <w:szCs w:val="24"/>
            </w:rPr>
            <w:fldChar w:fldCharType="end"/>
          </w:r>
        </w:p>
        <w:p w14:paraId="2C7F7AC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_Toc5030 </w:instrText>
          </w:r>
          <w:r>
            <w:rPr>
              <w:rFonts w:hint="eastAsia" w:ascii="宋体" w:hAnsi="宋体" w:eastAsia="宋体" w:cs="宋体"/>
              <w:szCs w:val="24"/>
            </w:rPr>
            <w:fldChar w:fldCharType="separate"/>
          </w:r>
          <w:r>
            <w:rPr>
              <w:rFonts w:hint="default" w:ascii="宋体" w:hAnsi="宋体" w:eastAsia="宋体" w:cs="宋体"/>
            </w:rPr>
            <w:t xml:space="preserve">3.3 </w:t>
          </w:r>
          <w:r>
            <w:rPr>
              <w:rFonts w:hint="eastAsia"/>
            </w:rPr>
            <w:t>材料计划</w:t>
          </w:r>
          <w:r>
            <w:tab/>
          </w:r>
          <w:r>
            <w:fldChar w:fldCharType="begin"/>
          </w:r>
          <w:r>
            <w:instrText xml:space="preserve"> PAGEREF _Toc5030 \h </w:instrText>
          </w:r>
          <w:r>
            <w:fldChar w:fldCharType="separate"/>
          </w:r>
          <w:r>
            <w:t>6</w:t>
          </w:r>
          <w:r>
            <w:fldChar w:fldCharType="end"/>
          </w:r>
          <w:r>
            <w:rPr>
              <w:rFonts w:hint="eastAsia" w:ascii="宋体" w:hAnsi="宋体" w:eastAsia="宋体" w:cs="宋体"/>
              <w:color w:val="auto"/>
              <w:szCs w:val="24"/>
            </w:rPr>
            <w:fldChar w:fldCharType="end"/>
          </w:r>
        </w:p>
        <w:p w14:paraId="20C5013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_Toc9742 </w:instrText>
          </w:r>
          <w:r>
            <w:rPr>
              <w:rFonts w:hint="eastAsia" w:ascii="宋体" w:hAnsi="宋体" w:eastAsia="宋体" w:cs="宋体"/>
              <w:szCs w:val="24"/>
            </w:rPr>
            <w:fldChar w:fldCharType="separate"/>
          </w:r>
          <w:r>
            <w:rPr>
              <w:rFonts w:hint="default" w:ascii="宋体" w:hAnsi="宋体" w:eastAsia="宋体" w:cs="宋体"/>
            </w:rPr>
            <w:t xml:space="preserve">3.4 </w:t>
          </w:r>
          <w:r>
            <w:rPr>
              <w:rFonts w:hint="eastAsia"/>
            </w:rPr>
            <w:t>设备计划</w:t>
          </w:r>
          <w:r>
            <w:tab/>
          </w:r>
          <w:r>
            <w:fldChar w:fldCharType="begin"/>
          </w:r>
          <w:r>
            <w:instrText xml:space="preserve"> PAGEREF _Toc9742 \h </w:instrText>
          </w:r>
          <w:r>
            <w:fldChar w:fldCharType="separate"/>
          </w:r>
          <w:r>
            <w:t>7</w:t>
          </w:r>
          <w:r>
            <w:fldChar w:fldCharType="end"/>
          </w:r>
          <w:r>
            <w:rPr>
              <w:rFonts w:hint="eastAsia" w:ascii="宋体" w:hAnsi="宋体" w:eastAsia="宋体" w:cs="宋体"/>
              <w:color w:val="auto"/>
              <w:szCs w:val="24"/>
            </w:rPr>
            <w:fldChar w:fldCharType="end"/>
          </w:r>
        </w:p>
        <w:p w14:paraId="736B1712">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_Toc1087 </w:instrText>
          </w:r>
          <w:r>
            <w:rPr>
              <w:rFonts w:hint="eastAsia" w:ascii="宋体" w:hAnsi="宋体" w:eastAsia="宋体" w:cs="宋体"/>
              <w:szCs w:val="24"/>
            </w:rPr>
            <w:fldChar w:fldCharType="separate"/>
          </w:r>
          <w:r>
            <w:rPr>
              <w:rFonts w:hint="default" w:ascii="宋体" w:hAnsi="宋体" w:eastAsia="宋体" w:cs="宋体"/>
              <w:szCs w:val="32"/>
            </w:rPr>
            <w:t xml:space="preserve">4 </w:t>
          </w:r>
          <w:r>
            <w:rPr>
              <w:rFonts w:hint="eastAsia"/>
            </w:rPr>
            <w:t>施工工艺技术</w:t>
          </w:r>
          <w:r>
            <w:tab/>
          </w:r>
          <w:r>
            <w:fldChar w:fldCharType="begin"/>
          </w:r>
          <w:r>
            <w:instrText xml:space="preserve"> PAGEREF _Toc1087 \h </w:instrText>
          </w:r>
          <w:r>
            <w:fldChar w:fldCharType="separate"/>
          </w:r>
          <w:r>
            <w:t>8</w:t>
          </w:r>
          <w:r>
            <w:fldChar w:fldCharType="end"/>
          </w:r>
          <w:r>
            <w:rPr>
              <w:rFonts w:hint="eastAsia" w:ascii="宋体" w:hAnsi="宋体" w:eastAsia="宋体" w:cs="宋体"/>
              <w:color w:val="auto"/>
              <w:szCs w:val="24"/>
            </w:rPr>
            <w:fldChar w:fldCharType="end"/>
          </w:r>
        </w:p>
        <w:p w14:paraId="1F8F005B">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_Toc10785 </w:instrText>
          </w:r>
          <w:r>
            <w:rPr>
              <w:rFonts w:hint="eastAsia" w:ascii="宋体" w:hAnsi="宋体" w:eastAsia="宋体" w:cs="宋体"/>
              <w:szCs w:val="24"/>
            </w:rPr>
            <w:fldChar w:fldCharType="separate"/>
          </w:r>
          <w:r>
            <w:rPr>
              <w:rFonts w:hint="default" w:ascii="宋体" w:hAnsi="宋体" w:eastAsia="宋体" w:cs="宋体"/>
            </w:rPr>
            <w:t xml:space="preserve">4.1 </w:t>
          </w:r>
          <w:r>
            <w:rPr>
              <w:rFonts w:hint="eastAsia"/>
            </w:rPr>
            <w:t>总体施工方案</w:t>
          </w:r>
          <w:r>
            <w:tab/>
          </w:r>
          <w:r>
            <w:fldChar w:fldCharType="begin"/>
          </w:r>
          <w:r>
            <w:instrText xml:space="preserve"> PAGEREF _Toc10785 \h </w:instrText>
          </w:r>
          <w:r>
            <w:fldChar w:fldCharType="separate"/>
          </w:r>
          <w:r>
            <w:t>8</w:t>
          </w:r>
          <w:r>
            <w:fldChar w:fldCharType="end"/>
          </w:r>
          <w:r>
            <w:rPr>
              <w:rFonts w:hint="eastAsia" w:ascii="宋体" w:hAnsi="宋体" w:eastAsia="宋体" w:cs="宋体"/>
              <w:color w:val="auto"/>
              <w:szCs w:val="24"/>
            </w:rPr>
            <w:fldChar w:fldCharType="end"/>
          </w:r>
        </w:p>
        <w:p w14:paraId="14A952B7">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_Toc13577 </w:instrText>
          </w:r>
          <w:r>
            <w:rPr>
              <w:rFonts w:hint="eastAsia" w:ascii="宋体" w:hAnsi="宋体" w:eastAsia="宋体" w:cs="宋体"/>
              <w:szCs w:val="24"/>
            </w:rPr>
            <w:fldChar w:fldCharType="separate"/>
          </w:r>
          <w:r>
            <w:rPr>
              <w:rFonts w:hint="default" w:ascii="宋体" w:hAnsi="宋体" w:eastAsia="宋体" w:cs="宋体"/>
            </w:rPr>
            <w:t xml:space="preserve">4.2 </w:t>
          </w:r>
          <w:r>
            <w:rPr>
              <w:rFonts w:hint="eastAsia" w:eastAsia="宋体"/>
            </w:rPr>
            <w:t>主要设备选型</w:t>
          </w:r>
          <w:r>
            <w:tab/>
          </w:r>
          <w:r>
            <w:fldChar w:fldCharType="begin"/>
          </w:r>
          <w:r>
            <w:instrText xml:space="preserve"> PAGEREF _Toc13577 \h </w:instrText>
          </w:r>
          <w:r>
            <w:fldChar w:fldCharType="separate"/>
          </w:r>
          <w:r>
            <w:t>8</w:t>
          </w:r>
          <w:r>
            <w:fldChar w:fldCharType="end"/>
          </w:r>
          <w:r>
            <w:rPr>
              <w:rFonts w:hint="eastAsia" w:ascii="宋体" w:hAnsi="宋体" w:eastAsia="宋体" w:cs="宋体"/>
              <w:color w:val="auto"/>
              <w:szCs w:val="24"/>
            </w:rPr>
            <w:fldChar w:fldCharType="end"/>
          </w:r>
        </w:p>
        <w:p w14:paraId="1F04FE05">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_Toc9437 </w:instrText>
          </w:r>
          <w:r>
            <w:rPr>
              <w:rFonts w:hint="eastAsia" w:ascii="宋体" w:hAnsi="宋体" w:eastAsia="宋体" w:cs="宋体"/>
              <w:szCs w:val="24"/>
            </w:rPr>
            <w:fldChar w:fldCharType="separate"/>
          </w:r>
          <w:r>
            <w:rPr>
              <w:rFonts w:hint="default" w:ascii="宋体" w:hAnsi="宋体" w:eastAsia="宋体" w:cs="宋体"/>
            </w:rPr>
            <w:t xml:space="preserve">4.3 </w:t>
          </w:r>
          <w:r>
            <w:rPr>
              <w:rFonts w:hint="eastAsia" w:eastAsia="宋体"/>
            </w:rPr>
            <w:t>施工准备</w:t>
          </w:r>
          <w:r>
            <w:tab/>
          </w:r>
          <w:r>
            <w:fldChar w:fldCharType="begin"/>
          </w:r>
          <w:r>
            <w:instrText xml:space="preserve"> PAGEREF _Toc9437 \h </w:instrText>
          </w:r>
          <w:r>
            <w:fldChar w:fldCharType="separate"/>
          </w:r>
          <w:r>
            <w:t>9</w:t>
          </w:r>
          <w:r>
            <w:fldChar w:fldCharType="end"/>
          </w:r>
          <w:r>
            <w:rPr>
              <w:rFonts w:hint="eastAsia" w:ascii="宋体" w:hAnsi="宋体" w:eastAsia="宋体" w:cs="宋体"/>
              <w:color w:val="auto"/>
              <w:szCs w:val="24"/>
            </w:rPr>
            <w:fldChar w:fldCharType="end"/>
          </w:r>
        </w:p>
        <w:p w14:paraId="3263E5FF">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_Toc20779 </w:instrText>
          </w:r>
          <w:r>
            <w:rPr>
              <w:rFonts w:hint="eastAsia" w:ascii="宋体" w:hAnsi="宋体" w:eastAsia="宋体" w:cs="宋体"/>
              <w:szCs w:val="24"/>
            </w:rPr>
            <w:fldChar w:fldCharType="separate"/>
          </w:r>
          <w:r>
            <w:rPr>
              <w:rFonts w:hint="default" w:ascii="宋体" w:hAnsi="宋体" w:eastAsia="宋体" w:cs="宋体"/>
            </w:rPr>
            <w:t xml:space="preserve">4.4 </w:t>
          </w:r>
          <w:r>
            <w:rPr>
              <w:rFonts w:hint="eastAsia"/>
              <w:lang w:val="en-US" w:eastAsia="zh-CN"/>
            </w:rPr>
            <w:t>XGT6015-8S1缩臂降节步骤</w:t>
          </w:r>
          <w:r>
            <w:tab/>
          </w:r>
          <w:r>
            <w:fldChar w:fldCharType="begin"/>
          </w:r>
          <w:r>
            <w:instrText xml:space="preserve"> PAGEREF _Toc20779 \h </w:instrText>
          </w:r>
          <w:r>
            <w:fldChar w:fldCharType="separate"/>
          </w:r>
          <w:r>
            <w:t>11</w:t>
          </w:r>
          <w:r>
            <w:fldChar w:fldCharType="end"/>
          </w:r>
          <w:r>
            <w:rPr>
              <w:rFonts w:hint="eastAsia" w:ascii="宋体" w:hAnsi="宋体" w:eastAsia="宋体" w:cs="宋体"/>
              <w:color w:val="auto"/>
              <w:szCs w:val="24"/>
            </w:rPr>
            <w:fldChar w:fldCharType="end"/>
          </w:r>
        </w:p>
        <w:p w14:paraId="715AAE69">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_Toc4243 </w:instrText>
          </w:r>
          <w:r>
            <w:rPr>
              <w:rFonts w:hint="eastAsia" w:ascii="宋体" w:hAnsi="宋体" w:eastAsia="宋体" w:cs="宋体"/>
              <w:szCs w:val="24"/>
            </w:rPr>
            <w:fldChar w:fldCharType="separate"/>
          </w:r>
          <w:r>
            <w:rPr>
              <w:rFonts w:hint="default" w:ascii="宋体" w:hAnsi="宋体" w:eastAsia="宋体" w:cs="宋体"/>
            </w:rPr>
            <w:t xml:space="preserve">4.5 </w:t>
          </w:r>
          <w:r>
            <w:rPr>
              <w:rFonts w:hint="eastAsia" w:eastAsia="宋体"/>
            </w:rPr>
            <w:t>检查要求</w:t>
          </w:r>
          <w:r>
            <w:tab/>
          </w:r>
          <w:r>
            <w:fldChar w:fldCharType="begin"/>
          </w:r>
          <w:r>
            <w:instrText xml:space="preserve"> PAGEREF _Toc4243 \h </w:instrText>
          </w:r>
          <w:r>
            <w:fldChar w:fldCharType="separate"/>
          </w:r>
          <w:r>
            <w:t>13</w:t>
          </w:r>
          <w:r>
            <w:fldChar w:fldCharType="end"/>
          </w:r>
          <w:r>
            <w:rPr>
              <w:rFonts w:hint="eastAsia" w:ascii="宋体" w:hAnsi="宋体" w:eastAsia="宋体" w:cs="宋体"/>
              <w:color w:val="auto"/>
              <w:szCs w:val="24"/>
            </w:rPr>
            <w:fldChar w:fldCharType="end"/>
          </w:r>
        </w:p>
        <w:p w14:paraId="5AC02E75">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_Toc7764 </w:instrText>
          </w:r>
          <w:r>
            <w:rPr>
              <w:rFonts w:hint="eastAsia" w:ascii="宋体" w:hAnsi="宋体" w:eastAsia="宋体" w:cs="宋体"/>
              <w:szCs w:val="24"/>
            </w:rPr>
            <w:fldChar w:fldCharType="separate"/>
          </w:r>
          <w:r>
            <w:rPr>
              <w:rFonts w:hint="default" w:ascii="宋体" w:hAnsi="宋体" w:eastAsia="宋体" w:cs="宋体"/>
              <w:szCs w:val="32"/>
            </w:rPr>
            <w:t xml:space="preserve">5 </w:t>
          </w:r>
          <w:r>
            <w:rPr>
              <w:rFonts w:hint="eastAsia"/>
            </w:rPr>
            <w:t>质量管理</w:t>
          </w:r>
          <w:r>
            <w:t>措施</w:t>
          </w:r>
          <w:r>
            <w:tab/>
          </w:r>
          <w:r>
            <w:fldChar w:fldCharType="begin"/>
          </w:r>
          <w:r>
            <w:instrText xml:space="preserve"> PAGEREF _Toc7764 \h </w:instrText>
          </w:r>
          <w:r>
            <w:fldChar w:fldCharType="separate"/>
          </w:r>
          <w:r>
            <w:t>21</w:t>
          </w:r>
          <w:r>
            <w:fldChar w:fldCharType="end"/>
          </w:r>
          <w:r>
            <w:rPr>
              <w:rFonts w:hint="eastAsia" w:ascii="宋体" w:hAnsi="宋体" w:eastAsia="宋体" w:cs="宋体"/>
              <w:color w:val="auto"/>
              <w:szCs w:val="24"/>
            </w:rPr>
            <w:fldChar w:fldCharType="end"/>
          </w:r>
        </w:p>
        <w:p w14:paraId="7F94D7B2">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_Toc1615 </w:instrText>
          </w:r>
          <w:r>
            <w:rPr>
              <w:rFonts w:hint="eastAsia" w:ascii="宋体" w:hAnsi="宋体" w:eastAsia="宋体" w:cs="宋体"/>
              <w:szCs w:val="24"/>
            </w:rPr>
            <w:fldChar w:fldCharType="separate"/>
          </w:r>
          <w:r>
            <w:rPr>
              <w:rFonts w:hint="default" w:ascii="宋体" w:hAnsi="宋体" w:eastAsia="宋体" w:cs="宋体"/>
            </w:rPr>
            <w:t xml:space="preserve">5.1 </w:t>
          </w:r>
          <w:r>
            <w:rPr>
              <w:rFonts w:hint="eastAsia"/>
            </w:rPr>
            <w:t>质量管理组织机构</w:t>
          </w:r>
          <w:r>
            <w:tab/>
          </w:r>
          <w:r>
            <w:fldChar w:fldCharType="begin"/>
          </w:r>
          <w:r>
            <w:instrText xml:space="preserve"> PAGEREF _Toc1615 \h </w:instrText>
          </w:r>
          <w:r>
            <w:fldChar w:fldCharType="separate"/>
          </w:r>
          <w:r>
            <w:t>21</w:t>
          </w:r>
          <w:r>
            <w:fldChar w:fldCharType="end"/>
          </w:r>
          <w:r>
            <w:rPr>
              <w:rFonts w:hint="eastAsia" w:ascii="宋体" w:hAnsi="宋体" w:eastAsia="宋体" w:cs="宋体"/>
              <w:color w:val="auto"/>
              <w:szCs w:val="24"/>
            </w:rPr>
            <w:fldChar w:fldCharType="end"/>
          </w:r>
        </w:p>
        <w:p w14:paraId="64BCF03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_Toc31512 </w:instrText>
          </w:r>
          <w:r>
            <w:rPr>
              <w:rFonts w:hint="eastAsia" w:ascii="宋体" w:hAnsi="宋体" w:eastAsia="宋体" w:cs="宋体"/>
              <w:szCs w:val="24"/>
            </w:rPr>
            <w:fldChar w:fldCharType="separate"/>
          </w:r>
          <w:r>
            <w:rPr>
              <w:rFonts w:hint="default" w:ascii="宋体" w:hAnsi="宋体" w:eastAsia="宋体" w:cs="宋体"/>
              <w:bCs/>
              <w:shd w:val="clear" w:fill="auto"/>
            </w:rPr>
            <w:t xml:space="preserve">5.2 </w:t>
          </w:r>
          <w:r>
            <w:rPr>
              <w:rFonts w:hint="default" w:asciiTheme="majorAscii" w:hAnsiTheme="majorAscii"/>
              <w:bCs/>
              <w:highlight w:val="none"/>
              <w:shd w:val="clear" w:color="auto" w:fill="auto"/>
            </w:rPr>
            <w:t>质量通病及质量通病预防</w:t>
          </w:r>
          <w:r>
            <w:tab/>
          </w:r>
          <w:r>
            <w:fldChar w:fldCharType="begin"/>
          </w:r>
          <w:r>
            <w:instrText xml:space="preserve"> PAGEREF _Toc31512 \h </w:instrText>
          </w:r>
          <w:r>
            <w:fldChar w:fldCharType="separate"/>
          </w:r>
          <w:r>
            <w:t>21</w:t>
          </w:r>
          <w:r>
            <w:fldChar w:fldCharType="end"/>
          </w:r>
          <w:r>
            <w:rPr>
              <w:rFonts w:hint="eastAsia" w:ascii="宋体" w:hAnsi="宋体" w:eastAsia="宋体" w:cs="宋体"/>
              <w:color w:val="auto"/>
              <w:szCs w:val="24"/>
            </w:rPr>
            <w:fldChar w:fldCharType="end"/>
          </w:r>
        </w:p>
        <w:p w14:paraId="0281484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_Toc13635 </w:instrText>
          </w:r>
          <w:r>
            <w:rPr>
              <w:rFonts w:hint="eastAsia" w:ascii="宋体" w:hAnsi="宋体" w:eastAsia="宋体" w:cs="宋体"/>
              <w:szCs w:val="24"/>
            </w:rPr>
            <w:fldChar w:fldCharType="separate"/>
          </w:r>
          <w:r>
            <w:rPr>
              <w:rFonts w:hint="default" w:ascii="宋体" w:hAnsi="宋体" w:eastAsia="宋体" w:cs="宋体"/>
            </w:rPr>
            <w:t xml:space="preserve">5.3 </w:t>
          </w:r>
          <w:r>
            <w:rPr>
              <w:rFonts w:hint="eastAsia"/>
              <w:highlight w:val="none"/>
            </w:rPr>
            <w:t>质量保证措施</w:t>
          </w:r>
          <w:r>
            <w:tab/>
          </w:r>
          <w:r>
            <w:fldChar w:fldCharType="begin"/>
          </w:r>
          <w:r>
            <w:instrText xml:space="preserve"> PAGEREF _Toc13635 \h </w:instrText>
          </w:r>
          <w:r>
            <w:fldChar w:fldCharType="separate"/>
          </w:r>
          <w:r>
            <w:t>22</w:t>
          </w:r>
          <w:r>
            <w:fldChar w:fldCharType="end"/>
          </w:r>
          <w:r>
            <w:rPr>
              <w:rFonts w:hint="eastAsia" w:ascii="宋体" w:hAnsi="宋体" w:eastAsia="宋体" w:cs="宋体"/>
              <w:color w:val="auto"/>
              <w:szCs w:val="24"/>
            </w:rPr>
            <w:fldChar w:fldCharType="end"/>
          </w:r>
        </w:p>
        <w:p w14:paraId="3A7DCA5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_Toc8473 </w:instrText>
          </w:r>
          <w:r>
            <w:rPr>
              <w:rFonts w:hint="eastAsia" w:ascii="宋体" w:hAnsi="宋体" w:eastAsia="宋体" w:cs="宋体"/>
              <w:szCs w:val="24"/>
            </w:rPr>
            <w:fldChar w:fldCharType="separate"/>
          </w:r>
          <w:r>
            <w:rPr>
              <w:rFonts w:hint="default" w:ascii="宋体" w:hAnsi="宋体" w:eastAsia="宋体" w:cs="宋体"/>
            </w:rPr>
            <w:t xml:space="preserve">5.4 </w:t>
          </w:r>
          <w:r>
            <w:rPr>
              <w:rFonts w:hint="eastAsia"/>
              <w:highlight w:val="none"/>
            </w:rPr>
            <w:t>作业过程中控制点的设置</w:t>
          </w:r>
          <w:r>
            <w:tab/>
          </w:r>
          <w:r>
            <w:fldChar w:fldCharType="begin"/>
          </w:r>
          <w:r>
            <w:instrText xml:space="preserve"> PAGEREF _Toc8473 \h </w:instrText>
          </w:r>
          <w:r>
            <w:fldChar w:fldCharType="separate"/>
          </w:r>
          <w:r>
            <w:t>22</w:t>
          </w:r>
          <w:r>
            <w:fldChar w:fldCharType="end"/>
          </w:r>
          <w:r>
            <w:rPr>
              <w:rFonts w:hint="eastAsia" w:ascii="宋体" w:hAnsi="宋体" w:eastAsia="宋体" w:cs="宋体"/>
              <w:color w:val="auto"/>
              <w:szCs w:val="24"/>
            </w:rPr>
            <w:fldChar w:fldCharType="end"/>
          </w:r>
        </w:p>
        <w:p w14:paraId="72B844A6">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_Toc8898 </w:instrText>
          </w:r>
          <w:r>
            <w:rPr>
              <w:rFonts w:hint="eastAsia" w:ascii="宋体" w:hAnsi="宋体" w:eastAsia="宋体" w:cs="宋体"/>
              <w:szCs w:val="24"/>
            </w:rPr>
            <w:fldChar w:fldCharType="separate"/>
          </w:r>
          <w:r>
            <w:rPr>
              <w:rFonts w:hint="default" w:ascii="宋体" w:hAnsi="宋体" w:eastAsia="宋体" w:cs="宋体"/>
              <w:szCs w:val="32"/>
            </w:rPr>
            <w:t xml:space="preserve">6 </w:t>
          </w:r>
          <w:r>
            <w:rPr>
              <w:rFonts w:hint="eastAsia"/>
            </w:rPr>
            <w:t>施工危险源辨识及安全保证措施</w:t>
          </w:r>
          <w:r>
            <w:tab/>
          </w:r>
          <w:r>
            <w:fldChar w:fldCharType="begin"/>
          </w:r>
          <w:r>
            <w:instrText xml:space="preserve"> PAGEREF _Toc8898 \h </w:instrText>
          </w:r>
          <w:r>
            <w:fldChar w:fldCharType="separate"/>
          </w:r>
          <w:r>
            <w:t>26</w:t>
          </w:r>
          <w:r>
            <w:fldChar w:fldCharType="end"/>
          </w:r>
          <w:r>
            <w:rPr>
              <w:rFonts w:hint="eastAsia" w:ascii="宋体" w:hAnsi="宋体" w:eastAsia="宋体" w:cs="宋体"/>
              <w:color w:val="auto"/>
              <w:szCs w:val="24"/>
            </w:rPr>
            <w:fldChar w:fldCharType="end"/>
          </w:r>
        </w:p>
        <w:p w14:paraId="4DAFDFB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_Toc20921 </w:instrText>
          </w:r>
          <w:r>
            <w:rPr>
              <w:rFonts w:hint="eastAsia" w:ascii="宋体" w:hAnsi="宋体" w:eastAsia="宋体" w:cs="宋体"/>
              <w:szCs w:val="24"/>
            </w:rPr>
            <w:fldChar w:fldCharType="separate"/>
          </w:r>
          <w:r>
            <w:rPr>
              <w:rFonts w:hint="default" w:ascii="宋体" w:hAnsi="宋体" w:eastAsia="宋体" w:cs="宋体"/>
            </w:rPr>
            <w:t xml:space="preserve">6.1 </w:t>
          </w:r>
          <w:r>
            <w:rPr>
              <w:rFonts w:hint="eastAsia"/>
            </w:rPr>
            <w:t>危险源辨识及分析</w:t>
          </w:r>
          <w:r>
            <w:tab/>
          </w:r>
          <w:r>
            <w:fldChar w:fldCharType="begin"/>
          </w:r>
          <w:r>
            <w:instrText xml:space="preserve"> PAGEREF _Toc20921 \h </w:instrText>
          </w:r>
          <w:r>
            <w:fldChar w:fldCharType="separate"/>
          </w:r>
          <w:r>
            <w:t>26</w:t>
          </w:r>
          <w:r>
            <w:fldChar w:fldCharType="end"/>
          </w:r>
          <w:r>
            <w:rPr>
              <w:rFonts w:hint="eastAsia" w:ascii="宋体" w:hAnsi="宋体" w:eastAsia="宋体" w:cs="宋体"/>
              <w:color w:val="auto"/>
              <w:szCs w:val="24"/>
            </w:rPr>
            <w:fldChar w:fldCharType="end"/>
          </w:r>
        </w:p>
        <w:p w14:paraId="2C1E2FC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_Toc24240 </w:instrText>
          </w:r>
          <w:r>
            <w:rPr>
              <w:rFonts w:hint="eastAsia" w:ascii="宋体" w:hAnsi="宋体" w:eastAsia="宋体" w:cs="宋体"/>
              <w:szCs w:val="24"/>
            </w:rPr>
            <w:fldChar w:fldCharType="separate"/>
          </w:r>
          <w:r>
            <w:rPr>
              <w:rFonts w:hint="default" w:ascii="宋体" w:hAnsi="宋体" w:eastAsia="宋体" w:cs="宋体"/>
              <w:kern w:val="0"/>
              <w:szCs w:val="28"/>
            </w:rPr>
            <w:t xml:space="preserve">6.2 </w:t>
          </w:r>
          <w:r>
            <w:rPr>
              <w:rFonts w:hint="eastAsia" w:ascii="宋体" w:hAnsi="宋体" w:eastAsia="宋体" w:cs="宋体"/>
              <w:kern w:val="0"/>
              <w:szCs w:val="28"/>
            </w:rPr>
            <w:t>组织保障措施</w:t>
          </w:r>
          <w:r>
            <w:tab/>
          </w:r>
          <w:r>
            <w:fldChar w:fldCharType="begin"/>
          </w:r>
          <w:r>
            <w:instrText xml:space="preserve"> PAGEREF _Toc24240 \h </w:instrText>
          </w:r>
          <w:r>
            <w:fldChar w:fldCharType="separate"/>
          </w:r>
          <w:r>
            <w:t>41</w:t>
          </w:r>
          <w:r>
            <w:fldChar w:fldCharType="end"/>
          </w:r>
          <w:r>
            <w:rPr>
              <w:rFonts w:hint="eastAsia" w:ascii="宋体" w:hAnsi="宋体" w:eastAsia="宋体" w:cs="宋体"/>
              <w:color w:val="auto"/>
              <w:szCs w:val="24"/>
            </w:rPr>
            <w:fldChar w:fldCharType="end"/>
          </w:r>
        </w:p>
        <w:p w14:paraId="0E75A8C7">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_Toc2344 </w:instrText>
          </w:r>
          <w:r>
            <w:rPr>
              <w:rFonts w:hint="eastAsia" w:ascii="宋体" w:hAnsi="宋体" w:eastAsia="宋体" w:cs="宋体"/>
              <w:szCs w:val="24"/>
            </w:rPr>
            <w:fldChar w:fldCharType="separate"/>
          </w:r>
          <w:r>
            <w:rPr>
              <w:rFonts w:hint="default" w:ascii="宋体" w:hAnsi="宋体" w:eastAsia="宋体" w:cs="宋体"/>
            </w:rPr>
            <w:t xml:space="preserve">6.3 </w:t>
          </w:r>
          <w:r>
            <w:rPr>
              <w:rFonts w:hint="eastAsia"/>
            </w:rPr>
            <w:t>监管措施</w:t>
          </w:r>
          <w:r>
            <w:tab/>
          </w:r>
          <w:r>
            <w:fldChar w:fldCharType="begin"/>
          </w:r>
          <w:r>
            <w:instrText xml:space="preserve"> PAGEREF _Toc2344 \h </w:instrText>
          </w:r>
          <w:r>
            <w:fldChar w:fldCharType="separate"/>
          </w:r>
          <w:r>
            <w:t>51</w:t>
          </w:r>
          <w:r>
            <w:fldChar w:fldCharType="end"/>
          </w:r>
          <w:r>
            <w:rPr>
              <w:rFonts w:hint="eastAsia" w:ascii="宋体" w:hAnsi="宋体" w:eastAsia="宋体" w:cs="宋体"/>
              <w:color w:val="auto"/>
              <w:szCs w:val="24"/>
            </w:rPr>
            <w:fldChar w:fldCharType="end"/>
          </w:r>
        </w:p>
        <w:p w14:paraId="0D9ED11B">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_Toc30932 </w:instrText>
          </w:r>
          <w:r>
            <w:rPr>
              <w:rFonts w:hint="eastAsia" w:ascii="宋体" w:hAnsi="宋体" w:eastAsia="宋体" w:cs="宋体"/>
              <w:szCs w:val="24"/>
            </w:rPr>
            <w:fldChar w:fldCharType="separate"/>
          </w:r>
          <w:r>
            <w:rPr>
              <w:rFonts w:hint="default" w:ascii="宋体" w:hAnsi="宋体" w:eastAsia="宋体" w:cs="宋体"/>
            </w:rPr>
            <w:t xml:space="preserve">6.4 </w:t>
          </w:r>
          <w:r>
            <w:rPr>
              <w:rFonts w:hint="eastAsia"/>
              <w:lang w:val="en-US" w:eastAsia="zh-CN"/>
            </w:rPr>
            <w:t>施工安全控制</w:t>
          </w:r>
          <w:r>
            <w:rPr>
              <w:rFonts w:hint="eastAsia"/>
            </w:rPr>
            <w:t>措施</w:t>
          </w:r>
          <w:r>
            <w:tab/>
          </w:r>
          <w:r>
            <w:fldChar w:fldCharType="begin"/>
          </w:r>
          <w:r>
            <w:instrText xml:space="preserve"> PAGEREF _Toc30932 \h </w:instrText>
          </w:r>
          <w:r>
            <w:fldChar w:fldCharType="separate"/>
          </w:r>
          <w:r>
            <w:t>51</w:t>
          </w:r>
          <w:r>
            <w:fldChar w:fldCharType="end"/>
          </w:r>
          <w:r>
            <w:rPr>
              <w:rFonts w:hint="eastAsia" w:ascii="宋体" w:hAnsi="宋体" w:eastAsia="宋体" w:cs="宋体"/>
              <w:color w:val="auto"/>
              <w:szCs w:val="24"/>
            </w:rPr>
            <w:fldChar w:fldCharType="end"/>
          </w:r>
        </w:p>
        <w:p w14:paraId="284344EF">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_Toc29447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6.5 </w:t>
          </w:r>
          <w:r>
            <w:rPr>
              <w:rFonts w:hint="eastAsia" w:eastAsia="宋体"/>
              <w:lang w:val="en-US" w:eastAsia="zh-CN"/>
            </w:rPr>
            <w:t>监测监控措施</w:t>
          </w:r>
          <w:r>
            <w:tab/>
          </w:r>
          <w:r>
            <w:fldChar w:fldCharType="begin"/>
          </w:r>
          <w:r>
            <w:instrText xml:space="preserve"> PAGEREF _Toc29447 \h </w:instrText>
          </w:r>
          <w:r>
            <w:fldChar w:fldCharType="separate"/>
          </w:r>
          <w:r>
            <w:t>62</w:t>
          </w:r>
          <w:r>
            <w:fldChar w:fldCharType="end"/>
          </w:r>
          <w:r>
            <w:rPr>
              <w:rFonts w:hint="eastAsia" w:ascii="宋体" w:hAnsi="宋体" w:eastAsia="宋体" w:cs="宋体"/>
              <w:color w:val="auto"/>
              <w:szCs w:val="24"/>
            </w:rPr>
            <w:fldChar w:fldCharType="end"/>
          </w:r>
        </w:p>
        <w:p w14:paraId="216E5B8C">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_Toc9592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6.6 </w:t>
          </w:r>
          <w:r>
            <w:rPr>
              <w:rFonts w:hint="eastAsia" w:eastAsia="宋体"/>
              <w:lang w:val="en-US" w:eastAsia="zh-CN"/>
            </w:rPr>
            <w:t>电气设备</w:t>
          </w:r>
          <w:r>
            <w:tab/>
          </w:r>
          <w:r>
            <w:fldChar w:fldCharType="begin"/>
          </w:r>
          <w:r>
            <w:instrText xml:space="preserve"> PAGEREF _Toc9592 \h </w:instrText>
          </w:r>
          <w:r>
            <w:fldChar w:fldCharType="separate"/>
          </w:r>
          <w:r>
            <w:t>62</w:t>
          </w:r>
          <w:r>
            <w:fldChar w:fldCharType="end"/>
          </w:r>
          <w:r>
            <w:rPr>
              <w:rFonts w:hint="eastAsia" w:ascii="宋体" w:hAnsi="宋体" w:eastAsia="宋体" w:cs="宋体"/>
              <w:color w:val="auto"/>
              <w:szCs w:val="24"/>
            </w:rPr>
            <w:fldChar w:fldCharType="end"/>
          </w:r>
        </w:p>
        <w:p w14:paraId="73086847">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_Toc29944 </w:instrText>
          </w:r>
          <w:r>
            <w:rPr>
              <w:rFonts w:hint="eastAsia" w:ascii="宋体" w:hAnsi="宋体" w:eastAsia="宋体" w:cs="宋体"/>
              <w:szCs w:val="24"/>
            </w:rPr>
            <w:fldChar w:fldCharType="separate"/>
          </w:r>
          <w:r>
            <w:rPr>
              <w:rFonts w:hint="default" w:ascii="宋体" w:hAnsi="宋体" w:eastAsia="宋体" w:cs="宋体"/>
              <w:szCs w:val="32"/>
            </w:rPr>
            <w:t xml:space="preserve">7 </w:t>
          </w:r>
          <w:r>
            <w:rPr>
              <w:rFonts w:hint="eastAsia"/>
            </w:rPr>
            <w:t>施工管理及作业人员配备和分工</w:t>
          </w:r>
          <w:r>
            <w:tab/>
          </w:r>
          <w:r>
            <w:fldChar w:fldCharType="begin"/>
          </w:r>
          <w:r>
            <w:instrText xml:space="preserve"> PAGEREF _Toc29944 \h </w:instrText>
          </w:r>
          <w:r>
            <w:fldChar w:fldCharType="separate"/>
          </w:r>
          <w:r>
            <w:t>65</w:t>
          </w:r>
          <w:r>
            <w:fldChar w:fldCharType="end"/>
          </w:r>
          <w:r>
            <w:rPr>
              <w:rFonts w:hint="eastAsia" w:ascii="宋体" w:hAnsi="宋体" w:eastAsia="宋体" w:cs="宋体"/>
              <w:color w:val="auto"/>
              <w:szCs w:val="24"/>
            </w:rPr>
            <w:fldChar w:fldCharType="end"/>
          </w:r>
        </w:p>
        <w:p w14:paraId="36FEBDD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_Toc13361 </w:instrText>
          </w:r>
          <w:r>
            <w:rPr>
              <w:rFonts w:hint="eastAsia" w:ascii="宋体" w:hAnsi="宋体" w:eastAsia="宋体" w:cs="宋体"/>
              <w:szCs w:val="24"/>
            </w:rPr>
            <w:fldChar w:fldCharType="separate"/>
          </w:r>
          <w:r>
            <w:rPr>
              <w:rFonts w:hint="eastAsia"/>
              <w:lang w:val="en-US" w:eastAsia="zh-CN"/>
            </w:rPr>
            <w:t>7.1</w:t>
          </w:r>
          <w:r>
            <w:rPr>
              <w:rFonts w:hint="eastAsia"/>
            </w:rPr>
            <w:t>施工组织机构</w:t>
          </w:r>
          <w:r>
            <w:tab/>
          </w:r>
          <w:r>
            <w:fldChar w:fldCharType="begin"/>
          </w:r>
          <w:r>
            <w:instrText xml:space="preserve"> PAGEREF _Toc13361 \h </w:instrText>
          </w:r>
          <w:r>
            <w:fldChar w:fldCharType="separate"/>
          </w:r>
          <w:r>
            <w:t>65</w:t>
          </w:r>
          <w:r>
            <w:fldChar w:fldCharType="end"/>
          </w:r>
          <w:r>
            <w:rPr>
              <w:rFonts w:hint="eastAsia" w:ascii="宋体" w:hAnsi="宋体" w:eastAsia="宋体" w:cs="宋体"/>
              <w:color w:val="auto"/>
              <w:szCs w:val="24"/>
            </w:rPr>
            <w:fldChar w:fldCharType="end"/>
          </w:r>
        </w:p>
        <w:p w14:paraId="2EB593E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_Toc1742 </w:instrText>
          </w:r>
          <w:r>
            <w:rPr>
              <w:rFonts w:hint="eastAsia" w:ascii="宋体" w:hAnsi="宋体" w:eastAsia="宋体" w:cs="宋体"/>
              <w:szCs w:val="24"/>
            </w:rPr>
            <w:fldChar w:fldCharType="separate"/>
          </w:r>
          <w:r>
            <w:rPr>
              <w:rFonts w:hint="eastAsia"/>
              <w:lang w:val="en-US" w:eastAsia="zh-CN"/>
            </w:rPr>
            <w:t>7.2</w:t>
          </w:r>
          <w:r>
            <w:rPr>
              <w:rFonts w:hint="eastAsia"/>
            </w:rPr>
            <w:t>人员配置</w:t>
          </w:r>
          <w:r>
            <w:tab/>
          </w:r>
          <w:r>
            <w:fldChar w:fldCharType="begin"/>
          </w:r>
          <w:r>
            <w:instrText xml:space="preserve"> PAGEREF _Toc1742 \h </w:instrText>
          </w:r>
          <w:r>
            <w:fldChar w:fldCharType="separate"/>
          </w:r>
          <w:r>
            <w:t>65</w:t>
          </w:r>
          <w:r>
            <w:fldChar w:fldCharType="end"/>
          </w:r>
          <w:r>
            <w:rPr>
              <w:rFonts w:hint="eastAsia" w:ascii="宋体" w:hAnsi="宋体" w:eastAsia="宋体" w:cs="宋体"/>
              <w:color w:val="auto"/>
              <w:szCs w:val="24"/>
            </w:rPr>
            <w:fldChar w:fldCharType="end"/>
          </w:r>
        </w:p>
        <w:p w14:paraId="1B4E41E5">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_Toc20939 </w:instrText>
          </w:r>
          <w:r>
            <w:rPr>
              <w:rFonts w:hint="eastAsia" w:ascii="宋体" w:hAnsi="宋体" w:eastAsia="宋体" w:cs="宋体"/>
              <w:szCs w:val="24"/>
            </w:rPr>
            <w:fldChar w:fldCharType="separate"/>
          </w:r>
          <w:r>
            <w:rPr>
              <w:rFonts w:hint="default" w:ascii="宋体" w:hAnsi="宋体" w:eastAsia="宋体" w:cs="宋体"/>
              <w:szCs w:val="32"/>
            </w:rPr>
            <w:t xml:space="preserve">8 </w:t>
          </w:r>
          <w:r>
            <w:rPr>
              <w:rFonts w:hint="eastAsia"/>
            </w:rPr>
            <w:t>验收要求</w:t>
          </w:r>
          <w:r>
            <w:tab/>
          </w:r>
          <w:r>
            <w:fldChar w:fldCharType="begin"/>
          </w:r>
          <w:r>
            <w:instrText xml:space="preserve"> PAGEREF _Toc20939 \h </w:instrText>
          </w:r>
          <w:r>
            <w:fldChar w:fldCharType="separate"/>
          </w:r>
          <w:r>
            <w:t>67</w:t>
          </w:r>
          <w:r>
            <w:fldChar w:fldCharType="end"/>
          </w:r>
          <w:r>
            <w:rPr>
              <w:rFonts w:hint="eastAsia" w:ascii="宋体" w:hAnsi="宋体" w:eastAsia="宋体" w:cs="宋体"/>
              <w:color w:val="auto"/>
              <w:szCs w:val="24"/>
            </w:rPr>
            <w:fldChar w:fldCharType="end"/>
          </w:r>
        </w:p>
        <w:p w14:paraId="55895BA7">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_Toc3400 </w:instrText>
          </w:r>
          <w:r>
            <w:rPr>
              <w:rFonts w:hint="eastAsia" w:ascii="宋体" w:hAnsi="宋体" w:eastAsia="宋体" w:cs="宋体"/>
              <w:szCs w:val="24"/>
            </w:rPr>
            <w:fldChar w:fldCharType="separate"/>
          </w:r>
          <w:r>
            <w:rPr>
              <w:rFonts w:hint="eastAsia"/>
              <w:szCs w:val="24"/>
              <w:lang w:val="en-US" w:eastAsia="zh-CN"/>
            </w:rPr>
            <w:t xml:space="preserve">8.1 </w:t>
          </w:r>
          <w:r>
            <w:rPr>
              <w:rFonts w:hint="eastAsia"/>
              <w:szCs w:val="24"/>
            </w:rPr>
            <w:t>验收要求</w:t>
          </w:r>
          <w:r>
            <w:tab/>
          </w:r>
          <w:r>
            <w:fldChar w:fldCharType="begin"/>
          </w:r>
          <w:r>
            <w:instrText xml:space="preserve"> PAGEREF _Toc3400 \h </w:instrText>
          </w:r>
          <w:r>
            <w:fldChar w:fldCharType="separate"/>
          </w:r>
          <w:r>
            <w:t>67</w:t>
          </w:r>
          <w:r>
            <w:fldChar w:fldCharType="end"/>
          </w:r>
          <w:r>
            <w:rPr>
              <w:rFonts w:hint="eastAsia" w:ascii="宋体" w:hAnsi="宋体" w:eastAsia="宋体" w:cs="宋体"/>
              <w:color w:val="auto"/>
              <w:szCs w:val="24"/>
            </w:rPr>
            <w:fldChar w:fldCharType="end"/>
          </w:r>
        </w:p>
        <w:p w14:paraId="696EC6F9">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_Toc5801 </w:instrText>
          </w:r>
          <w:r>
            <w:rPr>
              <w:rFonts w:hint="eastAsia" w:ascii="宋体" w:hAnsi="宋体" w:eastAsia="宋体" w:cs="宋体"/>
              <w:szCs w:val="24"/>
            </w:rPr>
            <w:fldChar w:fldCharType="separate"/>
          </w:r>
          <w:r>
            <w:rPr>
              <w:rFonts w:hint="eastAsia"/>
              <w:szCs w:val="24"/>
              <w:lang w:val="en-US" w:eastAsia="zh-CN"/>
            </w:rPr>
            <w:t xml:space="preserve">8.2 </w:t>
          </w:r>
          <w:r>
            <w:rPr>
              <w:rFonts w:hint="eastAsia"/>
              <w:szCs w:val="24"/>
            </w:rPr>
            <w:t>塔机安全检查</w:t>
          </w:r>
          <w:r>
            <w:tab/>
          </w:r>
          <w:r>
            <w:fldChar w:fldCharType="begin"/>
          </w:r>
          <w:r>
            <w:instrText xml:space="preserve"> PAGEREF _Toc5801 \h </w:instrText>
          </w:r>
          <w:r>
            <w:fldChar w:fldCharType="separate"/>
          </w:r>
          <w:r>
            <w:t>67</w:t>
          </w:r>
          <w:r>
            <w:fldChar w:fldCharType="end"/>
          </w:r>
          <w:r>
            <w:rPr>
              <w:rFonts w:hint="eastAsia" w:ascii="宋体" w:hAnsi="宋体" w:eastAsia="宋体" w:cs="宋体"/>
              <w:color w:val="auto"/>
              <w:szCs w:val="24"/>
            </w:rPr>
            <w:fldChar w:fldCharType="end"/>
          </w:r>
        </w:p>
        <w:p w14:paraId="3BFCBE5F">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_Toc21356 </w:instrText>
          </w:r>
          <w:r>
            <w:rPr>
              <w:rFonts w:hint="eastAsia" w:ascii="宋体" w:hAnsi="宋体" w:eastAsia="宋体" w:cs="宋体"/>
              <w:szCs w:val="24"/>
            </w:rPr>
            <w:fldChar w:fldCharType="separate"/>
          </w:r>
          <w:r>
            <w:rPr>
              <w:rFonts w:hint="eastAsia"/>
              <w:szCs w:val="24"/>
              <w:lang w:val="en-US" w:eastAsia="zh-CN"/>
            </w:rPr>
            <w:t>8.3</w:t>
          </w:r>
          <w:r>
            <w:rPr>
              <w:rFonts w:hint="eastAsia"/>
              <w:szCs w:val="24"/>
            </w:rPr>
            <w:t>电气要求</w:t>
          </w:r>
          <w:r>
            <w:tab/>
          </w:r>
          <w:r>
            <w:fldChar w:fldCharType="begin"/>
          </w:r>
          <w:r>
            <w:instrText xml:space="preserve"> PAGEREF _Toc21356 \h </w:instrText>
          </w:r>
          <w:r>
            <w:fldChar w:fldCharType="separate"/>
          </w:r>
          <w:r>
            <w:t>71</w:t>
          </w:r>
          <w:r>
            <w:fldChar w:fldCharType="end"/>
          </w:r>
          <w:r>
            <w:rPr>
              <w:rFonts w:hint="eastAsia" w:ascii="宋体" w:hAnsi="宋体" w:eastAsia="宋体" w:cs="宋体"/>
              <w:color w:val="auto"/>
              <w:szCs w:val="24"/>
            </w:rPr>
            <w:fldChar w:fldCharType="end"/>
          </w:r>
        </w:p>
        <w:p w14:paraId="24CA2B2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_Toc11550 </w:instrText>
          </w:r>
          <w:r>
            <w:rPr>
              <w:rFonts w:hint="eastAsia" w:ascii="宋体" w:hAnsi="宋体" w:eastAsia="宋体" w:cs="宋体"/>
              <w:szCs w:val="24"/>
            </w:rPr>
            <w:fldChar w:fldCharType="separate"/>
          </w:r>
          <w:r>
            <w:rPr>
              <w:rFonts w:hint="eastAsia"/>
              <w:szCs w:val="24"/>
              <w:lang w:val="en-US" w:eastAsia="zh-CN"/>
            </w:rPr>
            <w:t>8.4</w:t>
          </w:r>
          <w:r>
            <w:rPr>
              <w:rFonts w:hint="eastAsia"/>
              <w:szCs w:val="24"/>
            </w:rPr>
            <w:t>焊接要求</w:t>
          </w:r>
          <w:r>
            <w:tab/>
          </w:r>
          <w:r>
            <w:fldChar w:fldCharType="begin"/>
          </w:r>
          <w:r>
            <w:instrText xml:space="preserve"> PAGEREF _Toc11550 \h </w:instrText>
          </w:r>
          <w:r>
            <w:fldChar w:fldCharType="separate"/>
          </w:r>
          <w:r>
            <w:t>72</w:t>
          </w:r>
          <w:r>
            <w:fldChar w:fldCharType="end"/>
          </w:r>
          <w:r>
            <w:rPr>
              <w:rFonts w:hint="eastAsia" w:ascii="宋体" w:hAnsi="宋体" w:eastAsia="宋体" w:cs="宋体"/>
              <w:color w:val="auto"/>
              <w:szCs w:val="24"/>
            </w:rPr>
            <w:fldChar w:fldCharType="end"/>
          </w:r>
        </w:p>
        <w:p w14:paraId="1201425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_Toc24581 </w:instrText>
          </w:r>
          <w:r>
            <w:rPr>
              <w:rFonts w:hint="eastAsia" w:ascii="宋体" w:hAnsi="宋体" w:eastAsia="宋体" w:cs="宋体"/>
              <w:szCs w:val="24"/>
            </w:rPr>
            <w:fldChar w:fldCharType="separate"/>
          </w:r>
          <w:r>
            <w:rPr>
              <w:rFonts w:hint="eastAsia"/>
              <w:szCs w:val="24"/>
              <w:highlight w:val="none"/>
              <w:lang w:val="en-US" w:eastAsia="zh-CN"/>
            </w:rPr>
            <w:t>8.5</w:t>
          </w:r>
          <w:r>
            <w:rPr>
              <w:rFonts w:hint="eastAsia"/>
              <w:szCs w:val="24"/>
              <w:highlight w:val="none"/>
            </w:rPr>
            <w:t>螺栓连接要求</w:t>
          </w:r>
          <w:r>
            <w:tab/>
          </w:r>
          <w:r>
            <w:fldChar w:fldCharType="begin"/>
          </w:r>
          <w:r>
            <w:instrText xml:space="preserve"> PAGEREF _Toc24581 \h </w:instrText>
          </w:r>
          <w:r>
            <w:fldChar w:fldCharType="separate"/>
          </w:r>
          <w:r>
            <w:t>73</w:t>
          </w:r>
          <w:r>
            <w:fldChar w:fldCharType="end"/>
          </w:r>
          <w:r>
            <w:rPr>
              <w:rFonts w:hint="eastAsia" w:ascii="宋体" w:hAnsi="宋体" w:eastAsia="宋体" w:cs="宋体"/>
              <w:color w:val="auto"/>
              <w:szCs w:val="24"/>
            </w:rPr>
            <w:fldChar w:fldCharType="end"/>
          </w:r>
        </w:p>
        <w:p w14:paraId="52F9C37F">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_Toc30598 </w:instrText>
          </w:r>
          <w:r>
            <w:rPr>
              <w:rFonts w:hint="eastAsia" w:ascii="宋体" w:hAnsi="宋体" w:eastAsia="宋体" w:cs="宋体"/>
              <w:szCs w:val="24"/>
            </w:rPr>
            <w:fldChar w:fldCharType="separate"/>
          </w:r>
          <w:r>
            <w:rPr>
              <w:rFonts w:hint="eastAsia"/>
              <w:szCs w:val="24"/>
              <w:lang w:val="en-US" w:eastAsia="zh-CN"/>
            </w:rPr>
            <w:t>8.6</w:t>
          </w:r>
          <w:r>
            <w:rPr>
              <w:rFonts w:hint="eastAsia"/>
              <w:szCs w:val="24"/>
            </w:rPr>
            <w:t>防雷接地要求</w:t>
          </w:r>
          <w:r>
            <w:tab/>
          </w:r>
          <w:r>
            <w:fldChar w:fldCharType="begin"/>
          </w:r>
          <w:r>
            <w:instrText xml:space="preserve"> PAGEREF _Toc30598 \h </w:instrText>
          </w:r>
          <w:r>
            <w:fldChar w:fldCharType="separate"/>
          </w:r>
          <w:r>
            <w:t>73</w:t>
          </w:r>
          <w:r>
            <w:fldChar w:fldCharType="end"/>
          </w:r>
          <w:r>
            <w:rPr>
              <w:rFonts w:hint="eastAsia" w:ascii="宋体" w:hAnsi="宋体" w:eastAsia="宋体" w:cs="宋体"/>
              <w:color w:val="auto"/>
              <w:szCs w:val="24"/>
            </w:rPr>
            <w:fldChar w:fldCharType="end"/>
          </w:r>
        </w:p>
        <w:p w14:paraId="2FA9D06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_Toc4053 </w:instrText>
          </w:r>
          <w:r>
            <w:rPr>
              <w:rFonts w:hint="eastAsia" w:ascii="宋体" w:hAnsi="宋体" w:eastAsia="宋体" w:cs="宋体"/>
              <w:szCs w:val="24"/>
            </w:rPr>
            <w:fldChar w:fldCharType="separate"/>
          </w:r>
          <w:r>
            <w:rPr>
              <w:rFonts w:hint="eastAsia"/>
              <w:szCs w:val="24"/>
              <w:lang w:val="en-US" w:eastAsia="zh-CN"/>
            </w:rPr>
            <w:t>8.7</w:t>
          </w:r>
          <w:r>
            <w:rPr>
              <w:rFonts w:hint="eastAsia"/>
              <w:szCs w:val="24"/>
            </w:rPr>
            <w:t>整体噪声要求</w:t>
          </w:r>
          <w:r>
            <w:tab/>
          </w:r>
          <w:r>
            <w:fldChar w:fldCharType="begin"/>
          </w:r>
          <w:r>
            <w:instrText xml:space="preserve"> PAGEREF _Toc4053 \h </w:instrText>
          </w:r>
          <w:r>
            <w:fldChar w:fldCharType="separate"/>
          </w:r>
          <w:r>
            <w:t>74</w:t>
          </w:r>
          <w:r>
            <w:fldChar w:fldCharType="end"/>
          </w:r>
          <w:r>
            <w:rPr>
              <w:rFonts w:hint="eastAsia" w:ascii="宋体" w:hAnsi="宋体" w:eastAsia="宋体" w:cs="宋体"/>
              <w:color w:val="auto"/>
              <w:szCs w:val="24"/>
            </w:rPr>
            <w:fldChar w:fldCharType="end"/>
          </w:r>
        </w:p>
        <w:p w14:paraId="2038756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_Toc7204 </w:instrText>
          </w:r>
          <w:r>
            <w:rPr>
              <w:rFonts w:hint="eastAsia" w:ascii="宋体" w:hAnsi="宋体" w:eastAsia="宋体" w:cs="宋体"/>
              <w:szCs w:val="24"/>
            </w:rPr>
            <w:fldChar w:fldCharType="separate"/>
          </w:r>
          <w:r>
            <w:rPr>
              <w:rFonts w:hint="eastAsia"/>
              <w:szCs w:val="24"/>
              <w:lang w:val="en-US" w:eastAsia="zh-CN"/>
            </w:rPr>
            <w:t>8.8</w:t>
          </w:r>
          <w:r>
            <w:rPr>
              <w:rFonts w:hint="eastAsia"/>
              <w:szCs w:val="24"/>
            </w:rPr>
            <w:t>质量保证措施</w:t>
          </w:r>
          <w:r>
            <w:tab/>
          </w:r>
          <w:r>
            <w:fldChar w:fldCharType="begin"/>
          </w:r>
          <w:r>
            <w:instrText xml:space="preserve"> PAGEREF _Toc7204 \h </w:instrText>
          </w:r>
          <w:r>
            <w:fldChar w:fldCharType="separate"/>
          </w:r>
          <w:r>
            <w:t>74</w:t>
          </w:r>
          <w:r>
            <w:fldChar w:fldCharType="end"/>
          </w:r>
          <w:r>
            <w:rPr>
              <w:rFonts w:hint="eastAsia" w:ascii="宋体" w:hAnsi="宋体" w:eastAsia="宋体" w:cs="宋体"/>
              <w:color w:val="auto"/>
              <w:szCs w:val="24"/>
            </w:rPr>
            <w:fldChar w:fldCharType="end"/>
          </w:r>
        </w:p>
        <w:p w14:paraId="241B6B6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_Toc25199 </w:instrText>
          </w:r>
          <w:r>
            <w:rPr>
              <w:rFonts w:hint="eastAsia" w:ascii="宋体" w:hAnsi="宋体" w:eastAsia="宋体" w:cs="宋体"/>
              <w:szCs w:val="24"/>
            </w:rPr>
            <w:fldChar w:fldCharType="separate"/>
          </w:r>
          <w:r>
            <w:rPr>
              <w:rFonts w:hint="eastAsia"/>
              <w:szCs w:val="24"/>
              <w:lang w:val="en-US" w:eastAsia="zh-CN"/>
            </w:rPr>
            <w:t>8.9</w:t>
          </w:r>
          <w:r>
            <w:rPr>
              <w:rFonts w:hint="eastAsia"/>
              <w:szCs w:val="24"/>
            </w:rPr>
            <w:t>工程验收内容</w:t>
          </w:r>
          <w:r>
            <w:tab/>
          </w:r>
          <w:r>
            <w:fldChar w:fldCharType="begin"/>
          </w:r>
          <w:r>
            <w:instrText xml:space="preserve"> PAGEREF _Toc25199 \h </w:instrText>
          </w:r>
          <w:r>
            <w:fldChar w:fldCharType="separate"/>
          </w:r>
          <w:r>
            <w:t>75</w:t>
          </w:r>
          <w:r>
            <w:fldChar w:fldCharType="end"/>
          </w:r>
          <w:r>
            <w:rPr>
              <w:rFonts w:hint="eastAsia" w:ascii="宋体" w:hAnsi="宋体" w:eastAsia="宋体" w:cs="宋体"/>
              <w:color w:val="auto"/>
              <w:szCs w:val="24"/>
            </w:rPr>
            <w:fldChar w:fldCharType="end"/>
          </w:r>
        </w:p>
        <w:p w14:paraId="456D45D3">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_Toc19740 </w:instrText>
          </w:r>
          <w:r>
            <w:rPr>
              <w:rFonts w:hint="eastAsia" w:ascii="宋体" w:hAnsi="宋体" w:eastAsia="宋体" w:cs="宋体"/>
              <w:szCs w:val="24"/>
            </w:rPr>
            <w:fldChar w:fldCharType="separate"/>
          </w:r>
          <w:r>
            <w:rPr>
              <w:rFonts w:hint="eastAsia"/>
              <w:lang w:val="en-US" w:eastAsia="zh-CN"/>
            </w:rPr>
            <w:t>9</w:t>
          </w:r>
          <w:r>
            <w:rPr>
              <w:rFonts w:hint="eastAsia"/>
            </w:rPr>
            <w:t>应急处置</w:t>
          </w:r>
          <w:r>
            <w:rPr>
              <w:rFonts w:hint="eastAsia"/>
              <w:lang w:eastAsia="zh-CN"/>
            </w:rPr>
            <w:t>措施</w:t>
          </w:r>
          <w:r>
            <w:tab/>
          </w:r>
          <w:r>
            <w:fldChar w:fldCharType="begin"/>
          </w:r>
          <w:r>
            <w:instrText xml:space="preserve"> PAGEREF _Toc19740 \h </w:instrText>
          </w:r>
          <w:r>
            <w:fldChar w:fldCharType="separate"/>
          </w:r>
          <w:r>
            <w:t>84</w:t>
          </w:r>
          <w:r>
            <w:fldChar w:fldCharType="end"/>
          </w:r>
          <w:r>
            <w:rPr>
              <w:rFonts w:hint="eastAsia" w:ascii="宋体" w:hAnsi="宋体" w:eastAsia="宋体" w:cs="宋体"/>
              <w:color w:val="auto"/>
              <w:szCs w:val="24"/>
            </w:rPr>
            <w:fldChar w:fldCharType="end"/>
          </w:r>
        </w:p>
        <w:p w14:paraId="554D173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_Toc5851 </w:instrText>
          </w:r>
          <w:r>
            <w:rPr>
              <w:rFonts w:hint="eastAsia" w:ascii="宋体" w:hAnsi="宋体" w:eastAsia="宋体" w:cs="宋体"/>
              <w:szCs w:val="24"/>
            </w:rPr>
            <w:fldChar w:fldCharType="separate"/>
          </w:r>
          <w:r>
            <w:rPr>
              <w:rFonts w:hint="eastAsia"/>
              <w:lang w:val="en-US" w:eastAsia="zh-CN"/>
            </w:rPr>
            <w:t xml:space="preserve">9.1 </w:t>
          </w:r>
          <w:r>
            <w:rPr>
              <w:rFonts w:hint="eastAsia"/>
            </w:rPr>
            <w:t>危险源辨识</w:t>
          </w:r>
          <w:r>
            <w:tab/>
          </w:r>
          <w:r>
            <w:fldChar w:fldCharType="begin"/>
          </w:r>
          <w:r>
            <w:instrText xml:space="preserve"> PAGEREF _Toc5851 \h </w:instrText>
          </w:r>
          <w:r>
            <w:fldChar w:fldCharType="separate"/>
          </w:r>
          <w:r>
            <w:t>84</w:t>
          </w:r>
          <w:r>
            <w:fldChar w:fldCharType="end"/>
          </w:r>
          <w:r>
            <w:rPr>
              <w:rFonts w:hint="eastAsia" w:ascii="宋体" w:hAnsi="宋体" w:eastAsia="宋体" w:cs="宋体"/>
              <w:color w:val="auto"/>
              <w:szCs w:val="24"/>
            </w:rPr>
            <w:fldChar w:fldCharType="end"/>
          </w:r>
        </w:p>
        <w:p w14:paraId="1C6D883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_Toc5370 </w:instrText>
          </w:r>
          <w:r>
            <w:rPr>
              <w:rFonts w:hint="eastAsia" w:ascii="宋体" w:hAnsi="宋体" w:eastAsia="宋体" w:cs="宋体"/>
              <w:szCs w:val="24"/>
            </w:rPr>
            <w:fldChar w:fldCharType="separate"/>
          </w:r>
          <w:r>
            <w:rPr>
              <w:rFonts w:hint="eastAsia"/>
              <w:lang w:val="en-US" w:eastAsia="zh-CN"/>
            </w:rPr>
            <w:t>9.2</w:t>
          </w:r>
          <w:r>
            <w:rPr>
              <w:rFonts w:hint="eastAsia"/>
            </w:rPr>
            <w:t>组织</w:t>
          </w:r>
          <w:r>
            <w:rPr>
              <w:rFonts w:hint="eastAsia"/>
              <w:lang w:val="en-US" w:eastAsia="zh-CN"/>
            </w:rPr>
            <w:t>机</w:t>
          </w:r>
          <w:r>
            <w:rPr>
              <w:rFonts w:hint="eastAsia"/>
            </w:rPr>
            <w:t>构及职责</w:t>
          </w:r>
          <w:r>
            <w:tab/>
          </w:r>
          <w:r>
            <w:fldChar w:fldCharType="begin"/>
          </w:r>
          <w:r>
            <w:instrText xml:space="preserve"> PAGEREF _Toc5370 \h </w:instrText>
          </w:r>
          <w:r>
            <w:fldChar w:fldCharType="separate"/>
          </w:r>
          <w:r>
            <w:t>100</w:t>
          </w:r>
          <w:r>
            <w:fldChar w:fldCharType="end"/>
          </w:r>
          <w:r>
            <w:rPr>
              <w:rFonts w:hint="eastAsia" w:ascii="宋体" w:hAnsi="宋体" w:eastAsia="宋体" w:cs="宋体"/>
              <w:color w:val="auto"/>
              <w:szCs w:val="24"/>
            </w:rPr>
            <w:fldChar w:fldCharType="end"/>
          </w:r>
        </w:p>
        <w:p w14:paraId="0C0E47A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_Toc24184 </w:instrText>
          </w:r>
          <w:r>
            <w:rPr>
              <w:rFonts w:hint="eastAsia" w:ascii="宋体" w:hAnsi="宋体" w:eastAsia="宋体" w:cs="宋体"/>
              <w:szCs w:val="24"/>
            </w:rPr>
            <w:fldChar w:fldCharType="separate"/>
          </w:r>
          <w:r>
            <w:rPr>
              <w:rFonts w:hint="eastAsia"/>
              <w:lang w:val="en-US" w:eastAsia="zh-CN"/>
            </w:rPr>
            <w:t>9.3</w:t>
          </w:r>
          <w:r>
            <w:rPr>
              <w:rFonts w:hint="eastAsia"/>
            </w:rPr>
            <w:t>预防与预警</w:t>
          </w:r>
          <w:r>
            <w:tab/>
          </w:r>
          <w:r>
            <w:fldChar w:fldCharType="begin"/>
          </w:r>
          <w:r>
            <w:instrText xml:space="preserve"> PAGEREF _Toc24184 \h </w:instrText>
          </w:r>
          <w:r>
            <w:fldChar w:fldCharType="separate"/>
          </w:r>
          <w:r>
            <w:t>101</w:t>
          </w:r>
          <w:r>
            <w:fldChar w:fldCharType="end"/>
          </w:r>
          <w:r>
            <w:rPr>
              <w:rFonts w:hint="eastAsia" w:ascii="宋体" w:hAnsi="宋体" w:eastAsia="宋体" w:cs="宋体"/>
              <w:color w:val="auto"/>
              <w:szCs w:val="24"/>
            </w:rPr>
            <w:fldChar w:fldCharType="end"/>
          </w:r>
        </w:p>
        <w:p w14:paraId="1BE011F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_Toc29857 </w:instrText>
          </w:r>
          <w:r>
            <w:rPr>
              <w:rFonts w:hint="eastAsia" w:ascii="宋体" w:hAnsi="宋体" w:eastAsia="宋体" w:cs="宋体"/>
              <w:szCs w:val="24"/>
            </w:rPr>
            <w:fldChar w:fldCharType="separate"/>
          </w:r>
          <w:r>
            <w:rPr>
              <w:rFonts w:hint="eastAsia" w:eastAsia="宋体"/>
              <w:lang w:val="en-US" w:eastAsia="zh-CN"/>
            </w:rPr>
            <w:t>9.4应急响应程序</w:t>
          </w:r>
          <w:r>
            <w:tab/>
          </w:r>
          <w:r>
            <w:fldChar w:fldCharType="begin"/>
          </w:r>
          <w:r>
            <w:instrText xml:space="preserve"> PAGEREF _Toc29857 \h </w:instrText>
          </w:r>
          <w:r>
            <w:fldChar w:fldCharType="separate"/>
          </w:r>
          <w:r>
            <w:t>101</w:t>
          </w:r>
          <w:r>
            <w:fldChar w:fldCharType="end"/>
          </w:r>
          <w:r>
            <w:rPr>
              <w:rFonts w:hint="eastAsia" w:ascii="宋体" w:hAnsi="宋体" w:eastAsia="宋体" w:cs="宋体"/>
              <w:color w:val="auto"/>
              <w:szCs w:val="24"/>
            </w:rPr>
            <w:fldChar w:fldCharType="end"/>
          </w:r>
        </w:p>
        <w:p w14:paraId="6051BA49">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_Toc24493 </w:instrText>
          </w:r>
          <w:r>
            <w:rPr>
              <w:rFonts w:hint="eastAsia" w:ascii="宋体" w:hAnsi="宋体" w:eastAsia="宋体" w:cs="宋体"/>
              <w:szCs w:val="24"/>
            </w:rPr>
            <w:fldChar w:fldCharType="separate"/>
          </w:r>
          <w:r>
            <w:rPr>
              <w:rFonts w:hint="eastAsia" w:ascii="等线" w:hAnsi="等线" w:eastAsia="等线" w:cs="等线"/>
              <w:szCs w:val="28"/>
              <w:lang w:val="en-US" w:eastAsia="zh-CN"/>
            </w:rPr>
            <w:t xml:space="preserve">9.5 </w:t>
          </w:r>
          <w:r>
            <w:rPr>
              <w:rFonts w:hint="eastAsia" w:ascii="宋体" w:hAnsi="宋体" w:eastAsia="宋体" w:cs="宋体"/>
              <w:szCs w:val="28"/>
            </w:rPr>
            <w:t>突发事件应急</w:t>
          </w:r>
          <w:r>
            <w:rPr>
              <w:rFonts w:hint="eastAsia" w:ascii="宋体" w:hAnsi="宋体" w:cs="宋体"/>
              <w:szCs w:val="28"/>
              <w:lang w:val="en-US" w:eastAsia="zh-CN"/>
            </w:rPr>
            <w:t>处置措施和</w:t>
          </w:r>
          <w:r>
            <w:rPr>
              <w:rFonts w:hint="eastAsia" w:ascii="宋体" w:hAnsi="宋体" w:eastAsia="宋体" w:cs="宋体"/>
              <w:szCs w:val="28"/>
            </w:rPr>
            <w:t>预案</w:t>
          </w:r>
          <w:r>
            <w:tab/>
          </w:r>
          <w:r>
            <w:fldChar w:fldCharType="begin"/>
          </w:r>
          <w:r>
            <w:instrText xml:space="preserve"> PAGEREF _Toc24493 \h </w:instrText>
          </w:r>
          <w:r>
            <w:fldChar w:fldCharType="separate"/>
          </w:r>
          <w:r>
            <w:t>103</w:t>
          </w:r>
          <w:r>
            <w:fldChar w:fldCharType="end"/>
          </w:r>
          <w:r>
            <w:rPr>
              <w:rFonts w:hint="eastAsia" w:ascii="宋体" w:hAnsi="宋体" w:eastAsia="宋体" w:cs="宋体"/>
              <w:color w:val="auto"/>
              <w:szCs w:val="24"/>
            </w:rPr>
            <w:fldChar w:fldCharType="end"/>
          </w:r>
        </w:p>
        <w:p w14:paraId="54C4749C">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_Toc17826 </w:instrText>
          </w:r>
          <w:r>
            <w:rPr>
              <w:rFonts w:hint="eastAsia" w:ascii="宋体" w:hAnsi="宋体" w:eastAsia="宋体" w:cs="宋体"/>
              <w:szCs w:val="24"/>
            </w:rPr>
            <w:fldChar w:fldCharType="separate"/>
          </w:r>
          <w:r>
            <w:rPr>
              <w:rFonts w:hint="eastAsia" w:ascii="等线" w:hAnsi="等线" w:eastAsia="等线" w:cs="等线"/>
              <w:szCs w:val="28"/>
              <w:lang w:val="en-US" w:eastAsia="zh-CN"/>
            </w:rPr>
            <w:t xml:space="preserve">9.6 </w:t>
          </w:r>
          <w:r>
            <w:rPr>
              <w:rFonts w:hint="eastAsia"/>
            </w:rPr>
            <w:t>施工现场的急救步骤</w:t>
          </w:r>
          <w:r>
            <w:tab/>
          </w:r>
          <w:r>
            <w:fldChar w:fldCharType="begin"/>
          </w:r>
          <w:r>
            <w:instrText xml:space="preserve"> PAGEREF _Toc17826 \h </w:instrText>
          </w:r>
          <w:r>
            <w:fldChar w:fldCharType="separate"/>
          </w:r>
          <w:r>
            <w:t>108</w:t>
          </w:r>
          <w:r>
            <w:fldChar w:fldCharType="end"/>
          </w:r>
          <w:r>
            <w:rPr>
              <w:rFonts w:hint="eastAsia" w:ascii="宋体" w:hAnsi="宋体" w:eastAsia="宋体" w:cs="宋体"/>
              <w:color w:val="auto"/>
              <w:szCs w:val="24"/>
            </w:rPr>
            <w:fldChar w:fldCharType="end"/>
          </w:r>
        </w:p>
        <w:p w14:paraId="79A905D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_Toc20332 </w:instrText>
          </w:r>
          <w:r>
            <w:rPr>
              <w:rFonts w:hint="eastAsia" w:ascii="宋体" w:hAnsi="宋体" w:eastAsia="宋体" w:cs="宋体"/>
              <w:szCs w:val="24"/>
            </w:rPr>
            <w:fldChar w:fldCharType="separate"/>
          </w:r>
          <w:r>
            <w:rPr>
              <w:rFonts w:hint="eastAsia"/>
              <w:lang w:val="en-US" w:eastAsia="zh-CN"/>
            </w:rPr>
            <w:t xml:space="preserve">9.7 </w:t>
          </w:r>
          <w:r>
            <w:rPr>
              <w:rFonts w:hint="eastAsia"/>
            </w:rPr>
            <w:t>应急保障</w:t>
          </w:r>
          <w:r>
            <w:tab/>
          </w:r>
          <w:r>
            <w:fldChar w:fldCharType="begin"/>
          </w:r>
          <w:r>
            <w:instrText xml:space="preserve"> PAGEREF _Toc20332 \h </w:instrText>
          </w:r>
          <w:r>
            <w:fldChar w:fldCharType="separate"/>
          </w:r>
          <w:r>
            <w:t>109</w:t>
          </w:r>
          <w:r>
            <w:fldChar w:fldCharType="end"/>
          </w:r>
          <w:r>
            <w:rPr>
              <w:rFonts w:hint="eastAsia" w:ascii="宋体" w:hAnsi="宋体" w:eastAsia="宋体" w:cs="宋体"/>
              <w:color w:val="auto"/>
              <w:szCs w:val="24"/>
            </w:rPr>
            <w:fldChar w:fldCharType="end"/>
          </w:r>
        </w:p>
        <w:p w14:paraId="334D680C">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_Toc11327 </w:instrText>
          </w:r>
          <w:r>
            <w:rPr>
              <w:rFonts w:hint="eastAsia" w:ascii="宋体" w:hAnsi="宋体" w:eastAsia="宋体" w:cs="宋体"/>
              <w:szCs w:val="24"/>
            </w:rPr>
            <w:fldChar w:fldCharType="separate"/>
          </w:r>
          <w:r>
            <w:rPr>
              <w:rFonts w:hint="eastAsia"/>
              <w:lang w:val="en-US" w:eastAsia="zh-CN"/>
            </w:rPr>
            <w:t>10</w:t>
          </w:r>
          <w:r>
            <w:rPr>
              <w:rFonts w:hint="eastAsia"/>
            </w:rPr>
            <w:t>绿色及文明施工</w:t>
          </w:r>
          <w:r>
            <w:tab/>
          </w:r>
          <w:r>
            <w:fldChar w:fldCharType="begin"/>
          </w:r>
          <w:r>
            <w:instrText xml:space="preserve"> PAGEREF _Toc11327 \h </w:instrText>
          </w:r>
          <w:r>
            <w:fldChar w:fldCharType="separate"/>
          </w:r>
          <w:r>
            <w:t>112</w:t>
          </w:r>
          <w:r>
            <w:fldChar w:fldCharType="end"/>
          </w:r>
          <w:r>
            <w:rPr>
              <w:rFonts w:hint="eastAsia" w:ascii="宋体" w:hAnsi="宋体" w:eastAsia="宋体" w:cs="宋体"/>
              <w:color w:val="auto"/>
              <w:szCs w:val="24"/>
            </w:rPr>
            <w:fldChar w:fldCharType="end"/>
          </w:r>
        </w:p>
        <w:p w14:paraId="11F57E8B">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_Toc24477 </w:instrText>
          </w:r>
          <w:r>
            <w:rPr>
              <w:rFonts w:hint="eastAsia" w:ascii="宋体" w:hAnsi="宋体" w:eastAsia="宋体" w:cs="宋体"/>
              <w:szCs w:val="24"/>
            </w:rPr>
            <w:fldChar w:fldCharType="separate"/>
          </w:r>
          <w:r>
            <w:rPr>
              <w:rFonts w:hint="eastAsia"/>
            </w:rPr>
            <w:t>10.1</w:t>
          </w:r>
          <w:r>
            <w:t>绿色及文明施工组织机构</w:t>
          </w:r>
          <w:r>
            <w:tab/>
          </w:r>
          <w:r>
            <w:fldChar w:fldCharType="begin"/>
          </w:r>
          <w:r>
            <w:instrText xml:space="preserve"> PAGEREF _Toc24477 \h </w:instrText>
          </w:r>
          <w:r>
            <w:fldChar w:fldCharType="separate"/>
          </w:r>
          <w:r>
            <w:t>112</w:t>
          </w:r>
          <w:r>
            <w:fldChar w:fldCharType="end"/>
          </w:r>
          <w:r>
            <w:rPr>
              <w:rFonts w:hint="eastAsia" w:ascii="宋体" w:hAnsi="宋体" w:eastAsia="宋体" w:cs="宋体"/>
              <w:color w:val="auto"/>
              <w:szCs w:val="24"/>
            </w:rPr>
            <w:fldChar w:fldCharType="end"/>
          </w:r>
        </w:p>
        <w:p w14:paraId="14A46FD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_Toc32434 </w:instrText>
          </w:r>
          <w:r>
            <w:rPr>
              <w:rFonts w:hint="eastAsia" w:ascii="宋体" w:hAnsi="宋体" w:eastAsia="宋体" w:cs="宋体"/>
              <w:szCs w:val="24"/>
            </w:rPr>
            <w:fldChar w:fldCharType="separate"/>
          </w:r>
          <w:r>
            <w:rPr>
              <w:rFonts w:hint="eastAsia"/>
            </w:rPr>
            <w:t>10.2</w:t>
          </w:r>
          <w:r>
            <w:t>绿色及文明施工保证体系</w:t>
          </w:r>
          <w:r>
            <w:tab/>
          </w:r>
          <w:r>
            <w:fldChar w:fldCharType="begin"/>
          </w:r>
          <w:r>
            <w:instrText xml:space="preserve"> PAGEREF _Toc32434 \h </w:instrText>
          </w:r>
          <w:r>
            <w:fldChar w:fldCharType="separate"/>
          </w:r>
          <w:r>
            <w:t>112</w:t>
          </w:r>
          <w:r>
            <w:fldChar w:fldCharType="end"/>
          </w:r>
          <w:r>
            <w:rPr>
              <w:rFonts w:hint="eastAsia" w:ascii="宋体" w:hAnsi="宋体" w:eastAsia="宋体" w:cs="宋体"/>
              <w:color w:val="auto"/>
              <w:szCs w:val="24"/>
            </w:rPr>
            <w:fldChar w:fldCharType="end"/>
          </w:r>
        </w:p>
        <w:p w14:paraId="04E128C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_Toc29544 </w:instrText>
          </w:r>
          <w:r>
            <w:rPr>
              <w:rFonts w:hint="eastAsia" w:ascii="宋体" w:hAnsi="宋体" w:eastAsia="宋体" w:cs="宋体"/>
              <w:szCs w:val="24"/>
            </w:rPr>
            <w:fldChar w:fldCharType="separate"/>
          </w:r>
          <w:r>
            <w:rPr>
              <w:rFonts w:hint="eastAsia"/>
            </w:rPr>
            <w:t>10.3</w:t>
          </w:r>
          <w:r>
            <w:t>绿色施工保证措施</w:t>
          </w:r>
          <w:r>
            <w:tab/>
          </w:r>
          <w:r>
            <w:fldChar w:fldCharType="begin"/>
          </w:r>
          <w:r>
            <w:instrText xml:space="preserve"> PAGEREF _Toc29544 \h </w:instrText>
          </w:r>
          <w:r>
            <w:fldChar w:fldCharType="separate"/>
          </w:r>
          <w:r>
            <w:t>113</w:t>
          </w:r>
          <w:r>
            <w:fldChar w:fldCharType="end"/>
          </w:r>
          <w:r>
            <w:rPr>
              <w:rFonts w:hint="eastAsia" w:ascii="宋体" w:hAnsi="宋体" w:eastAsia="宋体" w:cs="宋体"/>
              <w:color w:val="auto"/>
              <w:szCs w:val="24"/>
            </w:rPr>
            <w:fldChar w:fldCharType="end"/>
          </w:r>
        </w:p>
        <w:p w14:paraId="4ED780E1">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_Toc14630 </w:instrText>
          </w:r>
          <w:r>
            <w:rPr>
              <w:rFonts w:hint="eastAsia" w:ascii="宋体" w:hAnsi="宋体" w:eastAsia="宋体" w:cs="宋体"/>
              <w:szCs w:val="24"/>
            </w:rPr>
            <w:fldChar w:fldCharType="separate"/>
          </w:r>
          <w:r>
            <w:rPr>
              <w:rFonts w:hint="eastAsia"/>
            </w:rPr>
            <w:t>10.4</w:t>
          </w:r>
          <w:r>
            <w:t>文明施工保证措施</w:t>
          </w:r>
          <w:r>
            <w:tab/>
          </w:r>
          <w:r>
            <w:fldChar w:fldCharType="begin"/>
          </w:r>
          <w:r>
            <w:instrText xml:space="preserve"> PAGEREF _Toc14630 \h </w:instrText>
          </w:r>
          <w:r>
            <w:fldChar w:fldCharType="separate"/>
          </w:r>
          <w:r>
            <w:t>114</w:t>
          </w:r>
          <w:r>
            <w:fldChar w:fldCharType="end"/>
          </w:r>
          <w:r>
            <w:rPr>
              <w:rFonts w:hint="eastAsia" w:ascii="宋体" w:hAnsi="宋体" w:eastAsia="宋体" w:cs="宋体"/>
              <w:color w:val="auto"/>
              <w:szCs w:val="24"/>
            </w:rPr>
            <w:fldChar w:fldCharType="end"/>
          </w:r>
        </w:p>
        <w:p w14:paraId="705D0C14">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_Toc13901 </w:instrText>
          </w:r>
          <w:r>
            <w:rPr>
              <w:rFonts w:hint="eastAsia" w:ascii="宋体" w:hAnsi="宋体" w:eastAsia="宋体" w:cs="宋体"/>
              <w:szCs w:val="24"/>
            </w:rPr>
            <w:fldChar w:fldCharType="separate"/>
          </w:r>
          <w:r>
            <w:rPr>
              <w:rFonts w:hint="eastAsia"/>
              <w:lang w:val="en-US" w:eastAsia="zh-CN"/>
            </w:rPr>
            <w:t>11</w:t>
          </w:r>
          <w:r>
            <w:rPr>
              <w:rFonts w:hint="eastAsia"/>
            </w:rPr>
            <w:t>计算书及相关施工图纸</w:t>
          </w:r>
          <w:r>
            <w:tab/>
          </w:r>
          <w:r>
            <w:fldChar w:fldCharType="begin"/>
          </w:r>
          <w:r>
            <w:instrText xml:space="preserve"> PAGEREF _Toc13901 \h </w:instrText>
          </w:r>
          <w:r>
            <w:fldChar w:fldCharType="separate"/>
          </w:r>
          <w:r>
            <w:t>116</w:t>
          </w:r>
          <w:r>
            <w:fldChar w:fldCharType="end"/>
          </w:r>
          <w:r>
            <w:rPr>
              <w:rFonts w:hint="eastAsia" w:ascii="宋体" w:hAnsi="宋体" w:eastAsia="宋体" w:cs="宋体"/>
              <w:color w:val="auto"/>
              <w:szCs w:val="24"/>
            </w:rPr>
            <w:fldChar w:fldCharType="end"/>
          </w:r>
        </w:p>
        <w:p w14:paraId="31BFFD15">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_Toc2724 </w:instrText>
          </w:r>
          <w:r>
            <w:rPr>
              <w:rFonts w:hint="eastAsia" w:ascii="宋体" w:hAnsi="宋体" w:eastAsia="宋体" w:cs="宋体"/>
              <w:szCs w:val="24"/>
            </w:rPr>
            <w:fldChar w:fldCharType="separate"/>
          </w:r>
          <w:r>
            <w:rPr>
              <w:rFonts w:hint="eastAsia"/>
              <w:szCs w:val="24"/>
              <w:lang w:val="en-US" w:eastAsia="zh-CN"/>
            </w:rPr>
            <w:t>11.1吊装分析</w:t>
          </w:r>
          <w:r>
            <w:tab/>
          </w:r>
          <w:r>
            <w:fldChar w:fldCharType="begin"/>
          </w:r>
          <w:r>
            <w:instrText xml:space="preserve"> PAGEREF _Toc2724 \h </w:instrText>
          </w:r>
          <w:r>
            <w:fldChar w:fldCharType="separate"/>
          </w:r>
          <w:r>
            <w:t>116</w:t>
          </w:r>
          <w:r>
            <w:fldChar w:fldCharType="end"/>
          </w:r>
          <w:r>
            <w:rPr>
              <w:rFonts w:hint="eastAsia" w:ascii="宋体" w:hAnsi="宋体" w:eastAsia="宋体" w:cs="宋体"/>
              <w:color w:val="auto"/>
              <w:szCs w:val="24"/>
            </w:rPr>
            <w:fldChar w:fldCharType="end"/>
          </w:r>
        </w:p>
        <w:p w14:paraId="3D4F51E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_Toc17770 </w:instrText>
          </w:r>
          <w:r>
            <w:rPr>
              <w:rFonts w:hint="eastAsia" w:ascii="宋体" w:hAnsi="宋体" w:eastAsia="宋体" w:cs="宋体"/>
              <w:szCs w:val="24"/>
            </w:rPr>
            <w:fldChar w:fldCharType="separate"/>
          </w:r>
          <w:r>
            <w:rPr>
              <w:rFonts w:hint="default"/>
              <w:szCs w:val="24"/>
              <w:lang w:val="en-US" w:eastAsia="zh-CN"/>
            </w:rPr>
            <w:t>11.</w:t>
          </w:r>
          <w:r>
            <w:rPr>
              <w:rFonts w:hint="eastAsia"/>
              <w:szCs w:val="24"/>
              <w:lang w:val="en-US" w:eastAsia="zh-CN"/>
            </w:rPr>
            <w:t>2</w:t>
          </w:r>
          <w:r>
            <w:rPr>
              <w:rFonts w:hint="eastAsia" w:ascii="Times New Roman" w:hAnsi="Times New Roman"/>
              <w:szCs w:val="24"/>
            </w:rPr>
            <w:t>吊索具选型计算</w:t>
          </w:r>
          <w:r>
            <w:tab/>
          </w:r>
          <w:r>
            <w:fldChar w:fldCharType="begin"/>
          </w:r>
          <w:r>
            <w:instrText xml:space="preserve"> PAGEREF _Toc17770 \h </w:instrText>
          </w:r>
          <w:r>
            <w:fldChar w:fldCharType="separate"/>
          </w:r>
          <w:r>
            <w:t>116</w:t>
          </w:r>
          <w:r>
            <w:fldChar w:fldCharType="end"/>
          </w:r>
          <w:r>
            <w:rPr>
              <w:rFonts w:hint="eastAsia" w:ascii="宋体" w:hAnsi="宋体" w:eastAsia="宋体" w:cs="宋体"/>
              <w:color w:val="auto"/>
              <w:szCs w:val="24"/>
            </w:rPr>
            <w:fldChar w:fldCharType="end"/>
          </w:r>
        </w:p>
        <w:p w14:paraId="5F8D9D2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_Toc23597 </w:instrText>
          </w:r>
          <w:r>
            <w:rPr>
              <w:rFonts w:hint="eastAsia" w:ascii="宋体" w:hAnsi="宋体" w:eastAsia="宋体" w:cs="宋体"/>
              <w:szCs w:val="24"/>
            </w:rPr>
            <w:fldChar w:fldCharType="separate"/>
          </w:r>
          <w:r>
            <w:rPr>
              <w:rFonts w:hint="eastAsia" w:ascii="Times New Roman" w:hAnsi="Times New Roman" w:eastAsia="宋体" w:cs="Times New Roman"/>
              <w:szCs w:val="24"/>
              <w:lang w:val="en-US" w:eastAsia="zh-CN"/>
            </w:rPr>
            <w:t>11.3 各塔施工平面布置示意图</w:t>
          </w:r>
          <w:r>
            <w:tab/>
          </w:r>
          <w:r>
            <w:fldChar w:fldCharType="begin"/>
          </w:r>
          <w:r>
            <w:instrText xml:space="preserve"> PAGEREF _Toc23597 \h </w:instrText>
          </w:r>
          <w:r>
            <w:fldChar w:fldCharType="separate"/>
          </w:r>
          <w:r>
            <w:t>119</w:t>
          </w:r>
          <w:r>
            <w:fldChar w:fldCharType="end"/>
          </w:r>
          <w:r>
            <w:rPr>
              <w:rFonts w:hint="eastAsia" w:ascii="宋体" w:hAnsi="宋体" w:eastAsia="宋体" w:cs="宋体"/>
              <w:color w:val="auto"/>
              <w:szCs w:val="24"/>
            </w:rPr>
            <w:fldChar w:fldCharType="end"/>
          </w:r>
        </w:p>
        <w:p w14:paraId="3B58D37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宋体"/>
              <w:b w:val="0"/>
              <w:bCs/>
              <w:color w:val="auto"/>
              <w:sz w:val="24"/>
              <w:szCs w:val="24"/>
              <w:lang w:val="en-US" w:eastAsia="zh-CN"/>
            </w:rPr>
            <w:sectPr>
              <w:footerReference r:id="rId11" w:type="default"/>
              <w:pgSz w:w="11906" w:h="16838"/>
              <w:pgMar w:top="1418" w:right="1418" w:bottom="1418" w:left="1418" w:header="851" w:footer="992" w:gutter="0"/>
              <w:pgNumType w:fmt="decimal" w:start="1"/>
              <w:cols w:space="425" w:num="1"/>
              <w:docGrid w:linePitch="498" w:charSpace="17788"/>
            </w:sectPr>
          </w:pPr>
          <w:r>
            <w:rPr>
              <w:rFonts w:hint="eastAsia" w:ascii="宋体" w:hAnsi="宋体" w:eastAsia="宋体" w:cs="宋体"/>
              <w:color w:val="auto"/>
              <w:szCs w:val="24"/>
            </w:rPr>
            <w:fldChar w:fldCharType="end"/>
          </w:r>
        </w:p>
      </w:sdtContent>
    </w:sdt>
    <w:p w14:paraId="2388F2B0">
      <w:pPr>
        <w:pStyle w:val="2"/>
        <w:spacing w:before="156" w:after="156"/>
        <w:rPr>
          <w:color w:val="auto"/>
        </w:rPr>
      </w:pPr>
      <w:bookmarkStart w:id="9" w:name="_Toc26437"/>
      <w:bookmarkStart w:id="10" w:name="_Toc40778426"/>
      <w:bookmarkStart w:id="11" w:name="_Toc4435"/>
      <w:bookmarkStart w:id="12" w:name="_Toc10938"/>
      <w:r>
        <w:rPr>
          <w:rFonts w:hint="eastAsia"/>
          <w:color w:val="auto"/>
        </w:rPr>
        <w:t>编制</w:t>
      </w:r>
      <w:bookmarkEnd w:id="9"/>
      <w:bookmarkEnd w:id="10"/>
      <w:r>
        <w:rPr>
          <w:rFonts w:hint="eastAsia"/>
          <w:color w:val="auto"/>
        </w:rPr>
        <w:t>说明、依据及适用范围</w:t>
      </w:r>
      <w:bookmarkEnd w:id="11"/>
      <w:bookmarkEnd w:id="12"/>
    </w:p>
    <w:p w14:paraId="23F6088F">
      <w:pPr>
        <w:pStyle w:val="3"/>
        <w:spacing w:before="156" w:after="156"/>
        <w:ind w:left="480" w:leftChars="0" w:firstLineChars="0"/>
        <w:rPr>
          <w:color w:val="auto"/>
        </w:rPr>
      </w:pPr>
      <w:bookmarkStart w:id="13" w:name="_Toc21803"/>
      <w:bookmarkStart w:id="14" w:name="_Toc15521"/>
      <w:bookmarkStart w:id="15" w:name="_Toc40778430"/>
      <w:bookmarkStart w:id="16" w:name="_Toc2002"/>
      <w:bookmarkStart w:id="17" w:name="_Toc19078"/>
      <w:bookmarkStart w:id="18" w:name="_Toc9657"/>
      <w:r>
        <w:rPr>
          <w:rFonts w:hint="eastAsia"/>
          <w:color w:val="auto"/>
        </w:rPr>
        <w:t>编制</w:t>
      </w:r>
      <w:bookmarkEnd w:id="13"/>
      <w:bookmarkEnd w:id="14"/>
      <w:bookmarkEnd w:id="15"/>
      <w:bookmarkEnd w:id="16"/>
      <w:r>
        <w:rPr>
          <w:rFonts w:hint="eastAsia"/>
          <w:color w:val="auto"/>
        </w:rPr>
        <w:t>说明</w:t>
      </w:r>
      <w:bookmarkEnd w:id="17"/>
      <w:bookmarkEnd w:id="18"/>
    </w:p>
    <w:p w14:paraId="337E1DD2">
      <w:pPr>
        <w:pStyle w:val="48"/>
        <w:ind w:firstLine="480"/>
        <w:rPr>
          <w:rFonts w:hint="eastAsia" w:ascii="Times New Roman" w:hAnsi="Times New Roman" w:cs="Times New Roman"/>
          <w:color w:val="auto"/>
          <w:kern w:val="2"/>
        </w:rPr>
      </w:pPr>
      <w:bookmarkStart w:id="19" w:name="_Toc20553"/>
      <w:bookmarkStart w:id="20" w:name="_Toc18637"/>
      <w:bookmarkStart w:id="21" w:name="_Toc40778428"/>
      <w:bookmarkStart w:id="22" w:name="_Hlk109141016"/>
      <w:bookmarkStart w:id="23" w:name="_Toc10843"/>
      <w:bookmarkStart w:id="24" w:name="_Toc31747"/>
      <w:r>
        <w:rPr>
          <w:rFonts w:hint="eastAsia" w:ascii="Times New Roman" w:hAnsi="Times New Roman" w:cs="Times New Roman"/>
          <w:color w:val="auto"/>
          <w:kern w:val="2"/>
        </w:rPr>
        <w:t>因为8号楼施工进度要求，需要对2#</w:t>
      </w:r>
      <w:r>
        <w:rPr>
          <w:rFonts w:hint="eastAsia" w:ascii="Times New Roman" w:hAnsi="Times New Roman" w:cs="Times New Roman"/>
          <w:color w:val="auto"/>
          <w:kern w:val="2"/>
          <w:lang w:val="en-US" w:eastAsia="zh-CN"/>
        </w:rPr>
        <w:t>塔机进行调整</w:t>
      </w:r>
      <w:r>
        <w:rPr>
          <w:rFonts w:hint="eastAsia" w:ascii="Times New Roman" w:hAnsi="Times New Roman" w:cs="Times New Roman"/>
          <w:color w:val="auto"/>
          <w:kern w:val="2"/>
          <w:lang w:eastAsia="zh-CN"/>
        </w:rPr>
        <w:t>，</w:t>
      </w:r>
      <w:r>
        <w:rPr>
          <w:rFonts w:hint="eastAsia" w:ascii="Times New Roman" w:hAnsi="Times New Roman" w:cs="Times New Roman"/>
          <w:color w:val="auto"/>
          <w:kern w:val="2"/>
        </w:rPr>
        <w:t>为指导本</w:t>
      </w:r>
      <w:r>
        <w:rPr>
          <w:rFonts w:hint="eastAsia" w:ascii="Times New Roman" w:hAnsi="Times New Roman" w:cs="Times New Roman"/>
          <w:color w:val="auto"/>
          <w:kern w:val="2"/>
          <w:sz w:val="24"/>
          <w:szCs w:val="24"/>
        </w:rPr>
        <w:t>项目</w:t>
      </w:r>
      <w:r>
        <w:rPr>
          <w:rFonts w:hint="eastAsia" w:ascii="Times New Roman" w:hAnsi="Times New Roman" w:cs="Times New Roman"/>
          <w:color w:val="auto"/>
          <w:kern w:val="2"/>
          <w:sz w:val="24"/>
          <w:szCs w:val="24"/>
          <w:lang w:val="en-US" w:eastAsia="zh-CN"/>
        </w:rPr>
        <w:t>2#</w:t>
      </w:r>
      <w:r>
        <w:rPr>
          <w:rFonts w:hint="eastAsia"/>
          <w:color w:val="auto"/>
          <w:sz w:val="24"/>
          <w:szCs w:val="24"/>
          <w:lang w:eastAsia="zh-CN"/>
        </w:rPr>
        <w:t>XGT6015-8S1</w:t>
      </w:r>
      <w:r>
        <w:rPr>
          <w:rFonts w:hint="eastAsia" w:ascii="Times New Roman" w:hAnsi="Times New Roman" w:cs="Times New Roman"/>
          <w:color w:val="auto"/>
          <w:kern w:val="2"/>
          <w:sz w:val="24"/>
          <w:szCs w:val="24"/>
        </w:rPr>
        <w:t>型塔式起重机</w:t>
      </w:r>
      <w:r>
        <w:rPr>
          <w:rFonts w:hint="eastAsia" w:ascii="Times New Roman" w:hAnsi="Times New Roman" w:cs="Times New Roman"/>
          <w:color w:val="auto"/>
          <w:kern w:val="2"/>
          <w:sz w:val="24"/>
          <w:szCs w:val="24"/>
          <w:lang w:val="en-US" w:eastAsia="zh-CN"/>
        </w:rPr>
        <w:t>缩臂降节</w:t>
      </w:r>
      <w:r>
        <w:rPr>
          <w:rFonts w:hint="eastAsia" w:ascii="Times New Roman" w:hAnsi="Times New Roman" w:cs="Times New Roman"/>
          <w:color w:val="auto"/>
          <w:kern w:val="2"/>
        </w:rPr>
        <w:t>作业的安全技术管理，对关键工序制定先进的施工工艺和方法，制定合理的施工工期计划，保证质量管理体系的有效运行，防止因施工工艺和方法不明确而发生安全事故，确保施工人员的人身安全和国家财产安全，确保过程质量和安全，合理安排施工工期，特编制本安全专项方案。</w:t>
      </w:r>
      <w:bookmarkEnd w:id="19"/>
    </w:p>
    <w:bookmarkEnd w:id="20"/>
    <w:bookmarkEnd w:id="21"/>
    <w:bookmarkEnd w:id="22"/>
    <w:bookmarkEnd w:id="23"/>
    <w:bookmarkEnd w:id="24"/>
    <w:p w14:paraId="1B0BE573">
      <w:pPr>
        <w:pStyle w:val="3"/>
        <w:outlineLvl w:val="1"/>
        <w:rPr>
          <w:rFonts w:hint="default" w:eastAsia="宋体"/>
          <w:color w:val="auto"/>
          <w:lang w:val="en-US" w:eastAsia="zh-CN"/>
        </w:rPr>
      </w:pPr>
      <w:bookmarkStart w:id="25" w:name="_Toc13298"/>
      <w:bookmarkStart w:id="26" w:name="_Toc1215"/>
      <w:r>
        <w:rPr>
          <w:rFonts w:hint="eastAsia"/>
          <w:color w:val="auto"/>
          <w:lang w:val="en-US" w:eastAsia="zh-CN"/>
        </w:rPr>
        <w:t>编制依据</w:t>
      </w:r>
      <w:bookmarkEnd w:id="25"/>
    </w:p>
    <w:p w14:paraId="2F84CB06">
      <w:pPr>
        <w:pStyle w:val="67"/>
        <w:ind w:firstLine="241"/>
        <w:outlineLvl w:val="2"/>
        <w:rPr>
          <w:color w:val="auto"/>
        </w:rPr>
      </w:pPr>
      <w:bookmarkStart w:id="27" w:name="_Toc6806"/>
      <w:bookmarkStart w:id="28" w:name="_Hlk42526096"/>
      <w:r>
        <w:rPr>
          <w:rFonts w:hint="eastAsia"/>
          <w:color w:val="auto"/>
          <w:lang w:val="en-US" w:eastAsia="zh-CN"/>
        </w:rPr>
        <w:t>1</w:t>
      </w:r>
      <w:r>
        <w:rPr>
          <w:color w:val="auto"/>
        </w:rPr>
        <w:t>.2.1</w:t>
      </w:r>
      <w:r>
        <w:rPr>
          <w:rFonts w:hint="eastAsia"/>
          <w:color w:val="auto"/>
        </w:rPr>
        <w:t>主要法律法规</w:t>
      </w:r>
    </w:p>
    <w:p w14:paraId="5127F2CB">
      <w:pPr>
        <w:pStyle w:val="48"/>
        <w:numPr>
          <w:ilvl w:val="0"/>
          <w:numId w:val="4"/>
        </w:numPr>
        <w:ind w:firstLineChars="0"/>
        <w:rPr>
          <w:rFonts w:hint="eastAsia"/>
          <w:color w:val="auto"/>
        </w:rPr>
      </w:pPr>
      <w:r>
        <w:rPr>
          <w:rFonts w:hint="eastAsia"/>
          <w:color w:val="auto"/>
        </w:rPr>
        <w:t>《特种设备安全监察条例》（国务院第549号令）</w:t>
      </w:r>
    </w:p>
    <w:p w14:paraId="33845536">
      <w:pPr>
        <w:pStyle w:val="48"/>
        <w:numPr>
          <w:ilvl w:val="0"/>
          <w:numId w:val="4"/>
        </w:numPr>
        <w:ind w:firstLineChars="0"/>
        <w:rPr>
          <w:rFonts w:hint="eastAsia"/>
          <w:color w:val="auto"/>
        </w:rPr>
      </w:pPr>
      <w:r>
        <w:rPr>
          <w:rFonts w:hint="eastAsia"/>
          <w:color w:val="auto"/>
        </w:rPr>
        <w:t>《起重机械监督检验规程》（国质检锅（2003）296号）</w:t>
      </w:r>
    </w:p>
    <w:p w14:paraId="76510B92">
      <w:pPr>
        <w:pStyle w:val="48"/>
        <w:numPr>
          <w:ilvl w:val="0"/>
          <w:numId w:val="4"/>
        </w:numPr>
        <w:ind w:firstLineChars="0"/>
        <w:rPr>
          <w:rFonts w:hint="eastAsia"/>
          <w:color w:val="auto"/>
        </w:rPr>
      </w:pPr>
      <w:r>
        <w:rPr>
          <w:rFonts w:hint="eastAsia"/>
          <w:color w:val="auto"/>
        </w:rPr>
        <w:t>《起重设备常用数据手册》（人民交通出版社）</w:t>
      </w:r>
    </w:p>
    <w:p w14:paraId="1184F050">
      <w:pPr>
        <w:pStyle w:val="48"/>
        <w:numPr>
          <w:ilvl w:val="0"/>
          <w:numId w:val="4"/>
        </w:numPr>
        <w:ind w:firstLineChars="0"/>
        <w:rPr>
          <w:rFonts w:hint="eastAsia"/>
          <w:color w:val="auto"/>
        </w:rPr>
      </w:pPr>
      <w:r>
        <w:rPr>
          <w:rFonts w:hint="eastAsia"/>
          <w:color w:val="auto"/>
        </w:rPr>
        <w:t>《重型设备吊装手册》（冶金工业出版社）</w:t>
      </w:r>
    </w:p>
    <w:p w14:paraId="7471921C">
      <w:pPr>
        <w:pStyle w:val="48"/>
        <w:numPr>
          <w:ilvl w:val="0"/>
          <w:numId w:val="4"/>
        </w:numPr>
        <w:ind w:firstLineChars="0"/>
        <w:rPr>
          <w:rFonts w:hint="eastAsia"/>
          <w:color w:val="auto"/>
        </w:rPr>
      </w:pPr>
      <w:r>
        <w:rPr>
          <w:rFonts w:hint="eastAsia"/>
          <w:color w:val="auto"/>
        </w:rPr>
        <w:t>《建设工程安全生产条例》（国务院第393号令）</w:t>
      </w:r>
    </w:p>
    <w:p w14:paraId="5ABF98C4">
      <w:pPr>
        <w:pStyle w:val="48"/>
        <w:numPr>
          <w:ilvl w:val="0"/>
          <w:numId w:val="4"/>
        </w:numPr>
        <w:ind w:firstLineChars="0"/>
        <w:rPr>
          <w:rFonts w:hint="eastAsia"/>
          <w:color w:val="auto"/>
        </w:rPr>
      </w:pPr>
      <w:r>
        <w:rPr>
          <w:rFonts w:hint="eastAsia"/>
          <w:color w:val="auto"/>
        </w:rPr>
        <w:t>《建筑起重机械安全监督管理规定》（建设部第166号令）</w:t>
      </w:r>
    </w:p>
    <w:p w14:paraId="208C16CA">
      <w:pPr>
        <w:pStyle w:val="67"/>
        <w:ind w:firstLine="241"/>
        <w:outlineLvl w:val="2"/>
        <w:rPr>
          <w:color w:val="auto"/>
        </w:rPr>
      </w:pPr>
      <w:r>
        <w:rPr>
          <w:rFonts w:hint="eastAsia"/>
          <w:color w:val="auto"/>
          <w:lang w:val="en-US" w:eastAsia="zh-CN"/>
        </w:rPr>
        <w:t>1</w:t>
      </w:r>
      <w:r>
        <w:rPr>
          <w:color w:val="auto"/>
        </w:rPr>
        <w:t>.2.2</w:t>
      </w:r>
      <w:r>
        <w:rPr>
          <w:rFonts w:hint="eastAsia"/>
          <w:color w:val="auto"/>
        </w:rPr>
        <w:t>主要规范、规程</w:t>
      </w:r>
    </w:p>
    <w:p w14:paraId="5B2F8A02">
      <w:pPr>
        <w:pStyle w:val="48"/>
        <w:numPr>
          <w:ilvl w:val="0"/>
          <w:numId w:val="5"/>
        </w:numPr>
        <w:ind w:firstLineChars="0"/>
        <w:rPr>
          <w:rFonts w:hint="eastAsia"/>
          <w:color w:val="auto"/>
          <w:lang w:val="en-US" w:eastAsia="zh-CN"/>
        </w:rPr>
      </w:pPr>
      <w:r>
        <w:rPr>
          <w:rFonts w:hint="eastAsia"/>
          <w:color w:val="auto"/>
        </w:rPr>
        <w:t>《</w:t>
      </w:r>
      <w:r>
        <w:rPr>
          <w:rFonts w:hint="eastAsia"/>
          <w:color w:val="auto"/>
          <w:lang w:val="en-US" w:eastAsia="zh-CN"/>
        </w:rPr>
        <w:t>危险性较大的分部分项工程安全管理规定》（住建部〔2018〕37号令）；</w:t>
      </w:r>
    </w:p>
    <w:p w14:paraId="2DA7697B">
      <w:pPr>
        <w:pStyle w:val="48"/>
        <w:numPr>
          <w:ilvl w:val="0"/>
          <w:numId w:val="5"/>
        </w:numPr>
        <w:ind w:firstLineChars="0"/>
        <w:rPr>
          <w:rFonts w:hint="eastAsia"/>
          <w:color w:val="auto"/>
          <w:lang w:eastAsia="zh-CN"/>
        </w:rPr>
      </w:pPr>
      <w:r>
        <w:rPr>
          <w:rFonts w:hint="eastAsia"/>
          <w:color w:val="auto"/>
          <w:lang w:eastAsia="zh-CN"/>
        </w:rPr>
        <w:t>《住房城乡建设部办公厅关于实施《危险性较大的分部分项工程安全管理规定》有关问题的通知》（建办质〔2018〕31号文）；</w:t>
      </w:r>
    </w:p>
    <w:p w14:paraId="4FA1BFAC">
      <w:pPr>
        <w:pStyle w:val="48"/>
        <w:numPr>
          <w:ilvl w:val="0"/>
          <w:numId w:val="5"/>
        </w:numPr>
        <w:ind w:firstLineChars="0"/>
        <w:rPr>
          <w:rFonts w:hint="eastAsia"/>
          <w:color w:val="auto"/>
        </w:rPr>
      </w:pPr>
      <w:r>
        <w:rPr>
          <w:rFonts w:hint="eastAsia"/>
          <w:color w:val="auto"/>
        </w:rPr>
        <w:t>《建筑施工高处作业安全技术规范》（JGJ80-2016）</w:t>
      </w:r>
    </w:p>
    <w:p w14:paraId="550B9BF2">
      <w:pPr>
        <w:pStyle w:val="48"/>
        <w:numPr>
          <w:ilvl w:val="0"/>
          <w:numId w:val="5"/>
        </w:numPr>
        <w:ind w:firstLineChars="0"/>
        <w:rPr>
          <w:rFonts w:hint="eastAsia"/>
          <w:color w:val="auto"/>
        </w:rPr>
      </w:pPr>
      <w:r>
        <w:rPr>
          <w:rFonts w:hint="eastAsia"/>
          <w:color w:val="auto"/>
        </w:rPr>
        <w:t>《建筑机械使用安全技术规程》（JGJ33-2012）</w:t>
      </w:r>
      <w:bookmarkStart w:id="29" w:name="_Toc233787438"/>
    </w:p>
    <w:p w14:paraId="7E54F1F2">
      <w:pPr>
        <w:pStyle w:val="48"/>
        <w:numPr>
          <w:ilvl w:val="0"/>
          <w:numId w:val="5"/>
        </w:numPr>
        <w:ind w:firstLineChars="0"/>
        <w:rPr>
          <w:rFonts w:hint="eastAsia"/>
          <w:color w:val="auto"/>
        </w:rPr>
      </w:pPr>
      <w:r>
        <w:rPr>
          <w:rFonts w:hint="eastAsia"/>
          <w:color w:val="auto"/>
        </w:rPr>
        <w:t>《施工现场临时用电安全技术规范(附条文说明)》（JGJ46-2005）</w:t>
      </w:r>
      <w:bookmarkEnd w:id="29"/>
    </w:p>
    <w:p w14:paraId="0E26B770">
      <w:pPr>
        <w:pStyle w:val="48"/>
        <w:numPr>
          <w:ilvl w:val="0"/>
          <w:numId w:val="5"/>
        </w:numPr>
        <w:ind w:firstLineChars="0"/>
        <w:rPr>
          <w:rFonts w:hint="eastAsia"/>
          <w:color w:val="auto"/>
        </w:rPr>
      </w:pPr>
      <w:r>
        <w:rPr>
          <w:rFonts w:hint="eastAsia"/>
          <w:color w:val="auto"/>
        </w:rPr>
        <w:t>《起重机钢丝绳保养、维护、检验和报废》（GB/T5972-2016）</w:t>
      </w:r>
    </w:p>
    <w:p w14:paraId="21047BD6">
      <w:pPr>
        <w:pStyle w:val="48"/>
        <w:numPr>
          <w:ilvl w:val="0"/>
          <w:numId w:val="5"/>
        </w:numPr>
        <w:ind w:firstLineChars="0"/>
        <w:rPr>
          <w:rFonts w:hint="eastAsia"/>
          <w:color w:val="auto"/>
        </w:rPr>
      </w:pPr>
      <w:r>
        <w:rPr>
          <w:rFonts w:hint="eastAsia"/>
          <w:color w:val="auto"/>
        </w:rPr>
        <w:t>《起重机设计规范》（GB3811-2008）</w:t>
      </w:r>
    </w:p>
    <w:p w14:paraId="0B16C389">
      <w:pPr>
        <w:pStyle w:val="48"/>
        <w:numPr>
          <w:ilvl w:val="0"/>
          <w:numId w:val="5"/>
        </w:numPr>
        <w:ind w:firstLineChars="0"/>
        <w:rPr>
          <w:rFonts w:hint="eastAsia"/>
          <w:color w:val="auto"/>
        </w:rPr>
      </w:pPr>
      <w:r>
        <w:rPr>
          <w:rFonts w:hint="eastAsia"/>
          <w:color w:val="auto"/>
        </w:rPr>
        <w:t>《塔式起重机设计规范》（GB/T 13752-2017）</w:t>
      </w:r>
    </w:p>
    <w:p w14:paraId="16354D67">
      <w:pPr>
        <w:pStyle w:val="48"/>
        <w:numPr>
          <w:ilvl w:val="0"/>
          <w:numId w:val="5"/>
        </w:numPr>
        <w:ind w:firstLineChars="0"/>
        <w:rPr>
          <w:rFonts w:hint="eastAsia"/>
          <w:color w:val="auto"/>
        </w:rPr>
      </w:pPr>
      <w:r>
        <w:rPr>
          <w:rFonts w:hint="eastAsia"/>
          <w:color w:val="auto"/>
        </w:rPr>
        <w:t>《建设工程施工现场消防安全技术规范》（GB50720-2011）</w:t>
      </w:r>
    </w:p>
    <w:p w14:paraId="42F454C1">
      <w:pPr>
        <w:pStyle w:val="48"/>
        <w:numPr>
          <w:ilvl w:val="0"/>
          <w:numId w:val="5"/>
        </w:numPr>
        <w:ind w:firstLineChars="0"/>
        <w:rPr>
          <w:rFonts w:hint="eastAsia"/>
          <w:color w:val="auto"/>
        </w:rPr>
      </w:pPr>
      <w:r>
        <w:rPr>
          <w:rFonts w:hint="eastAsia"/>
          <w:color w:val="auto"/>
        </w:rPr>
        <w:t>《施工现场塔式起重机检验规则》（DB11/ 611-2008）</w:t>
      </w:r>
    </w:p>
    <w:p w14:paraId="489FDA01">
      <w:pPr>
        <w:pStyle w:val="48"/>
        <w:numPr>
          <w:ilvl w:val="0"/>
          <w:numId w:val="5"/>
        </w:numPr>
        <w:ind w:firstLineChars="0"/>
        <w:rPr>
          <w:rFonts w:hint="eastAsia"/>
          <w:color w:val="auto"/>
        </w:rPr>
      </w:pPr>
      <w:r>
        <w:rPr>
          <w:rFonts w:hint="eastAsia"/>
          <w:color w:val="auto"/>
        </w:rPr>
        <w:t>《塔式起重机安全规程》（GB5144-2006）</w:t>
      </w:r>
    </w:p>
    <w:p w14:paraId="6D5DA36D">
      <w:pPr>
        <w:pStyle w:val="48"/>
        <w:numPr>
          <w:ilvl w:val="0"/>
          <w:numId w:val="5"/>
        </w:numPr>
        <w:ind w:firstLineChars="0"/>
        <w:rPr>
          <w:rFonts w:hint="eastAsia"/>
          <w:color w:val="auto"/>
        </w:rPr>
      </w:pPr>
      <w:r>
        <w:rPr>
          <w:rFonts w:hint="eastAsia"/>
          <w:color w:val="auto"/>
        </w:rPr>
        <w:t>《建筑起重机械安全评估技术规程》（JGJ/T 189-2009）</w:t>
      </w:r>
    </w:p>
    <w:p w14:paraId="095CA5B2">
      <w:pPr>
        <w:pStyle w:val="48"/>
        <w:numPr>
          <w:ilvl w:val="0"/>
          <w:numId w:val="5"/>
        </w:numPr>
        <w:ind w:firstLineChars="0"/>
        <w:rPr>
          <w:rFonts w:hint="eastAsia"/>
          <w:color w:val="auto"/>
        </w:rPr>
      </w:pPr>
      <w:r>
        <w:rPr>
          <w:rFonts w:hint="eastAsia"/>
          <w:color w:val="auto"/>
        </w:rPr>
        <w:t>《建筑施工塔式起重机安装、使用、拆卸安全技术规程》（JGJ 196-2010）</w:t>
      </w:r>
    </w:p>
    <w:p w14:paraId="24D0B6A0">
      <w:pPr>
        <w:pStyle w:val="48"/>
        <w:numPr>
          <w:ilvl w:val="0"/>
          <w:numId w:val="5"/>
        </w:numPr>
        <w:ind w:firstLineChars="0"/>
        <w:rPr>
          <w:rFonts w:hint="eastAsia"/>
          <w:color w:val="auto"/>
        </w:rPr>
      </w:pPr>
      <w:r>
        <w:rPr>
          <w:rFonts w:hint="eastAsia"/>
          <w:color w:val="auto"/>
        </w:rPr>
        <w:t>《建筑施工安全检查标准》（JGJ59-2011）</w:t>
      </w:r>
    </w:p>
    <w:p w14:paraId="4F935D70">
      <w:pPr>
        <w:pStyle w:val="48"/>
        <w:numPr>
          <w:ilvl w:val="0"/>
          <w:numId w:val="5"/>
        </w:numPr>
        <w:ind w:firstLineChars="0"/>
        <w:rPr>
          <w:rFonts w:hint="eastAsia"/>
          <w:color w:val="auto"/>
        </w:rPr>
      </w:pPr>
      <w:r>
        <w:rPr>
          <w:rFonts w:hint="eastAsia"/>
          <w:color w:val="auto"/>
        </w:rPr>
        <w:t>《建筑施工起重吊装工程安全技术规范》（JGJ276-2012）</w:t>
      </w:r>
    </w:p>
    <w:p w14:paraId="4486012E">
      <w:pPr>
        <w:pStyle w:val="67"/>
        <w:ind w:firstLine="241"/>
        <w:outlineLvl w:val="2"/>
        <w:rPr>
          <w:color w:val="auto"/>
        </w:rPr>
      </w:pPr>
      <w:r>
        <w:rPr>
          <w:rFonts w:hint="eastAsia" w:ascii="宋体" w:hAnsi="宋体" w:eastAsia="宋体" w:cs="Times New Roman"/>
          <w:color w:val="auto"/>
          <w:lang w:val="en-US" w:eastAsia="zh-CN"/>
        </w:rPr>
        <w:t>1.2.</w:t>
      </w:r>
      <w:r>
        <w:rPr>
          <w:rFonts w:hint="default" w:cs="Times New Roman"/>
          <w:color w:val="auto"/>
          <w:lang w:val="en-US" w:eastAsia="zh-CN"/>
        </w:rPr>
        <w:t>3</w:t>
      </w:r>
      <w:r>
        <w:rPr>
          <w:rFonts w:hint="eastAsia" w:ascii="宋体" w:hAnsi="宋体" w:eastAsia="宋体" w:cs="Times New Roman"/>
          <w:color w:val="auto"/>
          <w:lang w:val="en-US" w:eastAsia="zh-CN"/>
        </w:rPr>
        <w:t>其他</w:t>
      </w:r>
    </w:p>
    <w:p w14:paraId="70A7E276">
      <w:pPr>
        <w:pStyle w:val="82"/>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公司相关管理文件</w:t>
      </w:r>
    </w:p>
    <w:p w14:paraId="61B28324">
      <w:pPr>
        <w:spacing w:line="360" w:lineRule="auto"/>
        <w:ind w:firstLine="480"/>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（2）</w:t>
      </w:r>
      <w:r>
        <w:rPr>
          <w:rFonts w:hint="eastAsia" w:ascii="宋体" w:hAnsi="宋体" w:cs="宋体"/>
          <w:color w:val="auto"/>
          <w:sz w:val="24"/>
          <w:szCs w:val="24"/>
          <w:lang w:eastAsia="zh-CN"/>
        </w:rPr>
        <w:t>XGT6015-8S1</w:t>
      </w:r>
      <w:r>
        <w:rPr>
          <w:rFonts w:hint="eastAsia" w:ascii="宋体" w:hAnsi="宋体" w:eastAsia="宋体" w:cs="宋体"/>
          <w:color w:val="auto"/>
          <w:sz w:val="24"/>
          <w:szCs w:val="24"/>
          <w:lang w:eastAsia="zh-CN"/>
        </w:rPr>
        <w:t>型</w:t>
      </w:r>
      <w:r>
        <w:rPr>
          <w:rFonts w:hint="eastAsia" w:ascii="Times New Roman" w:hAnsi="Times New Roman" w:eastAsia="宋体" w:cs="Times New Roman"/>
          <w:color w:val="auto"/>
          <w:sz w:val="24"/>
          <w:lang w:val="en-US" w:eastAsia="zh-CN"/>
        </w:rPr>
        <w:t>塔式起重机使用说明书</w:t>
      </w:r>
    </w:p>
    <w:bookmarkEnd w:id="27"/>
    <w:bookmarkEnd w:id="28"/>
    <w:p w14:paraId="5196D09C">
      <w:pPr>
        <w:pStyle w:val="3"/>
        <w:outlineLvl w:val="1"/>
        <w:rPr>
          <w:color w:val="auto"/>
        </w:rPr>
      </w:pPr>
      <w:bookmarkStart w:id="30" w:name="_Toc26675"/>
      <w:bookmarkStart w:id="31" w:name="_Toc25296"/>
      <w:bookmarkStart w:id="32" w:name="_Toc17429"/>
      <w:bookmarkStart w:id="33" w:name="_Toc10409766"/>
      <w:bookmarkStart w:id="34" w:name="_Toc17061"/>
      <w:r>
        <w:rPr>
          <w:rFonts w:hint="eastAsia"/>
          <w:color w:val="auto"/>
        </w:rPr>
        <w:t>编制原则</w:t>
      </w:r>
      <w:bookmarkEnd w:id="30"/>
      <w:bookmarkEnd w:id="31"/>
      <w:bookmarkEnd w:id="32"/>
      <w:bookmarkEnd w:id="33"/>
      <w:bookmarkEnd w:id="34"/>
    </w:p>
    <w:p w14:paraId="41368381">
      <w:pPr>
        <w:pStyle w:val="48"/>
        <w:ind w:firstLine="480"/>
        <w:rPr>
          <w:color w:val="auto"/>
        </w:rPr>
      </w:pPr>
      <w:r>
        <w:rPr>
          <w:color w:val="auto"/>
        </w:rPr>
        <w:t>1）严格贯彻“安全第一”的原则，针对风险细化安全技术措施，预防和杜绝安全事故的发生；</w:t>
      </w:r>
    </w:p>
    <w:p w14:paraId="7C52613A">
      <w:pPr>
        <w:pStyle w:val="48"/>
        <w:ind w:firstLine="480"/>
        <w:rPr>
          <w:color w:val="auto"/>
        </w:rPr>
      </w:pPr>
      <w:r>
        <w:rPr>
          <w:color w:val="auto"/>
        </w:rPr>
        <w:t>2）严格按照ISO9001标准质量体系质量程序控制原则，实施</w:t>
      </w:r>
      <w:r>
        <w:rPr>
          <w:rFonts w:hint="eastAsia"/>
          <w:color w:val="auto"/>
          <w:lang w:eastAsia="zh-CN"/>
        </w:rPr>
        <w:t>拆除</w:t>
      </w:r>
      <w:r>
        <w:rPr>
          <w:color w:val="auto"/>
        </w:rPr>
        <w:t>过程动态管理；</w:t>
      </w:r>
    </w:p>
    <w:p w14:paraId="34CF86BC">
      <w:pPr>
        <w:pStyle w:val="48"/>
        <w:ind w:firstLine="480"/>
        <w:rPr>
          <w:color w:val="auto"/>
        </w:rPr>
      </w:pPr>
      <w:r>
        <w:rPr>
          <w:color w:val="auto"/>
        </w:rPr>
        <w:t>3）科学合理制定</w:t>
      </w:r>
      <w:r>
        <w:rPr>
          <w:rFonts w:hint="eastAsia"/>
          <w:color w:val="auto"/>
          <w:lang w:val="en-US" w:eastAsia="zh-CN"/>
        </w:rPr>
        <w:t>作业</w:t>
      </w:r>
      <w:r>
        <w:rPr>
          <w:color w:val="auto"/>
        </w:rPr>
        <w:t>计划，提高</w:t>
      </w:r>
      <w:r>
        <w:rPr>
          <w:rFonts w:hint="eastAsia"/>
          <w:color w:val="auto"/>
          <w:lang w:val="en-US" w:eastAsia="zh-CN"/>
        </w:rPr>
        <w:t>作业</w:t>
      </w:r>
      <w:r>
        <w:rPr>
          <w:color w:val="auto"/>
        </w:rPr>
        <w:t>功效；</w:t>
      </w:r>
    </w:p>
    <w:p w14:paraId="0E76F9E4">
      <w:pPr>
        <w:pStyle w:val="48"/>
        <w:ind w:firstLine="480"/>
        <w:rPr>
          <w:color w:val="auto"/>
        </w:rPr>
      </w:pPr>
      <w:r>
        <w:rPr>
          <w:color w:val="auto"/>
        </w:rPr>
        <w:t>4）加强过程管控，合理配置</w:t>
      </w:r>
      <w:r>
        <w:rPr>
          <w:rFonts w:hint="eastAsia"/>
          <w:color w:val="auto"/>
          <w:lang w:val="en-US" w:eastAsia="zh-CN"/>
        </w:rPr>
        <w:t>作业</w:t>
      </w:r>
      <w:r>
        <w:rPr>
          <w:color w:val="auto"/>
        </w:rPr>
        <w:t>资源，合理降低</w:t>
      </w:r>
      <w:r>
        <w:rPr>
          <w:rFonts w:hint="eastAsia"/>
          <w:color w:val="auto"/>
          <w:lang w:val="en-US" w:eastAsia="zh-CN"/>
        </w:rPr>
        <w:t>作业</w:t>
      </w:r>
      <w:r>
        <w:rPr>
          <w:color w:val="auto"/>
        </w:rPr>
        <w:t>成本。</w:t>
      </w:r>
    </w:p>
    <w:p w14:paraId="5924F048">
      <w:pPr>
        <w:pStyle w:val="3"/>
        <w:outlineLvl w:val="1"/>
        <w:rPr>
          <w:color w:val="auto"/>
        </w:rPr>
      </w:pPr>
      <w:bookmarkStart w:id="35" w:name="_Toc10409768"/>
      <w:bookmarkStart w:id="36" w:name="_Toc24520"/>
      <w:bookmarkStart w:id="37" w:name="_Toc13684"/>
      <w:bookmarkStart w:id="38" w:name="_Toc4818"/>
      <w:bookmarkStart w:id="39" w:name="_Toc22081"/>
      <w:r>
        <w:rPr>
          <w:rFonts w:hint="eastAsia"/>
          <w:color w:val="auto"/>
        </w:rPr>
        <w:t>适用范围</w:t>
      </w:r>
      <w:bookmarkEnd w:id="35"/>
      <w:bookmarkEnd w:id="36"/>
      <w:bookmarkEnd w:id="37"/>
      <w:bookmarkEnd w:id="38"/>
      <w:bookmarkEnd w:id="39"/>
    </w:p>
    <w:p w14:paraId="745B08E9">
      <w:pPr>
        <w:pStyle w:val="48"/>
        <w:ind w:firstLine="480"/>
        <w:rPr>
          <w:color w:val="auto"/>
        </w:rPr>
      </w:pPr>
      <w:r>
        <w:rPr>
          <w:rFonts w:hint="eastAsia"/>
          <w:color w:val="auto"/>
        </w:rPr>
        <w:t>本方案适用于</w:t>
      </w:r>
      <w:r>
        <w:rPr>
          <w:rFonts w:hint="eastAsia"/>
          <w:color w:val="auto"/>
          <w:lang w:val="en-US" w:eastAsia="zh-CN"/>
        </w:rPr>
        <w:t>该</w:t>
      </w:r>
      <w:r>
        <w:rPr>
          <w:color w:val="auto"/>
        </w:rPr>
        <w:t>项目</w:t>
      </w:r>
      <w:r>
        <w:rPr>
          <w:rFonts w:hint="eastAsia"/>
          <w:color w:val="auto"/>
          <w:lang w:val="en-US" w:eastAsia="zh-CN"/>
        </w:rPr>
        <w:t>1台XGT6015-</w:t>
      </w:r>
      <w:r>
        <w:rPr>
          <w:rFonts w:hint="eastAsia" w:ascii="宋体" w:hAnsi="宋体" w:cs="宋体"/>
          <w:color w:val="auto"/>
          <w:sz w:val="24"/>
          <w:szCs w:val="24"/>
          <w:lang w:eastAsia="zh-CN"/>
        </w:rPr>
        <w:t>8S1</w:t>
      </w:r>
      <w:r>
        <w:rPr>
          <w:color w:val="auto"/>
        </w:rPr>
        <w:t>塔式起重机</w:t>
      </w:r>
      <w:r>
        <w:rPr>
          <w:rFonts w:hint="eastAsia" w:ascii="Times New Roman" w:hAnsi="Times New Roman" w:cs="Times New Roman"/>
          <w:color w:val="auto"/>
          <w:kern w:val="2"/>
          <w:sz w:val="24"/>
          <w:szCs w:val="24"/>
          <w:lang w:val="en-US" w:eastAsia="zh-CN"/>
        </w:rPr>
        <w:t>缩臂降节</w:t>
      </w:r>
      <w:r>
        <w:rPr>
          <w:color w:val="auto"/>
        </w:rPr>
        <w:t>安全施工作业</w:t>
      </w:r>
      <w:r>
        <w:rPr>
          <w:rFonts w:hint="eastAsia" w:ascii="Times New Roman" w:hAnsi="Times New Roman"/>
          <w:color w:val="auto"/>
          <w:szCs w:val="24"/>
        </w:rPr>
        <w:t>指导</w:t>
      </w:r>
      <w:r>
        <w:rPr>
          <w:color w:val="auto"/>
        </w:rPr>
        <w:t>。</w:t>
      </w:r>
    </w:p>
    <w:bookmarkEnd w:id="26"/>
    <w:p w14:paraId="5C89ADA9">
      <w:pPr>
        <w:ind w:firstLine="480"/>
        <w:rPr>
          <w:color w:val="auto"/>
        </w:rPr>
      </w:pPr>
      <w:bookmarkStart w:id="40" w:name="_Toc12304"/>
    </w:p>
    <w:bookmarkEnd w:id="40"/>
    <w:p w14:paraId="01FE4193">
      <w:pPr>
        <w:pStyle w:val="2"/>
        <w:spacing w:before="156" w:after="156"/>
        <w:jc w:val="both"/>
        <w:rPr>
          <w:color w:val="auto"/>
        </w:rPr>
      </w:pPr>
      <w:bookmarkStart w:id="41" w:name="_Toc40778431"/>
      <w:bookmarkStart w:id="42" w:name="_Toc17866"/>
      <w:r>
        <w:rPr>
          <w:rFonts w:hint="eastAsia"/>
          <w:color w:val="auto"/>
        </w:rPr>
        <w:br w:type="page"/>
      </w:r>
      <w:bookmarkStart w:id="43" w:name="_Toc40778420"/>
      <w:bookmarkStart w:id="44" w:name="_Toc20658"/>
      <w:bookmarkStart w:id="45" w:name="_Toc3812"/>
      <w:bookmarkStart w:id="46" w:name="_Toc30591"/>
      <w:r>
        <w:rPr>
          <w:rFonts w:hint="eastAsia"/>
          <w:color w:val="auto"/>
        </w:rPr>
        <w:t>工程概况</w:t>
      </w:r>
      <w:bookmarkEnd w:id="43"/>
      <w:bookmarkEnd w:id="44"/>
      <w:bookmarkEnd w:id="45"/>
      <w:bookmarkEnd w:id="46"/>
    </w:p>
    <w:p w14:paraId="26D78CD5">
      <w:pPr>
        <w:pStyle w:val="3"/>
        <w:spacing w:before="156" w:after="156"/>
        <w:ind w:left="480" w:leftChars="0" w:firstLineChars="0"/>
        <w:rPr>
          <w:rFonts w:hint="default" w:eastAsia="宋体"/>
          <w:color w:val="auto"/>
          <w:lang w:val="en-US" w:eastAsia="zh-CN"/>
        </w:rPr>
      </w:pPr>
      <w:bookmarkStart w:id="47" w:name="_Toc28170"/>
      <w:r>
        <w:rPr>
          <w:rFonts w:hint="eastAsia" w:eastAsia="宋体"/>
          <w:color w:val="auto"/>
          <w:lang w:eastAsia="zh-CN"/>
        </w:rPr>
        <w:t>项目概况</w:t>
      </w:r>
      <w:bookmarkEnd w:id="47"/>
    </w:p>
    <w:p w14:paraId="586B7CB3">
      <w:pPr>
        <w:pStyle w:val="25"/>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本工程位于彭州市龙兴寺商圈龙锦大道、延秀路、民业路和滨河南路间。项目16号地块用地面积32485.82㎡，总建面56296.17㎡，该地块东侧为建成小区-龙锦小区。北临官渠郊野公园和人民渠(饮用水水源，贯穿彭州全境)。南临龙兴寺水街(彭州新名片，彭州版“太古里")。西侧为建成小区-水岸名都。中间为弹性道路和河道绿廊。16号地块为项目一期，17号地块为项目2期。</w:t>
      </w:r>
    </w:p>
    <w:p w14:paraId="0BE325B1">
      <w:pPr>
        <w:ind w:firstLine="422"/>
        <w:jc w:val="center"/>
        <w:rPr>
          <w:rFonts w:ascii="仿宋" w:hAnsi="仿宋" w:eastAsia="仿宋"/>
          <w:b/>
          <w:sz w:val="21"/>
        </w:rPr>
      </w:pPr>
      <w:bookmarkStart w:id="48" w:name="_Toc53563931"/>
      <w:r>
        <w:rPr>
          <w:rFonts w:hint="eastAsia" w:ascii="仿宋" w:hAnsi="仿宋" w:eastAsia="仿宋"/>
          <w:b/>
          <w:sz w:val="21"/>
        </w:rPr>
        <w:t>表</w:t>
      </w:r>
      <w:r>
        <w:rPr>
          <w:rFonts w:ascii="仿宋" w:hAnsi="仿宋" w:eastAsia="仿宋"/>
          <w:b/>
          <w:sz w:val="21"/>
        </w:rPr>
        <w:t>2.1-1</w:t>
      </w:r>
      <w:r>
        <w:rPr>
          <w:rFonts w:hint="eastAsia" w:ascii="仿宋" w:hAnsi="仿宋" w:eastAsia="仿宋"/>
          <w:b/>
          <w:sz w:val="21"/>
        </w:rPr>
        <w:t>建筑概况表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095"/>
      </w:tblGrid>
      <w:tr w14:paraId="36A2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60B1307B">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工程名称</w:t>
            </w:r>
          </w:p>
        </w:tc>
        <w:tc>
          <w:tcPr>
            <w:tcW w:w="6095" w:type="dxa"/>
            <w:noWrap w:val="0"/>
            <w:vAlign w:val="center"/>
          </w:tcPr>
          <w:p w14:paraId="0E16E886">
            <w:pPr>
              <w:tabs>
                <w:tab w:val="left" w:pos="2100"/>
              </w:tabs>
              <w:adjustRightInd w:val="0"/>
              <w:snapToGrid w:val="0"/>
              <w:spacing w:line="460" w:lineRule="exact"/>
              <w:ind w:firstLine="480" w:firstLineChars="200"/>
              <w:jc w:val="left"/>
              <w:rPr>
                <w:rFonts w:hint="default" w:ascii="仿宋" w:hAnsi="仿宋" w:eastAsia="仿宋" w:cs="宋体"/>
                <w:lang w:val="en-US" w:eastAsia="zh-CN"/>
              </w:rPr>
            </w:pPr>
            <w:r>
              <w:rPr>
                <w:rFonts w:hint="eastAsia" w:ascii="仿宋" w:hAnsi="仿宋" w:eastAsia="仿宋" w:cs="宋体"/>
                <w:lang w:val="en-US" w:eastAsia="zh-CN"/>
              </w:rPr>
              <w:t>彭州市龙兴寺片区 PZ2024-16 地块商住建设项目</w:t>
            </w:r>
          </w:p>
        </w:tc>
      </w:tr>
      <w:tr w14:paraId="6931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11BF68D2">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工程地点</w:t>
            </w:r>
          </w:p>
        </w:tc>
        <w:tc>
          <w:tcPr>
            <w:tcW w:w="6095" w:type="dxa"/>
            <w:noWrap w:val="0"/>
            <w:vAlign w:val="center"/>
          </w:tcPr>
          <w:p w14:paraId="2B855319">
            <w:pPr>
              <w:tabs>
                <w:tab w:val="left" w:pos="2100"/>
              </w:tabs>
              <w:adjustRightInd w:val="0"/>
              <w:snapToGrid w:val="0"/>
              <w:spacing w:line="460" w:lineRule="exact"/>
              <w:ind w:firstLine="480" w:firstLineChars="200"/>
              <w:jc w:val="left"/>
              <w:rPr>
                <w:rFonts w:hint="eastAsia" w:ascii="仿宋" w:hAnsi="仿宋" w:eastAsia="仿宋" w:cs="宋体"/>
                <w:lang w:val="en-US" w:eastAsia="zh-CN"/>
              </w:rPr>
            </w:pPr>
            <w:r>
              <w:rPr>
                <w:rFonts w:hint="eastAsia" w:ascii="仿宋" w:hAnsi="仿宋" w:eastAsia="仿宋" w:cs="宋体"/>
                <w:lang w:val="en-US" w:eastAsia="zh-CN"/>
              </w:rPr>
              <w:t>成都市彭州区</w:t>
            </w:r>
          </w:p>
        </w:tc>
      </w:tr>
      <w:tr w14:paraId="3EBA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6C45BB4E">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建设单位</w:t>
            </w:r>
          </w:p>
        </w:tc>
        <w:tc>
          <w:tcPr>
            <w:tcW w:w="6095" w:type="dxa"/>
            <w:noWrap w:val="0"/>
            <w:vAlign w:val="center"/>
          </w:tcPr>
          <w:p w14:paraId="4454CE67">
            <w:pPr>
              <w:tabs>
                <w:tab w:val="left" w:pos="2100"/>
              </w:tabs>
              <w:adjustRightInd w:val="0"/>
              <w:snapToGrid w:val="0"/>
              <w:spacing w:line="460" w:lineRule="exact"/>
              <w:ind w:firstLine="480" w:firstLineChars="200"/>
              <w:jc w:val="left"/>
              <w:rPr>
                <w:rFonts w:hint="eastAsia" w:ascii="仿宋" w:hAnsi="仿宋" w:eastAsia="仿宋" w:cs="宋体"/>
                <w:lang w:val="en-US" w:eastAsia="zh-CN"/>
              </w:rPr>
            </w:pPr>
            <w:r>
              <w:rPr>
                <w:rFonts w:hint="eastAsia" w:ascii="仿宋" w:hAnsi="仿宋" w:eastAsia="仿宋" w:cs="宋体"/>
                <w:lang w:val="en-US" w:eastAsia="zh-CN"/>
              </w:rPr>
              <w:t>成都中宜蓉彭置业有限公司</w:t>
            </w:r>
          </w:p>
        </w:tc>
      </w:tr>
      <w:tr w14:paraId="550B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15C561BD">
            <w:pPr>
              <w:pStyle w:val="47"/>
              <w:spacing w:line="360" w:lineRule="auto"/>
              <w:ind w:firstLine="0" w:firstLineChars="0"/>
              <w:jc w:val="center"/>
              <w:rPr>
                <w:rFonts w:hint="default" w:eastAsia="仿宋"/>
                <w:b w:val="0"/>
                <w:bCs/>
                <w:sz w:val="24"/>
                <w:szCs w:val="24"/>
                <w:lang w:val="en-US" w:eastAsia="zh-CN"/>
              </w:rPr>
            </w:pPr>
            <w:r>
              <w:rPr>
                <w:rFonts w:hint="eastAsia" w:eastAsia="仿宋"/>
                <w:b w:val="0"/>
                <w:bCs/>
                <w:sz w:val="24"/>
                <w:szCs w:val="24"/>
                <w:lang w:val="en-US" w:eastAsia="zh-CN"/>
              </w:rPr>
              <w:t>监理单位</w:t>
            </w:r>
          </w:p>
        </w:tc>
        <w:tc>
          <w:tcPr>
            <w:tcW w:w="6095" w:type="dxa"/>
            <w:noWrap w:val="0"/>
            <w:vAlign w:val="center"/>
          </w:tcPr>
          <w:p w14:paraId="07F04F5E">
            <w:pPr>
              <w:tabs>
                <w:tab w:val="left" w:pos="2100"/>
              </w:tabs>
              <w:adjustRightInd w:val="0"/>
              <w:snapToGrid w:val="0"/>
              <w:spacing w:line="460" w:lineRule="exact"/>
              <w:ind w:firstLine="480" w:firstLineChars="200"/>
              <w:jc w:val="left"/>
              <w:rPr>
                <w:rFonts w:hint="eastAsia" w:ascii="仿宋" w:hAnsi="仿宋" w:eastAsia="仿宋" w:cs="宋体"/>
                <w:lang w:val="en-US" w:eastAsia="zh-CN"/>
              </w:rPr>
            </w:pPr>
            <w:r>
              <w:rPr>
                <w:rFonts w:hint="eastAsia" w:ascii="仿宋" w:hAnsi="仿宋" w:eastAsia="仿宋" w:cs="宋体"/>
                <w:lang w:val="en-US" w:eastAsia="zh-CN"/>
              </w:rPr>
              <w:t>四川省城市建设工程咨询集团有限公司</w:t>
            </w:r>
          </w:p>
        </w:tc>
      </w:tr>
      <w:tr w14:paraId="39CA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4A2ECA7F">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施工单位</w:t>
            </w:r>
          </w:p>
        </w:tc>
        <w:tc>
          <w:tcPr>
            <w:tcW w:w="6095" w:type="dxa"/>
            <w:noWrap w:val="0"/>
            <w:vAlign w:val="center"/>
          </w:tcPr>
          <w:p w14:paraId="60C7F2B8">
            <w:pPr>
              <w:tabs>
                <w:tab w:val="left" w:pos="2100"/>
              </w:tabs>
              <w:adjustRightInd w:val="0"/>
              <w:snapToGrid w:val="0"/>
              <w:spacing w:line="460" w:lineRule="exact"/>
              <w:ind w:firstLine="480" w:firstLineChars="200"/>
              <w:jc w:val="left"/>
              <w:rPr>
                <w:rFonts w:hint="eastAsia" w:ascii="仿宋" w:hAnsi="仿宋" w:eastAsia="仿宋" w:cs="宋体"/>
                <w:lang w:val="en-US" w:eastAsia="zh-CN"/>
              </w:rPr>
            </w:pPr>
            <w:r>
              <w:rPr>
                <w:rFonts w:hint="eastAsia" w:ascii="仿宋" w:hAnsi="仿宋" w:eastAsia="仿宋" w:cs="宋体"/>
                <w:lang w:val="en-US" w:eastAsia="zh-CN"/>
              </w:rPr>
              <w:t>中交第二航务工程局有限公司</w:t>
            </w:r>
          </w:p>
        </w:tc>
      </w:tr>
      <w:tr w14:paraId="318B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2E8C04E4">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质量要求</w:t>
            </w:r>
          </w:p>
        </w:tc>
        <w:tc>
          <w:tcPr>
            <w:tcW w:w="6095" w:type="dxa"/>
            <w:noWrap w:val="0"/>
            <w:vAlign w:val="center"/>
          </w:tcPr>
          <w:p w14:paraId="4069FF97">
            <w:pPr>
              <w:keepNext w:val="0"/>
              <w:keepLines w:val="0"/>
              <w:pageBreakBefore w:val="0"/>
              <w:widowControl w:val="0"/>
              <w:tabs>
                <w:tab w:val="left" w:pos="2100"/>
              </w:tabs>
              <w:kinsoku/>
              <w:wordWrap/>
              <w:overflowPunct/>
              <w:topLinePunct w:val="0"/>
              <w:autoSpaceDE/>
              <w:autoSpaceDN/>
              <w:bidi w:val="0"/>
              <w:adjustRightInd w:val="0"/>
              <w:snapToGrid w:val="0"/>
              <w:spacing w:line="460" w:lineRule="exact"/>
              <w:ind w:left="0" w:leftChars="0" w:firstLine="0" w:firstLineChars="0"/>
              <w:jc w:val="center"/>
              <w:textAlignment w:val="auto"/>
              <w:rPr>
                <w:rFonts w:hint="eastAsia" w:eastAsia="仿宋"/>
                <w:b w:val="0"/>
                <w:bCs/>
                <w:sz w:val="24"/>
                <w:szCs w:val="24"/>
                <w:lang w:val="en-US" w:eastAsia="zh-CN"/>
              </w:rPr>
            </w:pPr>
            <w:r>
              <w:rPr>
                <w:rFonts w:hint="eastAsia" w:ascii="仿宋" w:hAnsi="仿宋" w:eastAsia="仿宋" w:cs="宋体"/>
                <w:lang w:val="en-US" w:eastAsia="zh-CN"/>
              </w:rPr>
              <w:t>所有单体项目的分项分部工程合格率100%，一次性交验合格率100%，自评、监理、建设单位评定工程质量优良</w:t>
            </w:r>
          </w:p>
        </w:tc>
      </w:tr>
      <w:tr w14:paraId="282A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284554F9">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安全、环境要求</w:t>
            </w:r>
          </w:p>
        </w:tc>
        <w:tc>
          <w:tcPr>
            <w:tcW w:w="6095" w:type="dxa"/>
            <w:noWrap w:val="0"/>
            <w:vAlign w:val="center"/>
          </w:tcPr>
          <w:p w14:paraId="71F46365">
            <w:pPr>
              <w:keepNext w:val="0"/>
              <w:keepLines w:val="0"/>
              <w:pageBreakBefore w:val="0"/>
              <w:widowControl w:val="0"/>
              <w:tabs>
                <w:tab w:val="left" w:pos="2100"/>
              </w:tabs>
              <w:kinsoku/>
              <w:wordWrap/>
              <w:overflowPunct/>
              <w:topLinePunct w:val="0"/>
              <w:autoSpaceDE/>
              <w:autoSpaceDN/>
              <w:bidi w:val="0"/>
              <w:adjustRightInd w:val="0"/>
              <w:snapToGrid w:val="0"/>
              <w:spacing w:line="460" w:lineRule="exact"/>
              <w:ind w:left="0" w:leftChars="0" w:firstLine="0" w:firstLineChars="0"/>
              <w:jc w:val="center"/>
              <w:textAlignment w:val="auto"/>
              <w:rPr>
                <w:rFonts w:hint="eastAsia" w:eastAsia="仿宋"/>
                <w:b w:val="0"/>
                <w:bCs/>
                <w:sz w:val="24"/>
                <w:szCs w:val="24"/>
                <w:lang w:val="en-US" w:eastAsia="zh-CN"/>
              </w:rPr>
            </w:pPr>
            <w:r>
              <w:rPr>
                <w:rFonts w:hint="eastAsia" w:ascii="仿宋" w:hAnsi="仿宋" w:eastAsia="仿宋" w:cs="宋体"/>
                <w:lang w:val="en-US" w:eastAsia="zh-CN"/>
              </w:rPr>
              <w:t>死亡事故为零；重大设备、火灾、爆炸事故为零；重伤事故为零；做好环境保护，确保环保不扣分。</w:t>
            </w:r>
          </w:p>
        </w:tc>
      </w:tr>
      <w:bookmarkEnd w:id="48"/>
    </w:tbl>
    <w:p w14:paraId="29D01352">
      <w:pPr>
        <w:pStyle w:val="3"/>
        <w:spacing w:before="156" w:after="156"/>
        <w:ind w:left="480" w:leftChars="0" w:firstLineChars="0"/>
        <w:rPr>
          <w:rFonts w:hint="eastAsia"/>
          <w:color w:val="auto"/>
          <w:lang w:eastAsia="zh-CN"/>
        </w:rPr>
      </w:pPr>
      <w:bookmarkStart w:id="49" w:name="_Toc21707"/>
      <w:bookmarkStart w:id="50" w:name="_Toc24090"/>
      <w:bookmarkStart w:id="51" w:name="_Toc40778423"/>
      <w:bookmarkStart w:id="52" w:name="_Toc18239"/>
      <w:r>
        <w:rPr>
          <w:rFonts w:hint="eastAsia"/>
          <w:color w:val="auto"/>
          <w:lang w:eastAsia="zh-CN"/>
        </w:rPr>
        <w:t>工程特点</w:t>
      </w:r>
      <w:bookmarkEnd w:id="49"/>
    </w:p>
    <w:p w14:paraId="321626B6">
      <w:pPr>
        <w:numPr>
          <w:ilvl w:val="0"/>
          <w:numId w:val="6"/>
        </w:numPr>
        <w:ind w:left="240" w:leftChars="0" w:firstLine="480" w:firstLineChars="0"/>
        <w:rPr>
          <w:color w:val="auto"/>
        </w:rPr>
      </w:pPr>
      <w:r>
        <w:rPr>
          <w:rFonts w:hint="eastAsia"/>
          <w:color w:val="auto"/>
        </w:rPr>
        <w:t>施工周边环境影响：</w:t>
      </w:r>
      <w:r>
        <w:rPr>
          <w:rFonts w:hint="eastAsia"/>
          <w:color w:val="auto"/>
          <w:lang w:eastAsia="zh-CN"/>
        </w:rPr>
        <w:t>施工环境良好，周边无建筑物，可保证塔机拆除顺利进行；</w:t>
      </w:r>
    </w:p>
    <w:p w14:paraId="0C5177CE">
      <w:pPr>
        <w:numPr>
          <w:ilvl w:val="0"/>
          <w:numId w:val="6"/>
        </w:numPr>
        <w:ind w:left="240" w:leftChars="0" w:firstLine="48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工程主要风险点：</w:t>
      </w:r>
      <w:r>
        <w:rPr>
          <w:rFonts w:hint="eastAsia" w:ascii="Times New Roman" w:hAnsi="Times New Roman" w:eastAsia="宋体" w:cs="Times New Roman"/>
          <w:color w:val="auto"/>
          <w:lang w:eastAsia="zh-CN"/>
        </w:rPr>
        <w:t>该工程安装了</w:t>
      </w:r>
      <w:r>
        <w:rPr>
          <w:rFonts w:hint="eastAsia" w:ascii="Times New Roman" w:hAnsi="Times New Roman" w:eastAsia="宋体" w:cs="Times New Roman"/>
          <w:color w:val="auto"/>
          <w:lang w:val="en-US" w:eastAsia="zh-CN"/>
        </w:rPr>
        <w:t>三</w:t>
      </w:r>
      <w:r>
        <w:rPr>
          <w:rFonts w:hint="eastAsia" w:ascii="Times New Roman" w:hAnsi="Times New Roman" w:eastAsia="宋体" w:cs="Times New Roman"/>
          <w:color w:val="auto"/>
          <w:lang w:eastAsia="zh-CN"/>
        </w:rPr>
        <w:t>台塔机</w:t>
      </w:r>
      <w:r>
        <w:rPr>
          <w:rFonts w:hint="eastAsia" w:cs="Times New Roman"/>
          <w:color w:val="auto"/>
          <w:lang w:val="en-US" w:eastAsia="zh-CN"/>
        </w:rPr>
        <w:t>,三</w:t>
      </w:r>
      <w:r>
        <w:rPr>
          <w:rFonts w:hint="eastAsia" w:ascii="Times New Roman" w:hAnsi="Times New Roman" w:eastAsia="宋体" w:cs="Times New Roman"/>
          <w:color w:val="auto"/>
          <w:lang w:val="en-US" w:eastAsia="zh-CN"/>
        </w:rPr>
        <w:t>台</w:t>
      </w:r>
      <w:r>
        <w:rPr>
          <w:rFonts w:hint="eastAsia" w:ascii="Times New Roman" w:hAnsi="Times New Roman" w:eastAsia="宋体" w:cs="Times New Roman"/>
          <w:color w:val="auto"/>
          <w:lang w:eastAsia="zh-CN"/>
        </w:rPr>
        <w:t>塔机之间会有交汇</w:t>
      </w:r>
      <w:r>
        <w:rPr>
          <w:rFonts w:hint="eastAsia" w:ascii="Times New Roman" w:hAnsi="Times New Roman" w:eastAsia="宋体" w:cs="Times New Roman"/>
          <w:color w:val="auto"/>
        </w:rPr>
        <w:t>；</w:t>
      </w:r>
    </w:p>
    <w:p w14:paraId="3A0DCAD1">
      <w:pPr>
        <w:numPr>
          <w:ilvl w:val="0"/>
          <w:numId w:val="6"/>
        </w:numPr>
        <w:ind w:left="240" w:leftChars="0" w:firstLine="480" w:firstLineChars="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重难点：</w:t>
      </w:r>
      <w:r>
        <w:rPr>
          <w:rFonts w:hint="eastAsia" w:ascii="Times New Roman" w:hAnsi="Times New Roman" w:eastAsia="宋体" w:cs="Times New Roman"/>
          <w:color w:val="auto"/>
          <w:lang w:eastAsia="zh-CN"/>
        </w:rPr>
        <w:t>由于塔机安装密集，属多塔作业，所以在塔机的使用安装过程中必须根据现场的实际情况作调整，严格按照多塔作业的要求进行施工。</w:t>
      </w:r>
    </w:p>
    <w:p w14:paraId="38C46CDA">
      <w:pPr>
        <w:numPr>
          <w:ilvl w:val="0"/>
          <w:numId w:val="6"/>
        </w:numPr>
        <w:ind w:left="240" w:leftChars="0" w:firstLine="480" w:firstLineChars="0"/>
        <w:rPr>
          <w:rFonts w:hint="eastAsia" w:ascii="Times New Roman" w:hAnsi="Times New Roman" w:eastAsia="宋体" w:cs="Times New Roman"/>
          <w:color w:val="auto"/>
        </w:rPr>
      </w:pPr>
      <w:r>
        <w:rPr>
          <w:rFonts w:hint="eastAsia" w:cs="Times New Roman"/>
          <w:color w:val="auto"/>
          <w:lang w:val="en-US" w:eastAsia="zh-CN"/>
        </w:rPr>
        <w:t>作业</w:t>
      </w:r>
      <w:r>
        <w:rPr>
          <w:rFonts w:hint="eastAsia" w:ascii="Times New Roman" w:hAnsi="Times New Roman" w:eastAsia="宋体" w:cs="Times New Roman"/>
          <w:color w:val="auto"/>
        </w:rPr>
        <w:t>场地位置，由于塔式起重机部件比较重，</w:t>
      </w:r>
      <w:r>
        <w:rPr>
          <w:rFonts w:hint="eastAsia" w:cs="Times New Roman"/>
          <w:color w:val="auto"/>
          <w:lang w:val="en-US" w:eastAsia="zh-CN"/>
        </w:rPr>
        <w:t>作业</w:t>
      </w:r>
      <w:r>
        <w:rPr>
          <w:rFonts w:hint="eastAsia" w:ascii="Times New Roman" w:hAnsi="Times New Roman" w:eastAsia="宋体" w:cs="Times New Roman"/>
          <w:color w:val="auto"/>
        </w:rPr>
        <w:t>时需选用</w:t>
      </w:r>
      <w:r>
        <w:rPr>
          <w:rFonts w:hint="eastAsia" w:cs="Times New Roman"/>
          <w:color w:val="auto"/>
          <w:lang w:eastAsia="zh-CN"/>
        </w:rPr>
        <w:t>XGT6015-8S1</w:t>
      </w:r>
      <w:r>
        <w:rPr>
          <w:rFonts w:hint="eastAsia" w:cs="Times New Roman"/>
          <w:color w:val="auto"/>
          <w:lang w:val="en-US" w:eastAsia="zh-CN"/>
        </w:rPr>
        <w:t>塔式起重机</w:t>
      </w:r>
      <w:r>
        <w:rPr>
          <w:rFonts w:hint="eastAsia" w:ascii="Times New Roman" w:hAnsi="Times New Roman" w:eastAsia="宋体" w:cs="Times New Roman"/>
          <w:color w:val="auto"/>
        </w:rPr>
        <w:t>吊装作业，在起重臂</w:t>
      </w:r>
      <w:r>
        <w:rPr>
          <w:rFonts w:hint="eastAsia" w:cs="Times New Roman"/>
          <w:color w:val="auto"/>
          <w:lang w:val="en-US" w:eastAsia="zh-CN"/>
        </w:rPr>
        <w:t>拆除</w:t>
      </w:r>
      <w:r>
        <w:rPr>
          <w:rFonts w:hint="eastAsia" w:ascii="Times New Roman" w:hAnsi="Times New Roman" w:eastAsia="宋体" w:cs="Times New Roman"/>
          <w:color w:val="auto"/>
        </w:rPr>
        <w:t>就位时难度较大，安全风险</w:t>
      </w:r>
      <w:r>
        <w:rPr>
          <w:rFonts w:hint="eastAsia" w:ascii="Times New Roman" w:hAnsi="Times New Roman" w:eastAsia="宋体" w:cs="Times New Roman"/>
          <w:color w:val="auto"/>
          <w:lang w:val="en-US" w:eastAsia="zh-CN"/>
        </w:rPr>
        <w:t>较</w:t>
      </w:r>
      <w:r>
        <w:rPr>
          <w:rFonts w:hint="eastAsia" w:ascii="Times New Roman" w:hAnsi="Times New Roman" w:eastAsia="宋体" w:cs="Times New Roman"/>
          <w:color w:val="auto"/>
        </w:rPr>
        <w:t>高，所以在</w:t>
      </w:r>
      <w:r>
        <w:rPr>
          <w:rFonts w:hint="eastAsia" w:cs="Times New Roman"/>
          <w:color w:val="auto"/>
          <w:lang w:val="en-US" w:eastAsia="zh-CN"/>
        </w:rPr>
        <w:t>拆除</w:t>
      </w:r>
      <w:r>
        <w:rPr>
          <w:rFonts w:hint="eastAsia" w:ascii="Times New Roman" w:hAnsi="Times New Roman" w:eastAsia="宋体" w:cs="Times New Roman"/>
          <w:color w:val="auto"/>
        </w:rPr>
        <w:t>起重臂时必须系上揽风绳。</w:t>
      </w:r>
    </w:p>
    <w:p w14:paraId="6F4BAB76">
      <w:pPr>
        <w:pStyle w:val="3"/>
        <w:spacing w:before="156" w:after="156"/>
        <w:ind w:left="480" w:leftChars="0" w:firstLineChars="0"/>
        <w:rPr>
          <w:color w:val="auto"/>
        </w:rPr>
      </w:pPr>
      <w:bookmarkStart w:id="53" w:name="_Toc30161"/>
      <w:r>
        <w:rPr>
          <w:rFonts w:hint="eastAsia"/>
          <w:color w:val="auto"/>
        </w:rPr>
        <w:t>施工平面布置</w:t>
      </w:r>
      <w:bookmarkEnd w:id="50"/>
      <w:bookmarkEnd w:id="51"/>
      <w:bookmarkEnd w:id="52"/>
      <w:bookmarkEnd w:id="53"/>
    </w:p>
    <w:p w14:paraId="6A4F1A9E">
      <w:pPr>
        <w:ind w:firstLine="480"/>
        <w:rPr>
          <w:rFonts w:hint="eastAsia"/>
          <w:color w:val="auto"/>
          <w:lang w:val="en-US" w:eastAsia="zh-CN"/>
        </w:rPr>
      </w:pPr>
      <w:r>
        <w:rPr>
          <w:rFonts w:hint="eastAsia"/>
          <w:color w:val="auto"/>
          <w:lang w:eastAsia="zh-CN"/>
        </w:rPr>
        <w:t>根据该工程施工组织设计要求，</w:t>
      </w:r>
      <w:r>
        <w:rPr>
          <w:rFonts w:hint="eastAsia"/>
          <w:color w:val="auto"/>
          <w:lang w:val="en-US" w:eastAsia="zh-CN"/>
        </w:rPr>
        <w:t>2#</w:t>
      </w:r>
      <w:r>
        <w:rPr>
          <w:rFonts w:hint="eastAsia"/>
          <w:color w:val="auto"/>
          <w:lang w:eastAsia="zh-CN"/>
        </w:rPr>
        <w:t>塔吊平面布置</w:t>
      </w:r>
      <w:r>
        <w:rPr>
          <w:rFonts w:hint="eastAsia"/>
          <w:color w:val="auto"/>
          <w:lang w:val="en-US" w:eastAsia="zh-CN"/>
        </w:rPr>
        <w:t>如下图。</w:t>
      </w:r>
    </w:p>
    <w:p w14:paraId="14067896">
      <w:pPr>
        <w:pStyle w:val="30"/>
        <w:jc w:val="center"/>
        <w:rPr>
          <w:rFonts w:hint="eastAsia"/>
          <w:color w:val="auto"/>
          <w:lang w:val="en-US" w:eastAsia="zh-CN"/>
        </w:rPr>
      </w:pPr>
      <w:r>
        <w:drawing>
          <wp:inline distT="0" distB="0" distL="114300" distR="114300">
            <wp:extent cx="5692775" cy="3918585"/>
            <wp:effectExtent l="0" t="0" r="3175" b="571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3"/>
                    <a:stretch>
                      <a:fillRect/>
                    </a:stretch>
                  </pic:blipFill>
                  <pic:spPr>
                    <a:xfrm>
                      <a:off x="0" y="0"/>
                      <a:ext cx="5692775" cy="3918585"/>
                    </a:xfrm>
                    <a:prstGeom prst="rect">
                      <a:avLst/>
                    </a:prstGeom>
                    <a:noFill/>
                    <a:ln>
                      <a:noFill/>
                    </a:ln>
                  </pic:spPr>
                </pic:pic>
              </a:graphicData>
            </a:graphic>
          </wp:inline>
        </w:drawing>
      </w:r>
    </w:p>
    <w:p w14:paraId="390014B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s="宋体"/>
          <w:b/>
          <w:bCs/>
          <w:color w:val="auto"/>
          <w:sz w:val="21"/>
        </w:rPr>
      </w:pPr>
      <w:r>
        <w:rPr>
          <w:rFonts w:hint="eastAsia" w:ascii="宋体" w:hAnsi="宋体" w:cs="宋体"/>
          <w:b/>
          <w:bCs/>
          <w:color w:val="auto"/>
          <w:sz w:val="21"/>
        </w:rPr>
        <w:t>图2.3-1</w:t>
      </w:r>
      <w:r>
        <w:rPr>
          <w:rFonts w:hint="eastAsia" w:ascii="宋体" w:hAnsi="宋体" w:cs="宋体"/>
          <w:b/>
          <w:bCs/>
          <w:color w:val="auto"/>
          <w:sz w:val="21"/>
          <w:lang w:val="en-US" w:eastAsia="zh-CN"/>
        </w:rPr>
        <w:t xml:space="preserve"> </w:t>
      </w:r>
      <w:r>
        <w:rPr>
          <w:rFonts w:hint="eastAsia" w:ascii="宋体" w:hAnsi="宋体" w:cs="宋体"/>
          <w:b/>
          <w:bCs/>
          <w:color w:val="auto"/>
          <w:sz w:val="21"/>
        </w:rPr>
        <w:t>塔吊平面布置图</w:t>
      </w:r>
    </w:p>
    <w:p w14:paraId="26F444F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
          <w:bCs/>
          <w:spacing w:val="4"/>
          <w:lang w:eastAsia="zh-CN"/>
        </w:rPr>
      </w:pPr>
      <w:r>
        <w:rPr>
          <w:rFonts w:hint="eastAsia" w:eastAsia="宋体"/>
          <w:b/>
          <w:bCs/>
          <w:spacing w:val="4"/>
          <w:lang w:eastAsia="zh-CN"/>
        </w:rPr>
        <w:drawing>
          <wp:inline distT="0" distB="0" distL="114300" distR="114300">
            <wp:extent cx="5688330" cy="1369695"/>
            <wp:effectExtent l="0" t="0" r="0" b="0"/>
            <wp:docPr id="1" name="图片 1" descr="彭州市PZ2024-16地块住宅项目二期塔机布置方案（20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彭州市PZ2024-16地块住宅项目二期塔机布置方案（2025_1"/>
                    <pic:cNvPicPr>
                      <a:picLocks noChangeAspect="1"/>
                    </pic:cNvPicPr>
                  </pic:nvPicPr>
                  <pic:blipFill>
                    <a:blip r:embed="rId24"/>
                    <a:srcRect t="33418" b="32517"/>
                    <a:stretch>
                      <a:fillRect/>
                    </a:stretch>
                  </pic:blipFill>
                  <pic:spPr>
                    <a:xfrm>
                      <a:off x="0" y="0"/>
                      <a:ext cx="5688330" cy="1369695"/>
                    </a:xfrm>
                    <a:prstGeom prst="rect">
                      <a:avLst/>
                    </a:prstGeom>
                  </pic:spPr>
                </pic:pic>
              </a:graphicData>
            </a:graphic>
          </wp:inline>
        </w:drawing>
      </w:r>
    </w:p>
    <w:p w14:paraId="21520002">
      <w:pPr>
        <w:bidi w:val="0"/>
        <w:jc w:val="center"/>
        <w:rPr>
          <w:rFonts w:hint="eastAsia"/>
          <w:lang w:val="en-US" w:eastAsia="zh-CN"/>
        </w:rPr>
      </w:pPr>
      <w:r>
        <w:rPr>
          <w:rFonts w:hint="eastAsia" w:ascii="宋体" w:hAnsi="宋体" w:cs="宋体"/>
          <w:b/>
          <w:bCs/>
          <w:color w:val="auto"/>
          <w:sz w:val="21"/>
        </w:rPr>
        <w:t>图2.3-</w:t>
      </w:r>
      <w:r>
        <w:rPr>
          <w:rFonts w:hint="eastAsia" w:ascii="宋体" w:hAnsi="宋体" w:cs="宋体"/>
          <w:b/>
          <w:bCs/>
          <w:color w:val="auto"/>
          <w:sz w:val="21"/>
          <w:lang w:val="en-US" w:eastAsia="zh-CN"/>
        </w:rPr>
        <w:t>2</w:t>
      </w:r>
      <w:r>
        <w:rPr>
          <w:rFonts w:hint="eastAsia" w:ascii="宋体" w:hAnsi="宋体" w:cs="宋体"/>
          <w:b/>
          <w:bCs/>
          <w:color w:val="auto"/>
          <w:sz w:val="21"/>
        </w:rPr>
        <w:t>塔吊</w:t>
      </w:r>
      <w:r>
        <w:rPr>
          <w:rFonts w:hint="eastAsia" w:ascii="宋体" w:hAnsi="宋体" w:cs="宋体"/>
          <w:b/>
          <w:bCs/>
          <w:color w:val="auto"/>
          <w:sz w:val="21"/>
          <w:lang w:val="en-US" w:eastAsia="zh-CN"/>
        </w:rPr>
        <w:t>立</w:t>
      </w:r>
      <w:r>
        <w:rPr>
          <w:rFonts w:hint="eastAsia" w:ascii="宋体" w:hAnsi="宋体" w:cs="宋体"/>
          <w:b/>
          <w:bCs/>
          <w:color w:val="auto"/>
          <w:sz w:val="21"/>
        </w:rPr>
        <w:t>面布置图</w:t>
      </w:r>
    </w:p>
    <w:p w14:paraId="22CA54D1">
      <w:pPr>
        <w:pStyle w:val="3"/>
        <w:spacing w:before="156" w:after="156"/>
        <w:ind w:left="480" w:leftChars="0" w:firstLineChars="0"/>
        <w:rPr>
          <w:color w:val="auto"/>
        </w:rPr>
      </w:pPr>
      <w:bookmarkStart w:id="54" w:name="_Toc40778424"/>
      <w:bookmarkStart w:id="55" w:name="_Toc13716"/>
      <w:bookmarkStart w:id="56" w:name="_Toc933"/>
      <w:bookmarkStart w:id="57" w:name="_Toc29202"/>
      <w:r>
        <w:rPr>
          <w:rFonts w:hint="eastAsia"/>
          <w:color w:val="auto"/>
        </w:rPr>
        <w:t>施工要求</w:t>
      </w:r>
      <w:bookmarkEnd w:id="54"/>
      <w:bookmarkEnd w:id="55"/>
      <w:bookmarkEnd w:id="56"/>
      <w:bookmarkEnd w:id="57"/>
    </w:p>
    <w:p w14:paraId="124C2B0E">
      <w:pPr>
        <w:pStyle w:val="48"/>
        <w:ind w:firstLine="480"/>
        <w:rPr>
          <w:rFonts w:hint="eastAsia" w:ascii="Times New Roman" w:hAnsi="Times New Roman" w:eastAsia="宋体" w:cs="Times New Roman"/>
          <w:color w:val="auto"/>
          <w:kern w:val="2"/>
          <w:lang w:eastAsia="zh-CN"/>
        </w:rPr>
      </w:pPr>
      <w:bookmarkStart w:id="58" w:name="_Hlk109141060"/>
      <w:bookmarkStart w:id="59" w:name="_Toc40778425"/>
      <w:bookmarkStart w:id="60" w:name="_Toc3182"/>
      <w:r>
        <w:rPr>
          <w:rFonts w:hint="eastAsia" w:ascii="Times New Roman" w:hAnsi="Times New Roman" w:cs="Times New Roman"/>
          <w:color w:val="auto"/>
          <w:kern w:val="2"/>
        </w:rPr>
        <w:t>（1）严格贯彻“安全第一”的原则，针对风险细化安全技术措施，预防和杜绝安全事故的发生</w:t>
      </w:r>
      <w:r>
        <w:rPr>
          <w:rFonts w:hint="eastAsia" w:ascii="Times New Roman" w:hAnsi="Times New Roman" w:cs="Times New Roman"/>
          <w:color w:val="auto"/>
          <w:kern w:val="2"/>
          <w:lang w:eastAsia="zh-CN"/>
        </w:rPr>
        <w:t>。</w:t>
      </w:r>
    </w:p>
    <w:p w14:paraId="58F239B5">
      <w:pPr>
        <w:pStyle w:val="48"/>
        <w:ind w:firstLine="480"/>
        <w:rPr>
          <w:rFonts w:hint="eastAsia" w:ascii="Times New Roman" w:hAnsi="Times New Roman" w:eastAsia="宋体" w:cs="Times New Roman"/>
          <w:color w:val="auto"/>
          <w:kern w:val="2"/>
          <w:lang w:eastAsia="zh-CN"/>
        </w:rPr>
      </w:pPr>
      <w:r>
        <w:rPr>
          <w:rFonts w:hint="eastAsia" w:ascii="Times New Roman" w:hAnsi="Times New Roman" w:cs="Times New Roman"/>
          <w:color w:val="auto"/>
          <w:kern w:val="2"/>
        </w:rPr>
        <w:t>（2）严格按照ISO9001标准质量体系质量程序控制原则，实施</w:t>
      </w:r>
      <w:r>
        <w:rPr>
          <w:rFonts w:hint="eastAsia" w:ascii="Times New Roman" w:hAnsi="Times New Roman" w:cs="Times New Roman"/>
          <w:color w:val="auto"/>
          <w:kern w:val="2"/>
          <w:lang w:val="en-US" w:eastAsia="zh-CN"/>
        </w:rPr>
        <w:t>施工</w:t>
      </w:r>
      <w:r>
        <w:rPr>
          <w:rFonts w:hint="eastAsia" w:ascii="Times New Roman" w:hAnsi="Times New Roman" w:cs="Times New Roman"/>
          <w:color w:val="auto"/>
          <w:kern w:val="2"/>
        </w:rPr>
        <w:t>过程动态管理</w:t>
      </w:r>
      <w:r>
        <w:rPr>
          <w:rFonts w:hint="eastAsia" w:ascii="Times New Roman" w:hAnsi="Times New Roman" w:cs="Times New Roman"/>
          <w:color w:val="auto"/>
          <w:kern w:val="2"/>
          <w:lang w:eastAsia="zh-CN"/>
        </w:rPr>
        <w:t>。</w:t>
      </w:r>
    </w:p>
    <w:p w14:paraId="23DC84B4">
      <w:pPr>
        <w:pStyle w:val="48"/>
        <w:ind w:firstLine="480"/>
        <w:rPr>
          <w:rFonts w:hint="eastAsia" w:ascii="Times New Roman" w:hAnsi="Times New Roman" w:eastAsia="宋体" w:cs="Times New Roman"/>
          <w:color w:val="auto"/>
          <w:kern w:val="2"/>
          <w:lang w:eastAsia="zh-CN"/>
        </w:rPr>
      </w:pPr>
      <w:r>
        <w:rPr>
          <w:rFonts w:hint="eastAsia" w:ascii="Times New Roman" w:hAnsi="Times New Roman" w:cs="Times New Roman"/>
          <w:color w:val="auto"/>
          <w:kern w:val="2"/>
        </w:rPr>
        <w:t>（3）科学合理制定</w:t>
      </w:r>
      <w:r>
        <w:rPr>
          <w:rFonts w:hint="eastAsia" w:ascii="Times New Roman" w:hAnsi="Times New Roman" w:cs="Times New Roman"/>
          <w:color w:val="auto"/>
          <w:kern w:val="2"/>
          <w:lang w:val="en-US" w:eastAsia="zh-CN"/>
        </w:rPr>
        <w:t>施工</w:t>
      </w:r>
      <w:r>
        <w:rPr>
          <w:rFonts w:hint="eastAsia" w:ascii="Times New Roman" w:hAnsi="Times New Roman" w:cs="Times New Roman"/>
          <w:color w:val="auto"/>
          <w:kern w:val="2"/>
        </w:rPr>
        <w:t>计划，提高</w:t>
      </w:r>
      <w:r>
        <w:rPr>
          <w:rFonts w:hint="eastAsia" w:ascii="Times New Roman" w:hAnsi="Times New Roman" w:cs="Times New Roman"/>
          <w:color w:val="auto"/>
          <w:kern w:val="2"/>
          <w:lang w:val="en-US" w:eastAsia="zh-CN"/>
        </w:rPr>
        <w:t>施工</w:t>
      </w:r>
      <w:r>
        <w:rPr>
          <w:rFonts w:hint="eastAsia" w:ascii="Times New Roman" w:hAnsi="Times New Roman" w:cs="Times New Roman"/>
          <w:color w:val="auto"/>
          <w:kern w:val="2"/>
        </w:rPr>
        <w:t>功效</w:t>
      </w:r>
      <w:r>
        <w:rPr>
          <w:rFonts w:hint="eastAsia" w:ascii="Times New Roman" w:hAnsi="Times New Roman" w:cs="Times New Roman"/>
          <w:color w:val="auto"/>
          <w:kern w:val="2"/>
          <w:lang w:eastAsia="zh-CN"/>
        </w:rPr>
        <w:t>。</w:t>
      </w:r>
    </w:p>
    <w:p w14:paraId="243083AD">
      <w:pPr>
        <w:pStyle w:val="48"/>
        <w:ind w:firstLine="480"/>
        <w:rPr>
          <w:rFonts w:ascii="Times New Roman" w:hAnsi="Times New Roman" w:cs="Times New Roman"/>
          <w:color w:val="auto"/>
          <w:kern w:val="2"/>
        </w:rPr>
      </w:pPr>
      <w:r>
        <w:rPr>
          <w:rFonts w:hint="eastAsia" w:ascii="Times New Roman" w:hAnsi="Times New Roman" w:cs="Times New Roman"/>
          <w:color w:val="auto"/>
          <w:kern w:val="2"/>
        </w:rPr>
        <w:t>（4）加强过程管控，合理配置</w:t>
      </w:r>
      <w:r>
        <w:rPr>
          <w:rFonts w:hint="eastAsia" w:ascii="Times New Roman" w:hAnsi="Times New Roman" w:cs="Times New Roman"/>
          <w:color w:val="auto"/>
          <w:kern w:val="2"/>
          <w:lang w:eastAsia="zh-CN"/>
        </w:rPr>
        <w:t>拆除</w:t>
      </w:r>
      <w:r>
        <w:rPr>
          <w:rFonts w:hint="eastAsia" w:ascii="Times New Roman" w:hAnsi="Times New Roman" w:cs="Times New Roman"/>
          <w:color w:val="auto"/>
          <w:kern w:val="2"/>
        </w:rPr>
        <w:t>资源，合理降低</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成本。</w:t>
      </w:r>
    </w:p>
    <w:bookmarkEnd w:id="58"/>
    <w:p w14:paraId="2E38A780">
      <w:pPr>
        <w:pStyle w:val="3"/>
        <w:spacing w:before="156" w:after="156"/>
        <w:ind w:left="480" w:leftChars="0" w:firstLineChars="0"/>
        <w:rPr>
          <w:color w:val="auto"/>
        </w:rPr>
      </w:pPr>
      <w:bookmarkStart w:id="61" w:name="_Toc15863"/>
      <w:bookmarkStart w:id="62" w:name="_Toc26042"/>
      <w:r>
        <w:rPr>
          <w:rFonts w:hint="eastAsia"/>
          <w:color w:val="auto"/>
        </w:rPr>
        <w:t>技术保证条件</w:t>
      </w:r>
      <w:bookmarkEnd w:id="59"/>
      <w:bookmarkEnd w:id="60"/>
      <w:bookmarkEnd w:id="61"/>
      <w:bookmarkEnd w:id="62"/>
    </w:p>
    <w:p w14:paraId="361A7736">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（1）全体人员必须严格遵守施工现场各项安全规章制度。</w:t>
      </w:r>
    </w:p>
    <w:p w14:paraId="59BF847F">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（2）作业之前，组织学习塔机</w:t>
      </w:r>
      <w:r>
        <w:rPr>
          <w:rFonts w:hint="eastAsia" w:ascii="宋体" w:hAnsi="宋体" w:cs="宋体"/>
          <w:color w:val="auto"/>
          <w:sz w:val="24"/>
          <w:szCs w:val="24"/>
          <w:lang w:val="en-US" w:eastAsia="zh-CN"/>
        </w:rPr>
        <w:t>作业</w:t>
      </w:r>
      <w:r>
        <w:rPr>
          <w:rFonts w:hint="eastAsia" w:ascii="宋体" w:hAnsi="宋体" w:eastAsia="宋体" w:cs="宋体"/>
          <w:color w:val="auto"/>
          <w:sz w:val="24"/>
          <w:szCs w:val="24"/>
        </w:rPr>
        <w:t>安全专项施工方案，对班组作业人员进行技术方案交底，对分项工作内容、技术要求、安全措施以及注意事项等进行单独交底。</w:t>
      </w:r>
    </w:p>
    <w:p w14:paraId="292DC69A">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（3）作业前对施工区域内杂物进行清理，并设置警戒线，严禁无关人员进入。</w:t>
      </w:r>
    </w:p>
    <w:p w14:paraId="01C07D34">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（4）施工期天气</w:t>
      </w:r>
      <w:r>
        <w:rPr>
          <w:rFonts w:hint="eastAsia" w:ascii="宋体" w:hAnsi="宋体" w:eastAsia="宋体" w:cs="宋体"/>
          <w:color w:val="auto"/>
          <w:sz w:val="24"/>
          <w:szCs w:val="24"/>
          <w:lang w:eastAsia="zh-CN"/>
        </w:rPr>
        <w:t>较冷</w:t>
      </w:r>
      <w:r>
        <w:rPr>
          <w:rFonts w:hint="eastAsia" w:ascii="宋体" w:hAnsi="宋体" w:eastAsia="宋体" w:cs="宋体"/>
          <w:color w:val="auto"/>
          <w:sz w:val="24"/>
          <w:szCs w:val="24"/>
        </w:rPr>
        <w:t>、多风，因合理安排作业时间，作业人员应注意保暖防冻；安装以及顶升操作时塔机最大安装高度处的风速≤10m/s（6级风内）。</w:t>
      </w:r>
    </w:p>
    <w:p w14:paraId="1CB65C0D">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5）作业人员必须经过培训合格，司机、起重指挥、电工及安装人员持证上岗；进入作业现场必须戴安全帽，施工人员均穿戴好安全防护用品，高空作业时系好安全带，穿防滑鞋，安全带要系牢固构件上并高挂低用，应采取防滑措施。</w:t>
      </w:r>
    </w:p>
    <w:p w14:paraId="1519EB60">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（6）作业人员必须遵守高空作业安全操作规程。</w:t>
      </w:r>
    </w:p>
    <w:p w14:paraId="12D51500">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（7）塔机标节顶升前以及起重臂吊装前，现场必须确认安全可靠方能继续作业。</w:t>
      </w:r>
    </w:p>
    <w:p w14:paraId="4E89618C">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（8）对长大物件吊点位置选择应准确，保证被吊物件平衡，起吊前应先用缆风绳把两端系牢，防止旋转、摆动和碰撞。施工人员应听从起重指挥，吊装构件应缓慢。</w:t>
      </w:r>
    </w:p>
    <w:p w14:paraId="6767F3D7">
      <w:pPr>
        <w:pStyle w:val="11"/>
        <w:pageBreakBefore w:val="0"/>
        <w:kinsoku/>
        <w:overflowPunct/>
        <w:bidi w:val="0"/>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（9）供电</w:t>
      </w:r>
      <w:r>
        <w:rPr>
          <w:rFonts w:hint="eastAsia" w:ascii="宋体" w:hAnsi="宋体" w:eastAsia="宋体" w:cs="宋体"/>
          <w:color w:val="auto"/>
          <w:sz w:val="24"/>
          <w:szCs w:val="24"/>
          <w:lang w:eastAsia="zh-CN"/>
        </w:rPr>
        <w:t>电源</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三相</w:t>
      </w:r>
      <w:r>
        <w:rPr>
          <w:rFonts w:hint="eastAsia" w:ascii="宋体" w:hAnsi="宋体" w:eastAsia="宋体" w:cs="宋体"/>
          <w:color w:val="auto"/>
          <w:sz w:val="24"/>
          <w:szCs w:val="24"/>
        </w:rPr>
        <w:t>380V±10%，频率50Hz。</w:t>
      </w:r>
      <w:r>
        <w:rPr>
          <w:rFonts w:hint="eastAsia" w:ascii="宋体" w:hAnsi="宋体" w:eastAsia="宋体" w:cs="宋体"/>
          <w:color w:val="auto"/>
          <w:sz w:val="24"/>
          <w:szCs w:val="24"/>
          <w:lang w:eastAsia="zh-CN"/>
        </w:rPr>
        <w:t>施工现场配电箱：遵循“一机一闸一漏一保“的原则，并采用专用</w:t>
      </w:r>
      <w:r>
        <w:rPr>
          <w:rFonts w:hint="eastAsia" w:ascii="宋体" w:hAnsi="宋体" w:eastAsia="宋体" w:cs="宋体"/>
          <w:color w:val="auto"/>
          <w:sz w:val="24"/>
          <w:szCs w:val="24"/>
          <w:lang w:val="en-US" w:eastAsia="zh-CN"/>
        </w:rPr>
        <w:t xml:space="preserve"> 配电箱进行供电。采用三相五线制供电电缆</w:t>
      </w:r>
    </w:p>
    <w:p w14:paraId="5102B3B9">
      <w:pPr>
        <w:pStyle w:val="11"/>
        <w:pageBreakBefore w:val="0"/>
        <w:kinsoku/>
        <w:overflowPunct/>
        <w:bidi w:val="0"/>
        <w:spacing w:line="360" w:lineRule="auto"/>
        <w:ind w:firstLine="560"/>
        <w:rPr>
          <w:rFonts w:hint="eastAsia" w:ascii="宋体" w:hAnsi="宋体" w:eastAsia="宋体" w:cs="宋体"/>
          <w:color w:val="auto"/>
          <w:sz w:val="24"/>
          <w:szCs w:val="24"/>
          <w:lang w:val="en-US" w:eastAsia="zh-CN"/>
        </w:rPr>
        <w:sectPr>
          <w:headerReference r:id="rId12" w:type="default"/>
          <w:footerReference r:id="rId13" w:type="default"/>
          <w:pgSz w:w="11906" w:h="16838"/>
          <w:pgMar w:top="1440" w:right="1134" w:bottom="1440" w:left="1797" w:header="851" w:footer="992" w:gutter="0"/>
          <w:pgNumType w:fmt="decimal" w:start="1"/>
          <w:cols w:space="720" w:num="1"/>
          <w:docGrid w:type="linesAndChars" w:linePitch="326" w:charSpace="0"/>
        </w:sectPr>
      </w:pPr>
      <w:r>
        <w:rPr>
          <w:rFonts w:hint="eastAsia" w:ascii="宋体" w:hAnsi="宋体" w:eastAsia="宋体" w:cs="宋体"/>
          <w:color w:val="auto"/>
          <w:sz w:val="24"/>
          <w:szCs w:val="24"/>
          <w:lang w:val="en-US" w:eastAsia="zh-CN"/>
        </w:rPr>
        <w:t>（10）接地。塔机塔身必须有专用的接地线接至塔机专用接地体。注意：塔机接地线不得串接保险丝或开关。</w:t>
      </w:r>
    </w:p>
    <w:p w14:paraId="0F428D15">
      <w:pPr>
        <w:pStyle w:val="2"/>
        <w:spacing w:before="156" w:after="156"/>
        <w:rPr>
          <w:color w:val="auto"/>
        </w:rPr>
      </w:pPr>
      <w:bookmarkStart w:id="63" w:name="_Toc27935"/>
      <w:bookmarkStart w:id="64" w:name="_Toc16169"/>
      <w:r>
        <w:rPr>
          <w:rFonts w:hint="eastAsia"/>
          <w:color w:val="auto"/>
        </w:rPr>
        <w:t>施工计划</w:t>
      </w:r>
      <w:bookmarkEnd w:id="41"/>
      <w:bookmarkEnd w:id="42"/>
      <w:bookmarkEnd w:id="63"/>
      <w:bookmarkEnd w:id="64"/>
    </w:p>
    <w:p w14:paraId="009DAD2A">
      <w:pPr>
        <w:pStyle w:val="3"/>
        <w:spacing w:before="156" w:after="156"/>
        <w:ind w:left="480" w:leftChars="0" w:firstLineChars="0"/>
        <w:rPr>
          <w:color w:val="auto"/>
        </w:rPr>
      </w:pPr>
      <w:bookmarkStart w:id="65" w:name="_Toc16967"/>
      <w:bookmarkStart w:id="66" w:name="_Toc40778432"/>
      <w:bookmarkStart w:id="67" w:name="_Toc32590"/>
      <w:bookmarkStart w:id="68" w:name="_Toc3246"/>
      <w:r>
        <w:rPr>
          <w:rFonts w:hint="eastAsia"/>
          <w:color w:val="auto"/>
        </w:rPr>
        <w:t>总体施工</w:t>
      </w:r>
      <w:bookmarkEnd w:id="65"/>
      <w:bookmarkEnd w:id="66"/>
      <w:r>
        <w:rPr>
          <w:rFonts w:hint="eastAsia"/>
          <w:color w:val="auto"/>
        </w:rPr>
        <w:t>部署</w:t>
      </w:r>
      <w:bookmarkEnd w:id="67"/>
      <w:bookmarkEnd w:id="68"/>
    </w:p>
    <w:p w14:paraId="5E5D5F71">
      <w:pPr>
        <w:numPr>
          <w:ilvl w:val="0"/>
          <w:numId w:val="0"/>
        </w:numPr>
        <w:ind w:firstLine="480" w:firstLineChars="20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）在</w:t>
      </w:r>
      <w:r>
        <w:rPr>
          <w:rFonts w:hint="eastAsia"/>
          <w:color w:val="auto"/>
          <w:lang w:val="en-US" w:eastAsia="zh-CN"/>
        </w:rPr>
        <w:t>作业</w:t>
      </w:r>
      <w:r>
        <w:rPr>
          <w:rFonts w:hint="eastAsia"/>
          <w:color w:val="auto"/>
          <w:lang w:eastAsia="zh-CN"/>
        </w:rPr>
        <w:t>前必须到当地安监站进行</w:t>
      </w:r>
      <w:r>
        <w:rPr>
          <w:rFonts w:hint="eastAsia"/>
          <w:color w:val="auto"/>
          <w:lang w:val="en-US" w:eastAsia="zh-CN"/>
        </w:rPr>
        <w:t>作业</w:t>
      </w:r>
      <w:r>
        <w:rPr>
          <w:rFonts w:hint="eastAsia"/>
          <w:color w:val="auto"/>
          <w:lang w:eastAsia="zh-CN"/>
        </w:rPr>
        <w:t>告知工作。</w:t>
      </w:r>
    </w:p>
    <w:p w14:paraId="79FD2EDB">
      <w:pPr>
        <w:ind w:firstLine="480"/>
        <w:rPr>
          <w:rFonts w:hint="eastAsia" w:eastAsia="宋体"/>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）首先在塔机基础施工完成后，</w:t>
      </w:r>
      <w:r>
        <w:rPr>
          <w:rFonts w:hint="eastAsia"/>
          <w:color w:val="auto"/>
          <w:lang w:val="en-US" w:eastAsia="zh-CN"/>
        </w:rPr>
        <w:t>安装单位</w:t>
      </w:r>
      <w:r>
        <w:rPr>
          <w:rFonts w:hint="eastAsia"/>
          <w:color w:val="auto"/>
          <w:lang w:eastAsia="zh-CN"/>
        </w:rPr>
        <w:t>组织</w:t>
      </w:r>
      <w:r>
        <w:rPr>
          <w:rFonts w:hint="eastAsia"/>
          <w:color w:val="auto"/>
          <w:lang w:val="en-US" w:eastAsia="zh-CN"/>
        </w:rPr>
        <w:t>作业</w:t>
      </w:r>
      <w:r>
        <w:rPr>
          <w:rFonts w:hint="eastAsia"/>
          <w:color w:val="auto"/>
          <w:lang w:eastAsia="zh-CN"/>
        </w:rPr>
        <w:t>班组提前一天到现场作好</w:t>
      </w:r>
      <w:r>
        <w:rPr>
          <w:rFonts w:hint="eastAsia"/>
          <w:color w:val="auto"/>
          <w:lang w:val="en-US" w:eastAsia="zh-CN"/>
        </w:rPr>
        <w:t>作业</w:t>
      </w:r>
      <w:r>
        <w:rPr>
          <w:rFonts w:hint="eastAsia"/>
          <w:color w:val="auto"/>
          <w:lang w:eastAsia="zh-CN"/>
        </w:rPr>
        <w:t>前的准备工作。</w:t>
      </w:r>
    </w:p>
    <w:p w14:paraId="18472007">
      <w:pPr>
        <w:ind w:firstLine="48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）在</w:t>
      </w:r>
      <w:r>
        <w:rPr>
          <w:rFonts w:hint="eastAsia"/>
          <w:color w:val="auto"/>
          <w:lang w:val="en-US" w:eastAsia="zh-CN"/>
        </w:rPr>
        <w:t>作业</w:t>
      </w:r>
      <w:r>
        <w:rPr>
          <w:rFonts w:hint="eastAsia"/>
          <w:color w:val="auto"/>
          <w:lang w:eastAsia="zh-CN"/>
        </w:rPr>
        <w:t>前进行安全交底：由项目部牵头组织</w:t>
      </w:r>
      <w:r>
        <w:rPr>
          <w:rFonts w:hint="eastAsia"/>
          <w:color w:val="auto"/>
          <w:lang w:val="en-US" w:eastAsia="zh-CN"/>
        </w:rPr>
        <w:t>安装</w:t>
      </w:r>
      <w:r>
        <w:rPr>
          <w:rFonts w:hint="eastAsia"/>
          <w:color w:val="auto"/>
          <w:lang w:eastAsia="zh-CN"/>
        </w:rPr>
        <w:t>班组及项目部的相关人员一起进行</w:t>
      </w:r>
      <w:r>
        <w:rPr>
          <w:rFonts w:hint="eastAsia"/>
          <w:color w:val="auto"/>
          <w:lang w:val="en-US" w:eastAsia="zh-CN"/>
        </w:rPr>
        <w:t>作业</w:t>
      </w:r>
      <w:r>
        <w:rPr>
          <w:rFonts w:hint="eastAsia"/>
          <w:color w:val="auto"/>
          <w:lang w:eastAsia="zh-CN"/>
        </w:rPr>
        <w:t>前的技术交底工作。</w:t>
      </w:r>
    </w:p>
    <w:p w14:paraId="6D015E72">
      <w:pPr>
        <w:ind w:firstLine="480"/>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）塔机安装完成后，由项目部及安装单位及项目部安全员一起对塔机进行自检。合格后再向特检院申请对塔机进行检测工作。检测合格后，才可使用塔机。</w:t>
      </w:r>
    </w:p>
    <w:p w14:paraId="5F52860E">
      <w:pPr>
        <w:pStyle w:val="3"/>
        <w:spacing w:before="156" w:after="156"/>
        <w:ind w:left="480" w:leftChars="0" w:firstLineChars="0"/>
        <w:rPr>
          <w:color w:val="auto"/>
        </w:rPr>
      </w:pPr>
      <w:bookmarkStart w:id="69" w:name="_Toc8508"/>
      <w:bookmarkStart w:id="70" w:name="_Toc14838"/>
      <w:bookmarkStart w:id="71" w:name="_Toc4182"/>
      <w:bookmarkStart w:id="72" w:name="_Toc40778433"/>
      <w:r>
        <w:rPr>
          <w:rFonts w:hint="eastAsia"/>
          <w:color w:val="auto"/>
        </w:rPr>
        <w:t>施工进度计划</w:t>
      </w:r>
      <w:bookmarkEnd w:id="69"/>
      <w:bookmarkEnd w:id="70"/>
      <w:bookmarkEnd w:id="71"/>
      <w:bookmarkEnd w:id="72"/>
    </w:p>
    <w:p w14:paraId="69A0DE85">
      <w:pPr>
        <w:pStyle w:val="49"/>
        <w:rPr>
          <w:color w:val="auto"/>
          <w:szCs w:val="22"/>
        </w:rPr>
      </w:pPr>
      <w:r>
        <w:rPr>
          <w:rFonts w:hint="eastAsia"/>
          <w:color w:val="auto"/>
        </w:rPr>
        <w:t>表 3.</w:t>
      </w:r>
      <w:r>
        <w:rPr>
          <w:rFonts w:hint="eastAsia"/>
          <w:color w:val="auto"/>
          <w:lang w:val="en-US" w:eastAsia="zh-CN"/>
        </w:rPr>
        <w:t>2</w:t>
      </w:r>
      <w:r>
        <w:rPr>
          <w:rFonts w:hint="eastAsia"/>
          <w:color w:val="auto"/>
        </w:rPr>
        <w:t>－</w:t>
      </w:r>
      <w:r>
        <w:rPr>
          <w:rFonts w:hint="eastAsia"/>
          <w:color w:val="auto"/>
          <w:lang w:val="en-US" w:eastAsia="zh-CN"/>
        </w:rPr>
        <w:t>1</w:t>
      </w:r>
      <w:r>
        <w:rPr>
          <w:color w:val="auto"/>
        </w:rPr>
        <w:t xml:space="preserve">  </w:t>
      </w:r>
      <w:r>
        <w:rPr>
          <w:rFonts w:hint="eastAsia"/>
          <w:color w:val="auto"/>
          <w:lang w:val="en-US" w:eastAsia="zh-CN"/>
        </w:rPr>
        <w:t>XGT6015-8S1</w:t>
      </w:r>
      <w:r>
        <w:rPr>
          <w:rFonts w:hint="eastAsia"/>
          <w:color w:val="auto"/>
          <w:szCs w:val="22"/>
          <w:lang w:val="en-US" w:eastAsia="zh-CN"/>
        </w:rPr>
        <w:t>作业</w:t>
      </w:r>
      <w:r>
        <w:rPr>
          <w:rFonts w:hint="eastAsia"/>
          <w:color w:val="auto"/>
          <w:szCs w:val="22"/>
        </w:rPr>
        <w:t>进度计划表</w:t>
      </w:r>
    </w:p>
    <w:tbl>
      <w:tblPr>
        <w:tblStyle w:val="26"/>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3364"/>
        <w:gridCol w:w="1463"/>
        <w:gridCol w:w="1170"/>
        <w:gridCol w:w="1456"/>
      </w:tblGrid>
      <w:tr w14:paraId="1CFE5F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726" w:type="dxa"/>
            <w:shd w:val="clear" w:color="auto" w:fill="DEEBF6"/>
            <w:noWrap w:val="0"/>
            <w:vAlign w:val="center"/>
          </w:tcPr>
          <w:p w14:paraId="1D3BF9D0">
            <w:pPr>
              <w:pStyle w:val="44"/>
              <w:spacing w:before="60"/>
              <w:rPr>
                <w:rFonts w:hint="eastAsia"/>
                <w:color w:val="auto"/>
                <w:sz w:val="21"/>
                <w:szCs w:val="21"/>
              </w:rPr>
            </w:pPr>
            <w:r>
              <w:rPr>
                <w:rFonts w:hint="eastAsia"/>
                <w:color w:val="auto"/>
                <w:sz w:val="21"/>
                <w:szCs w:val="21"/>
              </w:rPr>
              <w:t>序号</w:t>
            </w:r>
          </w:p>
        </w:tc>
        <w:tc>
          <w:tcPr>
            <w:tcW w:w="3364" w:type="dxa"/>
            <w:shd w:val="clear" w:color="auto" w:fill="DEEBF6"/>
            <w:noWrap w:val="0"/>
            <w:vAlign w:val="center"/>
          </w:tcPr>
          <w:p w14:paraId="165E96AD">
            <w:pPr>
              <w:pStyle w:val="44"/>
              <w:spacing w:before="60"/>
              <w:rPr>
                <w:rFonts w:hint="eastAsia"/>
                <w:color w:val="auto"/>
                <w:sz w:val="21"/>
                <w:szCs w:val="21"/>
              </w:rPr>
            </w:pPr>
            <w:r>
              <w:rPr>
                <w:rFonts w:hint="eastAsia"/>
                <w:color w:val="auto"/>
                <w:sz w:val="21"/>
                <w:szCs w:val="21"/>
                <w:lang w:val="en-US" w:eastAsia="zh-CN"/>
              </w:rPr>
              <w:t>作业</w:t>
            </w:r>
            <w:r>
              <w:rPr>
                <w:rFonts w:hint="eastAsia"/>
                <w:color w:val="auto"/>
                <w:sz w:val="21"/>
                <w:szCs w:val="21"/>
              </w:rPr>
              <w:t>内容</w:t>
            </w:r>
          </w:p>
        </w:tc>
        <w:tc>
          <w:tcPr>
            <w:tcW w:w="1463" w:type="dxa"/>
            <w:shd w:val="clear" w:color="auto" w:fill="DEEBF6"/>
            <w:noWrap w:val="0"/>
            <w:vAlign w:val="center"/>
          </w:tcPr>
          <w:p w14:paraId="400E6CBC">
            <w:pPr>
              <w:pStyle w:val="44"/>
              <w:spacing w:before="60"/>
              <w:rPr>
                <w:rFonts w:hint="eastAsia"/>
                <w:color w:val="auto"/>
                <w:sz w:val="21"/>
                <w:szCs w:val="21"/>
              </w:rPr>
            </w:pPr>
            <w:r>
              <w:rPr>
                <w:rFonts w:hint="eastAsia"/>
                <w:color w:val="auto"/>
                <w:sz w:val="21"/>
                <w:szCs w:val="21"/>
              </w:rPr>
              <w:t>关键设备</w:t>
            </w:r>
          </w:p>
        </w:tc>
        <w:tc>
          <w:tcPr>
            <w:tcW w:w="1170" w:type="dxa"/>
            <w:shd w:val="clear" w:color="auto" w:fill="DEEBF6"/>
            <w:noWrap w:val="0"/>
            <w:vAlign w:val="center"/>
          </w:tcPr>
          <w:p w14:paraId="1F706D27">
            <w:pPr>
              <w:pStyle w:val="44"/>
              <w:spacing w:before="60"/>
              <w:rPr>
                <w:rFonts w:hint="eastAsia"/>
                <w:color w:val="auto"/>
                <w:sz w:val="21"/>
                <w:szCs w:val="21"/>
              </w:rPr>
            </w:pPr>
            <w:r>
              <w:rPr>
                <w:rFonts w:hint="eastAsia"/>
                <w:color w:val="auto"/>
                <w:sz w:val="21"/>
                <w:szCs w:val="21"/>
              </w:rPr>
              <w:t>时间（天）</w:t>
            </w:r>
          </w:p>
        </w:tc>
        <w:tc>
          <w:tcPr>
            <w:tcW w:w="1456" w:type="dxa"/>
            <w:shd w:val="clear" w:color="auto" w:fill="DEEBF6"/>
            <w:noWrap w:val="0"/>
            <w:vAlign w:val="center"/>
          </w:tcPr>
          <w:p w14:paraId="01E60EE3">
            <w:pPr>
              <w:pStyle w:val="44"/>
              <w:spacing w:before="60"/>
              <w:rPr>
                <w:rFonts w:hint="eastAsia"/>
                <w:color w:val="auto"/>
                <w:sz w:val="21"/>
                <w:szCs w:val="21"/>
              </w:rPr>
            </w:pPr>
            <w:r>
              <w:rPr>
                <w:rFonts w:hint="eastAsia"/>
                <w:color w:val="auto"/>
                <w:sz w:val="21"/>
                <w:szCs w:val="21"/>
              </w:rPr>
              <w:t>备注</w:t>
            </w:r>
          </w:p>
        </w:tc>
      </w:tr>
      <w:tr w14:paraId="32B748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360A70FD">
            <w:pPr>
              <w:pStyle w:val="44"/>
              <w:spacing w:before="60"/>
              <w:rPr>
                <w:rFonts w:hint="eastAsia"/>
                <w:color w:val="auto"/>
                <w:sz w:val="21"/>
                <w:szCs w:val="21"/>
              </w:rPr>
            </w:pPr>
            <w:r>
              <w:rPr>
                <w:rFonts w:hint="eastAsia"/>
                <w:color w:val="auto"/>
                <w:sz w:val="21"/>
                <w:szCs w:val="21"/>
              </w:rPr>
              <w:t>1</w:t>
            </w:r>
          </w:p>
        </w:tc>
        <w:tc>
          <w:tcPr>
            <w:tcW w:w="3364" w:type="dxa"/>
            <w:noWrap w:val="0"/>
            <w:vAlign w:val="center"/>
          </w:tcPr>
          <w:p w14:paraId="6AB55ECF">
            <w:pPr>
              <w:pStyle w:val="44"/>
              <w:spacing w:before="60"/>
              <w:rPr>
                <w:rFonts w:hint="default" w:eastAsia="宋体"/>
                <w:color w:val="auto"/>
                <w:sz w:val="21"/>
                <w:szCs w:val="21"/>
                <w:lang w:val="en-US" w:eastAsia="zh-CN"/>
              </w:rPr>
            </w:pPr>
            <w:r>
              <w:rPr>
                <w:rFonts w:hint="eastAsia"/>
                <w:color w:val="auto"/>
                <w:sz w:val="21"/>
                <w:szCs w:val="21"/>
                <w:lang w:val="en-US" w:eastAsia="zh-CN"/>
              </w:rPr>
              <w:t>拆除平衡重</w:t>
            </w:r>
          </w:p>
        </w:tc>
        <w:tc>
          <w:tcPr>
            <w:tcW w:w="1463" w:type="dxa"/>
            <w:noWrap w:val="0"/>
            <w:vAlign w:val="center"/>
          </w:tcPr>
          <w:p w14:paraId="768136FD">
            <w:pPr>
              <w:keepNext w:val="0"/>
              <w:keepLines w:val="0"/>
              <w:pageBreakBefore w:val="0"/>
              <w:widowControl w:val="0"/>
              <w:kinsoku/>
              <w:wordWrap/>
              <w:overflowPunct/>
              <w:topLinePunct w:val="0"/>
              <w:autoSpaceDE/>
              <w:autoSpaceDN/>
              <w:bidi w:val="0"/>
              <w:adjustRightInd/>
              <w:snapToGrid/>
              <w:spacing w:before="60"/>
              <w:ind w:firstLine="0" w:firstLineChars="0"/>
              <w:jc w:val="center"/>
              <w:textAlignment w:val="auto"/>
              <w:rPr>
                <w:rFonts w:hint="eastAsia"/>
                <w:color w:val="auto"/>
                <w:sz w:val="21"/>
                <w:szCs w:val="21"/>
              </w:rPr>
            </w:pPr>
            <w:r>
              <w:rPr>
                <w:rFonts w:hint="eastAsia"/>
                <w:color w:val="auto"/>
                <w:sz w:val="21"/>
                <w:szCs w:val="21"/>
                <w:lang w:val="en-US" w:eastAsia="zh-CN"/>
              </w:rPr>
              <w:t>塔式起重机</w:t>
            </w:r>
          </w:p>
        </w:tc>
        <w:tc>
          <w:tcPr>
            <w:tcW w:w="1170" w:type="dxa"/>
            <w:noWrap w:val="0"/>
            <w:vAlign w:val="center"/>
          </w:tcPr>
          <w:p w14:paraId="6CD5147E">
            <w:pPr>
              <w:pStyle w:val="44"/>
              <w:spacing w:before="60"/>
              <w:rPr>
                <w:color w:val="auto"/>
                <w:sz w:val="21"/>
                <w:szCs w:val="21"/>
              </w:rPr>
            </w:pPr>
            <w:r>
              <w:rPr>
                <w:rFonts w:hint="eastAsia"/>
                <w:color w:val="auto"/>
                <w:sz w:val="21"/>
                <w:szCs w:val="21"/>
              </w:rPr>
              <w:t>0.5</w:t>
            </w:r>
          </w:p>
        </w:tc>
        <w:tc>
          <w:tcPr>
            <w:tcW w:w="1456" w:type="dxa"/>
            <w:noWrap w:val="0"/>
            <w:vAlign w:val="center"/>
          </w:tcPr>
          <w:p w14:paraId="6EA7AFC6">
            <w:pPr>
              <w:pStyle w:val="44"/>
              <w:spacing w:before="60"/>
              <w:rPr>
                <w:rFonts w:hint="eastAsia"/>
                <w:color w:val="auto"/>
                <w:sz w:val="21"/>
                <w:szCs w:val="21"/>
              </w:rPr>
            </w:pPr>
          </w:p>
        </w:tc>
      </w:tr>
      <w:tr w14:paraId="69FE92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1A4A9625">
            <w:pPr>
              <w:pStyle w:val="44"/>
              <w:spacing w:before="60"/>
              <w:rPr>
                <w:rFonts w:hint="eastAsia"/>
                <w:color w:val="auto"/>
                <w:sz w:val="21"/>
                <w:szCs w:val="21"/>
              </w:rPr>
            </w:pPr>
            <w:r>
              <w:rPr>
                <w:rFonts w:hint="eastAsia"/>
                <w:color w:val="auto"/>
                <w:sz w:val="21"/>
                <w:szCs w:val="21"/>
              </w:rPr>
              <w:t>2</w:t>
            </w:r>
          </w:p>
        </w:tc>
        <w:tc>
          <w:tcPr>
            <w:tcW w:w="3364" w:type="dxa"/>
            <w:noWrap w:val="0"/>
            <w:vAlign w:val="center"/>
          </w:tcPr>
          <w:p w14:paraId="252280AB">
            <w:pPr>
              <w:pStyle w:val="44"/>
              <w:spacing w:before="60"/>
              <w:rPr>
                <w:rFonts w:hint="default" w:eastAsia="宋体"/>
                <w:color w:val="auto"/>
                <w:sz w:val="21"/>
                <w:szCs w:val="21"/>
                <w:lang w:val="en-US" w:eastAsia="zh-CN"/>
              </w:rPr>
            </w:pPr>
            <w:r>
              <w:rPr>
                <w:rFonts w:hint="eastAsia"/>
                <w:color w:val="auto"/>
                <w:sz w:val="21"/>
                <w:szCs w:val="21"/>
                <w:lang w:val="en-US" w:eastAsia="zh-CN"/>
              </w:rPr>
              <w:t>拆除起重臂</w:t>
            </w:r>
          </w:p>
        </w:tc>
        <w:tc>
          <w:tcPr>
            <w:tcW w:w="1463" w:type="dxa"/>
            <w:noWrap w:val="0"/>
            <w:vAlign w:val="center"/>
          </w:tcPr>
          <w:p w14:paraId="1C156C51">
            <w:pPr>
              <w:keepNext w:val="0"/>
              <w:keepLines w:val="0"/>
              <w:pageBreakBefore w:val="0"/>
              <w:widowControl w:val="0"/>
              <w:kinsoku/>
              <w:wordWrap/>
              <w:overflowPunct/>
              <w:topLinePunct w:val="0"/>
              <w:autoSpaceDE/>
              <w:autoSpaceDN/>
              <w:bidi w:val="0"/>
              <w:adjustRightInd/>
              <w:snapToGrid/>
              <w:spacing w:before="60"/>
              <w:ind w:firstLine="0" w:firstLineChars="0"/>
              <w:jc w:val="center"/>
              <w:textAlignment w:val="auto"/>
              <w:rPr>
                <w:rFonts w:hint="eastAsia"/>
                <w:color w:val="auto"/>
                <w:sz w:val="21"/>
                <w:szCs w:val="21"/>
              </w:rPr>
            </w:pPr>
            <w:r>
              <w:rPr>
                <w:rFonts w:hint="eastAsia"/>
                <w:color w:val="auto"/>
                <w:sz w:val="21"/>
                <w:szCs w:val="21"/>
                <w:lang w:val="en-US" w:eastAsia="zh-CN"/>
              </w:rPr>
              <w:t>塔式起重机</w:t>
            </w:r>
          </w:p>
        </w:tc>
        <w:tc>
          <w:tcPr>
            <w:tcW w:w="1170" w:type="dxa"/>
            <w:noWrap w:val="0"/>
            <w:vAlign w:val="center"/>
          </w:tcPr>
          <w:p w14:paraId="009EEFF6">
            <w:pPr>
              <w:pStyle w:val="44"/>
              <w:spacing w:before="60"/>
              <w:rPr>
                <w:rFonts w:hint="default" w:eastAsia="宋体"/>
                <w:color w:val="auto"/>
                <w:sz w:val="21"/>
                <w:szCs w:val="21"/>
                <w:lang w:val="en-US" w:eastAsia="zh-CN"/>
              </w:rPr>
            </w:pPr>
            <w:r>
              <w:rPr>
                <w:rFonts w:hint="eastAsia"/>
                <w:color w:val="auto"/>
                <w:sz w:val="21"/>
                <w:szCs w:val="21"/>
                <w:lang w:val="en-US" w:eastAsia="zh-CN"/>
              </w:rPr>
              <w:t>0.5</w:t>
            </w:r>
          </w:p>
        </w:tc>
        <w:tc>
          <w:tcPr>
            <w:tcW w:w="1456" w:type="dxa"/>
            <w:noWrap w:val="0"/>
            <w:vAlign w:val="center"/>
          </w:tcPr>
          <w:p w14:paraId="77E5C7D6">
            <w:pPr>
              <w:pStyle w:val="44"/>
              <w:spacing w:before="60"/>
              <w:rPr>
                <w:rFonts w:hint="eastAsia"/>
                <w:color w:val="auto"/>
                <w:sz w:val="21"/>
                <w:szCs w:val="21"/>
              </w:rPr>
            </w:pPr>
          </w:p>
        </w:tc>
      </w:tr>
      <w:tr w14:paraId="40CEAF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53" w:type="dxa"/>
            <w:gridSpan w:val="3"/>
            <w:noWrap w:val="0"/>
            <w:vAlign w:val="center"/>
          </w:tcPr>
          <w:p w14:paraId="6541D271">
            <w:pPr>
              <w:pStyle w:val="44"/>
              <w:spacing w:before="60"/>
              <w:rPr>
                <w:rFonts w:hint="eastAsia"/>
                <w:color w:val="auto"/>
                <w:sz w:val="21"/>
                <w:szCs w:val="21"/>
              </w:rPr>
            </w:pPr>
            <w:r>
              <w:rPr>
                <w:rFonts w:hint="eastAsia"/>
                <w:color w:val="auto"/>
                <w:sz w:val="21"/>
                <w:szCs w:val="21"/>
              </w:rPr>
              <w:t>合计</w:t>
            </w:r>
          </w:p>
        </w:tc>
        <w:tc>
          <w:tcPr>
            <w:tcW w:w="1170" w:type="dxa"/>
            <w:noWrap w:val="0"/>
            <w:vAlign w:val="center"/>
          </w:tcPr>
          <w:p w14:paraId="5BC76F80">
            <w:pPr>
              <w:pStyle w:val="44"/>
              <w:spacing w:before="60"/>
              <w:rPr>
                <w:color w:val="auto"/>
                <w:sz w:val="21"/>
                <w:szCs w:val="21"/>
              </w:rPr>
            </w:pPr>
            <w:r>
              <w:rPr>
                <w:rFonts w:hint="eastAsia"/>
                <w:color w:val="auto"/>
                <w:sz w:val="21"/>
                <w:szCs w:val="21"/>
                <w:lang w:val="en-US" w:eastAsia="zh-CN"/>
              </w:rPr>
              <w:t>1</w:t>
            </w:r>
          </w:p>
        </w:tc>
        <w:tc>
          <w:tcPr>
            <w:tcW w:w="1456" w:type="dxa"/>
            <w:noWrap w:val="0"/>
            <w:vAlign w:val="center"/>
          </w:tcPr>
          <w:p w14:paraId="189CA9A5">
            <w:pPr>
              <w:pStyle w:val="44"/>
              <w:spacing w:before="60"/>
              <w:rPr>
                <w:rFonts w:hint="eastAsia"/>
                <w:color w:val="auto"/>
                <w:sz w:val="21"/>
                <w:szCs w:val="21"/>
              </w:rPr>
            </w:pPr>
          </w:p>
        </w:tc>
      </w:tr>
    </w:tbl>
    <w:p w14:paraId="585EE0F9">
      <w:pPr>
        <w:pStyle w:val="3"/>
        <w:spacing w:before="156" w:after="156"/>
        <w:ind w:left="480" w:leftChars="0" w:firstLineChars="0"/>
        <w:rPr>
          <w:color w:val="auto"/>
        </w:rPr>
      </w:pPr>
      <w:bookmarkStart w:id="73" w:name="_Toc17125"/>
      <w:bookmarkStart w:id="74" w:name="_Toc40778434"/>
      <w:bookmarkStart w:id="75" w:name="_Toc19376"/>
      <w:bookmarkStart w:id="76" w:name="_Toc5030"/>
      <w:r>
        <w:rPr>
          <w:rFonts w:hint="eastAsia"/>
          <w:color w:val="auto"/>
        </w:rPr>
        <w:t>材料计划</w:t>
      </w:r>
      <w:bookmarkEnd w:id="73"/>
      <w:bookmarkEnd w:id="74"/>
      <w:bookmarkEnd w:id="75"/>
      <w:bookmarkEnd w:id="76"/>
    </w:p>
    <w:p w14:paraId="4EA0F7F5">
      <w:pPr>
        <w:pStyle w:val="48"/>
        <w:ind w:firstLine="480"/>
        <w:rPr>
          <w:rFonts w:hint="eastAsia" w:ascii="Times New Roman" w:hAnsi="Times New Roman" w:cs="Times New Roman"/>
          <w:color w:val="auto"/>
          <w:kern w:val="2"/>
        </w:rPr>
      </w:pPr>
      <w:r>
        <w:rPr>
          <w:rFonts w:hint="eastAsia" w:ascii="Times New Roman" w:hAnsi="Times New Roman" w:cs="Times New Roman"/>
          <w:color w:val="auto"/>
          <w:kern w:val="2"/>
        </w:rPr>
        <w:t>现场所使用的</w:t>
      </w:r>
      <w:r>
        <w:rPr>
          <w:rFonts w:hint="eastAsia" w:ascii="Times New Roman" w:hAnsi="Times New Roman" w:cs="Times New Roman"/>
          <w:color w:val="auto"/>
          <w:kern w:val="2"/>
          <w:lang w:val="en-US" w:eastAsia="zh-CN"/>
        </w:rPr>
        <w:t>塔式起重机</w:t>
      </w:r>
      <w:r>
        <w:rPr>
          <w:rFonts w:hint="eastAsia" w:ascii="Times New Roman" w:hAnsi="Times New Roman" w:cs="Times New Roman"/>
          <w:color w:val="auto"/>
          <w:kern w:val="2"/>
        </w:rPr>
        <w:t>必须处于有效的检测检定有效期内，各类检测仪器应处于有效的检定期内，以保持其检定和校准状态的可信度，达到仪器在使用过程中性能保证的目的。</w:t>
      </w:r>
    </w:p>
    <w:p w14:paraId="75A64DAE">
      <w:pPr>
        <w:pStyle w:val="48"/>
        <w:numPr>
          <w:ilvl w:val="0"/>
          <w:numId w:val="7"/>
        </w:numPr>
        <w:ind w:left="240" w:leftChars="0" w:firstLine="480" w:firstLineChars="0"/>
        <w:rPr>
          <w:rFonts w:hint="eastAsia" w:ascii="Times New Roman" w:hAnsi="Times New Roman" w:cs="Times New Roman"/>
          <w:color w:val="auto"/>
          <w:kern w:val="2"/>
        </w:rPr>
      </w:pPr>
      <w:r>
        <w:rPr>
          <w:rFonts w:hint="eastAsia" w:ascii="Times New Roman" w:hAnsi="Times New Roman" w:cs="Times New Roman"/>
          <w:color w:val="auto"/>
          <w:kern w:val="2"/>
        </w:rPr>
        <w:t>测量仪器、仪表：</w:t>
      </w:r>
    </w:p>
    <w:p w14:paraId="23F9BB07">
      <w:pPr>
        <w:ind w:firstLine="422"/>
        <w:jc w:val="center"/>
        <w:rPr>
          <w:rFonts w:ascii="宋体" w:hAnsi="宋体" w:cs="黑体"/>
          <w:b/>
          <w:color w:val="auto"/>
          <w:sz w:val="21"/>
          <w:szCs w:val="21"/>
        </w:rPr>
      </w:pPr>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3</w:t>
      </w:r>
      <w:r>
        <w:rPr>
          <w:rFonts w:ascii="宋体" w:hAnsi="宋体" w:cs="黑体"/>
          <w:b/>
          <w:color w:val="auto"/>
          <w:sz w:val="21"/>
          <w:szCs w:val="21"/>
        </w:rPr>
        <w:t>-1</w:t>
      </w:r>
      <w:r>
        <w:rPr>
          <w:rFonts w:hint="eastAsia" w:ascii="宋体" w:hAnsi="宋体" w:cs="黑体"/>
          <w:b/>
          <w:color w:val="auto"/>
          <w:sz w:val="21"/>
          <w:szCs w:val="21"/>
        </w:rPr>
        <w:t xml:space="preserve"> 测量仪器、仪表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355"/>
        <w:gridCol w:w="992"/>
        <w:gridCol w:w="1276"/>
        <w:gridCol w:w="850"/>
        <w:gridCol w:w="709"/>
        <w:gridCol w:w="2693"/>
      </w:tblGrid>
      <w:tr w14:paraId="455B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1B691ABC">
            <w:pPr>
              <w:pStyle w:val="44"/>
              <w:spacing w:before="60"/>
              <w:rPr>
                <w:color w:val="auto"/>
                <w:sz w:val="21"/>
                <w:szCs w:val="21"/>
              </w:rPr>
            </w:pPr>
            <w:r>
              <w:rPr>
                <w:rFonts w:hint="eastAsia"/>
                <w:color w:val="auto"/>
                <w:sz w:val="21"/>
                <w:szCs w:val="21"/>
              </w:rPr>
              <w:t>序号</w:t>
            </w:r>
          </w:p>
        </w:tc>
        <w:tc>
          <w:tcPr>
            <w:tcW w:w="1355" w:type="dxa"/>
            <w:noWrap w:val="0"/>
            <w:vAlign w:val="center"/>
          </w:tcPr>
          <w:p w14:paraId="3A0F4446">
            <w:pPr>
              <w:pStyle w:val="44"/>
              <w:spacing w:before="60"/>
              <w:rPr>
                <w:color w:val="auto"/>
                <w:sz w:val="21"/>
                <w:szCs w:val="21"/>
              </w:rPr>
            </w:pPr>
            <w:r>
              <w:rPr>
                <w:rFonts w:hint="eastAsia"/>
                <w:color w:val="auto"/>
                <w:sz w:val="21"/>
                <w:szCs w:val="21"/>
              </w:rPr>
              <w:t>名称</w:t>
            </w:r>
          </w:p>
        </w:tc>
        <w:tc>
          <w:tcPr>
            <w:tcW w:w="992" w:type="dxa"/>
            <w:noWrap w:val="0"/>
            <w:vAlign w:val="center"/>
          </w:tcPr>
          <w:p w14:paraId="485210C6">
            <w:pPr>
              <w:pStyle w:val="44"/>
              <w:spacing w:before="60"/>
              <w:rPr>
                <w:color w:val="auto"/>
                <w:sz w:val="21"/>
                <w:szCs w:val="21"/>
              </w:rPr>
            </w:pPr>
            <w:r>
              <w:rPr>
                <w:rFonts w:hint="eastAsia"/>
                <w:color w:val="auto"/>
                <w:sz w:val="21"/>
                <w:szCs w:val="21"/>
              </w:rPr>
              <w:t>规格</w:t>
            </w:r>
          </w:p>
        </w:tc>
        <w:tc>
          <w:tcPr>
            <w:tcW w:w="1276" w:type="dxa"/>
            <w:noWrap w:val="0"/>
            <w:vAlign w:val="center"/>
          </w:tcPr>
          <w:p w14:paraId="2213DD28">
            <w:pPr>
              <w:pStyle w:val="44"/>
              <w:spacing w:before="60"/>
              <w:rPr>
                <w:color w:val="auto"/>
                <w:sz w:val="21"/>
                <w:szCs w:val="21"/>
              </w:rPr>
            </w:pPr>
            <w:r>
              <w:rPr>
                <w:rFonts w:hint="eastAsia"/>
                <w:color w:val="auto"/>
                <w:sz w:val="21"/>
                <w:szCs w:val="21"/>
              </w:rPr>
              <w:t>精度等级</w:t>
            </w:r>
          </w:p>
        </w:tc>
        <w:tc>
          <w:tcPr>
            <w:tcW w:w="850" w:type="dxa"/>
            <w:noWrap w:val="0"/>
            <w:vAlign w:val="center"/>
          </w:tcPr>
          <w:p w14:paraId="04D04A0C">
            <w:pPr>
              <w:pStyle w:val="44"/>
              <w:spacing w:before="60"/>
              <w:rPr>
                <w:color w:val="auto"/>
                <w:sz w:val="21"/>
                <w:szCs w:val="21"/>
              </w:rPr>
            </w:pPr>
            <w:r>
              <w:rPr>
                <w:rFonts w:hint="eastAsia"/>
                <w:color w:val="auto"/>
                <w:sz w:val="21"/>
                <w:szCs w:val="21"/>
              </w:rPr>
              <w:t>单位</w:t>
            </w:r>
          </w:p>
        </w:tc>
        <w:tc>
          <w:tcPr>
            <w:tcW w:w="709" w:type="dxa"/>
            <w:noWrap w:val="0"/>
            <w:vAlign w:val="center"/>
          </w:tcPr>
          <w:p w14:paraId="125D3611">
            <w:pPr>
              <w:pStyle w:val="44"/>
              <w:spacing w:before="60"/>
              <w:rPr>
                <w:color w:val="auto"/>
                <w:sz w:val="21"/>
                <w:szCs w:val="21"/>
              </w:rPr>
            </w:pPr>
            <w:r>
              <w:rPr>
                <w:rFonts w:hint="eastAsia"/>
                <w:color w:val="auto"/>
                <w:sz w:val="21"/>
                <w:szCs w:val="21"/>
              </w:rPr>
              <w:t>数量</w:t>
            </w:r>
          </w:p>
        </w:tc>
        <w:tc>
          <w:tcPr>
            <w:tcW w:w="2693" w:type="dxa"/>
            <w:noWrap w:val="0"/>
            <w:vAlign w:val="center"/>
          </w:tcPr>
          <w:p w14:paraId="3435F57D">
            <w:pPr>
              <w:pStyle w:val="44"/>
              <w:spacing w:before="60"/>
              <w:rPr>
                <w:color w:val="auto"/>
                <w:sz w:val="21"/>
                <w:szCs w:val="21"/>
              </w:rPr>
            </w:pPr>
            <w:r>
              <w:rPr>
                <w:rFonts w:hint="eastAsia"/>
                <w:color w:val="auto"/>
                <w:sz w:val="21"/>
                <w:szCs w:val="21"/>
              </w:rPr>
              <w:t>备注</w:t>
            </w:r>
          </w:p>
        </w:tc>
      </w:tr>
      <w:tr w14:paraId="6979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3D4FA570">
            <w:pPr>
              <w:pStyle w:val="44"/>
              <w:spacing w:before="60"/>
              <w:rPr>
                <w:color w:val="auto"/>
                <w:sz w:val="21"/>
                <w:szCs w:val="21"/>
              </w:rPr>
            </w:pPr>
            <w:r>
              <w:rPr>
                <w:rFonts w:hint="eastAsia"/>
                <w:color w:val="auto"/>
                <w:sz w:val="21"/>
                <w:szCs w:val="21"/>
              </w:rPr>
              <w:t>1</w:t>
            </w:r>
          </w:p>
        </w:tc>
        <w:tc>
          <w:tcPr>
            <w:tcW w:w="1355" w:type="dxa"/>
            <w:noWrap w:val="0"/>
            <w:vAlign w:val="center"/>
          </w:tcPr>
          <w:p w14:paraId="0C59994C">
            <w:pPr>
              <w:pStyle w:val="44"/>
              <w:spacing w:before="60"/>
              <w:rPr>
                <w:color w:val="auto"/>
                <w:sz w:val="21"/>
                <w:szCs w:val="21"/>
              </w:rPr>
            </w:pPr>
            <w:r>
              <w:rPr>
                <w:rFonts w:hint="eastAsia"/>
                <w:color w:val="auto"/>
                <w:sz w:val="21"/>
                <w:szCs w:val="21"/>
              </w:rPr>
              <w:t>水准仪</w:t>
            </w:r>
          </w:p>
        </w:tc>
        <w:tc>
          <w:tcPr>
            <w:tcW w:w="992" w:type="dxa"/>
            <w:noWrap w:val="0"/>
            <w:vAlign w:val="center"/>
          </w:tcPr>
          <w:p w14:paraId="76DF34DB">
            <w:pPr>
              <w:pStyle w:val="44"/>
              <w:spacing w:before="60"/>
              <w:rPr>
                <w:color w:val="auto"/>
                <w:sz w:val="21"/>
                <w:szCs w:val="21"/>
              </w:rPr>
            </w:pPr>
            <w:r>
              <w:rPr>
                <w:rFonts w:hint="eastAsia"/>
                <w:color w:val="auto"/>
                <w:sz w:val="21"/>
                <w:szCs w:val="21"/>
              </w:rPr>
              <w:t>NA2</w:t>
            </w:r>
          </w:p>
        </w:tc>
        <w:tc>
          <w:tcPr>
            <w:tcW w:w="1276" w:type="dxa"/>
            <w:noWrap w:val="0"/>
            <w:vAlign w:val="center"/>
          </w:tcPr>
          <w:p w14:paraId="1407C204">
            <w:pPr>
              <w:pStyle w:val="44"/>
              <w:spacing w:before="60"/>
              <w:rPr>
                <w:color w:val="auto"/>
                <w:sz w:val="21"/>
                <w:szCs w:val="21"/>
              </w:rPr>
            </w:pPr>
            <w:r>
              <w:rPr>
                <w:rFonts w:hint="eastAsia"/>
                <w:color w:val="auto"/>
                <w:sz w:val="21"/>
                <w:szCs w:val="21"/>
              </w:rPr>
              <w:t>0.5mm</w:t>
            </w:r>
          </w:p>
        </w:tc>
        <w:tc>
          <w:tcPr>
            <w:tcW w:w="850" w:type="dxa"/>
            <w:noWrap w:val="0"/>
            <w:vAlign w:val="center"/>
          </w:tcPr>
          <w:p w14:paraId="5D793CD0">
            <w:pPr>
              <w:pStyle w:val="44"/>
              <w:spacing w:before="60"/>
              <w:rPr>
                <w:color w:val="auto"/>
                <w:sz w:val="21"/>
                <w:szCs w:val="21"/>
              </w:rPr>
            </w:pPr>
            <w:r>
              <w:rPr>
                <w:rFonts w:hint="eastAsia"/>
                <w:color w:val="auto"/>
                <w:sz w:val="21"/>
                <w:szCs w:val="21"/>
              </w:rPr>
              <w:t>台</w:t>
            </w:r>
          </w:p>
        </w:tc>
        <w:tc>
          <w:tcPr>
            <w:tcW w:w="709" w:type="dxa"/>
            <w:noWrap w:val="0"/>
            <w:vAlign w:val="center"/>
          </w:tcPr>
          <w:p w14:paraId="5CEE40EB">
            <w:pPr>
              <w:pStyle w:val="44"/>
              <w:spacing w:before="60"/>
              <w:rPr>
                <w:color w:val="auto"/>
                <w:sz w:val="21"/>
                <w:szCs w:val="21"/>
              </w:rPr>
            </w:pPr>
            <w:r>
              <w:rPr>
                <w:rFonts w:hint="eastAsia"/>
                <w:color w:val="auto"/>
                <w:sz w:val="21"/>
                <w:szCs w:val="21"/>
              </w:rPr>
              <w:t>1</w:t>
            </w:r>
          </w:p>
        </w:tc>
        <w:tc>
          <w:tcPr>
            <w:tcW w:w="2693" w:type="dxa"/>
            <w:noWrap w:val="0"/>
            <w:vAlign w:val="center"/>
          </w:tcPr>
          <w:p w14:paraId="115698AC">
            <w:pPr>
              <w:pStyle w:val="44"/>
              <w:spacing w:before="60"/>
              <w:rPr>
                <w:color w:val="auto"/>
                <w:sz w:val="21"/>
                <w:szCs w:val="21"/>
              </w:rPr>
            </w:pPr>
            <w:r>
              <w:rPr>
                <w:rFonts w:hint="eastAsia"/>
                <w:color w:val="auto"/>
                <w:sz w:val="21"/>
                <w:szCs w:val="21"/>
              </w:rPr>
              <w:t>检验合格并在有效期内</w:t>
            </w:r>
          </w:p>
        </w:tc>
      </w:tr>
      <w:tr w14:paraId="6FF0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16ECBB6C">
            <w:pPr>
              <w:pStyle w:val="44"/>
              <w:spacing w:before="60"/>
              <w:rPr>
                <w:color w:val="auto"/>
                <w:sz w:val="21"/>
                <w:szCs w:val="21"/>
              </w:rPr>
            </w:pPr>
            <w:r>
              <w:rPr>
                <w:rFonts w:hint="eastAsia"/>
                <w:color w:val="auto"/>
                <w:sz w:val="21"/>
                <w:szCs w:val="21"/>
              </w:rPr>
              <w:t>2</w:t>
            </w:r>
          </w:p>
        </w:tc>
        <w:tc>
          <w:tcPr>
            <w:tcW w:w="1355" w:type="dxa"/>
            <w:noWrap w:val="0"/>
            <w:vAlign w:val="center"/>
          </w:tcPr>
          <w:p w14:paraId="3AF748D0">
            <w:pPr>
              <w:pStyle w:val="44"/>
              <w:spacing w:before="60"/>
              <w:rPr>
                <w:color w:val="auto"/>
                <w:sz w:val="21"/>
                <w:szCs w:val="21"/>
              </w:rPr>
            </w:pPr>
            <w:r>
              <w:rPr>
                <w:rFonts w:hint="eastAsia"/>
                <w:color w:val="auto"/>
                <w:sz w:val="21"/>
                <w:szCs w:val="21"/>
              </w:rPr>
              <w:t>经纬仪</w:t>
            </w:r>
          </w:p>
        </w:tc>
        <w:tc>
          <w:tcPr>
            <w:tcW w:w="992" w:type="dxa"/>
            <w:noWrap w:val="0"/>
            <w:vAlign w:val="center"/>
          </w:tcPr>
          <w:p w14:paraId="0DB8245F">
            <w:pPr>
              <w:pStyle w:val="44"/>
              <w:spacing w:before="60"/>
              <w:rPr>
                <w:color w:val="auto"/>
                <w:sz w:val="21"/>
                <w:szCs w:val="21"/>
              </w:rPr>
            </w:pPr>
            <w:r>
              <w:rPr>
                <w:rFonts w:hint="eastAsia"/>
                <w:color w:val="auto"/>
                <w:sz w:val="21"/>
                <w:szCs w:val="21"/>
              </w:rPr>
              <w:t>TDJ2E</w:t>
            </w:r>
          </w:p>
        </w:tc>
        <w:tc>
          <w:tcPr>
            <w:tcW w:w="1276" w:type="dxa"/>
            <w:noWrap w:val="0"/>
            <w:vAlign w:val="center"/>
          </w:tcPr>
          <w:p w14:paraId="4AC840BC">
            <w:pPr>
              <w:pStyle w:val="44"/>
              <w:spacing w:before="60"/>
              <w:rPr>
                <w:color w:val="auto"/>
                <w:sz w:val="21"/>
                <w:szCs w:val="21"/>
              </w:rPr>
            </w:pPr>
            <w:r>
              <w:rPr>
                <w:rFonts w:hint="eastAsia"/>
                <w:color w:val="auto"/>
                <w:sz w:val="21"/>
                <w:szCs w:val="21"/>
              </w:rPr>
              <w:t>6″</w:t>
            </w:r>
          </w:p>
        </w:tc>
        <w:tc>
          <w:tcPr>
            <w:tcW w:w="850" w:type="dxa"/>
            <w:noWrap w:val="0"/>
            <w:vAlign w:val="center"/>
          </w:tcPr>
          <w:p w14:paraId="69955BEF">
            <w:pPr>
              <w:pStyle w:val="44"/>
              <w:spacing w:before="60"/>
              <w:rPr>
                <w:color w:val="auto"/>
                <w:sz w:val="21"/>
                <w:szCs w:val="21"/>
              </w:rPr>
            </w:pPr>
            <w:r>
              <w:rPr>
                <w:rFonts w:hint="eastAsia"/>
                <w:color w:val="auto"/>
                <w:sz w:val="21"/>
                <w:szCs w:val="21"/>
              </w:rPr>
              <w:t>台</w:t>
            </w:r>
          </w:p>
        </w:tc>
        <w:tc>
          <w:tcPr>
            <w:tcW w:w="709" w:type="dxa"/>
            <w:noWrap w:val="0"/>
            <w:vAlign w:val="center"/>
          </w:tcPr>
          <w:p w14:paraId="209F505F">
            <w:pPr>
              <w:pStyle w:val="44"/>
              <w:spacing w:before="60"/>
              <w:rPr>
                <w:color w:val="auto"/>
                <w:sz w:val="21"/>
                <w:szCs w:val="21"/>
              </w:rPr>
            </w:pPr>
            <w:r>
              <w:rPr>
                <w:rFonts w:hint="eastAsia"/>
                <w:color w:val="auto"/>
                <w:sz w:val="21"/>
                <w:szCs w:val="21"/>
              </w:rPr>
              <w:t>1</w:t>
            </w:r>
          </w:p>
        </w:tc>
        <w:tc>
          <w:tcPr>
            <w:tcW w:w="2693" w:type="dxa"/>
            <w:noWrap w:val="0"/>
            <w:vAlign w:val="center"/>
          </w:tcPr>
          <w:p w14:paraId="71A10384">
            <w:pPr>
              <w:pStyle w:val="44"/>
              <w:spacing w:before="60"/>
              <w:rPr>
                <w:color w:val="auto"/>
                <w:sz w:val="21"/>
                <w:szCs w:val="21"/>
              </w:rPr>
            </w:pPr>
            <w:r>
              <w:rPr>
                <w:rFonts w:hint="eastAsia"/>
                <w:color w:val="auto"/>
                <w:sz w:val="21"/>
                <w:szCs w:val="21"/>
              </w:rPr>
              <w:t>检验合格并在有效期内</w:t>
            </w:r>
          </w:p>
        </w:tc>
      </w:tr>
    </w:tbl>
    <w:p w14:paraId="7215FD92">
      <w:pPr>
        <w:ind w:firstLine="480"/>
        <w:rPr>
          <w:color w:val="auto"/>
        </w:rPr>
      </w:pPr>
      <w:r>
        <w:rPr>
          <w:rFonts w:hint="eastAsia"/>
          <w:color w:val="auto"/>
        </w:rPr>
        <w:t>（2）作业工机具统计表：</w:t>
      </w:r>
    </w:p>
    <w:p w14:paraId="62884BEC">
      <w:pPr>
        <w:ind w:firstLine="422"/>
        <w:jc w:val="center"/>
        <w:rPr>
          <w:rFonts w:ascii="宋体" w:hAnsi="宋体" w:cs="黑体"/>
          <w:b/>
          <w:color w:val="auto"/>
          <w:sz w:val="21"/>
          <w:szCs w:val="21"/>
        </w:rPr>
      </w:pPr>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3</w:t>
      </w:r>
      <w:r>
        <w:rPr>
          <w:rFonts w:ascii="宋体" w:hAnsi="宋体" w:cs="黑体"/>
          <w:b/>
          <w:color w:val="auto"/>
          <w:sz w:val="21"/>
          <w:szCs w:val="21"/>
        </w:rPr>
        <w:t>-2</w:t>
      </w:r>
      <w:r>
        <w:rPr>
          <w:rFonts w:hint="eastAsia" w:ascii="宋体" w:hAnsi="宋体" w:cs="黑体"/>
          <w:b/>
          <w:color w:val="auto"/>
          <w:sz w:val="21"/>
          <w:szCs w:val="21"/>
        </w:rPr>
        <w:t xml:space="preserve"> 作业工机具</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77"/>
        <w:gridCol w:w="2777"/>
        <w:gridCol w:w="770"/>
        <w:gridCol w:w="2863"/>
      </w:tblGrid>
      <w:tr w14:paraId="654C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33" w:type="dxa"/>
            <w:tcBorders>
              <w:top w:val="double" w:color="auto" w:sz="4" w:space="0"/>
              <w:left w:val="double" w:color="auto" w:sz="4" w:space="0"/>
            </w:tcBorders>
            <w:shd w:val="clear" w:color="auto" w:fill="DEEBF6"/>
            <w:noWrap w:val="0"/>
            <w:vAlign w:val="center"/>
          </w:tcPr>
          <w:p w14:paraId="1698761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077" w:type="dxa"/>
            <w:tcBorders>
              <w:top w:val="double" w:color="auto" w:sz="4" w:space="0"/>
            </w:tcBorders>
            <w:shd w:val="clear" w:color="auto" w:fill="DEEBF6"/>
            <w:noWrap w:val="0"/>
            <w:vAlign w:val="center"/>
          </w:tcPr>
          <w:p w14:paraId="66AD8AC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2777" w:type="dxa"/>
            <w:tcBorders>
              <w:top w:val="double" w:color="auto" w:sz="4" w:space="0"/>
            </w:tcBorders>
            <w:shd w:val="clear" w:color="auto" w:fill="DEEBF6"/>
            <w:noWrap w:val="0"/>
            <w:vAlign w:val="center"/>
          </w:tcPr>
          <w:p w14:paraId="0439C46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型号</w:t>
            </w:r>
          </w:p>
        </w:tc>
        <w:tc>
          <w:tcPr>
            <w:tcW w:w="770" w:type="dxa"/>
            <w:tcBorders>
              <w:top w:val="double" w:color="auto" w:sz="4" w:space="0"/>
            </w:tcBorders>
            <w:shd w:val="clear" w:color="auto" w:fill="DEEBF6"/>
            <w:noWrap w:val="0"/>
            <w:vAlign w:val="center"/>
          </w:tcPr>
          <w:p w14:paraId="45F7F95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2863" w:type="dxa"/>
            <w:tcBorders>
              <w:top w:val="double" w:color="auto" w:sz="4" w:space="0"/>
              <w:right w:val="double" w:color="auto" w:sz="4" w:space="0"/>
            </w:tcBorders>
            <w:shd w:val="clear" w:color="auto" w:fill="DEEBF6"/>
            <w:noWrap w:val="0"/>
            <w:vAlign w:val="center"/>
          </w:tcPr>
          <w:p w14:paraId="252FE98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14:paraId="78FC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220" w:type="dxa"/>
            <w:gridSpan w:val="5"/>
            <w:tcBorders>
              <w:left w:val="double" w:color="auto" w:sz="4" w:space="0"/>
              <w:right w:val="double" w:color="auto" w:sz="4" w:space="0"/>
            </w:tcBorders>
            <w:noWrap w:val="0"/>
            <w:vAlign w:val="center"/>
          </w:tcPr>
          <w:p w14:paraId="2D3CC6CC">
            <w:pPr>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一</w:t>
            </w:r>
            <w:r>
              <w:rPr>
                <w:rFonts w:hint="eastAsia" w:ascii="宋体" w:hAnsi="宋体" w:eastAsia="宋体" w:cs="宋体"/>
                <w:b/>
                <w:color w:val="auto"/>
                <w:sz w:val="21"/>
                <w:szCs w:val="21"/>
              </w:rPr>
              <w:t>、主要吊索具表</w:t>
            </w:r>
          </w:p>
        </w:tc>
      </w:tr>
      <w:tr w14:paraId="09BB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69C55E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1F15B7C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777" w:type="dxa"/>
            <w:noWrap w:val="0"/>
            <w:vAlign w:val="center"/>
          </w:tcPr>
          <w:p w14:paraId="0216A587">
            <w:pPr>
              <w:pStyle w:val="44"/>
              <w:spacing w:before="60"/>
              <w:ind w:firstLine="0" w:firstLineChars="0"/>
              <w:rPr>
                <w:rFonts w:hint="default" w:ascii="宋体" w:hAnsi="宋体" w:eastAsia="宋体" w:cs="宋体"/>
                <w:color w:val="auto"/>
                <w:sz w:val="21"/>
                <w:szCs w:val="21"/>
                <w:highlight w:val="yellow"/>
                <w:lang w:val="en-US" w:eastAsia="zh-CN"/>
              </w:rPr>
            </w:pPr>
            <w:r>
              <w:rPr>
                <w:rFonts w:hint="eastAsia" w:cs="宋体"/>
                <w:color w:val="auto"/>
                <w:sz w:val="21"/>
                <w:szCs w:val="21"/>
                <w:highlight w:val="none"/>
                <w:lang w:val="en-US" w:eastAsia="zh-CN"/>
              </w:rPr>
              <w:t>16</w:t>
            </w:r>
            <w:r>
              <w:rPr>
                <w:rFonts w:hint="default" w:ascii="宋体" w:hAnsi="宋体" w:eastAsia="宋体" w:cs="宋体"/>
                <w:color w:val="auto"/>
                <w:sz w:val="21"/>
                <w:szCs w:val="21"/>
                <w:highlight w:val="none"/>
                <w:lang w:val="en-US" w:eastAsia="zh-CN"/>
              </w:rPr>
              <w:t>mm</w:t>
            </w:r>
            <w:r>
              <w:rPr>
                <w:rFonts w:hint="eastAsia" w:cs="宋体"/>
                <w:color w:val="auto"/>
                <w:sz w:val="21"/>
                <w:szCs w:val="21"/>
                <w:highlight w:val="none"/>
                <w:lang w:val="en-US" w:eastAsia="zh-CN"/>
              </w:rPr>
              <w:t>6×19W+IWR</w:t>
            </w:r>
            <w:r>
              <w:rPr>
                <w:rFonts w:hint="default" w:ascii="宋体" w:hAnsi="宋体" w:eastAsia="宋体" w:cs="宋体"/>
                <w:color w:val="auto"/>
                <w:sz w:val="21"/>
                <w:szCs w:val="21"/>
                <w:highlight w:val="none"/>
                <w:lang w:val="en-US" w:eastAsia="zh-CN"/>
              </w:rPr>
              <w:t>1870Mpa</w:t>
            </w:r>
          </w:p>
        </w:tc>
        <w:tc>
          <w:tcPr>
            <w:tcW w:w="770" w:type="dxa"/>
            <w:noWrap w:val="0"/>
            <w:vAlign w:val="center"/>
          </w:tcPr>
          <w:p w14:paraId="26D5CFAE">
            <w:pPr>
              <w:pStyle w:val="44"/>
              <w:spacing w:before="60"/>
              <w:rPr>
                <w:rFonts w:hint="eastAsia" w:ascii="宋体" w:hAnsi="宋体" w:eastAsia="宋体" w:cs="宋体"/>
                <w:color w:val="auto"/>
                <w:sz w:val="21"/>
                <w:szCs w:val="21"/>
              </w:rPr>
            </w:pPr>
            <w:r>
              <w:rPr>
                <w:rFonts w:hint="eastAsia" w:cs="宋体"/>
                <w:color w:val="auto"/>
                <w:sz w:val="21"/>
                <w:szCs w:val="21"/>
                <w:lang w:val="en-US" w:eastAsia="zh-CN"/>
              </w:rPr>
              <w:t>4</w:t>
            </w:r>
            <w:r>
              <w:rPr>
                <w:rFonts w:hint="eastAsia" w:ascii="宋体" w:hAnsi="宋体" w:eastAsia="宋体" w:cs="宋体"/>
                <w:color w:val="auto"/>
                <w:sz w:val="21"/>
                <w:szCs w:val="21"/>
              </w:rPr>
              <w:t>根</w:t>
            </w:r>
          </w:p>
        </w:tc>
        <w:tc>
          <w:tcPr>
            <w:tcW w:w="2863" w:type="dxa"/>
            <w:tcBorders>
              <w:right w:val="double" w:color="auto" w:sz="4" w:space="0"/>
            </w:tcBorders>
            <w:noWrap w:val="0"/>
            <w:vAlign w:val="center"/>
          </w:tcPr>
          <w:p w14:paraId="76B64E6C">
            <w:pPr>
              <w:pStyle w:val="44"/>
              <w:spacing w:before="60"/>
              <w:rPr>
                <w:rFonts w:hint="eastAsia" w:ascii="宋体" w:hAnsi="宋体" w:eastAsia="宋体" w:cs="宋体"/>
                <w:color w:val="auto"/>
                <w:sz w:val="21"/>
                <w:szCs w:val="21"/>
              </w:rPr>
            </w:pPr>
            <w:r>
              <w:rPr>
                <w:rFonts w:hint="eastAsia" w:cs="宋体"/>
                <w:color w:val="auto"/>
                <w:sz w:val="21"/>
                <w:szCs w:val="21"/>
                <w:lang w:val="en-US" w:eastAsia="zh-CN"/>
              </w:rPr>
              <w:t>四点吊</w:t>
            </w:r>
            <w:r>
              <w:rPr>
                <w:rFonts w:hint="eastAsia" w:ascii="宋体" w:hAnsi="宋体" w:eastAsia="宋体" w:cs="宋体"/>
                <w:color w:val="auto"/>
                <w:sz w:val="21"/>
                <w:szCs w:val="21"/>
              </w:rPr>
              <w:t>吊装</w:t>
            </w:r>
            <w:r>
              <w:rPr>
                <w:rFonts w:hint="eastAsia" w:ascii="宋体" w:hAnsi="宋体" w:eastAsia="宋体" w:cs="宋体"/>
                <w:color w:val="auto"/>
                <w:sz w:val="21"/>
                <w:szCs w:val="21"/>
                <w:lang w:eastAsia="zh-CN"/>
              </w:rPr>
              <w:t>时</w:t>
            </w:r>
            <w:r>
              <w:rPr>
                <w:rFonts w:hint="eastAsia" w:ascii="宋体" w:hAnsi="宋体" w:eastAsia="宋体" w:cs="宋体"/>
                <w:color w:val="auto"/>
                <w:sz w:val="21"/>
                <w:szCs w:val="21"/>
              </w:rPr>
              <w:t>用</w:t>
            </w:r>
          </w:p>
        </w:tc>
      </w:tr>
      <w:tr w14:paraId="1B03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13AE254A">
            <w:pPr>
              <w:pStyle w:val="44"/>
              <w:spacing w:before="60"/>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p>
        </w:tc>
        <w:tc>
          <w:tcPr>
            <w:tcW w:w="1077" w:type="dxa"/>
            <w:noWrap w:val="0"/>
            <w:vAlign w:val="center"/>
          </w:tcPr>
          <w:p w14:paraId="6DE5D14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777" w:type="dxa"/>
            <w:noWrap w:val="0"/>
            <w:vAlign w:val="center"/>
          </w:tcPr>
          <w:p w14:paraId="5C36377F">
            <w:pPr>
              <w:pStyle w:val="44"/>
              <w:spacing w:before="60"/>
              <w:ind w:firstLine="0" w:firstLineChars="0"/>
              <w:rPr>
                <w:rFonts w:hint="eastAsia" w:cs="宋体"/>
                <w:color w:val="auto"/>
                <w:sz w:val="21"/>
                <w:szCs w:val="21"/>
                <w:highlight w:val="none"/>
                <w:lang w:val="en-US" w:eastAsia="zh-CN"/>
              </w:rPr>
            </w:pPr>
            <w:r>
              <w:rPr>
                <w:rFonts w:hint="eastAsia" w:cs="宋体"/>
                <w:color w:val="auto"/>
                <w:sz w:val="21"/>
                <w:szCs w:val="21"/>
                <w:highlight w:val="none"/>
                <w:lang w:val="en-US" w:eastAsia="zh-CN"/>
              </w:rPr>
              <w:t>18</w:t>
            </w:r>
            <w:r>
              <w:rPr>
                <w:rFonts w:hint="default" w:ascii="宋体" w:hAnsi="宋体" w:eastAsia="宋体" w:cs="宋体"/>
                <w:color w:val="auto"/>
                <w:sz w:val="21"/>
                <w:szCs w:val="21"/>
                <w:highlight w:val="none"/>
                <w:lang w:val="en-US" w:eastAsia="zh-CN"/>
              </w:rPr>
              <w:t>mm</w:t>
            </w:r>
            <w:r>
              <w:rPr>
                <w:rFonts w:hint="eastAsia" w:cs="宋体"/>
                <w:color w:val="auto"/>
                <w:sz w:val="21"/>
                <w:szCs w:val="21"/>
                <w:highlight w:val="none"/>
                <w:lang w:val="en-US" w:eastAsia="zh-CN"/>
              </w:rPr>
              <w:t>6×19W+IWR</w:t>
            </w:r>
            <w:r>
              <w:rPr>
                <w:rFonts w:hint="default" w:ascii="宋体" w:hAnsi="宋体" w:eastAsia="宋体" w:cs="宋体"/>
                <w:color w:val="auto"/>
                <w:sz w:val="21"/>
                <w:szCs w:val="21"/>
                <w:highlight w:val="none"/>
                <w:lang w:val="en-US" w:eastAsia="zh-CN"/>
              </w:rPr>
              <w:t>1870Mpa</w:t>
            </w:r>
          </w:p>
        </w:tc>
        <w:tc>
          <w:tcPr>
            <w:tcW w:w="770" w:type="dxa"/>
            <w:noWrap w:val="0"/>
            <w:vAlign w:val="center"/>
          </w:tcPr>
          <w:p w14:paraId="3A1087C3">
            <w:pPr>
              <w:pStyle w:val="44"/>
              <w:spacing w:before="60"/>
              <w:rPr>
                <w:rFonts w:hint="default" w:cs="宋体"/>
                <w:color w:val="auto"/>
                <w:sz w:val="21"/>
                <w:szCs w:val="21"/>
                <w:lang w:val="en-US" w:eastAsia="zh-CN"/>
              </w:rPr>
            </w:pPr>
            <w:r>
              <w:rPr>
                <w:rFonts w:hint="eastAsia" w:cs="宋体"/>
                <w:color w:val="auto"/>
                <w:sz w:val="21"/>
                <w:szCs w:val="21"/>
                <w:lang w:val="en-US" w:eastAsia="zh-CN"/>
              </w:rPr>
              <w:t>4</w:t>
            </w:r>
            <w:r>
              <w:rPr>
                <w:rFonts w:hint="eastAsia" w:ascii="宋体" w:hAnsi="宋体" w:eastAsia="宋体" w:cs="宋体"/>
                <w:color w:val="auto"/>
                <w:sz w:val="21"/>
                <w:szCs w:val="21"/>
              </w:rPr>
              <w:t>根</w:t>
            </w:r>
          </w:p>
        </w:tc>
        <w:tc>
          <w:tcPr>
            <w:tcW w:w="2863" w:type="dxa"/>
            <w:tcBorders>
              <w:right w:val="double" w:color="auto" w:sz="4" w:space="0"/>
            </w:tcBorders>
            <w:noWrap w:val="0"/>
            <w:vAlign w:val="center"/>
          </w:tcPr>
          <w:p w14:paraId="572C5F3A">
            <w:pPr>
              <w:pStyle w:val="44"/>
              <w:spacing w:before="60"/>
              <w:rPr>
                <w:rFonts w:hint="eastAsia" w:cs="宋体"/>
                <w:color w:val="auto"/>
                <w:sz w:val="21"/>
                <w:szCs w:val="21"/>
                <w:lang w:val="en-US" w:eastAsia="zh-CN"/>
              </w:rPr>
            </w:pPr>
            <w:r>
              <w:rPr>
                <w:rFonts w:hint="eastAsia" w:cs="宋体"/>
                <w:color w:val="auto"/>
                <w:sz w:val="21"/>
                <w:szCs w:val="21"/>
                <w:lang w:val="en-US" w:eastAsia="zh-CN"/>
              </w:rPr>
              <w:t>两点吊</w:t>
            </w:r>
            <w:r>
              <w:rPr>
                <w:rFonts w:hint="eastAsia" w:ascii="宋体" w:hAnsi="宋体" w:eastAsia="宋体" w:cs="宋体"/>
                <w:color w:val="auto"/>
                <w:sz w:val="21"/>
                <w:szCs w:val="21"/>
              </w:rPr>
              <w:t>吊装</w:t>
            </w:r>
            <w:r>
              <w:rPr>
                <w:rFonts w:hint="eastAsia" w:ascii="宋体" w:hAnsi="宋体" w:eastAsia="宋体" w:cs="宋体"/>
                <w:color w:val="auto"/>
                <w:sz w:val="21"/>
                <w:szCs w:val="21"/>
                <w:lang w:eastAsia="zh-CN"/>
              </w:rPr>
              <w:t>时</w:t>
            </w:r>
            <w:r>
              <w:rPr>
                <w:rFonts w:hint="eastAsia" w:ascii="宋体" w:hAnsi="宋体" w:eastAsia="宋体" w:cs="宋体"/>
                <w:color w:val="auto"/>
                <w:sz w:val="21"/>
                <w:szCs w:val="21"/>
              </w:rPr>
              <w:t>用</w:t>
            </w:r>
          </w:p>
        </w:tc>
      </w:tr>
      <w:tr w14:paraId="3F62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1C7B59E">
            <w:pPr>
              <w:pStyle w:val="44"/>
              <w:spacing w:before="60"/>
              <w:rPr>
                <w:rFonts w:hint="eastAsia" w:ascii="宋体" w:hAnsi="宋体" w:eastAsia="宋体" w:cs="宋体"/>
                <w:color w:val="auto"/>
                <w:sz w:val="21"/>
                <w:szCs w:val="21"/>
                <w:lang w:eastAsia="zh-CN"/>
              </w:rPr>
            </w:pPr>
            <w:r>
              <w:rPr>
                <w:rFonts w:hint="eastAsia" w:cs="宋体"/>
                <w:color w:val="auto"/>
                <w:sz w:val="21"/>
                <w:szCs w:val="21"/>
                <w:lang w:val="en-US" w:eastAsia="zh-CN"/>
              </w:rPr>
              <w:t>3</w:t>
            </w:r>
          </w:p>
        </w:tc>
        <w:tc>
          <w:tcPr>
            <w:tcW w:w="1077" w:type="dxa"/>
            <w:noWrap w:val="0"/>
            <w:vAlign w:val="center"/>
          </w:tcPr>
          <w:p w14:paraId="5740EDB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卸 扣</w:t>
            </w:r>
          </w:p>
        </w:tc>
        <w:tc>
          <w:tcPr>
            <w:tcW w:w="2777" w:type="dxa"/>
            <w:noWrap w:val="0"/>
            <w:vAlign w:val="center"/>
          </w:tcPr>
          <w:p w14:paraId="463CD3A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 xml:space="preserve">5吨 </w:t>
            </w:r>
          </w:p>
        </w:tc>
        <w:tc>
          <w:tcPr>
            <w:tcW w:w="770" w:type="dxa"/>
            <w:noWrap w:val="0"/>
            <w:vAlign w:val="center"/>
          </w:tcPr>
          <w:p w14:paraId="6C60D14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4个</w:t>
            </w:r>
          </w:p>
        </w:tc>
        <w:tc>
          <w:tcPr>
            <w:tcW w:w="2863" w:type="dxa"/>
            <w:tcBorders>
              <w:right w:val="double" w:color="auto" w:sz="4" w:space="0"/>
            </w:tcBorders>
            <w:noWrap w:val="0"/>
            <w:vAlign w:val="center"/>
          </w:tcPr>
          <w:p w14:paraId="09859F0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现场吊装用</w:t>
            </w:r>
          </w:p>
        </w:tc>
      </w:tr>
      <w:tr w14:paraId="6F5C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14:paraId="47081512">
            <w:pPr>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一</w:t>
            </w:r>
            <w:r>
              <w:rPr>
                <w:rFonts w:hint="eastAsia" w:ascii="宋体" w:hAnsi="宋体" w:eastAsia="宋体" w:cs="宋体"/>
                <w:b/>
                <w:color w:val="auto"/>
                <w:sz w:val="21"/>
                <w:szCs w:val="21"/>
              </w:rPr>
              <w:t>、主要工具表</w:t>
            </w:r>
          </w:p>
        </w:tc>
      </w:tr>
      <w:tr w14:paraId="755C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A32907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05F49EA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力矩扳手</w:t>
            </w:r>
          </w:p>
        </w:tc>
        <w:tc>
          <w:tcPr>
            <w:tcW w:w="2777" w:type="dxa"/>
            <w:noWrap w:val="0"/>
            <w:vAlign w:val="center"/>
          </w:tcPr>
          <w:p w14:paraId="7EF7950A">
            <w:pPr>
              <w:pStyle w:val="44"/>
              <w:spacing w:before="60"/>
              <w:rPr>
                <w:rFonts w:hint="eastAsia" w:ascii="宋体" w:hAnsi="宋体" w:eastAsia="宋体" w:cs="宋体"/>
                <w:color w:val="auto"/>
                <w:sz w:val="21"/>
                <w:szCs w:val="21"/>
              </w:rPr>
            </w:pPr>
          </w:p>
        </w:tc>
        <w:tc>
          <w:tcPr>
            <w:tcW w:w="770" w:type="dxa"/>
            <w:noWrap w:val="0"/>
            <w:vAlign w:val="center"/>
          </w:tcPr>
          <w:p w14:paraId="2E08302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2863" w:type="dxa"/>
            <w:tcBorders>
              <w:right w:val="double" w:color="auto" w:sz="4" w:space="0"/>
            </w:tcBorders>
            <w:noWrap w:val="0"/>
            <w:vAlign w:val="center"/>
          </w:tcPr>
          <w:p w14:paraId="6AC6537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拼装、安装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用，根据需求配置</w:t>
            </w:r>
          </w:p>
        </w:tc>
      </w:tr>
      <w:tr w14:paraId="2B6F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CC2A1B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77" w:type="dxa"/>
            <w:noWrap w:val="0"/>
            <w:vAlign w:val="center"/>
          </w:tcPr>
          <w:p w14:paraId="51E5D74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常用扳手</w:t>
            </w:r>
          </w:p>
        </w:tc>
        <w:tc>
          <w:tcPr>
            <w:tcW w:w="2777" w:type="dxa"/>
            <w:noWrap w:val="0"/>
            <w:vAlign w:val="center"/>
          </w:tcPr>
          <w:p w14:paraId="78E7199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2940DEE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2套</w:t>
            </w:r>
          </w:p>
        </w:tc>
        <w:tc>
          <w:tcPr>
            <w:tcW w:w="2863" w:type="dxa"/>
            <w:tcBorders>
              <w:right w:val="double" w:color="auto" w:sz="4" w:space="0"/>
            </w:tcBorders>
            <w:noWrap w:val="0"/>
            <w:vAlign w:val="center"/>
          </w:tcPr>
          <w:p w14:paraId="114FD99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080E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BE4BCD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77" w:type="dxa"/>
            <w:noWrap w:val="0"/>
            <w:vAlign w:val="center"/>
          </w:tcPr>
          <w:p w14:paraId="2D05136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手拉葫芦</w:t>
            </w:r>
          </w:p>
        </w:tc>
        <w:tc>
          <w:tcPr>
            <w:tcW w:w="2777" w:type="dxa"/>
            <w:noWrap w:val="0"/>
            <w:vAlign w:val="center"/>
          </w:tcPr>
          <w:p w14:paraId="2348ED4D">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2t</w:t>
            </w:r>
          </w:p>
        </w:tc>
        <w:tc>
          <w:tcPr>
            <w:tcW w:w="770" w:type="dxa"/>
            <w:noWrap w:val="0"/>
            <w:vAlign w:val="center"/>
          </w:tcPr>
          <w:p w14:paraId="0B5FAAB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 xml:space="preserve">4只 </w:t>
            </w:r>
          </w:p>
        </w:tc>
        <w:tc>
          <w:tcPr>
            <w:tcW w:w="2863" w:type="dxa"/>
            <w:tcBorders>
              <w:right w:val="double" w:color="auto" w:sz="4" w:space="0"/>
            </w:tcBorders>
            <w:noWrap w:val="0"/>
            <w:vAlign w:val="center"/>
          </w:tcPr>
          <w:p w14:paraId="41B95A3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5CE3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C63ECE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077" w:type="dxa"/>
            <w:noWrap w:val="0"/>
            <w:vAlign w:val="center"/>
          </w:tcPr>
          <w:p w14:paraId="310D290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机械千斤顶</w:t>
            </w:r>
          </w:p>
        </w:tc>
        <w:tc>
          <w:tcPr>
            <w:tcW w:w="2777" w:type="dxa"/>
            <w:noWrap w:val="0"/>
            <w:vAlign w:val="center"/>
          </w:tcPr>
          <w:p w14:paraId="3993144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5t</w:t>
            </w:r>
          </w:p>
        </w:tc>
        <w:tc>
          <w:tcPr>
            <w:tcW w:w="770" w:type="dxa"/>
            <w:noWrap w:val="0"/>
            <w:vAlign w:val="center"/>
          </w:tcPr>
          <w:p w14:paraId="2B72AC7D">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2台</w:t>
            </w:r>
          </w:p>
        </w:tc>
        <w:tc>
          <w:tcPr>
            <w:tcW w:w="2863" w:type="dxa"/>
            <w:tcBorders>
              <w:right w:val="double" w:color="auto" w:sz="4" w:space="0"/>
            </w:tcBorders>
            <w:noWrap w:val="0"/>
            <w:vAlign w:val="center"/>
          </w:tcPr>
          <w:p w14:paraId="4624E36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20A5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tcBorders>
              <w:left w:val="double" w:color="auto" w:sz="4" w:space="0"/>
            </w:tcBorders>
            <w:noWrap w:val="0"/>
            <w:vAlign w:val="center"/>
          </w:tcPr>
          <w:p w14:paraId="5C4B30A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77" w:type="dxa"/>
            <w:noWrap w:val="0"/>
            <w:vAlign w:val="center"/>
          </w:tcPr>
          <w:p w14:paraId="027BC6C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大锤</w:t>
            </w:r>
          </w:p>
        </w:tc>
        <w:tc>
          <w:tcPr>
            <w:tcW w:w="2777" w:type="dxa"/>
            <w:noWrap w:val="0"/>
            <w:vAlign w:val="center"/>
          </w:tcPr>
          <w:p w14:paraId="689A8A7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18P</w:t>
            </w:r>
          </w:p>
        </w:tc>
        <w:tc>
          <w:tcPr>
            <w:tcW w:w="770" w:type="dxa"/>
            <w:noWrap w:val="0"/>
            <w:vAlign w:val="center"/>
          </w:tcPr>
          <w:p w14:paraId="1C460F7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4把</w:t>
            </w:r>
          </w:p>
        </w:tc>
        <w:tc>
          <w:tcPr>
            <w:tcW w:w="2863" w:type="dxa"/>
            <w:tcBorders>
              <w:right w:val="double" w:color="auto" w:sz="4" w:space="0"/>
            </w:tcBorders>
            <w:noWrap w:val="0"/>
            <w:vAlign w:val="center"/>
          </w:tcPr>
          <w:p w14:paraId="66EA80C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10D3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8D0FCB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077" w:type="dxa"/>
            <w:noWrap w:val="0"/>
            <w:vAlign w:val="center"/>
          </w:tcPr>
          <w:p w14:paraId="049391D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撬棍</w:t>
            </w:r>
          </w:p>
        </w:tc>
        <w:tc>
          <w:tcPr>
            <w:tcW w:w="2777" w:type="dxa"/>
            <w:noWrap w:val="0"/>
            <w:vAlign w:val="center"/>
          </w:tcPr>
          <w:p w14:paraId="63B10C5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直径30</w:t>
            </w:r>
          </w:p>
        </w:tc>
        <w:tc>
          <w:tcPr>
            <w:tcW w:w="770" w:type="dxa"/>
            <w:noWrap w:val="0"/>
            <w:vAlign w:val="center"/>
          </w:tcPr>
          <w:p w14:paraId="427E04A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2把</w:t>
            </w:r>
          </w:p>
        </w:tc>
        <w:tc>
          <w:tcPr>
            <w:tcW w:w="2863" w:type="dxa"/>
            <w:tcBorders>
              <w:right w:val="double" w:color="auto" w:sz="4" w:space="0"/>
            </w:tcBorders>
            <w:noWrap w:val="0"/>
            <w:vAlign w:val="center"/>
          </w:tcPr>
          <w:p w14:paraId="022F5F3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3745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2A4E9D53">
            <w:pPr>
              <w:pStyle w:val="44"/>
              <w:spacing w:before="60"/>
              <w:rPr>
                <w:rFonts w:hint="eastAsia" w:ascii="宋体" w:hAnsi="宋体" w:eastAsia="宋体" w:cs="宋体"/>
                <w:color w:val="auto"/>
                <w:sz w:val="21"/>
                <w:szCs w:val="21"/>
                <w:lang w:val="en-US" w:eastAsia="zh-CN"/>
              </w:rPr>
            </w:pPr>
            <w:r>
              <w:rPr>
                <w:rFonts w:hint="eastAsia" w:cs="宋体"/>
                <w:color w:val="auto"/>
                <w:sz w:val="21"/>
                <w:szCs w:val="21"/>
                <w:lang w:val="en-US" w:eastAsia="zh-CN"/>
              </w:rPr>
              <w:t>7</w:t>
            </w:r>
          </w:p>
        </w:tc>
        <w:tc>
          <w:tcPr>
            <w:tcW w:w="1077" w:type="dxa"/>
            <w:noWrap w:val="0"/>
            <w:vAlign w:val="center"/>
          </w:tcPr>
          <w:p w14:paraId="43AF9605">
            <w:pPr>
              <w:pStyle w:val="44"/>
              <w:spacing w:before="60"/>
              <w:rPr>
                <w:rFonts w:hint="eastAsia" w:ascii="宋体" w:hAnsi="宋体" w:eastAsia="宋体" w:cs="宋体"/>
                <w:color w:val="auto"/>
                <w:sz w:val="21"/>
                <w:szCs w:val="21"/>
              </w:rPr>
            </w:pPr>
            <w:r>
              <w:rPr>
                <w:rFonts w:hint="default" w:ascii="宋体" w:hAnsi="宋体"/>
                <w:color w:val="auto"/>
                <w:sz w:val="18"/>
                <w:szCs w:val="18"/>
                <w:lang w:val="en-US"/>
              </w:rPr>
              <w:t>电阻测试仪、</w:t>
            </w:r>
          </w:p>
        </w:tc>
        <w:tc>
          <w:tcPr>
            <w:tcW w:w="2777" w:type="dxa"/>
            <w:noWrap w:val="0"/>
            <w:vAlign w:val="center"/>
          </w:tcPr>
          <w:p w14:paraId="2EAB6C2B">
            <w:pPr>
              <w:pStyle w:val="44"/>
              <w:spacing w:before="60"/>
              <w:rPr>
                <w:rFonts w:hint="eastAsia" w:ascii="宋体" w:hAnsi="宋体" w:eastAsia="宋体" w:cs="宋体"/>
                <w:color w:val="auto"/>
                <w:sz w:val="21"/>
                <w:szCs w:val="21"/>
              </w:rPr>
            </w:pPr>
          </w:p>
        </w:tc>
        <w:tc>
          <w:tcPr>
            <w:tcW w:w="770" w:type="dxa"/>
            <w:noWrap w:val="0"/>
            <w:vAlign w:val="center"/>
          </w:tcPr>
          <w:p w14:paraId="6EC382A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台</w:t>
            </w:r>
          </w:p>
        </w:tc>
        <w:tc>
          <w:tcPr>
            <w:tcW w:w="2863" w:type="dxa"/>
            <w:tcBorders>
              <w:right w:val="double" w:color="auto" w:sz="4" w:space="0"/>
            </w:tcBorders>
            <w:noWrap w:val="0"/>
            <w:vAlign w:val="center"/>
          </w:tcPr>
          <w:p w14:paraId="69F89654">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2FB4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12DAD6DE">
            <w:pPr>
              <w:pStyle w:val="44"/>
              <w:spacing w:before="60"/>
              <w:rPr>
                <w:rFonts w:hint="eastAsia" w:ascii="宋体" w:hAnsi="宋体" w:eastAsia="宋体" w:cs="宋体"/>
                <w:color w:val="auto"/>
                <w:sz w:val="21"/>
                <w:szCs w:val="21"/>
                <w:lang w:val="en-US" w:eastAsia="zh-CN"/>
              </w:rPr>
            </w:pPr>
            <w:r>
              <w:rPr>
                <w:rFonts w:hint="eastAsia" w:cs="宋体"/>
                <w:color w:val="auto"/>
                <w:sz w:val="21"/>
                <w:szCs w:val="21"/>
                <w:lang w:val="en-US" w:eastAsia="zh-CN"/>
              </w:rPr>
              <w:t>8</w:t>
            </w:r>
          </w:p>
        </w:tc>
        <w:tc>
          <w:tcPr>
            <w:tcW w:w="1077" w:type="dxa"/>
            <w:noWrap w:val="0"/>
            <w:vAlign w:val="center"/>
          </w:tcPr>
          <w:p w14:paraId="6F120234">
            <w:pPr>
              <w:pStyle w:val="44"/>
              <w:spacing w:before="60"/>
              <w:rPr>
                <w:rFonts w:hint="eastAsia" w:ascii="宋体" w:hAnsi="宋体" w:eastAsia="宋体" w:cs="宋体"/>
                <w:color w:val="auto"/>
                <w:sz w:val="21"/>
                <w:szCs w:val="21"/>
              </w:rPr>
            </w:pPr>
            <w:r>
              <w:rPr>
                <w:rFonts w:hint="default" w:ascii="宋体" w:hAnsi="宋体"/>
                <w:color w:val="auto"/>
                <w:sz w:val="18"/>
                <w:szCs w:val="18"/>
                <w:lang w:val="en-US"/>
              </w:rPr>
              <w:t>万能表</w:t>
            </w:r>
          </w:p>
        </w:tc>
        <w:tc>
          <w:tcPr>
            <w:tcW w:w="2777" w:type="dxa"/>
            <w:noWrap w:val="0"/>
            <w:vAlign w:val="center"/>
          </w:tcPr>
          <w:p w14:paraId="3927EA5D">
            <w:pPr>
              <w:pStyle w:val="44"/>
              <w:spacing w:before="60"/>
              <w:rPr>
                <w:rFonts w:hint="eastAsia" w:ascii="宋体" w:hAnsi="宋体" w:eastAsia="宋体" w:cs="宋体"/>
                <w:color w:val="auto"/>
                <w:sz w:val="21"/>
                <w:szCs w:val="21"/>
              </w:rPr>
            </w:pPr>
          </w:p>
        </w:tc>
        <w:tc>
          <w:tcPr>
            <w:tcW w:w="770" w:type="dxa"/>
            <w:noWrap w:val="0"/>
            <w:vAlign w:val="center"/>
          </w:tcPr>
          <w:p w14:paraId="4521C55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台</w:t>
            </w:r>
          </w:p>
        </w:tc>
        <w:tc>
          <w:tcPr>
            <w:tcW w:w="2863" w:type="dxa"/>
            <w:tcBorders>
              <w:right w:val="double" w:color="auto" w:sz="4" w:space="0"/>
            </w:tcBorders>
            <w:noWrap w:val="0"/>
            <w:vAlign w:val="center"/>
          </w:tcPr>
          <w:p w14:paraId="3A209EF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3C42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14:paraId="0B5EE0BE">
            <w:pPr>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三　</w:t>
            </w:r>
            <w:r>
              <w:rPr>
                <w:rFonts w:hint="eastAsia" w:ascii="宋体" w:hAnsi="宋体" w:eastAsia="宋体" w:cs="宋体"/>
                <w:b/>
                <w:color w:val="auto"/>
                <w:sz w:val="21"/>
                <w:szCs w:val="21"/>
              </w:rPr>
              <w:t>、其他机具材料</w:t>
            </w:r>
          </w:p>
        </w:tc>
      </w:tr>
      <w:tr w14:paraId="47EA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5AD1366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2E99320A">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安全带</w:t>
            </w:r>
          </w:p>
        </w:tc>
        <w:tc>
          <w:tcPr>
            <w:tcW w:w="2777" w:type="dxa"/>
            <w:noWrap w:val="0"/>
            <w:vAlign w:val="center"/>
          </w:tcPr>
          <w:p w14:paraId="264E7BE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35E1652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6根</w:t>
            </w:r>
          </w:p>
        </w:tc>
        <w:tc>
          <w:tcPr>
            <w:tcW w:w="2863" w:type="dxa"/>
            <w:tcBorders>
              <w:right w:val="double" w:color="auto" w:sz="4" w:space="0"/>
            </w:tcBorders>
            <w:noWrap w:val="0"/>
            <w:vAlign w:val="center"/>
          </w:tcPr>
          <w:p w14:paraId="403866F4">
            <w:pPr>
              <w:pStyle w:val="44"/>
              <w:spacing w:before="60"/>
              <w:rPr>
                <w:rFonts w:hint="eastAsia" w:ascii="宋体" w:hAnsi="宋体" w:eastAsia="宋体" w:cs="宋体"/>
                <w:color w:val="auto"/>
                <w:sz w:val="21"/>
                <w:szCs w:val="21"/>
              </w:rPr>
            </w:pPr>
          </w:p>
        </w:tc>
      </w:tr>
      <w:tr w14:paraId="3603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2CC00E2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77" w:type="dxa"/>
            <w:noWrap w:val="0"/>
            <w:vAlign w:val="center"/>
          </w:tcPr>
          <w:p w14:paraId="47E9D39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安全帽</w:t>
            </w:r>
          </w:p>
        </w:tc>
        <w:tc>
          <w:tcPr>
            <w:tcW w:w="2777" w:type="dxa"/>
            <w:noWrap w:val="0"/>
            <w:vAlign w:val="center"/>
          </w:tcPr>
          <w:p w14:paraId="7D8286F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1012821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6顶</w:t>
            </w:r>
          </w:p>
        </w:tc>
        <w:tc>
          <w:tcPr>
            <w:tcW w:w="2863" w:type="dxa"/>
            <w:tcBorders>
              <w:right w:val="double" w:color="auto" w:sz="4" w:space="0"/>
            </w:tcBorders>
            <w:noWrap w:val="0"/>
            <w:vAlign w:val="center"/>
          </w:tcPr>
          <w:p w14:paraId="08C5BF7E">
            <w:pPr>
              <w:pStyle w:val="44"/>
              <w:spacing w:before="60"/>
              <w:rPr>
                <w:rFonts w:hint="eastAsia" w:ascii="宋体" w:hAnsi="宋体" w:eastAsia="宋体" w:cs="宋体"/>
                <w:color w:val="auto"/>
                <w:sz w:val="21"/>
                <w:szCs w:val="21"/>
              </w:rPr>
            </w:pPr>
          </w:p>
        </w:tc>
      </w:tr>
      <w:tr w14:paraId="5936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0E8D3E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77" w:type="dxa"/>
            <w:noWrap w:val="0"/>
            <w:vAlign w:val="center"/>
          </w:tcPr>
          <w:p w14:paraId="206929C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对讲机</w:t>
            </w:r>
          </w:p>
        </w:tc>
        <w:tc>
          <w:tcPr>
            <w:tcW w:w="2777" w:type="dxa"/>
            <w:noWrap w:val="0"/>
            <w:vAlign w:val="center"/>
          </w:tcPr>
          <w:p w14:paraId="14FE2B0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46011C7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6台</w:t>
            </w:r>
          </w:p>
        </w:tc>
        <w:tc>
          <w:tcPr>
            <w:tcW w:w="2863" w:type="dxa"/>
            <w:tcBorders>
              <w:right w:val="double" w:color="auto" w:sz="4" w:space="0"/>
            </w:tcBorders>
            <w:noWrap w:val="0"/>
            <w:vAlign w:val="center"/>
          </w:tcPr>
          <w:p w14:paraId="31FB508F">
            <w:pPr>
              <w:pStyle w:val="44"/>
              <w:spacing w:before="60"/>
              <w:rPr>
                <w:rFonts w:hint="eastAsia" w:ascii="宋体" w:hAnsi="宋体" w:eastAsia="宋体" w:cs="宋体"/>
                <w:color w:val="auto"/>
                <w:sz w:val="21"/>
                <w:szCs w:val="21"/>
              </w:rPr>
            </w:pPr>
          </w:p>
        </w:tc>
      </w:tr>
      <w:tr w14:paraId="42E8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858D9E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077" w:type="dxa"/>
            <w:noWrap w:val="0"/>
            <w:vAlign w:val="center"/>
          </w:tcPr>
          <w:p w14:paraId="1583F58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棕绳</w:t>
            </w:r>
          </w:p>
        </w:tc>
        <w:tc>
          <w:tcPr>
            <w:tcW w:w="2777" w:type="dxa"/>
            <w:noWrap w:val="0"/>
            <w:vAlign w:val="center"/>
          </w:tcPr>
          <w:p w14:paraId="559CCE5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Φ18</w:t>
            </w:r>
          </w:p>
        </w:tc>
        <w:tc>
          <w:tcPr>
            <w:tcW w:w="770" w:type="dxa"/>
            <w:noWrap w:val="0"/>
            <w:vAlign w:val="center"/>
          </w:tcPr>
          <w:p w14:paraId="422FC26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50m</w:t>
            </w:r>
          </w:p>
        </w:tc>
        <w:tc>
          <w:tcPr>
            <w:tcW w:w="2863" w:type="dxa"/>
            <w:tcBorders>
              <w:right w:val="double" w:color="auto" w:sz="4" w:space="0"/>
            </w:tcBorders>
            <w:noWrap w:val="0"/>
            <w:vAlign w:val="center"/>
          </w:tcPr>
          <w:p w14:paraId="4B08B14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缆风绳用</w:t>
            </w:r>
          </w:p>
        </w:tc>
      </w:tr>
      <w:tr w14:paraId="5BB7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4158A7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77" w:type="dxa"/>
            <w:noWrap w:val="0"/>
            <w:vAlign w:val="center"/>
          </w:tcPr>
          <w:p w14:paraId="2230BE4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警示带</w:t>
            </w:r>
          </w:p>
        </w:tc>
        <w:tc>
          <w:tcPr>
            <w:tcW w:w="2777" w:type="dxa"/>
            <w:noWrap w:val="0"/>
            <w:vAlign w:val="center"/>
          </w:tcPr>
          <w:p w14:paraId="4D50914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7782E41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500m</w:t>
            </w:r>
          </w:p>
        </w:tc>
        <w:tc>
          <w:tcPr>
            <w:tcW w:w="2863" w:type="dxa"/>
            <w:tcBorders>
              <w:right w:val="double" w:color="auto" w:sz="4" w:space="0"/>
            </w:tcBorders>
            <w:noWrap w:val="0"/>
            <w:vAlign w:val="center"/>
          </w:tcPr>
          <w:p w14:paraId="774018B9">
            <w:pPr>
              <w:pStyle w:val="44"/>
              <w:spacing w:before="60"/>
              <w:rPr>
                <w:rFonts w:hint="eastAsia" w:ascii="宋体" w:hAnsi="宋体" w:eastAsia="宋体" w:cs="宋体"/>
                <w:color w:val="auto"/>
                <w:sz w:val="21"/>
                <w:szCs w:val="21"/>
              </w:rPr>
            </w:pPr>
          </w:p>
        </w:tc>
      </w:tr>
      <w:tr w14:paraId="57BD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12806C6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077" w:type="dxa"/>
            <w:noWrap w:val="0"/>
            <w:vAlign w:val="center"/>
          </w:tcPr>
          <w:p w14:paraId="523E378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安全网</w:t>
            </w:r>
          </w:p>
        </w:tc>
        <w:tc>
          <w:tcPr>
            <w:tcW w:w="2777" w:type="dxa"/>
            <w:noWrap w:val="0"/>
            <w:vAlign w:val="center"/>
          </w:tcPr>
          <w:p w14:paraId="4F236BD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41D780F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2863" w:type="dxa"/>
            <w:tcBorders>
              <w:right w:val="double" w:color="auto" w:sz="4" w:space="0"/>
            </w:tcBorders>
            <w:noWrap w:val="0"/>
            <w:vAlign w:val="center"/>
          </w:tcPr>
          <w:p w14:paraId="05C1B18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配重处用</w:t>
            </w:r>
          </w:p>
        </w:tc>
      </w:tr>
      <w:tr w14:paraId="036F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D2DDF8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1077" w:type="dxa"/>
            <w:noWrap w:val="0"/>
            <w:vAlign w:val="center"/>
          </w:tcPr>
          <w:p w14:paraId="22131D3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防滑手套</w:t>
            </w:r>
          </w:p>
        </w:tc>
        <w:tc>
          <w:tcPr>
            <w:tcW w:w="2777" w:type="dxa"/>
            <w:noWrap w:val="0"/>
            <w:vAlign w:val="center"/>
          </w:tcPr>
          <w:p w14:paraId="581D1BE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1707A19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12双</w:t>
            </w:r>
          </w:p>
        </w:tc>
        <w:tc>
          <w:tcPr>
            <w:tcW w:w="2863" w:type="dxa"/>
            <w:tcBorders>
              <w:right w:val="double" w:color="auto" w:sz="4" w:space="0"/>
            </w:tcBorders>
            <w:noWrap w:val="0"/>
            <w:vAlign w:val="center"/>
          </w:tcPr>
          <w:p w14:paraId="037F76DB">
            <w:pPr>
              <w:pStyle w:val="44"/>
              <w:spacing w:before="60"/>
              <w:rPr>
                <w:rFonts w:hint="eastAsia" w:ascii="宋体" w:hAnsi="宋体" w:eastAsia="宋体" w:cs="宋体"/>
                <w:color w:val="auto"/>
                <w:sz w:val="21"/>
                <w:szCs w:val="21"/>
              </w:rPr>
            </w:pPr>
          </w:p>
        </w:tc>
      </w:tr>
    </w:tbl>
    <w:p w14:paraId="30A420F7">
      <w:pPr>
        <w:pStyle w:val="3"/>
        <w:spacing w:before="156" w:after="156"/>
        <w:ind w:left="480" w:leftChars="0" w:firstLineChars="0"/>
        <w:rPr>
          <w:color w:val="auto"/>
        </w:rPr>
      </w:pPr>
      <w:bookmarkStart w:id="77" w:name="_Toc3717"/>
      <w:bookmarkStart w:id="78" w:name="_Toc28613961"/>
      <w:bookmarkStart w:id="79" w:name="_Toc40778435"/>
      <w:bookmarkStart w:id="80" w:name="_Toc9742"/>
      <w:bookmarkStart w:id="81" w:name="_Toc29143"/>
      <w:r>
        <w:rPr>
          <w:rFonts w:hint="eastAsia"/>
          <w:color w:val="auto"/>
        </w:rPr>
        <w:t>设备计划</w:t>
      </w:r>
      <w:bookmarkEnd w:id="77"/>
      <w:bookmarkEnd w:id="78"/>
      <w:bookmarkEnd w:id="79"/>
      <w:bookmarkEnd w:id="80"/>
      <w:bookmarkEnd w:id="81"/>
    </w:p>
    <w:p w14:paraId="3905C362">
      <w:pPr>
        <w:ind w:firstLine="422"/>
        <w:jc w:val="center"/>
        <w:rPr>
          <w:rFonts w:ascii="宋体" w:hAnsi="宋体" w:cs="黑体"/>
          <w:b/>
          <w:color w:val="auto"/>
          <w:sz w:val="21"/>
          <w:szCs w:val="21"/>
        </w:rPr>
      </w:pPr>
      <w:bookmarkStart w:id="82" w:name="_Toc40778436"/>
      <w:bookmarkStart w:id="83" w:name="_Toc31407"/>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4</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cs="黑体"/>
          <w:b/>
          <w:color w:val="auto"/>
          <w:sz w:val="21"/>
          <w:szCs w:val="21"/>
        </w:rPr>
        <w:t>作业工机具</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266"/>
        <w:gridCol w:w="2588"/>
        <w:gridCol w:w="770"/>
        <w:gridCol w:w="2863"/>
      </w:tblGrid>
      <w:tr w14:paraId="6CD4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top w:val="double" w:color="auto" w:sz="4" w:space="0"/>
              <w:left w:val="double" w:color="auto" w:sz="4" w:space="0"/>
            </w:tcBorders>
            <w:shd w:val="clear" w:color="auto" w:fill="DEEBF6"/>
            <w:noWrap w:val="0"/>
            <w:vAlign w:val="center"/>
          </w:tcPr>
          <w:p w14:paraId="0F15A446">
            <w:pPr>
              <w:pStyle w:val="44"/>
              <w:spacing w:before="60"/>
              <w:rPr>
                <w:rFonts w:hint="eastAsia"/>
                <w:color w:val="auto"/>
                <w:sz w:val="21"/>
                <w:szCs w:val="21"/>
              </w:rPr>
            </w:pPr>
            <w:r>
              <w:rPr>
                <w:rFonts w:hint="eastAsia"/>
                <w:color w:val="auto"/>
                <w:sz w:val="21"/>
                <w:szCs w:val="21"/>
              </w:rPr>
              <w:t>序号</w:t>
            </w:r>
          </w:p>
        </w:tc>
        <w:tc>
          <w:tcPr>
            <w:tcW w:w="1266" w:type="dxa"/>
            <w:tcBorders>
              <w:top w:val="double" w:color="auto" w:sz="4" w:space="0"/>
            </w:tcBorders>
            <w:shd w:val="clear" w:color="auto" w:fill="DEEBF6"/>
            <w:noWrap w:val="0"/>
            <w:vAlign w:val="center"/>
          </w:tcPr>
          <w:p w14:paraId="2D7CC33A">
            <w:pPr>
              <w:pStyle w:val="44"/>
              <w:spacing w:before="60"/>
              <w:rPr>
                <w:rFonts w:hint="eastAsia"/>
                <w:color w:val="auto"/>
                <w:sz w:val="21"/>
                <w:szCs w:val="21"/>
              </w:rPr>
            </w:pPr>
            <w:r>
              <w:rPr>
                <w:rFonts w:hint="eastAsia"/>
                <w:color w:val="auto"/>
                <w:sz w:val="21"/>
                <w:szCs w:val="21"/>
              </w:rPr>
              <w:t>名称</w:t>
            </w:r>
          </w:p>
        </w:tc>
        <w:tc>
          <w:tcPr>
            <w:tcW w:w="2588" w:type="dxa"/>
            <w:tcBorders>
              <w:top w:val="double" w:color="auto" w:sz="4" w:space="0"/>
            </w:tcBorders>
            <w:shd w:val="clear" w:color="auto" w:fill="DEEBF6"/>
            <w:noWrap w:val="0"/>
            <w:vAlign w:val="center"/>
          </w:tcPr>
          <w:p w14:paraId="6C4AE46E">
            <w:pPr>
              <w:pStyle w:val="44"/>
              <w:spacing w:before="60"/>
              <w:rPr>
                <w:rFonts w:hint="eastAsia"/>
                <w:color w:val="auto"/>
                <w:sz w:val="21"/>
                <w:szCs w:val="21"/>
              </w:rPr>
            </w:pPr>
            <w:r>
              <w:rPr>
                <w:rFonts w:hint="eastAsia"/>
                <w:color w:val="auto"/>
                <w:sz w:val="21"/>
                <w:szCs w:val="21"/>
              </w:rPr>
              <w:t>型号</w:t>
            </w:r>
          </w:p>
        </w:tc>
        <w:tc>
          <w:tcPr>
            <w:tcW w:w="770" w:type="dxa"/>
            <w:tcBorders>
              <w:top w:val="double" w:color="auto" w:sz="4" w:space="0"/>
            </w:tcBorders>
            <w:shd w:val="clear" w:color="auto" w:fill="DEEBF6"/>
            <w:noWrap w:val="0"/>
            <w:vAlign w:val="center"/>
          </w:tcPr>
          <w:p w14:paraId="1F15471C">
            <w:pPr>
              <w:pStyle w:val="44"/>
              <w:spacing w:before="60"/>
              <w:rPr>
                <w:rFonts w:hint="eastAsia"/>
                <w:color w:val="auto"/>
                <w:sz w:val="21"/>
                <w:szCs w:val="21"/>
              </w:rPr>
            </w:pPr>
            <w:r>
              <w:rPr>
                <w:rFonts w:hint="eastAsia"/>
                <w:color w:val="auto"/>
                <w:sz w:val="21"/>
                <w:szCs w:val="21"/>
              </w:rPr>
              <w:t>数量</w:t>
            </w:r>
          </w:p>
        </w:tc>
        <w:tc>
          <w:tcPr>
            <w:tcW w:w="2863" w:type="dxa"/>
            <w:tcBorders>
              <w:top w:val="double" w:color="auto" w:sz="4" w:space="0"/>
              <w:right w:val="double" w:color="auto" w:sz="4" w:space="0"/>
            </w:tcBorders>
            <w:shd w:val="clear" w:color="auto" w:fill="DEEBF6"/>
            <w:noWrap w:val="0"/>
            <w:vAlign w:val="center"/>
          </w:tcPr>
          <w:p w14:paraId="7514EBCB">
            <w:pPr>
              <w:pStyle w:val="44"/>
              <w:spacing w:before="60"/>
              <w:rPr>
                <w:rFonts w:hint="eastAsia"/>
                <w:color w:val="auto"/>
                <w:sz w:val="21"/>
                <w:szCs w:val="21"/>
              </w:rPr>
            </w:pPr>
            <w:r>
              <w:rPr>
                <w:rFonts w:hint="eastAsia"/>
                <w:color w:val="auto"/>
                <w:sz w:val="21"/>
                <w:szCs w:val="21"/>
              </w:rPr>
              <w:t>备注</w:t>
            </w:r>
          </w:p>
        </w:tc>
      </w:tr>
      <w:tr w14:paraId="5CD2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33" w:type="dxa"/>
            <w:tcBorders>
              <w:left w:val="double" w:color="auto" w:sz="4" w:space="0"/>
            </w:tcBorders>
            <w:noWrap w:val="0"/>
            <w:vAlign w:val="center"/>
          </w:tcPr>
          <w:p w14:paraId="6408E02D">
            <w:pPr>
              <w:pStyle w:val="44"/>
              <w:spacing w:before="60"/>
              <w:rPr>
                <w:rFonts w:hint="eastAsia"/>
                <w:color w:val="auto"/>
                <w:sz w:val="21"/>
                <w:szCs w:val="21"/>
              </w:rPr>
            </w:pPr>
            <w:r>
              <w:rPr>
                <w:rFonts w:hint="eastAsia"/>
                <w:color w:val="auto"/>
                <w:sz w:val="21"/>
                <w:szCs w:val="21"/>
              </w:rPr>
              <w:t>1</w:t>
            </w:r>
          </w:p>
        </w:tc>
        <w:tc>
          <w:tcPr>
            <w:tcW w:w="1266" w:type="dxa"/>
            <w:noWrap w:val="0"/>
            <w:vAlign w:val="center"/>
          </w:tcPr>
          <w:p w14:paraId="4989707B">
            <w:pPr>
              <w:pStyle w:val="44"/>
              <w:spacing w:before="60"/>
              <w:rPr>
                <w:rFonts w:hint="default" w:eastAsia="宋体"/>
                <w:color w:val="auto"/>
                <w:sz w:val="21"/>
                <w:szCs w:val="21"/>
                <w:lang w:val="en-US" w:eastAsia="zh-CN"/>
              </w:rPr>
            </w:pPr>
            <w:r>
              <w:rPr>
                <w:rFonts w:hint="eastAsia"/>
                <w:color w:val="auto"/>
                <w:sz w:val="21"/>
                <w:szCs w:val="21"/>
                <w:lang w:val="en-US" w:eastAsia="zh-CN"/>
              </w:rPr>
              <w:t>塔式起重机</w:t>
            </w:r>
          </w:p>
        </w:tc>
        <w:tc>
          <w:tcPr>
            <w:tcW w:w="2588" w:type="dxa"/>
            <w:noWrap w:val="0"/>
            <w:vAlign w:val="center"/>
          </w:tcPr>
          <w:p w14:paraId="27833989">
            <w:pPr>
              <w:pStyle w:val="44"/>
              <w:spacing w:before="60"/>
              <w:rPr>
                <w:rFonts w:hint="default" w:eastAsia="宋体"/>
                <w:color w:val="auto"/>
                <w:sz w:val="21"/>
                <w:szCs w:val="21"/>
                <w:lang w:val="en-US" w:eastAsia="zh-CN"/>
              </w:rPr>
            </w:pPr>
            <w:r>
              <w:rPr>
                <w:rFonts w:hint="eastAsia"/>
                <w:color w:val="auto"/>
                <w:sz w:val="21"/>
                <w:szCs w:val="21"/>
                <w:lang w:val="en-US" w:eastAsia="zh-CN"/>
              </w:rPr>
              <w:t>XGT6015-8S1</w:t>
            </w:r>
          </w:p>
        </w:tc>
        <w:tc>
          <w:tcPr>
            <w:tcW w:w="770" w:type="dxa"/>
            <w:noWrap w:val="0"/>
            <w:vAlign w:val="center"/>
          </w:tcPr>
          <w:p w14:paraId="118726CB">
            <w:pPr>
              <w:pStyle w:val="44"/>
              <w:spacing w:before="60"/>
              <w:rPr>
                <w:rFonts w:hint="eastAsia"/>
                <w:color w:val="auto"/>
                <w:sz w:val="21"/>
                <w:szCs w:val="21"/>
              </w:rPr>
            </w:pPr>
            <w:r>
              <w:rPr>
                <w:rFonts w:hint="eastAsia"/>
                <w:color w:val="auto"/>
                <w:sz w:val="21"/>
                <w:szCs w:val="21"/>
              </w:rPr>
              <w:t>1台</w:t>
            </w:r>
          </w:p>
        </w:tc>
        <w:tc>
          <w:tcPr>
            <w:tcW w:w="2863" w:type="dxa"/>
            <w:tcBorders>
              <w:right w:val="double" w:color="auto" w:sz="4" w:space="0"/>
            </w:tcBorders>
            <w:noWrap w:val="0"/>
            <w:vAlign w:val="center"/>
          </w:tcPr>
          <w:p w14:paraId="7F789153">
            <w:pPr>
              <w:pStyle w:val="44"/>
              <w:spacing w:before="60"/>
              <w:rPr>
                <w:rFonts w:hint="eastAsia"/>
                <w:color w:val="auto"/>
                <w:sz w:val="21"/>
                <w:szCs w:val="21"/>
              </w:rPr>
            </w:pPr>
            <w:r>
              <w:rPr>
                <w:rFonts w:hint="eastAsia"/>
                <w:color w:val="auto"/>
                <w:sz w:val="21"/>
                <w:szCs w:val="21"/>
              </w:rPr>
              <w:t>吊装</w:t>
            </w:r>
          </w:p>
        </w:tc>
      </w:tr>
    </w:tbl>
    <w:p w14:paraId="643C6690">
      <w:pPr>
        <w:pStyle w:val="48"/>
        <w:ind w:firstLine="480"/>
        <w:rPr>
          <w:rFonts w:hint="eastAsia" w:ascii="Times New Roman" w:hAnsi="Times New Roman" w:cs="Times New Roman"/>
          <w:color w:val="auto"/>
          <w:kern w:val="2"/>
        </w:rPr>
        <w:sectPr>
          <w:pgSz w:w="11906" w:h="16838"/>
          <w:pgMar w:top="1440" w:right="1134" w:bottom="1440" w:left="1797" w:header="851" w:footer="992" w:gutter="0"/>
          <w:pgNumType w:fmt="decimal"/>
          <w:cols w:space="720" w:num="1"/>
          <w:docGrid w:type="linesAndChars" w:linePitch="326" w:charSpace="0"/>
        </w:sectPr>
      </w:pPr>
    </w:p>
    <w:p w14:paraId="7EE8E5FC">
      <w:pPr>
        <w:pStyle w:val="2"/>
        <w:spacing w:before="156" w:after="156"/>
        <w:rPr>
          <w:color w:val="auto"/>
        </w:rPr>
      </w:pPr>
      <w:bookmarkStart w:id="84" w:name="_Toc26279"/>
      <w:bookmarkStart w:id="85" w:name="_Toc1087"/>
      <w:r>
        <w:rPr>
          <w:rFonts w:hint="eastAsia"/>
          <w:color w:val="auto"/>
        </w:rPr>
        <w:t>施工工艺技术</w:t>
      </w:r>
      <w:bookmarkEnd w:id="82"/>
      <w:bookmarkEnd w:id="83"/>
      <w:bookmarkEnd w:id="84"/>
      <w:bookmarkEnd w:id="85"/>
    </w:p>
    <w:p w14:paraId="0BC59B8C">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86" w:name="_Toc1745"/>
      <w:bookmarkStart w:id="87" w:name="_Toc10785"/>
      <w:bookmarkStart w:id="88" w:name="_Toc40778437"/>
      <w:bookmarkStart w:id="89" w:name="_Toc2911"/>
      <w:bookmarkStart w:id="90" w:name="_Toc29597"/>
      <w:bookmarkStart w:id="91" w:name="_Toc1607"/>
      <w:bookmarkStart w:id="92" w:name="_Toc26392"/>
      <w:bookmarkStart w:id="93" w:name="_Toc11075"/>
      <w:r>
        <w:rPr>
          <w:rFonts w:hint="eastAsia"/>
          <w:color w:val="auto"/>
        </w:rPr>
        <w:t>总体施工方案</w:t>
      </w:r>
      <w:bookmarkEnd w:id="86"/>
      <w:bookmarkEnd w:id="87"/>
    </w:p>
    <w:p w14:paraId="4C91DEAC">
      <w:pPr>
        <w:rPr>
          <w:rFonts w:hint="eastAsia"/>
          <w:color w:val="auto"/>
          <w:lang w:val="en-US" w:eastAsia="zh-CN"/>
        </w:rPr>
      </w:pPr>
      <w:r>
        <w:rPr>
          <w:rFonts w:hint="eastAsia"/>
          <w:color w:val="auto"/>
          <w:lang w:val="en-US" w:eastAsia="zh-CN"/>
        </w:rPr>
        <w:t>4.1.1根据说明书要求制作合格的塔机基础；</w:t>
      </w:r>
    </w:p>
    <w:p w14:paraId="31A18C76">
      <w:pPr>
        <w:pStyle w:val="11"/>
        <w:rPr>
          <w:rFonts w:hint="eastAsia"/>
          <w:color w:val="auto"/>
          <w:lang w:val="en-US" w:eastAsia="zh-CN"/>
        </w:rPr>
      </w:pPr>
      <w:r>
        <w:rPr>
          <w:rFonts w:hint="eastAsia"/>
          <w:color w:val="auto"/>
          <w:lang w:val="en-US" w:eastAsia="zh-CN"/>
        </w:rPr>
        <w:t>4.1.2在告知完成后可进行作业；</w:t>
      </w:r>
    </w:p>
    <w:p w14:paraId="0FAF5F40">
      <w:pPr>
        <w:rPr>
          <w:rFonts w:hint="eastAsia"/>
          <w:color w:val="auto"/>
          <w:lang w:val="en-US" w:eastAsia="zh-CN"/>
        </w:rPr>
      </w:pPr>
      <w:r>
        <w:rPr>
          <w:rFonts w:hint="eastAsia"/>
          <w:color w:val="auto"/>
          <w:lang w:val="en-US" w:eastAsia="zh-CN"/>
        </w:rPr>
        <w:t>4.1.3在作业前项目部相关人员及安装单位相关人员进行作业前的技术交底；</w:t>
      </w:r>
    </w:p>
    <w:p w14:paraId="5BC0E8E9">
      <w:pPr>
        <w:pStyle w:val="11"/>
        <w:rPr>
          <w:rFonts w:hint="eastAsia"/>
          <w:color w:val="auto"/>
          <w:lang w:val="en-US" w:eastAsia="zh-CN"/>
        </w:rPr>
      </w:pPr>
      <w:r>
        <w:rPr>
          <w:rFonts w:hint="eastAsia"/>
          <w:color w:val="auto"/>
          <w:lang w:val="en-US" w:eastAsia="zh-CN"/>
        </w:rPr>
        <w:t>4.1.4在塔机的作业过程中必须以说明书及方案进行施工；</w:t>
      </w:r>
    </w:p>
    <w:p w14:paraId="70DA3B68">
      <w:pPr>
        <w:rPr>
          <w:rFonts w:hint="eastAsia"/>
          <w:color w:val="auto"/>
          <w:lang w:val="en-US" w:eastAsia="zh-CN"/>
        </w:rPr>
      </w:pPr>
      <w:r>
        <w:rPr>
          <w:rFonts w:hint="eastAsia"/>
          <w:color w:val="auto"/>
          <w:lang w:val="en-US" w:eastAsia="zh-CN"/>
        </w:rPr>
        <w:t>4.1.5作业完成后安装单位自检完成后向当地特检部门申请检测；</w:t>
      </w:r>
    </w:p>
    <w:p w14:paraId="30044EF3">
      <w:pPr>
        <w:pStyle w:val="11"/>
        <w:rPr>
          <w:rFonts w:hint="default"/>
          <w:color w:val="auto"/>
          <w:lang w:val="en-US" w:eastAsia="zh-CN"/>
        </w:rPr>
      </w:pPr>
      <w:r>
        <w:rPr>
          <w:rFonts w:hint="eastAsia"/>
          <w:color w:val="auto"/>
          <w:lang w:val="en-US" w:eastAsia="zh-CN"/>
        </w:rPr>
        <w:t>4.1.6检测合格后（如需要使用登记，则在使用登记完成后）才可使用塔机。</w:t>
      </w:r>
    </w:p>
    <w:p w14:paraId="6A2E54C7">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94" w:name="_Toc13577"/>
      <w:bookmarkStart w:id="95" w:name="_Toc19794"/>
      <w:r>
        <w:rPr>
          <w:rFonts w:hint="eastAsia" w:eastAsia="宋体"/>
          <w:color w:val="auto"/>
        </w:rPr>
        <w:t>主要设备选型</w:t>
      </w:r>
      <w:bookmarkEnd w:id="94"/>
      <w:bookmarkEnd w:id="95"/>
    </w:p>
    <w:p w14:paraId="7395E5BC">
      <w:pPr>
        <w:ind w:firstLine="480"/>
        <w:rPr>
          <w:rFonts w:hint="eastAsia"/>
          <w:color w:val="auto"/>
          <w:lang w:val="en-US" w:eastAsia="zh-CN"/>
        </w:rPr>
      </w:pPr>
      <w:r>
        <w:rPr>
          <w:rFonts w:hint="eastAsia"/>
          <w:color w:val="auto"/>
          <w:lang w:val="en-US" w:eastAsia="zh-CN"/>
        </w:rPr>
        <w:t>4.2.1塔机各部件吊重重量明细表</w:t>
      </w:r>
    </w:p>
    <w:p w14:paraId="5AFD54CD">
      <w:pPr>
        <w:ind w:firstLine="422"/>
        <w:jc w:val="center"/>
        <w:rPr>
          <w:rFonts w:hint="eastAsia" w:ascii="Times New Roman" w:hAnsi="Times New Roman"/>
          <w:color w:val="auto"/>
          <w:szCs w:val="24"/>
        </w:rPr>
      </w:pPr>
      <w:r>
        <w:rPr>
          <w:rFonts w:hint="eastAsia" w:ascii="宋体" w:hAnsi="宋体" w:cs="黑体"/>
          <w:b/>
          <w:color w:val="auto"/>
          <w:sz w:val="21"/>
          <w:szCs w:val="21"/>
        </w:rPr>
        <w:t>表</w:t>
      </w:r>
      <w:r>
        <w:rPr>
          <w:rFonts w:hint="eastAsia" w:ascii="宋体" w:hAnsi="宋体" w:cs="黑体"/>
          <w:b/>
          <w:color w:val="auto"/>
          <w:sz w:val="21"/>
          <w:szCs w:val="21"/>
          <w:lang w:val="en-US" w:eastAsia="zh-CN"/>
        </w:rPr>
        <w:t>4.2</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eastAsia="宋体" w:cs="宋体"/>
          <w:b/>
          <w:bCs/>
          <w:color w:val="auto"/>
          <w:spacing w:val="4"/>
          <w:sz w:val="21"/>
          <w:szCs w:val="21"/>
        </w:rPr>
        <w:t xml:space="preserve"> </w:t>
      </w:r>
      <w:r>
        <w:rPr>
          <w:rFonts w:hint="eastAsia" w:ascii="宋体" w:hAnsi="宋体" w:cs="宋体"/>
          <w:b/>
          <w:bCs/>
          <w:color w:val="auto"/>
          <w:spacing w:val="4"/>
          <w:sz w:val="21"/>
          <w:szCs w:val="21"/>
          <w:lang w:val="en-US" w:eastAsia="zh-CN"/>
        </w:rPr>
        <w:t>XGT6015-8S1</w:t>
      </w:r>
      <w:r>
        <w:rPr>
          <w:rFonts w:hint="eastAsia" w:ascii="宋体" w:hAnsi="宋体" w:cs="宋体"/>
          <w:b/>
          <w:bCs/>
          <w:color w:val="auto"/>
          <w:sz w:val="21"/>
          <w:szCs w:val="21"/>
        </w:rPr>
        <w:t>塔式起重机主要部件</w:t>
      </w:r>
      <w:r>
        <w:rPr>
          <w:rFonts w:hint="eastAsia" w:ascii="宋体" w:hAnsi="宋体" w:cs="宋体"/>
          <w:b/>
          <w:bCs/>
          <w:color w:val="auto"/>
          <w:sz w:val="21"/>
          <w:szCs w:val="21"/>
          <w:lang w:eastAsia="zh-CN"/>
        </w:rPr>
        <w:t>吊重</w:t>
      </w:r>
      <w:r>
        <w:rPr>
          <w:rFonts w:hint="eastAsia" w:ascii="宋体" w:hAnsi="宋体" w:cs="宋体"/>
          <w:b/>
          <w:bCs/>
          <w:color w:val="auto"/>
          <w:sz w:val="21"/>
          <w:szCs w:val="21"/>
        </w:rPr>
        <w:t>参数</w:t>
      </w:r>
    </w:p>
    <w:tbl>
      <w:tblPr>
        <w:tblStyle w:val="26"/>
        <w:tblW w:w="91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3"/>
        <w:gridCol w:w="1567"/>
        <w:gridCol w:w="879"/>
        <w:gridCol w:w="1158"/>
        <w:gridCol w:w="1238"/>
        <w:gridCol w:w="3636"/>
      </w:tblGrid>
      <w:tr w14:paraId="42CA1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3F96AAF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567"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16BD25F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名称</w:t>
            </w:r>
          </w:p>
        </w:tc>
        <w:tc>
          <w:tcPr>
            <w:tcW w:w="879"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4189A22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重量(kg)</w:t>
            </w:r>
          </w:p>
        </w:tc>
        <w:tc>
          <w:tcPr>
            <w:tcW w:w="1158"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3574183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1238"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7E2A11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吊装高度</w:t>
            </w:r>
          </w:p>
        </w:tc>
        <w:tc>
          <w:tcPr>
            <w:tcW w:w="3636"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65A17B7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备注</w:t>
            </w:r>
          </w:p>
        </w:tc>
      </w:tr>
      <w:tr w14:paraId="3871D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F041">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AA12">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平衡重A</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04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1200</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913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54E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24.7</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2A8F">
            <w:pPr>
              <w:jc w:val="center"/>
              <w:rPr>
                <w:rFonts w:hint="eastAsia" w:ascii="宋体" w:hAnsi="宋体" w:eastAsia="宋体" w:cs="宋体"/>
                <w:i w:val="0"/>
                <w:iCs w:val="0"/>
                <w:color w:val="auto"/>
                <w:sz w:val="21"/>
                <w:szCs w:val="21"/>
                <w:u w:val="none"/>
              </w:rPr>
            </w:pPr>
          </w:p>
        </w:tc>
      </w:tr>
      <w:tr w14:paraId="7F5CD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2795">
            <w:pPr>
              <w:keepNext w:val="0"/>
              <w:keepLines w:val="0"/>
              <w:widowControl/>
              <w:numPr>
                <w:ilvl w:val="0"/>
                <w:numId w:val="8"/>
              </w:numPr>
              <w:suppressLineNumbers w:val="0"/>
              <w:tabs>
                <w:tab w:val="clear" w:pos="0"/>
              </w:tabs>
              <w:ind w:left="454" w:leftChars="0" w:hanging="454"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F688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起重臂臂节7</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25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238</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978A">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46C5">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DA9F">
            <w:pPr>
              <w:jc w:val="center"/>
              <w:rPr>
                <w:rFonts w:hint="eastAsia" w:ascii="宋体" w:hAnsi="宋体" w:eastAsia="宋体" w:cs="宋体"/>
                <w:i w:val="0"/>
                <w:iCs w:val="0"/>
                <w:color w:val="auto"/>
                <w:sz w:val="21"/>
                <w:szCs w:val="21"/>
                <w:u w:val="none"/>
              </w:rPr>
            </w:pPr>
          </w:p>
        </w:tc>
      </w:tr>
      <w:tr w14:paraId="25FC8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6BAC">
            <w:pPr>
              <w:keepNext w:val="0"/>
              <w:keepLines w:val="0"/>
              <w:widowControl/>
              <w:numPr>
                <w:ilvl w:val="0"/>
                <w:numId w:val="8"/>
              </w:numPr>
              <w:suppressLineNumbers w:val="0"/>
              <w:tabs>
                <w:tab w:val="clear" w:pos="0"/>
              </w:tabs>
              <w:ind w:left="454" w:leftChars="0" w:hanging="454"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5E11">
            <w:pPr>
              <w:keepNext w:val="0"/>
              <w:keepLines w:val="0"/>
              <w:widowControl/>
              <w:suppressLineNumbers w:val="0"/>
              <w:ind w:left="0" w:leftChars="0"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臂头</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F0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73</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302F">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FACF">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AB31">
            <w:pPr>
              <w:jc w:val="center"/>
              <w:rPr>
                <w:rFonts w:hint="eastAsia" w:ascii="宋体" w:hAnsi="宋体" w:eastAsia="宋体" w:cs="宋体"/>
                <w:i w:val="0"/>
                <w:iCs w:val="0"/>
                <w:color w:val="auto"/>
                <w:sz w:val="21"/>
                <w:szCs w:val="21"/>
                <w:u w:val="none"/>
              </w:rPr>
            </w:pPr>
          </w:p>
        </w:tc>
      </w:tr>
    </w:tbl>
    <w:p w14:paraId="3B412679">
      <w:pPr>
        <w:ind w:firstLine="48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根据表4.2</w:t>
      </w:r>
      <w:r>
        <w:rPr>
          <w:rFonts w:hint="default"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21"/>
          <w:lang w:val="en-US" w:eastAsia="zh-CN" w:bidi="ar-SA"/>
        </w:rPr>
        <w:t>1得知，</w:t>
      </w:r>
      <w:r>
        <w:rPr>
          <w:rFonts w:hint="eastAsia" w:cs="Times New Roman"/>
          <w:color w:val="auto"/>
          <w:kern w:val="2"/>
          <w:sz w:val="24"/>
          <w:szCs w:val="21"/>
          <w:lang w:val="en-US" w:eastAsia="zh-CN" w:bidi="ar-SA"/>
        </w:rPr>
        <w:t>作业</w:t>
      </w:r>
      <w:r>
        <w:rPr>
          <w:rFonts w:hint="default" w:ascii="Times New Roman" w:hAnsi="Times New Roman" w:eastAsia="宋体" w:cs="Times New Roman"/>
          <w:color w:val="auto"/>
          <w:kern w:val="2"/>
          <w:sz w:val="24"/>
          <w:szCs w:val="21"/>
          <w:lang w:val="en-US" w:eastAsia="zh-CN" w:bidi="ar-SA"/>
        </w:rPr>
        <w:t>时</w:t>
      </w:r>
      <w:r>
        <w:rPr>
          <w:rFonts w:hint="eastAsia" w:cs="Times New Roman"/>
          <w:color w:val="auto"/>
          <w:kern w:val="2"/>
          <w:sz w:val="24"/>
          <w:szCs w:val="21"/>
          <w:lang w:val="en-US" w:eastAsia="zh-CN" w:bidi="ar-SA"/>
        </w:rPr>
        <w:t>2#塔机</w:t>
      </w:r>
      <w:r>
        <w:rPr>
          <w:rFonts w:hint="default" w:ascii="Times New Roman" w:hAnsi="Times New Roman" w:eastAsia="宋体" w:cs="Times New Roman"/>
          <w:color w:val="auto"/>
          <w:kern w:val="2"/>
          <w:sz w:val="24"/>
          <w:szCs w:val="21"/>
          <w:lang w:val="en-US" w:eastAsia="zh-CN" w:bidi="ar-SA"/>
        </w:rPr>
        <w:t>最大重量</w:t>
      </w:r>
      <w:r>
        <w:rPr>
          <w:rFonts w:hint="eastAsia" w:cs="Times New Roman"/>
          <w:color w:val="auto"/>
          <w:kern w:val="2"/>
          <w:sz w:val="24"/>
          <w:szCs w:val="21"/>
          <w:lang w:val="en-US" w:eastAsia="zh-CN" w:bidi="ar-SA"/>
        </w:rPr>
        <w:t>为塔机平衡重1.2</w:t>
      </w:r>
      <w:r>
        <w:rPr>
          <w:rFonts w:hint="default" w:ascii="Times New Roman" w:hAnsi="Times New Roman" w:eastAsia="宋体" w:cs="Times New Roman"/>
          <w:color w:val="auto"/>
          <w:kern w:val="2"/>
          <w:sz w:val="24"/>
          <w:szCs w:val="21"/>
          <w:lang w:val="en-US" w:eastAsia="zh-CN" w:bidi="ar-SA"/>
        </w:rPr>
        <w:t>t考虑，吊装半径按</w:t>
      </w:r>
      <w:r>
        <w:rPr>
          <w:rFonts w:hint="eastAsia" w:cs="Times New Roman"/>
          <w:color w:val="auto"/>
          <w:kern w:val="2"/>
          <w:sz w:val="24"/>
          <w:szCs w:val="21"/>
          <w:lang w:val="en-US" w:eastAsia="zh-CN" w:bidi="ar-SA"/>
        </w:rPr>
        <w:t>51.5m</w:t>
      </w:r>
      <w:r>
        <w:rPr>
          <w:rFonts w:hint="default" w:ascii="Times New Roman" w:hAnsi="Times New Roman" w:eastAsia="宋体" w:cs="Times New Roman"/>
          <w:color w:val="auto"/>
          <w:kern w:val="2"/>
          <w:sz w:val="24"/>
          <w:szCs w:val="21"/>
          <w:lang w:val="en-US" w:eastAsia="zh-CN" w:bidi="ar-SA"/>
        </w:rPr>
        <w:t>考虑，</w:t>
      </w:r>
      <w:r>
        <w:rPr>
          <w:rFonts w:hint="eastAsia" w:cs="Times New Roman"/>
          <w:color w:val="auto"/>
          <w:kern w:val="2"/>
          <w:sz w:val="24"/>
          <w:szCs w:val="21"/>
          <w:lang w:val="en-US" w:eastAsia="zh-CN" w:bidi="ar-SA"/>
        </w:rPr>
        <w:t>4#塔机起重臂吊幅55m时</w:t>
      </w:r>
      <w:r>
        <w:rPr>
          <w:rFonts w:hint="default" w:ascii="Times New Roman" w:hAnsi="Times New Roman" w:eastAsia="宋体" w:cs="Times New Roman"/>
          <w:color w:val="auto"/>
          <w:kern w:val="2"/>
          <w:sz w:val="24"/>
          <w:szCs w:val="21"/>
          <w:lang w:val="en-US" w:eastAsia="zh-CN" w:bidi="ar-SA"/>
        </w:rPr>
        <w:t>，其额定起重量为</w:t>
      </w:r>
      <w:r>
        <w:rPr>
          <w:rFonts w:hint="eastAsia" w:cs="Times New Roman"/>
          <w:color w:val="auto"/>
          <w:kern w:val="2"/>
          <w:sz w:val="24"/>
          <w:szCs w:val="21"/>
          <w:lang w:val="en-US" w:eastAsia="zh-CN" w:bidi="ar-SA"/>
        </w:rPr>
        <w:t>1.7</w:t>
      </w:r>
      <w:r>
        <w:rPr>
          <w:rFonts w:hint="default" w:ascii="Times New Roman" w:hAnsi="Times New Roman" w:eastAsia="宋体" w:cs="Times New Roman"/>
          <w:color w:val="auto"/>
          <w:kern w:val="2"/>
          <w:sz w:val="24"/>
          <w:szCs w:val="21"/>
          <w:lang w:val="en-US" w:eastAsia="zh-CN" w:bidi="ar-SA"/>
        </w:rPr>
        <w:t>t，满足吊装要求。</w:t>
      </w:r>
    </w:p>
    <w:p w14:paraId="627CCD55">
      <w:pPr>
        <w:pStyle w:val="49"/>
        <w:ind w:firstLine="480"/>
        <w:jc w:val="center"/>
        <w:rPr>
          <w:rFonts w:hint="eastAsia" w:ascii="宋体" w:hAnsi="宋体" w:eastAsia="宋体"/>
          <w:color w:val="auto"/>
          <w:szCs w:val="21"/>
          <w:lang w:eastAsia="zh-CN"/>
        </w:rPr>
      </w:pPr>
      <w:r>
        <w:rPr>
          <w:rFonts w:hint="eastAsia" w:ascii="宋体" w:hAnsi="宋体"/>
          <w:color w:val="auto"/>
        </w:rPr>
        <w:t>表</w:t>
      </w:r>
      <w:r>
        <w:rPr>
          <w:rFonts w:hint="eastAsia" w:ascii="宋体" w:hAnsi="宋体"/>
          <w:color w:val="auto"/>
          <w:lang w:val="en-US" w:eastAsia="zh-CN"/>
        </w:rPr>
        <w:t>4.2</w:t>
      </w:r>
      <w:r>
        <w:rPr>
          <w:rFonts w:hint="eastAsia" w:ascii="宋体" w:hAnsi="宋体"/>
          <w:color w:val="auto"/>
        </w:rPr>
        <w:t>-2</w:t>
      </w:r>
      <w:r>
        <w:rPr>
          <w:rFonts w:hint="eastAsia" w:ascii="宋体" w:hAnsi="宋体"/>
          <w:color w:val="auto"/>
          <w:lang w:eastAsia="zh-CN"/>
        </w:rPr>
        <w:t>　</w:t>
      </w:r>
      <w:r>
        <w:rPr>
          <w:rFonts w:hint="eastAsia" w:ascii="宋体" w:hAnsi="宋体"/>
          <w:color w:val="auto"/>
        </w:rPr>
        <w:t xml:space="preserve"> </w:t>
      </w:r>
      <w:r>
        <w:rPr>
          <w:rFonts w:hint="eastAsia" w:ascii="宋体" w:hAnsi="宋体" w:cs="宋体"/>
          <w:b/>
          <w:bCs/>
          <w:color w:val="auto"/>
          <w:spacing w:val="4"/>
          <w:sz w:val="21"/>
          <w:szCs w:val="21"/>
          <w:lang w:val="en-US" w:eastAsia="zh-CN"/>
        </w:rPr>
        <w:t>XGT6015-8S1</w:t>
      </w:r>
      <w:r>
        <w:rPr>
          <w:rFonts w:hint="eastAsia" w:ascii="宋体" w:hAnsi="宋体"/>
          <w:color w:val="auto"/>
        </w:rPr>
        <w:t>额定起重量表（单位：</w:t>
      </w:r>
      <w:r>
        <w:rPr>
          <w:rFonts w:ascii="宋体" w:hAnsi="宋体"/>
          <w:color w:val="auto"/>
        </w:rPr>
        <w:t>t</w:t>
      </w:r>
      <w:r>
        <w:rPr>
          <w:rFonts w:hint="eastAsia" w:ascii="宋体" w:hAnsi="宋体"/>
          <w:color w:val="auto"/>
        </w:rPr>
        <w:t>）</w:t>
      </w:r>
    </w:p>
    <w:p w14:paraId="42549540">
      <w:pPr>
        <w:pStyle w:val="11"/>
        <w:ind w:left="0" w:leftChars="0" w:firstLine="0" w:firstLineChars="0"/>
        <w:jc w:val="center"/>
        <w:rPr>
          <w:rFonts w:hint="eastAsia"/>
          <w:color w:val="auto"/>
        </w:rPr>
      </w:pPr>
      <w:r>
        <w:drawing>
          <wp:inline distT="0" distB="0" distL="114300" distR="114300">
            <wp:extent cx="5757545" cy="3127375"/>
            <wp:effectExtent l="0" t="0" r="14605" b="158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5"/>
                    <a:stretch>
                      <a:fillRect/>
                    </a:stretch>
                  </pic:blipFill>
                  <pic:spPr>
                    <a:xfrm>
                      <a:off x="0" y="0"/>
                      <a:ext cx="5757545" cy="3127375"/>
                    </a:xfrm>
                    <a:prstGeom prst="rect">
                      <a:avLst/>
                    </a:prstGeom>
                    <a:noFill/>
                    <a:ln>
                      <a:noFill/>
                    </a:ln>
                  </pic:spPr>
                </pic:pic>
              </a:graphicData>
            </a:graphic>
          </wp:inline>
        </w:drawing>
      </w:r>
    </w:p>
    <w:bookmarkEnd w:id="88"/>
    <w:bookmarkEnd w:id="89"/>
    <w:bookmarkEnd w:id="90"/>
    <w:bookmarkEnd w:id="91"/>
    <w:bookmarkEnd w:id="92"/>
    <w:bookmarkEnd w:id="93"/>
    <w:p w14:paraId="3DB0FE98">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96" w:name="_Toc25282"/>
      <w:bookmarkStart w:id="97" w:name="_Toc9437"/>
      <w:bookmarkStart w:id="98" w:name="_Toc7048"/>
      <w:bookmarkStart w:id="99" w:name="_Toc14477"/>
      <w:bookmarkStart w:id="100" w:name="_Toc24606"/>
      <w:bookmarkStart w:id="101" w:name="_Toc29750"/>
      <w:bookmarkStart w:id="102" w:name="_Toc40778439"/>
      <w:bookmarkStart w:id="103" w:name="_Toc3526"/>
      <w:bookmarkStart w:id="104" w:name="_Toc21364"/>
      <w:r>
        <w:rPr>
          <w:rFonts w:hint="eastAsia" w:eastAsia="宋体"/>
          <w:color w:val="auto"/>
        </w:rPr>
        <w:t>施工准备</w:t>
      </w:r>
      <w:bookmarkEnd w:id="96"/>
      <w:bookmarkEnd w:id="97"/>
    </w:p>
    <w:p w14:paraId="4BF1D862">
      <w:pPr>
        <w:rPr>
          <w:rFonts w:hint="eastAsia"/>
          <w:color w:val="auto"/>
        </w:rPr>
      </w:pPr>
      <w:r>
        <w:rPr>
          <w:rFonts w:hint="eastAsia"/>
          <w:color w:val="auto"/>
          <w:lang w:val="en-US" w:eastAsia="zh-CN"/>
        </w:rPr>
        <w:t>（1）技术准备</w:t>
      </w:r>
    </w:p>
    <w:p w14:paraId="2353C125">
      <w:pPr>
        <w:pStyle w:val="48"/>
        <w:numPr>
          <w:ilvl w:val="0"/>
          <w:numId w:val="0"/>
        </w:numPr>
        <w:snapToGrid/>
        <w:ind w:leftChars="200"/>
        <w:rPr>
          <w:color w:val="auto"/>
        </w:rPr>
      </w:pPr>
      <w:r>
        <w:rPr>
          <w:rFonts w:hint="eastAsia"/>
          <w:color w:val="auto"/>
          <w:lang w:val="en-US" w:eastAsia="zh-CN"/>
        </w:rPr>
        <w:t>1）</w:t>
      </w:r>
      <w:r>
        <w:rPr>
          <w:rFonts w:hint="eastAsia"/>
          <w:color w:val="auto"/>
        </w:rPr>
        <w:t>塔式起重机安装所需说明书、图纸等技术资料齐全</w:t>
      </w:r>
      <w:r>
        <w:rPr>
          <w:rFonts w:hint="eastAsia"/>
          <w:color w:val="auto"/>
          <w:lang w:eastAsia="zh-CN"/>
        </w:rPr>
        <w:t>。</w:t>
      </w:r>
    </w:p>
    <w:p w14:paraId="535CC101">
      <w:pPr>
        <w:pStyle w:val="48"/>
        <w:numPr>
          <w:ilvl w:val="0"/>
          <w:numId w:val="0"/>
        </w:numPr>
        <w:snapToGrid/>
        <w:ind w:leftChars="200"/>
        <w:rPr>
          <w:color w:val="auto"/>
        </w:rPr>
      </w:pPr>
      <w:r>
        <w:rPr>
          <w:rFonts w:hint="eastAsia"/>
          <w:color w:val="auto"/>
          <w:lang w:val="en-US" w:eastAsia="zh-CN"/>
        </w:rPr>
        <w:t>2）</w:t>
      </w:r>
      <w:r>
        <w:rPr>
          <w:rFonts w:hint="eastAsia"/>
          <w:color w:val="auto"/>
        </w:rPr>
        <w:t>经评审、审核、报批后的安装方案，且施工安全、技术交底等资料齐全</w:t>
      </w:r>
      <w:r>
        <w:rPr>
          <w:rFonts w:hint="eastAsia"/>
          <w:color w:val="auto"/>
          <w:lang w:eastAsia="zh-CN"/>
        </w:rPr>
        <w:t>。</w:t>
      </w:r>
    </w:p>
    <w:p w14:paraId="5859A709">
      <w:pPr>
        <w:pStyle w:val="48"/>
        <w:numPr>
          <w:ilvl w:val="0"/>
          <w:numId w:val="0"/>
        </w:numPr>
        <w:snapToGrid/>
        <w:ind w:firstLine="480" w:firstLineChars="200"/>
        <w:rPr>
          <w:color w:val="auto"/>
        </w:rPr>
      </w:pPr>
      <w:r>
        <w:rPr>
          <w:rFonts w:hint="eastAsia"/>
          <w:color w:val="auto"/>
          <w:lang w:val="en-US" w:eastAsia="zh-CN"/>
        </w:rPr>
        <w:t>3</w:t>
      </w:r>
      <w:r>
        <w:rPr>
          <w:rFonts w:hint="eastAsia"/>
          <w:color w:val="auto"/>
          <w:lang w:eastAsia="zh-CN"/>
        </w:rPr>
        <w:t>）</w:t>
      </w:r>
      <w:r>
        <w:rPr>
          <w:rFonts w:hint="eastAsia"/>
          <w:color w:val="auto"/>
        </w:rPr>
        <w:t>安装单位、人员、设备、机具等等相关资质审核合格，并完成向监理及国家特种设备监督机构的报备工作</w:t>
      </w:r>
      <w:r>
        <w:rPr>
          <w:rFonts w:hint="eastAsia"/>
          <w:color w:val="auto"/>
          <w:lang w:eastAsia="zh-CN"/>
        </w:rPr>
        <w:t>。</w:t>
      </w:r>
    </w:p>
    <w:p w14:paraId="3A766713">
      <w:pPr>
        <w:pStyle w:val="48"/>
        <w:numPr>
          <w:ilvl w:val="0"/>
          <w:numId w:val="0"/>
        </w:numPr>
        <w:snapToGrid/>
        <w:ind w:leftChars="200"/>
        <w:rPr>
          <w:color w:val="auto"/>
        </w:rPr>
      </w:pPr>
      <w:r>
        <w:rPr>
          <w:rFonts w:hint="eastAsia"/>
          <w:color w:val="auto"/>
          <w:lang w:val="en-US" w:eastAsia="zh-CN"/>
        </w:rPr>
        <w:t>（2）</w:t>
      </w:r>
      <w:r>
        <w:rPr>
          <w:rFonts w:hint="eastAsia"/>
          <w:color w:val="auto"/>
        </w:rPr>
        <w:t>施工安全技术交底：</w:t>
      </w:r>
    </w:p>
    <w:p w14:paraId="5B4D1506">
      <w:pPr>
        <w:pStyle w:val="48"/>
        <w:numPr>
          <w:ilvl w:val="0"/>
          <w:numId w:val="9"/>
        </w:numPr>
        <w:snapToGrid/>
        <w:ind w:firstLine="480" w:firstLineChars="200"/>
        <w:rPr>
          <w:color w:val="auto"/>
        </w:rPr>
      </w:pPr>
      <w:r>
        <w:rPr>
          <w:color w:val="auto"/>
        </w:rPr>
        <w:t>施工前，现场技术负责人对所参加作业人员进行安全、技术交底</w:t>
      </w:r>
      <w:r>
        <w:rPr>
          <w:rFonts w:hint="eastAsia"/>
          <w:color w:val="auto"/>
        </w:rPr>
        <w:t>；管理</w:t>
      </w:r>
      <w:r>
        <w:rPr>
          <w:color w:val="auto"/>
        </w:rPr>
        <w:t>人员明确施工工艺</w:t>
      </w:r>
      <w:r>
        <w:rPr>
          <w:rFonts w:hint="eastAsia"/>
          <w:color w:val="auto"/>
        </w:rPr>
        <w:t>；</w:t>
      </w:r>
      <w:r>
        <w:rPr>
          <w:color w:val="auto"/>
        </w:rPr>
        <w:t>作业人员明确施工程序、施工方法，了解施工工艺要求及安全注意事项，作业人员提前深入现场，熟悉施工环境，明确施工过程危险点及控制点</w:t>
      </w:r>
      <w:r>
        <w:rPr>
          <w:rFonts w:hint="eastAsia"/>
          <w:color w:val="auto"/>
          <w:lang w:eastAsia="zh-CN"/>
        </w:rPr>
        <w:t>。</w:t>
      </w:r>
    </w:p>
    <w:p w14:paraId="6B4163D0">
      <w:pPr>
        <w:pStyle w:val="48"/>
        <w:numPr>
          <w:ilvl w:val="0"/>
          <w:numId w:val="9"/>
        </w:numPr>
        <w:snapToGrid/>
        <w:ind w:left="0" w:leftChars="0" w:firstLine="480" w:firstLineChars="200"/>
        <w:rPr>
          <w:color w:val="auto"/>
        </w:rPr>
      </w:pPr>
      <w:r>
        <w:rPr>
          <w:color w:val="auto"/>
        </w:rPr>
        <w:t>做好安全技术交底工作，确保每位施工人员接受安全教育，熟悉安装要点和安全防范知识。</w:t>
      </w:r>
    </w:p>
    <w:p w14:paraId="69F36694">
      <w:pPr>
        <w:pStyle w:val="48"/>
        <w:numPr>
          <w:ilvl w:val="0"/>
          <w:numId w:val="0"/>
        </w:numPr>
        <w:snapToGrid/>
        <w:ind w:leftChars="200"/>
        <w:rPr>
          <w:rFonts w:hint="eastAsia" w:ascii="宋体" w:hAnsi="宋体"/>
          <w:color w:val="auto"/>
          <w:szCs w:val="24"/>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）施工前准备</w:t>
      </w:r>
      <w:bookmarkStart w:id="105" w:name="_Hlk109141563"/>
    </w:p>
    <w:p w14:paraId="1013B558">
      <w:pPr>
        <w:pStyle w:val="48"/>
        <w:numPr>
          <w:ilvl w:val="0"/>
          <w:numId w:val="0"/>
        </w:numPr>
        <w:snapToGrid/>
        <w:ind w:firstLine="480" w:firstLineChars="200"/>
        <w:rPr>
          <w:rFonts w:hint="eastAsia"/>
          <w:color w:val="auto"/>
        </w:rPr>
      </w:pPr>
      <w:r>
        <w:rPr>
          <w:rFonts w:hint="eastAsia"/>
          <w:color w:val="auto"/>
          <w:lang w:val="en-US" w:eastAsia="zh-CN"/>
        </w:rPr>
        <w:t>1）</w:t>
      </w:r>
      <w:r>
        <w:rPr>
          <w:rFonts w:hint="eastAsia"/>
          <w:color w:val="auto"/>
        </w:rPr>
        <w:t xml:space="preserve">设备运输至现场部件齐全、完好，重点检查包括： </w:t>
      </w:r>
    </w:p>
    <w:p w14:paraId="0AB5CE5D">
      <w:pPr>
        <w:pStyle w:val="48"/>
        <w:numPr>
          <w:ilvl w:val="0"/>
          <w:numId w:val="0"/>
        </w:numPr>
        <w:snapToGrid/>
        <w:rPr>
          <w:rFonts w:hint="eastAsia"/>
          <w:color w:val="auto"/>
          <w:lang w:eastAsia="zh-CN"/>
        </w:rPr>
      </w:pPr>
      <w:r>
        <w:rPr>
          <w:rFonts w:hint="eastAsia"/>
          <w:color w:val="auto"/>
          <w:lang w:val="en-US" w:eastAsia="zh-CN"/>
        </w:rPr>
        <w:t>　　2）塔机各部件</w:t>
      </w:r>
      <w:r>
        <w:rPr>
          <w:color w:val="auto"/>
        </w:rPr>
        <w:t>外形尺寸、数量是否与设计图纸一致</w:t>
      </w:r>
      <w:r>
        <w:rPr>
          <w:rFonts w:hint="eastAsia"/>
          <w:color w:val="auto"/>
        </w:rPr>
        <w:t>，</w:t>
      </w:r>
      <w:r>
        <w:rPr>
          <w:rFonts w:hint="eastAsia"/>
          <w:color w:val="auto"/>
          <w:lang w:eastAsia="zh-CN"/>
        </w:rPr>
        <w:t>基础混凝土强度达说明书要求，基础水平高差不得大于</w:t>
      </w:r>
      <w:r>
        <w:rPr>
          <w:rFonts w:hint="eastAsia"/>
          <w:color w:val="auto"/>
          <w:lang w:val="en-US" w:eastAsia="zh-CN"/>
        </w:rPr>
        <w:t>1/1000，排水设施完善，</w:t>
      </w:r>
      <w:r>
        <w:rPr>
          <w:rFonts w:hint="eastAsia"/>
          <w:color w:val="auto"/>
        </w:rPr>
        <w:t>合格证书是否齐全有效</w:t>
      </w:r>
      <w:r>
        <w:rPr>
          <w:rFonts w:hint="eastAsia"/>
          <w:color w:val="auto"/>
          <w:lang w:eastAsia="zh-CN"/>
        </w:rPr>
        <w:t>。</w:t>
      </w:r>
    </w:p>
    <w:p w14:paraId="403DD07A">
      <w:pPr>
        <w:pStyle w:val="48"/>
        <w:numPr>
          <w:ilvl w:val="0"/>
          <w:numId w:val="0"/>
        </w:numPr>
        <w:snapToGrid/>
        <w:rPr>
          <w:rFonts w:hint="eastAsia"/>
          <w:color w:val="auto"/>
        </w:rPr>
      </w:pPr>
      <w:r>
        <w:rPr>
          <w:rFonts w:hint="eastAsia"/>
          <w:color w:val="auto"/>
          <w:lang w:val="en-US" w:eastAsia="zh-CN"/>
        </w:rPr>
        <w:t>　　3）</w:t>
      </w:r>
      <w:r>
        <w:rPr>
          <w:color w:val="auto"/>
        </w:rPr>
        <w:t>部件焊缝是否有夹渣、裂纹等缺陷</w:t>
      </w:r>
      <w:r>
        <w:rPr>
          <w:rFonts w:hint="eastAsia"/>
          <w:color w:val="auto"/>
          <w:lang w:eastAsia="zh-CN"/>
        </w:rPr>
        <w:t>。</w:t>
      </w:r>
    </w:p>
    <w:p w14:paraId="7EFBD42C">
      <w:pPr>
        <w:pStyle w:val="48"/>
        <w:numPr>
          <w:ilvl w:val="0"/>
          <w:numId w:val="0"/>
        </w:numPr>
        <w:snapToGrid/>
        <w:rPr>
          <w:rFonts w:hint="eastAsia"/>
          <w:color w:val="auto"/>
        </w:rPr>
      </w:pPr>
      <w:r>
        <w:rPr>
          <w:rFonts w:hint="eastAsia"/>
          <w:color w:val="auto"/>
          <w:lang w:val="en-US" w:eastAsia="zh-CN"/>
        </w:rPr>
        <w:t>　　4）</w:t>
      </w:r>
      <w:r>
        <w:rPr>
          <w:color w:val="auto"/>
        </w:rPr>
        <w:t>部件是否有变形及损坏等</w:t>
      </w:r>
      <w:r>
        <w:rPr>
          <w:rFonts w:hint="eastAsia"/>
          <w:color w:val="auto"/>
        </w:rPr>
        <w:t>。存在缺陷需处理检验合格</w:t>
      </w:r>
      <w:r>
        <w:rPr>
          <w:rFonts w:hint="eastAsia"/>
          <w:color w:val="auto"/>
          <w:lang w:eastAsia="zh-CN"/>
        </w:rPr>
        <w:t>。</w:t>
      </w:r>
    </w:p>
    <w:p w14:paraId="7B9F4F4D">
      <w:pPr>
        <w:pStyle w:val="48"/>
        <w:numPr>
          <w:ilvl w:val="0"/>
          <w:numId w:val="0"/>
        </w:numPr>
        <w:snapToGrid/>
        <w:ind w:firstLine="480" w:firstLineChars="200"/>
        <w:rPr>
          <w:color w:val="auto"/>
        </w:rPr>
      </w:pPr>
      <w:r>
        <w:rPr>
          <w:rFonts w:hint="eastAsia"/>
          <w:color w:val="auto"/>
          <w:lang w:val="en-US" w:eastAsia="zh-CN"/>
        </w:rPr>
        <w:t>5）</w:t>
      </w:r>
      <w:r>
        <w:rPr>
          <w:rFonts w:hint="eastAsia"/>
          <w:color w:val="auto"/>
        </w:rPr>
        <w:t>项目技术部出具塔机基础合格证明；且根据汽车起重机站位的情况，对所处位置的地基进行换填处理，并根据实际情况支垫钢板、枕木，吊车进场前应进行承载力实验。</w:t>
      </w:r>
    </w:p>
    <w:p w14:paraId="43318B58">
      <w:pPr>
        <w:pStyle w:val="48"/>
        <w:numPr>
          <w:ilvl w:val="0"/>
          <w:numId w:val="0"/>
        </w:numPr>
        <w:snapToGrid/>
        <w:ind w:firstLine="480" w:firstLineChars="200"/>
        <w:rPr>
          <w:color w:val="auto"/>
        </w:rPr>
      </w:pPr>
      <w:r>
        <w:rPr>
          <w:rFonts w:hint="eastAsia"/>
          <w:color w:val="auto"/>
          <w:lang w:val="en-US" w:eastAsia="zh-CN"/>
        </w:rPr>
        <w:t>6）</w:t>
      </w:r>
      <w:r>
        <w:rPr>
          <w:rFonts w:hint="eastAsia"/>
          <w:color w:val="auto"/>
        </w:rPr>
        <w:t>安装场地选择：场地选择要求平整开阔，地基牢实，四周无影响施工的障碍物，平台场地能供塔机安装设备顺利进出。</w:t>
      </w:r>
    </w:p>
    <w:p w14:paraId="112B185C">
      <w:pPr>
        <w:pStyle w:val="48"/>
        <w:numPr>
          <w:ilvl w:val="0"/>
          <w:numId w:val="0"/>
        </w:numPr>
        <w:snapToGrid/>
        <w:ind w:firstLine="480" w:firstLineChars="200"/>
        <w:rPr>
          <w:color w:val="auto"/>
        </w:rPr>
      </w:pPr>
      <w:r>
        <w:rPr>
          <w:rFonts w:hint="eastAsia"/>
          <w:color w:val="auto"/>
          <w:lang w:val="en-US" w:eastAsia="zh-CN"/>
        </w:rPr>
        <w:t>7）</w:t>
      </w:r>
      <w:r>
        <w:rPr>
          <w:rFonts w:hint="eastAsia"/>
          <w:color w:val="auto"/>
        </w:rPr>
        <w:t>设备</w:t>
      </w:r>
      <w:r>
        <w:rPr>
          <w:color w:val="auto"/>
        </w:rPr>
        <w:t>安装所需</w:t>
      </w:r>
      <w:r>
        <w:rPr>
          <w:rFonts w:hint="eastAsia"/>
          <w:color w:val="auto"/>
          <w:lang w:eastAsia="zh-CN"/>
        </w:rPr>
        <w:t>塔式起重机</w:t>
      </w:r>
      <w:r>
        <w:rPr>
          <w:rFonts w:hint="eastAsia"/>
          <w:color w:val="auto"/>
        </w:rPr>
        <w:t>及</w:t>
      </w:r>
      <w:r>
        <w:rPr>
          <w:color w:val="auto"/>
        </w:rPr>
        <w:t>作业机具、仪器仪表等需准备充分</w:t>
      </w:r>
      <w:r>
        <w:rPr>
          <w:rFonts w:hint="eastAsia"/>
          <w:color w:val="auto"/>
        </w:rPr>
        <w:t>，报验完毕</w:t>
      </w:r>
      <w:r>
        <w:rPr>
          <w:rFonts w:hint="eastAsia"/>
          <w:color w:val="auto"/>
          <w:lang w:eastAsia="zh-CN"/>
        </w:rPr>
        <w:t>。</w:t>
      </w:r>
    </w:p>
    <w:p w14:paraId="578EB852">
      <w:pPr>
        <w:pStyle w:val="48"/>
        <w:numPr>
          <w:ilvl w:val="0"/>
          <w:numId w:val="0"/>
        </w:numPr>
        <w:snapToGrid/>
        <w:ind w:firstLine="480" w:firstLineChars="200"/>
        <w:rPr>
          <w:color w:val="auto"/>
        </w:rPr>
      </w:pPr>
      <w:r>
        <w:rPr>
          <w:rFonts w:hint="eastAsia"/>
          <w:color w:val="auto"/>
          <w:lang w:val="en-US" w:eastAsia="zh-CN"/>
        </w:rPr>
        <w:t>8）</w:t>
      </w:r>
      <w:r>
        <w:rPr>
          <w:rFonts w:hint="eastAsia"/>
          <w:color w:val="auto"/>
        </w:rPr>
        <w:t>完成了吊装作业演练，统一明确指挥口令、用语，并按《危险作业施工许可管理办法》要求办理作业许可证，完善相关资料。</w:t>
      </w:r>
    </w:p>
    <w:p w14:paraId="64AEFC7C">
      <w:pPr>
        <w:pStyle w:val="48"/>
        <w:numPr>
          <w:ilvl w:val="0"/>
          <w:numId w:val="0"/>
        </w:numPr>
        <w:snapToGrid/>
        <w:ind w:firstLine="480" w:firstLineChars="200"/>
        <w:rPr>
          <w:color w:val="auto"/>
        </w:rPr>
      </w:pPr>
      <w:r>
        <w:rPr>
          <w:rFonts w:hint="eastAsia"/>
          <w:color w:val="auto"/>
          <w:lang w:val="en-US" w:eastAsia="zh-CN"/>
        </w:rPr>
        <w:t>9）</w:t>
      </w:r>
      <w:r>
        <w:rPr>
          <w:rFonts w:hint="eastAsia"/>
          <w:color w:val="auto"/>
        </w:rPr>
        <w:t>对安装现场进行清理，将现场的建筑材料、泥土、废料废物等杂物清扫干净。同时拉起安全警戒线，闲杂人员在安装范围一律不准通行，同时设置安全专职人员负责值班警戒</w:t>
      </w:r>
      <w:r>
        <w:rPr>
          <w:rFonts w:hint="eastAsia"/>
          <w:color w:val="auto"/>
          <w:lang w:eastAsia="zh-CN"/>
        </w:rPr>
        <w:t>。</w:t>
      </w:r>
    </w:p>
    <w:p w14:paraId="3D694F06">
      <w:pPr>
        <w:pStyle w:val="48"/>
        <w:numPr>
          <w:ilvl w:val="0"/>
          <w:numId w:val="0"/>
        </w:numPr>
        <w:snapToGrid/>
        <w:ind w:firstLine="480" w:firstLineChars="200"/>
        <w:rPr>
          <w:color w:val="auto"/>
        </w:rPr>
      </w:pPr>
      <w:r>
        <w:rPr>
          <w:rFonts w:hint="eastAsia"/>
          <w:color w:val="auto"/>
          <w:lang w:val="en-US" w:eastAsia="zh-CN"/>
        </w:rPr>
        <w:t>9）</w:t>
      </w:r>
      <w:r>
        <w:rPr>
          <w:rFonts w:hint="eastAsia"/>
          <w:color w:val="auto"/>
        </w:rPr>
        <w:t>备好施工机具、工具和安全防护用品。做到吊装前后检查、每班前检查，严格执行相关标准，对存在安全隐患的工索具应禁止使用，达到报废条件的，应立即报废并销毁，禁止再次使用。</w:t>
      </w:r>
    </w:p>
    <w:bookmarkEnd w:id="105"/>
    <w:p w14:paraId="05579F92">
      <w:pPr>
        <w:pStyle w:val="48"/>
        <w:numPr>
          <w:ilvl w:val="0"/>
          <w:numId w:val="0"/>
        </w:numPr>
        <w:snapToGrid/>
        <w:ind w:firstLine="240" w:firstLineChars="100"/>
        <w:rPr>
          <w:color w:val="auto"/>
        </w:rPr>
      </w:pPr>
      <w:bookmarkStart w:id="106" w:name="_Hlk109141587"/>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作业环境要求</w:t>
      </w:r>
    </w:p>
    <w:p w14:paraId="6280BC6E">
      <w:pPr>
        <w:pStyle w:val="48"/>
        <w:numPr>
          <w:ilvl w:val="0"/>
          <w:numId w:val="0"/>
        </w:numPr>
        <w:snapToGrid/>
        <w:ind w:leftChars="200"/>
        <w:rPr>
          <w:color w:val="auto"/>
        </w:rPr>
      </w:pPr>
      <w:r>
        <w:rPr>
          <w:rFonts w:hint="eastAsia"/>
          <w:color w:val="auto"/>
          <w:lang w:val="en-US" w:eastAsia="zh-CN"/>
        </w:rPr>
        <w:t>1）</w:t>
      </w:r>
      <w:r>
        <w:rPr>
          <w:rFonts w:hint="eastAsia"/>
          <w:color w:val="auto"/>
        </w:rPr>
        <w:t>吊装施工区域设立警戒线并设专人监护，与施工无关人员禁止进入</w:t>
      </w:r>
      <w:r>
        <w:rPr>
          <w:rFonts w:hint="eastAsia"/>
          <w:color w:val="auto"/>
          <w:lang w:eastAsia="zh-CN"/>
        </w:rPr>
        <w:t>。</w:t>
      </w:r>
    </w:p>
    <w:p w14:paraId="3FA1AD1A">
      <w:pPr>
        <w:pStyle w:val="48"/>
        <w:numPr>
          <w:ilvl w:val="0"/>
          <w:numId w:val="0"/>
        </w:numPr>
        <w:snapToGrid/>
        <w:ind w:leftChars="200"/>
        <w:rPr>
          <w:color w:val="auto"/>
        </w:rPr>
      </w:pPr>
      <w:r>
        <w:rPr>
          <w:rFonts w:hint="eastAsia"/>
          <w:color w:val="auto"/>
          <w:lang w:val="en-US" w:eastAsia="zh-CN"/>
        </w:rPr>
        <w:t>2）</w:t>
      </w:r>
      <w:r>
        <w:rPr>
          <w:rFonts w:hint="eastAsia"/>
          <w:color w:val="auto"/>
        </w:rPr>
        <w:t>汽车式起重机工作区域平整、坚实、无障碍物</w:t>
      </w:r>
      <w:r>
        <w:rPr>
          <w:rFonts w:hint="eastAsia"/>
          <w:color w:val="auto"/>
          <w:lang w:eastAsia="zh-CN"/>
        </w:rPr>
        <w:t>。</w:t>
      </w:r>
    </w:p>
    <w:p w14:paraId="1ED8DBE0">
      <w:pPr>
        <w:pStyle w:val="48"/>
        <w:numPr>
          <w:ilvl w:val="0"/>
          <w:numId w:val="0"/>
        </w:numPr>
        <w:snapToGrid/>
        <w:ind w:leftChars="200"/>
        <w:rPr>
          <w:color w:val="auto"/>
        </w:rPr>
      </w:pPr>
      <w:r>
        <w:rPr>
          <w:rFonts w:hint="eastAsia"/>
          <w:color w:val="auto"/>
          <w:lang w:val="en-US" w:eastAsia="zh-CN"/>
        </w:rPr>
        <w:t>3）</w:t>
      </w:r>
      <w:r>
        <w:rPr>
          <w:rFonts w:hint="eastAsia"/>
          <w:color w:val="auto"/>
        </w:rPr>
        <w:t>提供电源，保障施工时塔式起重机能正常调试运转</w:t>
      </w:r>
      <w:r>
        <w:rPr>
          <w:rFonts w:hint="eastAsia"/>
          <w:color w:val="auto"/>
          <w:lang w:eastAsia="zh-CN"/>
        </w:rPr>
        <w:t>。</w:t>
      </w:r>
    </w:p>
    <w:p w14:paraId="44F62A0E">
      <w:pPr>
        <w:pStyle w:val="48"/>
        <w:numPr>
          <w:ilvl w:val="0"/>
          <w:numId w:val="0"/>
        </w:numPr>
        <w:snapToGrid/>
        <w:ind w:leftChars="200"/>
        <w:rPr>
          <w:color w:val="auto"/>
        </w:rPr>
      </w:pPr>
      <w:r>
        <w:rPr>
          <w:rFonts w:hint="eastAsia"/>
          <w:color w:val="auto"/>
          <w:lang w:val="en-US" w:eastAsia="zh-CN"/>
        </w:rPr>
        <w:t>4）</w:t>
      </w:r>
      <w:r>
        <w:rPr>
          <w:rFonts w:hint="eastAsia"/>
          <w:color w:val="auto"/>
        </w:rPr>
        <w:t>夜间施工时，施工场所应保证足够的照明</w:t>
      </w:r>
      <w:r>
        <w:rPr>
          <w:rFonts w:hint="eastAsia"/>
          <w:color w:val="auto"/>
          <w:lang w:eastAsia="zh-CN"/>
        </w:rPr>
        <w:t>。</w:t>
      </w:r>
    </w:p>
    <w:p w14:paraId="3663E3AF">
      <w:pPr>
        <w:pStyle w:val="48"/>
        <w:numPr>
          <w:ilvl w:val="0"/>
          <w:numId w:val="0"/>
        </w:numPr>
        <w:snapToGrid/>
        <w:ind w:leftChars="200"/>
        <w:rPr>
          <w:color w:val="auto"/>
        </w:rPr>
      </w:pPr>
      <w:r>
        <w:rPr>
          <w:rFonts w:hint="eastAsia"/>
          <w:color w:val="auto"/>
          <w:lang w:val="en-US" w:eastAsia="zh-CN"/>
        </w:rPr>
        <w:t>5）</w:t>
      </w:r>
      <w:r>
        <w:rPr>
          <w:rFonts w:hint="eastAsia"/>
          <w:color w:val="auto"/>
        </w:rPr>
        <w:t>塔式起重机安装所需轨道铺设施工完毕，验收合格并且轨道梁满足吊装要求</w:t>
      </w:r>
      <w:r>
        <w:rPr>
          <w:rFonts w:hint="eastAsia"/>
          <w:color w:val="auto"/>
          <w:lang w:eastAsia="zh-CN"/>
        </w:rPr>
        <w:t>。</w:t>
      </w:r>
    </w:p>
    <w:p w14:paraId="41CE9DA6">
      <w:pPr>
        <w:pStyle w:val="48"/>
        <w:numPr>
          <w:ilvl w:val="0"/>
          <w:numId w:val="0"/>
        </w:numPr>
        <w:snapToGrid/>
        <w:ind w:leftChars="200"/>
        <w:rPr>
          <w:rFonts w:hint="eastAsia"/>
          <w:color w:val="auto"/>
        </w:rPr>
      </w:pPr>
      <w:r>
        <w:rPr>
          <w:rFonts w:hint="eastAsia"/>
          <w:color w:val="auto"/>
          <w:lang w:val="en-US" w:eastAsia="zh-CN"/>
        </w:rPr>
        <w:t>6）</w:t>
      </w:r>
      <w:r>
        <w:rPr>
          <w:rFonts w:hint="eastAsia"/>
          <w:color w:val="auto"/>
        </w:rPr>
        <w:t>保证塔式起重机安装作业空间充足、道路畅通，材料堆放区须进行临时清空和场地平整</w:t>
      </w:r>
      <w:r>
        <w:rPr>
          <w:rFonts w:hint="eastAsia"/>
          <w:color w:val="auto"/>
          <w:lang w:eastAsia="zh-CN"/>
        </w:rPr>
        <w:t>。</w:t>
      </w:r>
    </w:p>
    <w:p w14:paraId="69930AFC">
      <w:pPr>
        <w:pStyle w:val="48"/>
        <w:numPr>
          <w:ilvl w:val="0"/>
          <w:numId w:val="0"/>
        </w:numPr>
        <w:snapToGrid/>
        <w:ind w:leftChars="200"/>
        <w:rPr>
          <w:rFonts w:hint="eastAsia"/>
          <w:color w:val="auto"/>
        </w:rPr>
      </w:pPr>
      <w:r>
        <w:rPr>
          <w:rFonts w:hint="eastAsia"/>
          <w:color w:val="auto"/>
        </w:rPr>
        <w:t>（</w:t>
      </w:r>
      <w:r>
        <w:rPr>
          <w:rFonts w:hint="eastAsia"/>
          <w:color w:val="auto"/>
          <w:lang w:val="en-US" w:eastAsia="zh-CN"/>
        </w:rPr>
        <w:t>5</w:t>
      </w:r>
      <w:r>
        <w:rPr>
          <w:rFonts w:hint="eastAsia"/>
          <w:color w:val="auto"/>
        </w:rPr>
        <w:t>）电源设置</w:t>
      </w:r>
    </w:p>
    <w:p w14:paraId="2FA9FF9D">
      <w:pPr>
        <w:pStyle w:val="48"/>
        <w:ind w:left="0" w:leftChars="0" w:firstLine="480" w:firstLineChars="200"/>
        <w:rPr>
          <w:rFonts w:hint="eastAsia"/>
          <w:color w:val="auto"/>
        </w:rPr>
      </w:pPr>
      <w:r>
        <w:rPr>
          <w:rFonts w:hint="eastAsia"/>
          <w:color w:val="auto"/>
        </w:rPr>
        <w:t>本机采用380</w:t>
      </w:r>
      <w:r>
        <w:rPr>
          <w:color w:val="auto"/>
        </w:rPr>
        <w:t>V,</w:t>
      </w:r>
      <w:r>
        <w:rPr>
          <w:rFonts w:hint="eastAsia"/>
          <w:color w:val="auto"/>
        </w:rPr>
        <w:t>三相五线制供电，电压变化范围不超过额定值的（+5%</w:t>
      </w:r>
      <w:r>
        <w:rPr>
          <w:rFonts w:hint="eastAsia" w:ascii="宋体" w:hAnsi="宋体" w:eastAsia="宋体" w:cs="宋体"/>
          <w:color w:val="auto"/>
        </w:rPr>
        <w:t>～</w:t>
      </w:r>
      <w:r>
        <w:rPr>
          <w:rFonts w:hint="eastAsia"/>
          <w:color w:val="auto"/>
        </w:rPr>
        <w:t>10%）。塔机的电源用</w:t>
      </w:r>
      <w:r>
        <w:rPr>
          <w:color w:val="auto"/>
        </w:rPr>
        <w:t>YCW3x25+2x10mm²</w:t>
      </w:r>
      <w:r>
        <w:rPr>
          <w:rFonts w:hint="eastAsia"/>
          <w:color w:val="auto"/>
        </w:rPr>
        <w:t>五芯型橡套电缆从塔身中间经驾驶室至电控箱。全机共有3个电气箱，即；电气控制箱、电阻箱、接线端子箱，均放在塔机平衡臂上。司机室内设有一个总电源空气开关。全机总功率为</w:t>
      </w:r>
      <w:r>
        <w:rPr>
          <w:color w:val="auto"/>
        </w:rPr>
        <w:t>54kW(</w:t>
      </w:r>
      <w:r>
        <w:rPr>
          <w:rFonts w:hint="eastAsia"/>
          <w:color w:val="auto"/>
        </w:rPr>
        <w:t>不包含顶升机构）。二级配电箱距离塔身不超过3米的范围内。</w:t>
      </w:r>
    </w:p>
    <w:bookmarkEnd w:id="98"/>
    <w:bookmarkEnd w:id="99"/>
    <w:bookmarkEnd w:id="100"/>
    <w:bookmarkEnd w:id="101"/>
    <w:bookmarkEnd w:id="102"/>
    <w:bookmarkEnd w:id="103"/>
    <w:bookmarkEnd w:id="104"/>
    <w:bookmarkEnd w:id="106"/>
    <w:p w14:paraId="3A2E3A29">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107" w:name="_Toc20779"/>
      <w:bookmarkStart w:id="108" w:name="_Toc25750"/>
      <w:bookmarkStart w:id="109" w:name="_Toc2929"/>
      <w:bookmarkStart w:id="110" w:name="_Toc22766"/>
      <w:bookmarkStart w:id="111" w:name="_Toc28343"/>
      <w:bookmarkStart w:id="112" w:name="_Toc18439"/>
      <w:bookmarkStart w:id="113" w:name="_Toc11859"/>
      <w:bookmarkStart w:id="114" w:name="_Toc40778441"/>
      <w:r>
        <w:rPr>
          <w:rFonts w:hint="eastAsia"/>
          <w:color w:val="auto"/>
          <w:lang w:val="en-US" w:eastAsia="zh-CN"/>
        </w:rPr>
        <w:t>施工工艺</w:t>
      </w:r>
    </w:p>
    <w:p w14:paraId="6F525BB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drawing>
          <wp:inline distT="0" distB="0" distL="114300" distR="114300">
            <wp:extent cx="5755640" cy="1445895"/>
            <wp:effectExtent l="0" t="0" r="0" b="0"/>
            <wp:docPr id="3" name="ECB019B1-382A-4266-B25C-5B523AA43C14-1" descr="C:/Users/Administrator/AppData/Local/Temp/wps.vmgYn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Administrator/AppData/Local/Temp/wps.vmgYnewps"/>
                    <pic:cNvPicPr>
                      <a:picLocks noChangeAspect="1"/>
                    </pic:cNvPicPr>
                  </pic:nvPicPr>
                  <pic:blipFill>
                    <a:blip r:embed="rId26"/>
                    <a:stretch>
                      <a:fillRect/>
                    </a:stretch>
                  </pic:blipFill>
                  <pic:spPr>
                    <a:xfrm>
                      <a:off x="0" y="0"/>
                      <a:ext cx="5755640" cy="1445895"/>
                    </a:xfrm>
                    <a:prstGeom prst="rect">
                      <a:avLst/>
                    </a:prstGeom>
                  </pic:spPr>
                </pic:pic>
              </a:graphicData>
            </a:graphic>
          </wp:inline>
        </w:drawing>
      </w:r>
    </w:p>
    <w:p w14:paraId="74E4E3F3">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r>
        <w:rPr>
          <w:rFonts w:hint="eastAsia"/>
          <w:color w:val="auto"/>
          <w:lang w:val="en-US" w:eastAsia="zh-CN"/>
        </w:rPr>
        <w:t>XGT6015-8S1缩臂降节步骤</w:t>
      </w:r>
      <w:bookmarkEnd w:id="107"/>
    </w:p>
    <w:p w14:paraId="1A62339C">
      <w:pPr>
        <w:pStyle w:val="4"/>
        <w:bidi w:val="0"/>
        <w:rPr>
          <w:rFonts w:hint="eastAsia"/>
        </w:rPr>
      </w:pPr>
      <w:r>
        <w:rPr>
          <w:rFonts w:hint="eastAsia"/>
          <w:lang w:val="en-US" w:eastAsia="zh-CN"/>
        </w:rPr>
        <w:t>降塔</w:t>
      </w:r>
    </w:p>
    <w:p w14:paraId="0730DDF4">
      <w:pPr>
        <w:bidi w:val="0"/>
        <w:rPr>
          <w:rFonts w:hint="eastAsia"/>
        </w:rPr>
      </w:pPr>
      <w:r>
        <w:rPr>
          <w:rFonts w:hint="eastAsia" w:ascii="Times New Roman" w:hAnsi="Times New Roman"/>
          <w:color w:val="auto"/>
          <w:szCs w:val="24"/>
          <w:highlight w:val="none"/>
        </w:rPr>
        <w:t>塔机高度为</w:t>
      </w:r>
      <w:r>
        <w:rPr>
          <w:rFonts w:hint="eastAsia"/>
          <w:color w:val="auto"/>
          <w:szCs w:val="24"/>
          <w:highlight w:val="none"/>
          <w:lang w:val="en-US" w:eastAsia="zh-CN"/>
        </w:rPr>
        <w:t>31.6</w:t>
      </w:r>
      <w:r>
        <w:rPr>
          <w:rFonts w:hint="eastAsia" w:ascii="Times New Roman" w:hAnsi="Times New Roman"/>
          <w:color w:val="auto"/>
          <w:szCs w:val="24"/>
          <w:highlight w:val="none"/>
        </w:rPr>
        <w:t>m，总共安装标准节</w:t>
      </w:r>
      <w:r>
        <w:rPr>
          <w:rFonts w:hint="eastAsia"/>
          <w:color w:val="auto"/>
          <w:szCs w:val="24"/>
          <w:highlight w:val="none"/>
          <w:lang w:val="en-US" w:eastAsia="zh-CN"/>
        </w:rPr>
        <w:t>9</w:t>
      </w:r>
      <w:r>
        <w:rPr>
          <w:rFonts w:hint="eastAsia" w:ascii="Times New Roman" w:hAnsi="Times New Roman"/>
          <w:color w:val="auto"/>
          <w:szCs w:val="24"/>
          <w:highlight w:val="none"/>
        </w:rPr>
        <w:t>节</w:t>
      </w:r>
      <w:r>
        <w:rPr>
          <w:rFonts w:hint="eastAsia" w:ascii="Times New Roman" w:hAnsi="Times New Roman"/>
          <w:color w:val="auto"/>
          <w:szCs w:val="24"/>
          <w:highlight w:val="none"/>
          <w:lang w:eastAsia="zh-CN"/>
        </w:rPr>
        <w:t>，</w:t>
      </w:r>
      <w:r>
        <w:rPr>
          <w:rFonts w:hint="eastAsia" w:ascii="Times New Roman" w:hAnsi="Times New Roman"/>
          <w:color w:val="auto"/>
          <w:szCs w:val="24"/>
        </w:rPr>
        <w:t>根据现场施工需求</w:t>
      </w:r>
      <w:r>
        <w:rPr>
          <w:rFonts w:hint="eastAsia" w:ascii="Times New Roman" w:hAnsi="Times New Roman"/>
          <w:color w:val="auto"/>
          <w:szCs w:val="24"/>
          <w:highlight w:val="none"/>
        </w:rPr>
        <w:t>，</w:t>
      </w:r>
      <w:r>
        <w:rPr>
          <w:rFonts w:hint="eastAsia" w:ascii="Times New Roman" w:hAnsi="Times New Roman"/>
          <w:color w:val="auto"/>
          <w:szCs w:val="24"/>
          <w:highlight w:val="none"/>
          <w:lang w:val="en-US" w:eastAsia="zh-CN"/>
        </w:rPr>
        <w:t>需降低一节标准节</w:t>
      </w:r>
      <w:r>
        <w:rPr>
          <w:rFonts w:hint="eastAsia" w:ascii="Times New Roman" w:hAnsi="Times New Roman"/>
          <w:color w:val="auto"/>
          <w:szCs w:val="24"/>
          <w:highlight w:val="none"/>
        </w:rPr>
        <w:t>。</w:t>
      </w:r>
      <w:r>
        <w:rPr>
          <w:rFonts w:hint="eastAsia" w:ascii="Times New Roman" w:hAnsi="Times New Roman"/>
          <w:color w:val="auto"/>
          <w:szCs w:val="24"/>
          <w:lang w:val="en-US" w:eastAsia="zh-CN"/>
        </w:rPr>
        <w:t>塔机降塔</w:t>
      </w:r>
      <w:r>
        <w:rPr>
          <w:rFonts w:hint="eastAsia" w:ascii="Times New Roman" w:hAnsi="Times New Roman"/>
          <w:color w:val="auto"/>
          <w:szCs w:val="24"/>
        </w:rPr>
        <w:t>前，首先应进行</w:t>
      </w:r>
      <w:r>
        <w:rPr>
          <w:rFonts w:hint="eastAsia" w:ascii="Times New Roman" w:hAnsi="Times New Roman"/>
          <w:color w:val="auto"/>
          <w:szCs w:val="24"/>
          <w:lang w:val="en-US" w:eastAsia="zh-CN"/>
        </w:rPr>
        <w:t>降塔</w:t>
      </w:r>
      <w:r>
        <w:rPr>
          <w:rFonts w:hint="eastAsia" w:ascii="Times New Roman" w:hAnsi="Times New Roman"/>
          <w:color w:val="auto"/>
          <w:szCs w:val="24"/>
        </w:rPr>
        <w:t>交底和操作人员技能培训，待操作人员清晰其工作界面后，方可开始</w:t>
      </w:r>
      <w:r>
        <w:rPr>
          <w:rFonts w:hint="eastAsia" w:ascii="Times New Roman" w:hAnsi="Times New Roman"/>
          <w:color w:val="auto"/>
          <w:szCs w:val="24"/>
          <w:lang w:val="en-US" w:eastAsia="zh-CN"/>
        </w:rPr>
        <w:t>作业</w:t>
      </w:r>
      <w:r>
        <w:rPr>
          <w:rFonts w:hint="eastAsia" w:ascii="Times New Roman" w:hAnsi="Times New Roman"/>
          <w:color w:val="auto"/>
          <w:szCs w:val="24"/>
        </w:rPr>
        <w:t>。</w:t>
      </w:r>
    </w:p>
    <w:p w14:paraId="2EC57F3B">
      <w:pPr>
        <w:widowControl/>
        <w:numPr>
          <w:ilvl w:val="0"/>
          <w:numId w:val="10"/>
        </w:numPr>
        <w:ind w:firstLine="480"/>
        <w:jc w:val="left"/>
      </w:pPr>
      <w:r>
        <w:rPr>
          <w:rFonts w:hint="eastAsia" w:ascii="宋体" w:hAnsi="宋体" w:cs="宋体"/>
          <w:color w:val="000000"/>
          <w:kern w:val="0"/>
          <w:szCs w:val="24"/>
          <w:lang w:bidi="ar"/>
        </w:rPr>
        <w:t>将起重臂回转到引进</w:t>
      </w:r>
      <w:bookmarkStart w:id="370" w:name="_GoBack"/>
      <w:bookmarkEnd w:id="370"/>
      <w:r>
        <w:rPr>
          <w:rFonts w:hint="eastAsia" w:ascii="宋体" w:hAnsi="宋体" w:cs="宋体"/>
          <w:color w:val="000000"/>
          <w:kern w:val="0"/>
          <w:szCs w:val="24"/>
          <w:lang w:bidi="ar"/>
        </w:rPr>
        <w:t>方向（爬升架中有开口的一侧），使回转制动器处于制动状态，载重小车停在配平位置（与立塔顶升加节时载重小车的配平位置一致）；</w:t>
      </w:r>
    </w:p>
    <w:p w14:paraId="2935AE61">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648200" cy="1397635"/>
            <wp:effectExtent l="0" t="0" r="0" b="12065"/>
            <wp:docPr id="16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 descr="IMG_256"/>
                    <pic:cNvPicPr>
                      <a:picLocks noChangeAspect="1"/>
                    </pic:cNvPicPr>
                  </pic:nvPicPr>
                  <pic:blipFill>
                    <a:blip r:embed="rId27"/>
                    <a:stretch>
                      <a:fillRect/>
                    </a:stretch>
                  </pic:blipFill>
                  <pic:spPr>
                    <a:xfrm>
                      <a:off x="0" y="0"/>
                      <a:ext cx="4648200" cy="1397635"/>
                    </a:xfrm>
                    <a:prstGeom prst="rect">
                      <a:avLst/>
                    </a:prstGeom>
                    <a:noFill/>
                    <a:ln w="9525">
                      <a:noFill/>
                    </a:ln>
                  </pic:spPr>
                </pic:pic>
              </a:graphicData>
            </a:graphic>
          </wp:inline>
        </w:drawing>
      </w:r>
    </w:p>
    <w:p w14:paraId="65917B5D">
      <w:pPr>
        <w:keepNext w:val="0"/>
        <w:keepLines w:val="0"/>
        <w:widowControl/>
        <w:suppressLineNumbers w:val="0"/>
        <w:ind w:left="0" w:leftChars="0" w:firstLine="0" w:firstLineChars="0"/>
        <w:jc w:val="center"/>
        <w:rPr>
          <w:rFonts w:ascii="宋体" w:hAnsi="宋体" w:eastAsia="宋体" w:cs="宋体"/>
          <w:color w:val="auto"/>
          <w:kern w:val="0"/>
          <w:sz w:val="24"/>
          <w:szCs w:val="24"/>
          <w:lang w:val="en-US" w:eastAsia="zh-CN" w:bidi="ar"/>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w:t>
      </w:r>
      <w:r>
        <w:rPr>
          <w:rFonts w:hint="eastAsia" w:ascii="宋体" w:hAnsi="宋体" w:eastAsia="宋体" w:cs="宋体"/>
          <w:b/>
          <w:bCs/>
          <w:color w:val="auto"/>
          <w:sz w:val="21"/>
          <w:szCs w:val="21"/>
          <w:lang w:val="en-US" w:eastAsia="zh-CN"/>
        </w:rPr>
        <w:t>－1　</w:t>
      </w:r>
      <w:r>
        <w:rPr>
          <w:rFonts w:hint="eastAsia" w:ascii="宋体" w:hAnsi="宋体" w:eastAsia="宋体" w:cs="宋体"/>
          <w:b/>
          <w:bCs/>
          <w:color w:val="auto"/>
          <w:kern w:val="0"/>
          <w:sz w:val="21"/>
          <w:szCs w:val="21"/>
          <w:lang w:val="en-US" w:eastAsia="zh-CN" w:bidi="ar"/>
        </w:rPr>
        <w:t>塔机配平</w:t>
      </w:r>
      <w:r>
        <w:rPr>
          <w:rFonts w:hint="eastAsia" w:ascii="宋体" w:hAnsi="宋体" w:eastAsia="宋体" w:cs="宋体"/>
          <w:b/>
          <w:bCs/>
          <w:color w:val="auto"/>
          <w:sz w:val="21"/>
          <w:szCs w:val="21"/>
          <w:lang w:val="en-US" w:eastAsia="zh-CN"/>
        </w:rPr>
        <w:t>示意图</w:t>
      </w:r>
    </w:p>
    <w:p w14:paraId="297F9EA1">
      <w:pPr>
        <w:keepNext/>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auto"/>
        <w:rPr>
          <w:color w:val="auto"/>
          <w:lang w:val="en-US" w:eastAsia="zh-CN"/>
        </w:rPr>
      </w:pPr>
      <w:r>
        <w:rPr>
          <w:rFonts w:hint="eastAsia" w:ascii="宋体" w:hAnsi="宋体" w:eastAsia="宋体" w:cs="宋体"/>
          <w:b/>
          <w:bCs/>
          <w:color w:val="auto"/>
          <w:sz w:val="21"/>
          <w:szCs w:val="21"/>
          <w:lang w:eastAsia="zh-CN"/>
        </w:rPr>
        <w:t>表</w:t>
      </w:r>
      <w:r>
        <w:rPr>
          <w:rFonts w:hint="eastAsia" w:ascii="宋体" w:hAnsi="宋体" w:eastAsia="宋体" w:cs="宋体"/>
          <w:b/>
          <w:bCs/>
          <w:color w:val="auto"/>
          <w:sz w:val="21"/>
          <w:szCs w:val="21"/>
        </w:rPr>
        <w:t xml:space="preserve"> 4.</w:t>
      </w:r>
      <w:r>
        <w:rPr>
          <w:rFonts w:hint="eastAsia" w:ascii="宋体" w:hAnsi="宋体" w:eastAsia="宋体" w:cs="宋体"/>
          <w:b/>
          <w:bCs/>
          <w:color w:val="auto"/>
          <w:sz w:val="21"/>
          <w:szCs w:val="21"/>
          <w:lang w:val="en-US" w:eastAsia="zh-CN"/>
        </w:rPr>
        <w:t>5</w:t>
      </w:r>
      <w:r>
        <w:rPr>
          <w:rFonts w:hint="eastAsia" w:ascii="宋体" w:hAnsi="宋体" w:cs="宋体"/>
          <w:b/>
          <w:bCs/>
          <w:color w:val="auto"/>
          <w:sz w:val="21"/>
          <w:szCs w:val="21"/>
          <w:lang w:val="en-US" w:eastAsia="zh-CN"/>
        </w:rPr>
        <w:t>.1</w:t>
      </w:r>
      <w:r>
        <w:rPr>
          <w:rFonts w:hint="eastAsia" w:ascii="宋体" w:hAnsi="宋体" w:eastAsia="宋体" w:cs="宋体"/>
          <w:b/>
          <w:bCs/>
          <w:color w:val="auto"/>
          <w:sz w:val="21"/>
          <w:szCs w:val="21"/>
          <w:lang w:val="en-US" w:eastAsia="zh-CN"/>
        </w:rPr>
        <w:t>－1　</w:t>
      </w:r>
      <w:r>
        <w:rPr>
          <w:rFonts w:hint="eastAsia" w:ascii="宋体" w:hAnsi="宋体" w:eastAsia="宋体" w:cs="宋体"/>
          <w:b/>
          <w:bCs/>
          <w:color w:val="auto"/>
          <w:kern w:val="0"/>
          <w:sz w:val="21"/>
          <w:szCs w:val="21"/>
          <w:lang w:val="en-US" w:eastAsia="zh-CN" w:bidi="ar"/>
        </w:rPr>
        <w:t>塔机</w:t>
      </w:r>
      <w:r>
        <w:rPr>
          <w:rFonts w:hint="eastAsia" w:ascii="宋体" w:hAnsi="宋体" w:cs="宋体"/>
          <w:b/>
          <w:bCs/>
          <w:color w:val="auto"/>
          <w:kern w:val="0"/>
          <w:sz w:val="21"/>
          <w:szCs w:val="21"/>
          <w:lang w:val="en-US" w:eastAsia="zh-CN" w:bidi="ar"/>
        </w:rPr>
        <w:t>各臂长</w:t>
      </w:r>
      <w:r>
        <w:rPr>
          <w:rFonts w:hint="eastAsia" w:ascii="宋体" w:hAnsi="宋体" w:eastAsia="宋体" w:cs="宋体"/>
          <w:b/>
          <w:bCs/>
          <w:color w:val="auto"/>
          <w:kern w:val="0"/>
          <w:sz w:val="21"/>
          <w:szCs w:val="21"/>
          <w:lang w:val="en-US" w:eastAsia="zh-CN" w:bidi="ar"/>
        </w:rPr>
        <w:t>配平</w:t>
      </w:r>
      <w:r>
        <w:rPr>
          <w:rFonts w:hint="eastAsia" w:ascii="宋体" w:hAnsi="宋体" w:eastAsia="宋体" w:cs="宋体"/>
          <w:b/>
          <w:bCs/>
          <w:color w:val="auto"/>
          <w:sz w:val="21"/>
          <w:szCs w:val="21"/>
          <w:lang w:val="en-US" w:eastAsia="zh-CN"/>
        </w:rPr>
        <w:t>参数明细表</w:t>
      </w:r>
    </w:p>
    <w:p w14:paraId="5FA02761">
      <w:pPr>
        <w:keepNext w:val="0"/>
        <w:keepLines w:val="0"/>
        <w:pageBreakBefore w:val="0"/>
        <w:widowControl/>
        <w:numPr>
          <w:numId w:val="0"/>
        </w:numPr>
        <w:kinsoku/>
        <w:wordWrap/>
        <w:overflowPunct/>
        <w:topLinePunct w:val="0"/>
        <w:autoSpaceDE/>
        <w:autoSpaceDN/>
        <w:bidi w:val="0"/>
        <w:adjustRightInd/>
        <w:snapToGrid/>
        <w:ind w:leftChars="0"/>
        <w:jc w:val="left"/>
        <w:textAlignment w:val="auto"/>
      </w:pPr>
      <w:r>
        <w:drawing>
          <wp:inline distT="0" distB="0" distL="114300" distR="114300">
            <wp:extent cx="5756910" cy="2413000"/>
            <wp:effectExtent l="0" t="0" r="15240" b="6350"/>
            <wp:docPr id="1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5"/>
                    <pic:cNvPicPr>
                      <a:picLocks noChangeAspect="1"/>
                    </pic:cNvPicPr>
                  </pic:nvPicPr>
                  <pic:blipFill>
                    <a:blip r:embed="rId28"/>
                    <a:stretch>
                      <a:fillRect/>
                    </a:stretch>
                  </pic:blipFill>
                  <pic:spPr>
                    <a:xfrm>
                      <a:off x="0" y="0"/>
                      <a:ext cx="5756910" cy="2413000"/>
                    </a:xfrm>
                    <a:prstGeom prst="rect">
                      <a:avLst/>
                    </a:prstGeom>
                    <a:noFill/>
                    <a:ln>
                      <a:noFill/>
                    </a:ln>
                  </pic:spPr>
                </pic:pic>
              </a:graphicData>
            </a:graphic>
          </wp:inline>
        </w:drawing>
      </w:r>
    </w:p>
    <w:p w14:paraId="1E139160">
      <w:pPr>
        <w:widowControl/>
        <w:numPr>
          <w:ilvl w:val="0"/>
          <w:numId w:val="10"/>
        </w:numPr>
        <w:ind w:firstLine="480"/>
        <w:jc w:val="left"/>
      </w:pPr>
      <w:r>
        <w:rPr>
          <w:rFonts w:hint="eastAsia" w:ascii="宋体" w:hAnsi="宋体" w:cs="宋体"/>
          <w:color w:val="000000"/>
          <w:kern w:val="0"/>
          <w:szCs w:val="24"/>
          <w:lang w:bidi="ar"/>
        </w:rPr>
        <w:t xml:space="preserve">拆掉最上面塔身标准节与特殊节的连接螺栓，稍稍向上顶升，将引进轮按规定方向放至到标准节下方，并保证安全可靠；然后拆掉最上面的塔身标准节与下一节标准节的连接螺栓； </w:t>
      </w:r>
    </w:p>
    <w:p w14:paraId="6FBCE13F">
      <w:pPr>
        <w:widowControl/>
        <w:numPr>
          <w:ilvl w:val="0"/>
          <w:numId w:val="10"/>
        </w:numPr>
        <w:ind w:firstLine="480"/>
        <w:jc w:val="left"/>
      </w:pPr>
      <w:r>
        <w:rPr>
          <w:rFonts w:hint="eastAsia" w:ascii="宋体" w:hAnsi="宋体" w:cs="宋体"/>
          <w:color w:val="000000"/>
          <w:kern w:val="0"/>
          <w:szCs w:val="24"/>
          <w:lang w:bidi="ar"/>
        </w:rPr>
        <w:t xml:space="preserve">伸长顶升油缸，将顶升横梁顶在从上往下数第三个踏步的圆弧槽内，插好防脱销，将上部结构稍稍顶起，把特殊节与爬升架连接耳板销孔对正，打入销轴，并装好开口销； </w:t>
      </w:r>
    </w:p>
    <w:p w14:paraId="3C1A11C4">
      <w:pPr>
        <w:widowControl/>
        <w:numPr>
          <w:ilvl w:val="0"/>
          <w:numId w:val="10"/>
        </w:numPr>
        <w:ind w:firstLine="480"/>
        <w:jc w:val="left"/>
      </w:pPr>
      <w:r>
        <w:rPr>
          <w:rFonts w:hint="eastAsia" w:ascii="宋体" w:hAnsi="宋体" w:cs="宋体"/>
          <w:color w:val="000000"/>
          <w:kern w:val="0"/>
          <w:szCs w:val="24"/>
          <w:lang w:bidi="ar"/>
        </w:rPr>
        <w:t>拆掉最上面塔身标准节与特殊节的连接螺栓，稍稍向上顶升，并保证安全可靠；然后拆掉最上面的塔身标准节与下一节标准节的连接螺栓，并在四角安装上引进轮；</w:t>
      </w:r>
    </w:p>
    <w:p w14:paraId="4F286AFD">
      <w:pPr>
        <w:widowControl/>
        <w:numPr>
          <w:ilvl w:val="0"/>
          <w:numId w:val="10"/>
        </w:numPr>
        <w:ind w:firstLine="480"/>
        <w:jc w:val="left"/>
      </w:pPr>
      <w:r>
        <w:rPr>
          <w:rFonts w:hint="eastAsia" w:ascii="宋体" w:hAnsi="宋体" w:cs="宋体"/>
          <w:color w:val="000000"/>
          <w:kern w:val="0"/>
          <w:szCs w:val="24"/>
          <w:lang w:bidi="ar"/>
        </w:rPr>
        <w:t xml:space="preserve">继续顶升至最上面标准节与下方标准节离开，把标准节推出引进横梁并支稳（推出时且不可用力过猛，以免标准节冲出引进梁而倾翻，造成事故）； </w:t>
      </w:r>
    </w:p>
    <w:p w14:paraId="5C9D3D22">
      <w:pPr>
        <w:widowControl/>
        <w:numPr>
          <w:ilvl w:val="0"/>
          <w:numId w:val="10"/>
        </w:numPr>
        <w:ind w:firstLine="480"/>
        <w:jc w:val="left"/>
      </w:pPr>
      <w:r>
        <w:rPr>
          <w:rFonts w:hint="eastAsia" w:ascii="宋体" w:hAnsi="宋体" w:cs="宋体"/>
          <w:color w:val="000000"/>
          <w:kern w:val="0"/>
          <w:szCs w:val="24"/>
          <w:lang w:bidi="ar"/>
        </w:rPr>
        <w:t xml:space="preserve">扳开活动爬爪，回缩油缸，让活动爬爪躲过距它最近的一对踏步后，复位放平，继 续下降至活动爬爪支承在下一对踏步上并支承住上部结构后，退出防脱销，再回缩油缸至顶升横梁从踏步上移开； </w:t>
      </w:r>
    </w:p>
    <w:p w14:paraId="173F174C">
      <w:pPr>
        <w:widowControl/>
        <w:numPr>
          <w:ilvl w:val="0"/>
          <w:numId w:val="10"/>
        </w:numPr>
        <w:ind w:firstLine="480"/>
        <w:jc w:val="left"/>
      </w:pPr>
      <w:r>
        <w:rPr>
          <w:rFonts w:hint="eastAsia" w:ascii="宋体" w:hAnsi="宋体" w:cs="宋体"/>
          <w:color w:val="000000"/>
          <w:kern w:val="0"/>
          <w:szCs w:val="24"/>
          <w:lang w:bidi="ar"/>
        </w:rPr>
        <w:t xml:space="preserve">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 </w:t>
      </w:r>
    </w:p>
    <w:p w14:paraId="6A6D7F32">
      <w:pPr>
        <w:widowControl/>
        <w:numPr>
          <w:ilvl w:val="0"/>
          <w:numId w:val="10"/>
        </w:numPr>
        <w:ind w:firstLine="480"/>
        <w:jc w:val="left"/>
      </w:pPr>
      <w:r>
        <w:rPr>
          <w:rFonts w:hint="eastAsia" w:ascii="宋体" w:hAnsi="宋体" w:cs="宋体"/>
          <w:color w:val="000000"/>
          <w:kern w:val="0"/>
          <w:szCs w:val="24"/>
          <w:lang w:bidi="ar"/>
        </w:rPr>
        <w:t xml:space="preserve">将特殊节与塔身标准节之间用 </w:t>
      </w:r>
      <w:r>
        <w:rPr>
          <w:rFonts w:ascii="Calibri" w:hAnsi="Calibri" w:cs="Calibri"/>
          <w:color w:val="000000"/>
          <w:kern w:val="0"/>
          <w:szCs w:val="24"/>
          <w:lang w:bidi="ar"/>
        </w:rPr>
        <w:t xml:space="preserve">12 </w:t>
      </w:r>
      <w:r>
        <w:rPr>
          <w:rFonts w:hint="eastAsia" w:ascii="宋体" w:hAnsi="宋体" w:cs="宋体"/>
          <w:color w:val="000000"/>
          <w:kern w:val="0"/>
          <w:szCs w:val="24"/>
          <w:lang w:bidi="ar"/>
        </w:rPr>
        <w:t xml:space="preserve">颗高强螺栓紧固牢，用小车吊钩将标准节吊至地面； </w:t>
      </w:r>
    </w:p>
    <w:p w14:paraId="05B59109">
      <w:pPr>
        <w:widowControl/>
        <w:numPr>
          <w:ilvl w:val="0"/>
          <w:numId w:val="10"/>
        </w:numPr>
        <w:ind w:firstLine="480"/>
        <w:jc w:val="left"/>
      </w:pPr>
      <w:r>
        <w:rPr>
          <w:rFonts w:hint="eastAsia" w:ascii="宋体" w:hAnsi="宋体" w:cs="宋体"/>
          <w:color w:val="000000"/>
          <w:kern w:val="0"/>
          <w:szCs w:val="24"/>
          <w:lang w:val="en-US" w:eastAsia="zh-CN" w:bidi="ar"/>
        </w:rPr>
        <w:t>按</w:t>
      </w:r>
      <w:r>
        <w:rPr>
          <w:rFonts w:hint="eastAsia" w:ascii="宋体" w:hAnsi="宋体" w:cs="宋体"/>
          <w:color w:val="000000"/>
          <w:kern w:val="0"/>
          <w:szCs w:val="24"/>
          <w:lang w:bidi="ar"/>
        </w:rPr>
        <w:t>上述动作，将</w:t>
      </w:r>
      <w:r>
        <w:rPr>
          <w:rFonts w:hint="eastAsia" w:ascii="宋体" w:hAnsi="宋体" w:cs="宋体"/>
          <w:color w:val="000000"/>
          <w:kern w:val="0"/>
          <w:szCs w:val="24"/>
          <w:lang w:val="en-US" w:eastAsia="zh-CN" w:bidi="ar"/>
        </w:rPr>
        <w:t>一</w:t>
      </w:r>
      <w:r>
        <w:rPr>
          <w:rFonts w:hint="eastAsia" w:ascii="宋体" w:hAnsi="宋体" w:cs="宋体"/>
          <w:color w:val="000000"/>
          <w:kern w:val="0"/>
          <w:szCs w:val="24"/>
          <w:lang w:bidi="ar"/>
        </w:rPr>
        <w:t>标准节拆下。</w:t>
      </w:r>
    </w:p>
    <w:p w14:paraId="49523893">
      <w:pPr>
        <w:pStyle w:val="4"/>
        <w:bidi w:val="0"/>
        <w:rPr>
          <w:rFonts w:hint="eastAsia"/>
        </w:rPr>
      </w:pPr>
      <w:r>
        <w:rPr>
          <w:rFonts w:hint="eastAsia"/>
          <w:lang w:val="en-US" w:eastAsia="zh-CN"/>
        </w:rPr>
        <w:t>拆除一块1.2t平衡重</w:t>
      </w:r>
    </w:p>
    <w:p w14:paraId="454A6578">
      <w:pPr>
        <w:rPr>
          <w:rFonts w:hint="eastAsia"/>
        </w:rPr>
      </w:pPr>
      <w:r>
        <w:rPr>
          <w:rFonts w:hint="eastAsia"/>
          <w:lang w:val="en-US" w:eastAsia="zh-CN"/>
        </w:rPr>
        <w:t xml:space="preserve">1）将载重小车固定在起重臂根部，借助辅助吊车拆卸配重； </w:t>
      </w:r>
    </w:p>
    <w:p w14:paraId="1CAC808C">
      <w:pPr>
        <w:rPr>
          <w:rFonts w:hint="eastAsia" w:ascii="宋体" w:hAnsi="宋体" w:cs="宋体"/>
          <w:color w:val="auto"/>
          <w:kern w:val="0"/>
          <w:sz w:val="24"/>
          <w:szCs w:val="24"/>
          <w:lang w:val="en-US" w:eastAsia="zh-CN" w:bidi="ar"/>
        </w:rPr>
      </w:pPr>
      <w:r>
        <w:rPr>
          <w:rFonts w:hint="eastAsia"/>
          <w:lang w:val="en-US" w:eastAsia="zh-CN"/>
        </w:rPr>
        <w:t>2）</w:t>
      </w:r>
      <w:r>
        <w:rPr>
          <w:rFonts w:hint="eastAsia" w:ascii="宋体" w:hAnsi="宋体" w:eastAsia="宋体" w:cs="宋体"/>
          <w:color w:val="auto"/>
          <w:kern w:val="0"/>
          <w:sz w:val="24"/>
          <w:szCs w:val="24"/>
          <w:lang w:val="en-US" w:eastAsia="zh-CN" w:bidi="ar"/>
        </w:rPr>
        <w:t>将吊具绕过专用吊耳</w:t>
      </w:r>
      <w:r>
        <w:rPr>
          <w:rFonts w:hint="eastAsia" w:ascii="宋体" w:hAnsi="宋体" w:cs="宋体"/>
          <w:color w:val="auto"/>
          <w:kern w:val="0"/>
          <w:sz w:val="24"/>
          <w:szCs w:val="24"/>
          <w:lang w:val="en-US" w:eastAsia="zh-CN" w:bidi="ar"/>
        </w:rPr>
        <w:t>，拆除一块1.2t平衡重。</w:t>
      </w:r>
    </w:p>
    <w:p w14:paraId="6DAA2EF9">
      <w:pPr>
        <w:jc w:val="center"/>
      </w:pPr>
      <w:r>
        <w:drawing>
          <wp:inline distT="0" distB="0" distL="114300" distR="114300">
            <wp:extent cx="2762250" cy="2162175"/>
            <wp:effectExtent l="0" t="0" r="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9"/>
                    <a:stretch>
                      <a:fillRect/>
                    </a:stretch>
                  </pic:blipFill>
                  <pic:spPr>
                    <a:xfrm>
                      <a:off x="0" y="0"/>
                      <a:ext cx="2762250" cy="2162175"/>
                    </a:xfrm>
                    <a:prstGeom prst="rect">
                      <a:avLst/>
                    </a:prstGeom>
                    <a:noFill/>
                    <a:ln>
                      <a:noFill/>
                    </a:ln>
                  </pic:spPr>
                </pic:pic>
              </a:graphicData>
            </a:graphic>
          </wp:inline>
        </w:drawing>
      </w:r>
    </w:p>
    <w:p w14:paraId="572D35E8">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 xml:space="preserve">图 </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STYLEREF 3 \s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4.5.2</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SEQ 图 \* ARABIC \s 3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 xml:space="preserve"> 55m平衡重示意图</w:t>
      </w:r>
    </w:p>
    <w:p w14:paraId="2614DE3C">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4217035" cy="2531745"/>
            <wp:effectExtent l="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0"/>
                    <a:srcRect l="12992" t="-415" r="13643" b="-3116"/>
                    <a:stretch>
                      <a:fillRect/>
                    </a:stretch>
                  </pic:blipFill>
                  <pic:spPr>
                    <a:xfrm>
                      <a:off x="0" y="0"/>
                      <a:ext cx="4217035" cy="2531745"/>
                    </a:xfrm>
                    <a:prstGeom prst="rect">
                      <a:avLst/>
                    </a:prstGeom>
                    <a:noFill/>
                    <a:ln>
                      <a:noFill/>
                    </a:ln>
                  </pic:spPr>
                </pic:pic>
              </a:graphicData>
            </a:graphic>
          </wp:inline>
        </w:drawing>
      </w:r>
    </w:p>
    <w:p w14:paraId="6C7BC90F">
      <w:pPr>
        <w:ind w:left="0" w:leftChars="0" w:firstLine="0" w:firstLineChars="0"/>
        <w:jc w:val="center"/>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 xml:space="preserve">图 </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STYLEREF 3 \s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4.5.2</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SEQ 图 \* ARABIC \s 3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 xml:space="preserve"> 平衡重拆除立面示意图</w:t>
      </w:r>
    </w:p>
    <w:p w14:paraId="3F14D192">
      <w:pPr>
        <w:pStyle w:val="4"/>
        <w:bidi w:val="0"/>
        <w:rPr>
          <w:rFonts w:hint="eastAsia"/>
        </w:rPr>
      </w:pPr>
      <w:r>
        <w:rPr>
          <w:rFonts w:hint="eastAsia"/>
          <w:lang w:val="en-US" w:eastAsia="zh-CN"/>
        </w:rPr>
        <w:t>拆除一节</w:t>
      </w:r>
      <w:r>
        <w:rPr>
          <w:rFonts w:hint="eastAsia"/>
        </w:rPr>
        <w:t>起重臂</w:t>
      </w:r>
    </w:p>
    <w:p w14:paraId="4996AC80">
      <w:pPr>
        <w:keepNext w:val="0"/>
        <w:keepLines w:val="0"/>
        <w:widowControl/>
        <w:suppressLineNumbers w:val="0"/>
        <w:jc w:val="both"/>
        <w:rPr>
          <w:rFonts w:hint="eastAsia" w:ascii="宋体" w:hAnsi="宋体" w:eastAsia="宋体" w:cs="宋体"/>
          <w:bCs/>
          <w:kern w:val="2"/>
          <w:sz w:val="24"/>
          <w:szCs w:val="24"/>
          <w:lang w:val="en-US" w:eastAsia="zh-CN" w:bidi="ar-SA"/>
        </w:rPr>
      </w:pPr>
      <w:r>
        <w:rPr>
          <w:rFonts w:hint="eastAsia" w:ascii="宋体" w:hAnsi="宋体" w:cs="宋体"/>
          <w:bCs/>
          <w:kern w:val="2"/>
          <w:sz w:val="24"/>
          <w:szCs w:val="24"/>
          <w:lang w:val="en-US" w:eastAsia="zh-CN" w:bidi="ar-SA"/>
        </w:rPr>
        <w:t>（1）起重臂不同臂长的组成</w:t>
      </w:r>
      <w:r>
        <w:rPr>
          <w:rFonts w:hint="eastAsia" w:ascii="宋体" w:hAnsi="宋体" w:eastAsia="宋体" w:cs="宋体"/>
          <w:bCs/>
          <w:kern w:val="2"/>
          <w:sz w:val="24"/>
          <w:szCs w:val="24"/>
          <w:lang w:val="en-US" w:eastAsia="zh-CN" w:bidi="ar-SA"/>
        </w:rPr>
        <w:t>如下图所示</w:t>
      </w:r>
    </w:p>
    <w:p w14:paraId="55F7D60E">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auto"/>
        <w:rPr>
          <w:rFonts w:hint="eastAsia" w:ascii="宋体" w:hAnsi="宋体" w:eastAsia="宋体" w:cs="宋体"/>
          <w:bCs/>
          <w:kern w:val="2"/>
          <w:sz w:val="24"/>
          <w:szCs w:val="24"/>
          <w:lang w:val="en-US" w:eastAsia="zh-CN" w:bidi="ar-SA"/>
        </w:rPr>
      </w:pPr>
      <w:r>
        <w:drawing>
          <wp:inline distT="0" distB="0" distL="114300" distR="114300">
            <wp:extent cx="5758815" cy="2418080"/>
            <wp:effectExtent l="0" t="0" r="13335" b="1270"/>
            <wp:docPr id="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
                    <pic:cNvPicPr>
                      <a:picLocks noChangeAspect="1"/>
                    </pic:cNvPicPr>
                  </pic:nvPicPr>
                  <pic:blipFill>
                    <a:blip r:embed="rId31"/>
                    <a:stretch>
                      <a:fillRect/>
                    </a:stretch>
                  </pic:blipFill>
                  <pic:spPr>
                    <a:xfrm>
                      <a:off x="0" y="0"/>
                      <a:ext cx="5758815" cy="2418080"/>
                    </a:xfrm>
                    <a:prstGeom prst="rect">
                      <a:avLst/>
                    </a:prstGeom>
                    <a:noFill/>
                    <a:ln>
                      <a:noFill/>
                    </a:ln>
                  </pic:spPr>
                </pic:pic>
              </a:graphicData>
            </a:graphic>
          </wp:inline>
        </w:drawing>
      </w:r>
    </w:p>
    <w:p w14:paraId="45224FDE">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 xml:space="preserve">图 </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STYLEREF 3 \s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4.5.3</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SEQ 图 \* ARABIC \s 3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　起重臂</w:t>
      </w:r>
      <w:r>
        <w:rPr>
          <w:rFonts w:hint="eastAsia" w:ascii="宋体" w:hAnsi="宋体" w:cs="宋体"/>
          <w:b/>
          <w:bCs/>
          <w:color w:val="auto"/>
          <w:sz w:val="21"/>
          <w:szCs w:val="21"/>
          <w:lang w:val="en-US" w:eastAsia="zh-CN"/>
        </w:rPr>
        <w:t>臂长组成</w:t>
      </w:r>
      <w:r>
        <w:rPr>
          <w:rFonts w:hint="eastAsia" w:ascii="宋体" w:hAnsi="宋体" w:eastAsia="宋体" w:cs="宋体"/>
          <w:b/>
          <w:bCs/>
          <w:color w:val="auto"/>
          <w:sz w:val="21"/>
          <w:szCs w:val="21"/>
          <w:lang w:val="en-US" w:eastAsia="zh-CN"/>
        </w:rPr>
        <w:t>示意图</w:t>
      </w:r>
    </w:p>
    <w:p w14:paraId="720755B5">
      <w:pPr>
        <w:numPr>
          <w:ilvl w:val="0"/>
          <w:numId w:val="7"/>
        </w:numPr>
        <w:ind w:left="240" w:leftChars="0" w:firstLine="480" w:firstLineChars="0"/>
        <w:jc w:val="left"/>
        <w:rPr>
          <w:rFonts w:hint="eastAsia"/>
          <w:lang w:val="en-US" w:eastAsia="zh-CN"/>
        </w:rPr>
      </w:pPr>
      <w:r>
        <w:rPr>
          <w:rFonts w:hint="eastAsia"/>
        </w:rPr>
        <w:t>轻轻提起起重臂，使起吊装钢丝绳处于自然紧绷状态下，拆去</w:t>
      </w:r>
      <w:r>
        <w:rPr>
          <w:rFonts w:hint="eastAsia"/>
          <w:lang w:val="en-US" w:eastAsia="zh-CN"/>
        </w:rPr>
        <w:t>臂端一节起重臂与前一节起重臂的下弦连接的螺栓及上弦的销轴。</w:t>
      </w:r>
    </w:p>
    <w:p w14:paraId="49324321">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lang w:val="en-US" w:eastAsia="zh-CN"/>
        </w:rPr>
      </w:pPr>
      <w:r>
        <w:drawing>
          <wp:inline distT="0" distB="0" distL="114300" distR="114300">
            <wp:extent cx="5756910" cy="2169160"/>
            <wp:effectExtent l="0" t="0" r="15240" b="254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2"/>
                    <a:stretch>
                      <a:fillRect/>
                    </a:stretch>
                  </pic:blipFill>
                  <pic:spPr>
                    <a:xfrm>
                      <a:off x="0" y="0"/>
                      <a:ext cx="5756910" cy="2169160"/>
                    </a:xfrm>
                    <a:prstGeom prst="rect">
                      <a:avLst/>
                    </a:prstGeom>
                    <a:noFill/>
                    <a:ln>
                      <a:noFill/>
                    </a:ln>
                  </pic:spPr>
                </pic:pic>
              </a:graphicData>
            </a:graphic>
          </wp:inline>
        </w:drawing>
      </w:r>
    </w:p>
    <w:p w14:paraId="0ECD1807">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 xml:space="preserve">图 </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STYLEREF 3 \s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4.5.3</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SEQ 图 \* ARABIC \s 3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　</w:t>
      </w:r>
      <w:r>
        <w:rPr>
          <w:rFonts w:hint="eastAsia" w:ascii="宋体" w:hAnsi="宋体" w:cs="宋体"/>
          <w:b/>
          <w:bCs/>
          <w:color w:val="auto"/>
          <w:sz w:val="21"/>
          <w:szCs w:val="21"/>
          <w:lang w:val="en-US" w:eastAsia="zh-CN"/>
        </w:rPr>
        <w:t>2#塔机</w:t>
      </w:r>
      <w:r>
        <w:rPr>
          <w:rFonts w:hint="eastAsia" w:ascii="宋体" w:hAnsi="宋体" w:eastAsia="宋体" w:cs="宋体"/>
          <w:b/>
          <w:bCs/>
          <w:color w:val="auto"/>
          <w:sz w:val="21"/>
          <w:szCs w:val="21"/>
          <w:lang w:val="en-US" w:eastAsia="zh-CN"/>
        </w:rPr>
        <w:t>起重臂</w:t>
      </w:r>
      <w:r>
        <w:rPr>
          <w:rFonts w:hint="eastAsia" w:ascii="宋体" w:hAnsi="宋体" w:cs="宋体"/>
          <w:b/>
          <w:bCs/>
          <w:color w:val="auto"/>
          <w:sz w:val="21"/>
          <w:szCs w:val="21"/>
          <w:lang w:val="en-US" w:eastAsia="zh-CN"/>
        </w:rPr>
        <w:t>拆除</w:t>
      </w:r>
      <w:r>
        <w:rPr>
          <w:rFonts w:hint="eastAsia" w:ascii="宋体" w:hAnsi="宋体" w:eastAsia="宋体" w:cs="宋体"/>
          <w:b/>
          <w:bCs/>
          <w:color w:val="auto"/>
          <w:sz w:val="21"/>
          <w:szCs w:val="21"/>
          <w:lang w:val="en-US" w:eastAsia="zh-CN"/>
        </w:rPr>
        <w:t>示意图</w:t>
      </w:r>
    </w:p>
    <w:p w14:paraId="6FD66AD2">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115" w:name="_Toc4243"/>
      <w:r>
        <w:rPr>
          <w:rFonts w:hint="eastAsia" w:eastAsia="宋体"/>
          <w:color w:val="auto"/>
        </w:rPr>
        <w:t>检查</w:t>
      </w:r>
      <w:bookmarkEnd w:id="108"/>
      <w:bookmarkEnd w:id="109"/>
      <w:bookmarkEnd w:id="110"/>
      <w:bookmarkEnd w:id="111"/>
      <w:r>
        <w:rPr>
          <w:rFonts w:hint="eastAsia" w:eastAsia="宋体"/>
          <w:color w:val="auto"/>
        </w:rPr>
        <w:t>要求</w:t>
      </w:r>
      <w:bookmarkEnd w:id="112"/>
      <w:bookmarkEnd w:id="113"/>
      <w:bookmarkEnd w:id="114"/>
      <w:bookmarkEnd w:id="115"/>
    </w:p>
    <w:p w14:paraId="792041FC">
      <w:pPr>
        <w:pStyle w:val="4"/>
        <w:bidi w:val="0"/>
        <w:rPr>
          <w:rFonts w:hint="eastAsia"/>
          <w:lang w:val="en-US" w:eastAsia="zh-CN"/>
        </w:rPr>
      </w:pPr>
      <w:bookmarkStart w:id="116" w:name="_Toc1218"/>
      <w:bookmarkStart w:id="117" w:name="_Toc109137369"/>
      <w:r>
        <w:rPr>
          <w:rFonts w:hint="eastAsia"/>
          <w:lang w:val="en-US" w:eastAsia="zh-CN"/>
        </w:rPr>
        <w:t>塔机安装完成后的试验</w:t>
      </w:r>
      <w:bookmarkEnd w:id="116"/>
      <w:bookmarkEnd w:id="117"/>
    </w:p>
    <w:p w14:paraId="18E213EB">
      <w:pPr>
        <w:pStyle w:val="6"/>
        <w:numPr>
          <w:ilvl w:val="2"/>
          <w:numId w:val="0"/>
        </w:numPr>
        <w:spacing w:before="0" w:after="0" w:line="360" w:lineRule="auto"/>
        <w:ind w:leftChars="0"/>
        <w:outlineLvl w:val="3"/>
        <w:rPr>
          <w:rFonts w:ascii="Times New Roman" w:hAnsi="Times New Roman"/>
          <w:b w:val="0"/>
          <w:bCs w:val="0"/>
          <w:color w:val="auto"/>
          <w:sz w:val="24"/>
          <w:szCs w:val="24"/>
        </w:rPr>
      </w:pPr>
      <w:bookmarkStart w:id="118" w:name="_Toc10409849"/>
      <w:bookmarkStart w:id="119" w:name="_Toc19451"/>
      <w:r>
        <w:rPr>
          <w:rFonts w:hint="eastAsia"/>
          <w:b w:val="0"/>
          <w:bCs w:val="0"/>
          <w:color w:val="auto"/>
          <w:sz w:val="24"/>
          <w:szCs w:val="24"/>
          <w:lang w:val="en-US" w:eastAsia="zh-CN"/>
        </w:rPr>
        <w:t>4.6.1.1</w:t>
      </w:r>
      <w:r>
        <w:rPr>
          <w:rFonts w:hint="eastAsia" w:ascii="Times New Roman" w:hAnsi="Times New Roman"/>
          <w:b w:val="0"/>
          <w:bCs w:val="0"/>
          <w:color w:val="auto"/>
          <w:sz w:val="24"/>
          <w:szCs w:val="24"/>
        </w:rPr>
        <w:t>试运行前的检查</w:t>
      </w:r>
      <w:bookmarkEnd w:id="118"/>
      <w:bookmarkEnd w:id="119"/>
    </w:p>
    <w:p w14:paraId="75350085">
      <w:pPr>
        <w:ind w:firstLine="480"/>
        <w:rPr>
          <w:rFonts w:hint="eastAsia" w:ascii="Times New Roman" w:hAnsi="Times New Roman"/>
          <w:color w:val="auto"/>
          <w:szCs w:val="24"/>
        </w:rPr>
      </w:pPr>
      <w:r>
        <w:rPr>
          <w:rFonts w:hint="eastAsia" w:ascii="Times New Roman" w:hAnsi="Times New Roman"/>
          <w:color w:val="auto"/>
          <w:szCs w:val="24"/>
        </w:rPr>
        <w:t>试验前准备：塔式起重机组立完毕后的试运转工作应由有关单位组成的试运转小组进行，待试运转鉴定合格并做好记录后，可进行下一步检验。</w:t>
      </w:r>
    </w:p>
    <w:p w14:paraId="095A33CB">
      <w:pPr>
        <w:ind w:firstLine="480"/>
        <w:rPr>
          <w:rFonts w:hint="eastAsia" w:ascii="Times New Roman" w:hAnsi="Times New Roman"/>
          <w:color w:val="auto"/>
          <w:szCs w:val="24"/>
        </w:rPr>
      </w:pPr>
      <w:r>
        <w:rPr>
          <w:rFonts w:hint="eastAsia" w:ascii="Times New Roman" w:hAnsi="Times New Roman"/>
          <w:color w:val="auto"/>
          <w:szCs w:val="24"/>
        </w:rPr>
        <w:t>在试运转之前必须检查金属结构、各动力设备、传动机构、电气设备、安全装置、钢丝绳吊钩等是否完好，确认合格后才可进行试运转。检查内容还包括：</w:t>
      </w:r>
    </w:p>
    <w:p w14:paraId="16BBE571">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（1）金属机构是否有变形、缺损，焊缝是否有裂纹，螺栓是否上齐、拧紧</w:t>
      </w:r>
      <w:r>
        <w:rPr>
          <w:rFonts w:hint="eastAsia" w:ascii="Times New Roman" w:hAnsi="Times New Roman"/>
          <w:color w:val="auto"/>
          <w:szCs w:val="24"/>
          <w:lang w:eastAsia="zh-CN"/>
        </w:rPr>
        <w:t>。</w:t>
      </w:r>
    </w:p>
    <w:p w14:paraId="4C3EDE3C">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（2）所有部件是否安装齐全，转动机构是否正常，转动时是否有异响</w:t>
      </w:r>
      <w:r>
        <w:rPr>
          <w:rFonts w:hint="eastAsia" w:ascii="Times New Roman" w:hAnsi="Times New Roman"/>
          <w:color w:val="auto"/>
          <w:szCs w:val="24"/>
          <w:lang w:eastAsia="zh-CN"/>
        </w:rPr>
        <w:t>。</w:t>
      </w:r>
    </w:p>
    <w:p w14:paraId="1E19C763">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（3）操作系统是否正常，动作是否准确，手柄是否扳动灵活</w:t>
      </w:r>
      <w:r>
        <w:rPr>
          <w:rFonts w:hint="eastAsia" w:ascii="Times New Roman" w:hAnsi="Times New Roman"/>
          <w:color w:val="auto"/>
          <w:szCs w:val="24"/>
          <w:lang w:eastAsia="zh-CN"/>
        </w:rPr>
        <w:t>。</w:t>
      </w:r>
    </w:p>
    <w:p w14:paraId="0EBAD980">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（4）安全保护装置（限位器、行程开关等）是否安装齐全且能正常动作</w:t>
      </w:r>
      <w:r>
        <w:rPr>
          <w:rFonts w:hint="eastAsia" w:ascii="Times New Roman" w:hAnsi="Times New Roman"/>
          <w:color w:val="auto"/>
          <w:szCs w:val="24"/>
          <w:lang w:eastAsia="zh-CN"/>
        </w:rPr>
        <w:t>。</w:t>
      </w:r>
    </w:p>
    <w:p w14:paraId="36D08726">
      <w:pPr>
        <w:ind w:firstLine="480"/>
        <w:rPr>
          <w:rFonts w:hint="eastAsia" w:ascii="Times New Roman" w:hAnsi="Times New Roman" w:eastAsia="宋体"/>
          <w:color w:val="auto"/>
          <w:szCs w:val="24"/>
          <w:highlight w:val="none"/>
          <w:lang w:eastAsia="zh-CN"/>
        </w:rPr>
      </w:pPr>
      <w:r>
        <w:rPr>
          <w:rFonts w:hint="eastAsia" w:ascii="Times New Roman" w:hAnsi="Times New Roman"/>
          <w:color w:val="auto"/>
          <w:szCs w:val="24"/>
          <w:highlight w:val="none"/>
        </w:rPr>
        <w:t>（5）常规检查：参考标准规范</w:t>
      </w:r>
      <w:bookmarkStart w:id="120" w:name="_Hlk496466541"/>
      <w:r>
        <w:rPr>
          <w:rFonts w:hint="eastAsia" w:ascii="Times New Roman" w:hAnsi="Times New Roman"/>
          <w:color w:val="auto"/>
          <w:szCs w:val="24"/>
          <w:highlight w:val="none"/>
        </w:rPr>
        <w:t>《起重机试验规范和程序》</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hint="eastAsia" w:ascii="Times New Roman" w:hAnsi="Times New Roman"/>
          <w:color w:val="auto"/>
          <w:szCs w:val="24"/>
          <w:highlight w:val="none"/>
        </w:rPr>
        <w:t>5905-2011</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、《起重机械安全规程》</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GB6067.1-2010</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、《起重设备安装工程施工及验收规范》</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GB50278-2010</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《通用塔式起重机》</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GB/T14406-2011</w:t>
      </w:r>
      <w:r>
        <w:rPr>
          <w:rFonts w:hint="eastAsia" w:ascii="Times New Roman" w:hAnsi="Times New Roman"/>
          <w:color w:val="auto"/>
          <w:szCs w:val="24"/>
          <w:highlight w:val="none"/>
          <w:lang w:eastAsia="zh-CN"/>
        </w:rPr>
        <w:t>）</w:t>
      </w:r>
      <w:bookmarkEnd w:id="120"/>
      <w:r>
        <w:rPr>
          <w:rFonts w:hint="eastAsia" w:ascii="Times New Roman" w:hAnsi="Times New Roman"/>
          <w:color w:val="auto"/>
          <w:szCs w:val="24"/>
          <w:highlight w:val="none"/>
          <w:lang w:eastAsia="zh-CN"/>
        </w:rPr>
        <w:t>。</w:t>
      </w:r>
    </w:p>
    <w:p w14:paraId="69957D15">
      <w:pPr>
        <w:pStyle w:val="6"/>
        <w:numPr>
          <w:ilvl w:val="2"/>
          <w:numId w:val="0"/>
        </w:numPr>
        <w:spacing w:before="0" w:after="0" w:line="360" w:lineRule="auto"/>
        <w:ind w:leftChars="0"/>
        <w:outlineLvl w:val="3"/>
        <w:rPr>
          <w:rFonts w:hint="eastAsia"/>
          <w:b w:val="0"/>
          <w:bCs w:val="0"/>
          <w:color w:val="auto"/>
          <w:sz w:val="24"/>
          <w:szCs w:val="24"/>
          <w:lang w:val="en-US" w:eastAsia="zh-CN"/>
        </w:rPr>
      </w:pPr>
      <w:bookmarkStart w:id="121" w:name="_Toc10409850"/>
      <w:bookmarkStart w:id="122" w:name="_Toc5936"/>
      <w:r>
        <w:rPr>
          <w:rFonts w:hint="eastAsia"/>
          <w:b w:val="0"/>
          <w:bCs w:val="0"/>
          <w:color w:val="auto"/>
          <w:sz w:val="24"/>
          <w:szCs w:val="24"/>
          <w:lang w:val="en-US" w:eastAsia="zh-CN"/>
        </w:rPr>
        <w:t>4.6.1.2静动载试验</w:t>
      </w:r>
      <w:bookmarkEnd w:id="121"/>
      <w:bookmarkEnd w:id="122"/>
    </w:p>
    <w:p w14:paraId="5E0A7C57">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起重机试运转分为空负荷、静负荷（含额定载荷）、动负荷试验三个部分</w:t>
      </w:r>
      <w:r>
        <w:rPr>
          <w:rFonts w:hint="eastAsia" w:ascii="Times New Roman" w:hAnsi="Times New Roman"/>
          <w:color w:val="auto"/>
          <w:szCs w:val="24"/>
          <w:lang w:eastAsia="zh-CN"/>
        </w:rPr>
        <w:t>。</w:t>
      </w:r>
    </w:p>
    <w:p w14:paraId="47F6026E">
      <w:pPr>
        <w:ind w:firstLine="480"/>
        <w:rPr>
          <w:rFonts w:ascii="Times New Roman" w:hAnsi="Times New Roman"/>
          <w:color w:val="auto"/>
          <w:szCs w:val="24"/>
        </w:rPr>
      </w:pPr>
      <w:r>
        <w:rPr>
          <w:rFonts w:hint="eastAsia" w:ascii="Times New Roman" w:hAnsi="Times New Roman"/>
          <w:color w:val="auto"/>
          <w:szCs w:val="24"/>
        </w:rPr>
        <w:t>安全保护装置必须齐全，主要包括起重力矩、起重量、起升高度、回转和幅度限制器及风速仪（在起重臂根部铰点高度超过50米时，应在顶部设置风速仪）。</w:t>
      </w:r>
    </w:p>
    <w:p w14:paraId="4ABD1A73">
      <w:pPr>
        <w:ind w:firstLine="480"/>
        <w:rPr>
          <w:rFonts w:ascii="Times New Roman" w:hAnsi="Times New Roman"/>
          <w:color w:val="auto"/>
          <w:szCs w:val="24"/>
        </w:rPr>
      </w:pPr>
      <w:r>
        <w:rPr>
          <w:rFonts w:ascii="Times New Roman" w:hAnsi="Times New Roman"/>
          <w:color w:val="auto"/>
          <w:szCs w:val="24"/>
        </w:rPr>
        <w:t>(1)</w:t>
      </w:r>
      <w:r>
        <w:rPr>
          <w:rFonts w:hint="eastAsia" w:ascii="Times New Roman" w:hAnsi="Times New Roman"/>
          <w:color w:val="auto"/>
          <w:szCs w:val="24"/>
        </w:rPr>
        <w:t>塔机进行空载时的静态试验及超载时静动态试验，调整好各安全装置。</w:t>
      </w:r>
    </w:p>
    <w:p w14:paraId="72213C2D">
      <w:pPr>
        <w:ind w:firstLine="480"/>
        <w:rPr>
          <w:rFonts w:ascii="Times New Roman" w:hAnsi="Times New Roman"/>
          <w:color w:val="auto"/>
          <w:szCs w:val="24"/>
        </w:rPr>
      </w:pPr>
      <w:r>
        <w:rPr>
          <w:rFonts w:hint="eastAsia" w:ascii="Times New Roman" w:hAnsi="Times New Roman"/>
          <w:color w:val="auto"/>
          <w:szCs w:val="24"/>
        </w:rPr>
        <w:t>塔机组装好检查合格后，应依次进行下列试验（每转移一个工地必须进行）。</w:t>
      </w:r>
    </w:p>
    <w:p w14:paraId="72F258B1">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空载试验。各机构分别进行数次运行，然后再做三次综合动作运行，运行过程中各机构不得发生任何异常现象，各机构制动器、操作系统、控制系统、联锁装置及各限位器应动作准确、可靠，否则应及时排除故障。</w:t>
      </w:r>
    </w:p>
    <w:p w14:paraId="6E7DF7DE">
      <w:pPr>
        <w:ind w:firstLine="480"/>
        <w:rPr>
          <w:rFonts w:hint="eastAsia" w:ascii="Times New Roman" w:hAnsi="Times New Roman"/>
          <w:color w:val="auto"/>
          <w:szCs w:val="24"/>
        </w:rPr>
      </w:pPr>
      <w:r>
        <w:rPr>
          <w:rFonts w:ascii="Times New Roman" w:hAnsi="Times New Roman"/>
          <w:color w:val="auto"/>
          <w:szCs w:val="24"/>
        </w:rPr>
        <w:t>(3)</w:t>
      </w:r>
      <w:r>
        <w:rPr>
          <w:rFonts w:hint="eastAsia" w:ascii="Times New Roman" w:hAnsi="Times New Roman"/>
          <w:color w:val="auto"/>
          <w:szCs w:val="24"/>
        </w:rPr>
        <w:t>负荷试验。负荷运行前，必须在小幅度内吊1.1倍额定起重量，调整好起升制动器。在最大幅度处分别对应额定起重量的25%、50%、75%、100%进行试验。运行过程中不得发生任何异常现象，各机构制动器、操作系统、控制系统、联锁装置及各限位器应动作准确可靠。</w:t>
      </w:r>
    </w:p>
    <w:p w14:paraId="4F94085D">
      <w:pPr>
        <w:pStyle w:val="52"/>
        <w:ind w:firstLine="480"/>
        <w:rPr>
          <w:rFonts w:hint="eastAsia"/>
          <w:color w:val="auto"/>
        </w:rPr>
      </w:pPr>
      <w:r>
        <w:rPr>
          <w:rFonts w:hint="eastAsia" w:ascii="Times New Roman" w:hAnsi="Times New Roman"/>
          <w:color w:val="auto"/>
          <w:szCs w:val="24"/>
          <w:lang w:eastAsia="zh-CN"/>
        </w:rPr>
        <w:t>（</w:t>
      </w:r>
      <w:r>
        <w:rPr>
          <w:rFonts w:hint="eastAsia" w:ascii="Times New Roman" w:hAnsi="Times New Roman"/>
          <w:color w:val="auto"/>
          <w:szCs w:val="24"/>
          <w:lang w:val="en-US" w:eastAsia="zh-CN"/>
        </w:rPr>
        <w:t>4</w:t>
      </w:r>
      <w:r>
        <w:rPr>
          <w:rFonts w:hint="eastAsia" w:ascii="Times New Roman" w:hAnsi="Times New Roman"/>
          <w:color w:val="auto"/>
          <w:szCs w:val="24"/>
          <w:lang w:eastAsia="zh-CN"/>
        </w:rPr>
        <w:t>）</w:t>
      </w:r>
      <w:r>
        <w:rPr>
          <w:rFonts w:hint="eastAsia"/>
          <w:color w:val="auto"/>
        </w:rPr>
        <w:t>超载25%静态实验</w:t>
      </w:r>
      <w:r>
        <w:rPr>
          <w:rFonts w:hint="eastAsia" w:ascii="Times New Roman" w:hAnsi="Times New Roman"/>
          <w:color w:val="auto"/>
          <w:szCs w:val="24"/>
        </w:rPr>
        <w:t>（四倍率</w:t>
      </w:r>
      <w:r>
        <w:rPr>
          <w:rFonts w:hint="eastAsia"/>
          <w:color w:val="auto"/>
          <w:szCs w:val="24"/>
          <w:lang w:val="en-US" w:eastAsia="zh-CN"/>
        </w:rPr>
        <w:t>125</w:t>
      </w:r>
      <w:r>
        <w:rPr>
          <w:rFonts w:hint="eastAsia" w:ascii="Times New Roman" w:hAnsi="Times New Roman"/>
          <w:color w:val="auto"/>
          <w:szCs w:val="24"/>
        </w:rPr>
        <w:t>%）</w:t>
      </w:r>
      <w:r>
        <w:rPr>
          <w:rFonts w:hint="eastAsia"/>
          <w:color w:val="auto"/>
        </w:rPr>
        <w:t>，空载试验合格后，进行静态超载试验。静态超载试验按下表所示：</w:t>
      </w:r>
    </w:p>
    <w:p w14:paraId="405BAF60">
      <w:pPr>
        <w:pStyle w:val="52"/>
        <w:ind w:firstLine="480"/>
        <w:jc w:val="center"/>
        <w:rPr>
          <w:rFonts w:hint="default"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表 </w:t>
      </w:r>
      <w:r>
        <w:rPr>
          <w:rFonts w:hint="eastAsia" w:ascii="宋体" w:hAnsi="宋体" w:eastAsia="宋体" w:cs="宋体"/>
          <w:b/>
          <w:bCs/>
          <w:color w:val="auto"/>
          <w:kern w:val="2"/>
          <w:sz w:val="21"/>
          <w:szCs w:val="21"/>
          <w:lang w:val="en-US" w:eastAsia="zh-CN" w:bidi="ar-SA"/>
        </w:rPr>
        <w:fldChar w:fldCharType="begin"/>
      </w:r>
      <w:r>
        <w:rPr>
          <w:rFonts w:hint="eastAsia" w:ascii="宋体" w:hAnsi="宋体" w:eastAsia="宋体" w:cs="宋体"/>
          <w:b/>
          <w:bCs/>
          <w:color w:val="auto"/>
          <w:kern w:val="2"/>
          <w:sz w:val="21"/>
          <w:szCs w:val="21"/>
          <w:lang w:val="en-US" w:eastAsia="zh-CN" w:bidi="ar-SA"/>
        </w:rPr>
        <w:instrText xml:space="preserve"> STYLEREF 3 \s </w:instrText>
      </w:r>
      <w:r>
        <w:rPr>
          <w:rFonts w:hint="eastAsia" w:ascii="宋体" w:hAnsi="宋体" w:eastAsia="宋体" w:cs="宋体"/>
          <w:b/>
          <w:bCs/>
          <w:color w:val="auto"/>
          <w:kern w:val="2"/>
          <w:sz w:val="21"/>
          <w:szCs w:val="21"/>
          <w:lang w:val="en-US" w:eastAsia="zh-CN" w:bidi="ar-SA"/>
        </w:rPr>
        <w:fldChar w:fldCharType="separate"/>
      </w:r>
      <w:r>
        <w:rPr>
          <w:rFonts w:hint="eastAsia" w:ascii="宋体" w:hAnsi="宋体" w:eastAsia="宋体" w:cs="宋体"/>
          <w:b/>
          <w:bCs/>
          <w:color w:val="auto"/>
          <w:kern w:val="2"/>
          <w:sz w:val="21"/>
          <w:szCs w:val="21"/>
          <w:lang w:val="en-US" w:eastAsia="zh-CN" w:bidi="ar-SA"/>
        </w:rPr>
        <w:t>4.6.1</w:t>
      </w:r>
      <w:r>
        <w:rPr>
          <w:rFonts w:hint="eastAsia" w:ascii="宋体" w:hAnsi="宋体" w:eastAsia="宋体" w:cs="宋体"/>
          <w:b/>
          <w:bCs/>
          <w:color w:val="auto"/>
          <w:kern w:val="2"/>
          <w:sz w:val="21"/>
          <w:szCs w:val="21"/>
          <w:lang w:val="en-US" w:eastAsia="zh-CN" w:bidi="ar-SA"/>
        </w:rPr>
        <w:fldChar w:fldCharType="end"/>
      </w:r>
      <w:r>
        <w:rPr>
          <w:rFonts w:hint="eastAsia" w:ascii="宋体" w:hAnsi="宋体" w:eastAsia="宋体" w:cs="宋体"/>
          <w:b/>
          <w:bCs/>
          <w:color w:val="auto"/>
          <w:kern w:val="2"/>
          <w:sz w:val="21"/>
          <w:szCs w:val="21"/>
          <w:lang w:val="en-US" w:eastAsia="zh-CN" w:bidi="ar-SA"/>
        </w:rPr>
        <w:t>-</w:t>
      </w:r>
      <w:r>
        <w:rPr>
          <w:rFonts w:hint="eastAsia" w:ascii="宋体" w:hAnsi="宋体" w:eastAsia="宋体" w:cs="宋体"/>
          <w:b/>
          <w:bCs/>
          <w:color w:val="auto"/>
          <w:kern w:val="2"/>
          <w:sz w:val="21"/>
          <w:szCs w:val="21"/>
          <w:lang w:val="en-US" w:eastAsia="zh-CN" w:bidi="ar-SA"/>
        </w:rPr>
        <w:fldChar w:fldCharType="begin"/>
      </w:r>
      <w:r>
        <w:rPr>
          <w:rFonts w:hint="eastAsia" w:ascii="宋体" w:hAnsi="宋体" w:eastAsia="宋体" w:cs="宋体"/>
          <w:b/>
          <w:bCs/>
          <w:color w:val="auto"/>
          <w:kern w:val="2"/>
          <w:sz w:val="21"/>
          <w:szCs w:val="21"/>
          <w:lang w:val="en-US" w:eastAsia="zh-CN" w:bidi="ar-SA"/>
        </w:rPr>
        <w:instrText xml:space="preserve"> SEQ 表 \* ARABIC \s 3 </w:instrText>
      </w:r>
      <w:r>
        <w:rPr>
          <w:rFonts w:hint="eastAsia" w:ascii="宋体" w:hAnsi="宋体" w:eastAsia="宋体" w:cs="宋体"/>
          <w:b/>
          <w:bCs/>
          <w:color w:val="auto"/>
          <w:kern w:val="2"/>
          <w:sz w:val="21"/>
          <w:szCs w:val="21"/>
          <w:lang w:val="en-US" w:eastAsia="zh-CN" w:bidi="ar-SA"/>
        </w:rPr>
        <w:fldChar w:fldCharType="separate"/>
      </w:r>
      <w:r>
        <w:rPr>
          <w:rFonts w:hint="eastAsia" w:ascii="宋体" w:hAnsi="宋体" w:eastAsia="宋体" w:cs="宋体"/>
          <w:b/>
          <w:bCs/>
          <w:color w:val="auto"/>
          <w:kern w:val="2"/>
          <w:sz w:val="21"/>
          <w:szCs w:val="21"/>
          <w:lang w:val="en-US" w:eastAsia="zh-CN" w:bidi="ar-SA"/>
        </w:rPr>
        <w:t>1</w:t>
      </w:r>
      <w:r>
        <w:rPr>
          <w:rFonts w:hint="eastAsia" w:ascii="宋体" w:hAnsi="宋体" w:eastAsia="宋体" w:cs="宋体"/>
          <w:b/>
          <w:bCs/>
          <w:color w:val="auto"/>
          <w:kern w:val="2"/>
          <w:sz w:val="21"/>
          <w:szCs w:val="21"/>
          <w:lang w:val="en-US" w:eastAsia="zh-CN" w:bidi="ar-SA"/>
        </w:rPr>
        <w:fldChar w:fldCharType="end"/>
      </w:r>
      <w:r>
        <w:rPr>
          <w:rFonts w:hint="eastAsia" w:ascii="宋体" w:hAnsi="宋体" w:eastAsia="宋体" w:cs="宋体"/>
          <w:b/>
          <w:bCs/>
          <w:color w:val="auto"/>
          <w:kern w:val="2"/>
          <w:sz w:val="21"/>
          <w:szCs w:val="21"/>
          <w:lang w:val="en-US" w:eastAsia="zh-CN" w:bidi="ar-SA"/>
        </w:rPr>
        <w:t xml:space="preserve"> XGT601</w:t>
      </w:r>
      <w:r>
        <w:rPr>
          <w:rFonts w:hint="eastAsia" w:ascii="宋体" w:hAnsi="宋体" w:cs="宋体"/>
          <w:b/>
          <w:bCs/>
          <w:color w:val="auto"/>
          <w:kern w:val="2"/>
          <w:sz w:val="21"/>
          <w:szCs w:val="21"/>
          <w:lang w:val="en-US" w:eastAsia="zh-CN" w:bidi="ar-SA"/>
        </w:rPr>
        <w:t>5</w:t>
      </w:r>
      <w:r>
        <w:rPr>
          <w:rFonts w:hint="eastAsia" w:ascii="宋体" w:hAnsi="宋体" w:eastAsia="宋体" w:cs="宋体"/>
          <w:b/>
          <w:bCs/>
          <w:color w:val="auto"/>
          <w:kern w:val="2"/>
          <w:sz w:val="21"/>
          <w:szCs w:val="21"/>
          <w:lang w:val="en-US" w:eastAsia="zh-CN" w:bidi="ar-SA"/>
        </w:rPr>
        <w:t>-</w:t>
      </w:r>
      <w:r>
        <w:rPr>
          <w:rFonts w:hint="eastAsia" w:ascii="宋体" w:hAnsi="宋体" w:cs="宋体"/>
          <w:b/>
          <w:bCs/>
          <w:color w:val="auto"/>
          <w:kern w:val="2"/>
          <w:sz w:val="21"/>
          <w:szCs w:val="21"/>
          <w:lang w:val="en-US" w:eastAsia="zh-CN" w:bidi="ar-SA"/>
        </w:rPr>
        <w:t>8</w:t>
      </w:r>
      <w:r>
        <w:rPr>
          <w:rFonts w:hint="eastAsia" w:ascii="宋体" w:hAnsi="宋体" w:eastAsia="宋体" w:cs="宋体"/>
          <w:b/>
          <w:bCs/>
          <w:color w:val="auto"/>
          <w:kern w:val="2"/>
          <w:sz w:val="21"/>
          <w:szCs w:val="21"/>
          <w:lang w:val="en-US" w:eastAsia="zh-CN" w:bidi="ar-SA"/>
        </w:rPr>
        <w:t>S1静载实验</w:t>
      </w:r>
    </w:p>
    <w:tbl>
      <w:tblPr>
        <w:tblStyle w:val="26"/>
        <w:tblpPr w:leftFromText="180" w:rightFromText="180" w:vertAnchor="text" w:horzAnchor="page" w:tblpX="2233" w:tblpY="155"/>
        <w:tblOverlap w:val="never"/>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434"/>
        <w:gridCol w:w="1472"/>
        <w:gridCol w:w="1588"/>
        <w:gridCol w:w="1559"/>
      </w:tblGrid>
      <w:tr w14:paraId="422712E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67" w:type="dxa"/>
            <w:noWrap w:val="0"/>
            <w:vAlign w:val="center"/>
          </w:tcPr>
          <w:p w14:paraId="797DEBE3">
            <w:pPr>
              <w:ind w:firstLine="420"/>
              <w:jc w:val="center"/>
              <w:rPr>
                <w:rFonts w:ascii="宋体" w:hAnsi="宋体"/>
                <w:bCs/>
                <w:color w:val="auto"/>
                <w:sz w:val="21"/>
                <w:szCs w:val="21"/>
              </w:rPr>
            </w:pPr>
            <w:r>
              <w:rPr>
                <w:rFonts w:hint="eastAsia" w:ascii="宋体" w:hAnsi="宋体"/>
                <w:bCs/>
                <w:color w:val="auto"/>
                <w:sz w:val="21"/>
                <w:szCs w:val="21"/>
              </w:rPr>
              <w:t>项目</w:t>
            </w:r>
          </w:p>
          <w:p w14:paraId="3DA15985">
            <w:pPr>
              <w:ind w:firstLine="0" w:firstLineChars="0"/>
              <w:rPr>
                <w:rFonts w:ascii="宋体" w:hAnsi="宋体"/>
                <w:bCs/>
                <w:color w:val="auto"/>
                <w:sz w:val="21"/>
                <w:szCs w:val="21"/>
              </w:rPr>
            </w:pPr>
            <w:r>
              <w:rPr>
                <w:rFonts w:hint="eastAsia" w:ascii="宋体" w:hAnsi="宋体"/>
                <w:bCs/>
                <w:color w:val="auto"/>
                <w:sz w:val="21"/>
                <w:szCs w:val="21"/>
              </w:rPr>
              <w:t>臂长（米）</w:t>
            </w:r>
          </w:p>
        </w:tc>
        <w:tc>
          <w:tcPr>
            <w:tcW w:w="1434" w:type="dxa"/>
            <w:noWrap w:val="0"/>
            <w:vAlign w:val="center"/>
          </w:tcPr>
          <w:p w14:paraId="08FB3402">
            <w:pPr>
              <w:ind w:firstLine="0" w:firstLineChars="0"/>
              <w:jc w:val="center"/>
              <w:rPr>
                <w:rFonts w:ascii="宋体" w:hAnsi="宋体"/>
                <w:bCs/>
                <w:color w:val="auto"/>
                <w:sz w:val="21"/>
                <w:szCs w:val="21"/>
              </w:rPr>
            </w:pPr>
            <w:r>
              <w:rPr>
                <w:rFonts w:hint="eastAsia" w:ascii="宋体" w:hAnsi="宋体"/>
                <w:bCs/>
                <w:color w:val="auto"/>
                <w:sz w:val="21"/>
                <w:szCs w:val="21"/>
              </w:rPr>
              <w:t>幅度I（米）</w:t>
            </w:r>
          </w:p>
        </w:tc>
        <w:tc>
          <w:tcPr>
            <w:tcW w:w="1472" w:type="dxa"/>
            <w:noWrap w:val="0"/>
            <w:vAlign w:val="center"/>
          </w:tcPr>
          <w:p w14:paraId="618CE6BE">
            <w:pPr>
              <w:ind w:firstLine="0" w:firstLineChars="0"/>
              <w:jc w:val="center"/>
              <w:rPr>
                <w:rFonts w:ascii="宋体" w:hAnsi="宋体"/>
                <w:bCs/>
                <w:color w:val="auto"/>
                <w:sz w:val="21"/>
                <w:szCs w:val="21"/>
              </w:rPr>
            </w:pPr>
            <w:r>
              <w:rPr>
                <w:rFonts w:hint="eastAsia" w:ascii="宋体" w:hAnsi="宋体"/>
                <w:bCs/>
                <w:color w:val="auto"/>
                <w:sz w:val="21"/>
                <w:szCs w:val="21"/>
              </w:rPr>
              <w:t>吊重I（吨）</w:t>
            </w:r>
          </w:p>
        </w:tc>
        <w:tc>
          <w:tcPr>
            <w:tcW w:w="1588" w:type="dxa"/>
            <w:noWrap w:val="0"/>
            <w:vAlign w:val="center"/>
          </w:tcPr>
          <w:p w14:paraId="0D0042E3">
            <w:pPr>
              <w:ind w:firstLine="0" w:firstLineChars="0"/>
              <w:jc w:val="center"/>
              <w:rPr>
                <w:rFonts w:ascii="宋体" w:hAnsi="宋体"/>
                <w:bCs/>
                <w:color w:val="auto"/>
                <w:sz w:val="21"/>
                <w:szCs w:val="21"/>
              </w:rPr>
            </w:pPr>
            <w:r>
              <w:rPr>
                <w:rFonts w:hint="eastAsia" w:ascii="宋体" w:hAnsi="宋体"/>
                <w:bCs/>
                <w:color w:val="auto"/>
                <w:sz w:val="21"/>
                <w:szCs w:val="21"/>
              </w:rPr>
              <w:t>幅度II（米）</w:t>
            </w:r>
          </w:p>
        </w:tc>
        <w:tc>
          <w:tcPr>
            <w:tcW w:w="1559" w:type="dxa"/>
            <w:noWrap w:val="0"/>
            <w:vAlign w:val="center"/>
          </w:tcPr>
          <w:p w14:paraId="29D175C2">
            <w:pPr>
              <w:ind w:firstLine="0" w:firstLineChars="0"/>
              <w:jc w:val="center"/>
              <w:rPr>
                <w:rFonts w:ascii="宋体" w:hAnsi="宋体"/>
                <w:bCs/>
                <w:color w:val="auto"/>
                <w:sz w:val="21"/>
                <w:szCs w:val="21"/>
              </w:rPr>
            </w:pPr>
            <w:r>
              <w:rPr>
                <w:rFonts w:hint="eastAsia" w:ascii="宋体" w:hAnsi="宋体"/>
                <w:bCs/>
                <w:color w:val="auto"/>
                <w:sz w:val="21"/>
                <w:szCs w:val="21"/>
              </w:rPr>
              <w:t>吊重II（吨）</w:t>
            </w:r>
          </w:p>
        </w:tc>
      </w:tr>
      <w:tr w14:paraId="0693AF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67" w:type="dxa"/>
            <w:noWrap w:val="0"/>
            <w:vAlign w:val="center"/>
          </w:tcPr>
          <w:p w14:paraId="69EF178C">
            <w:pPr>
              <w:ind w:firstLine="0" w:firstLineChars="0"/>
              <w:jc w:val="center"/>
              <w:rPr>
                <w:rFonts w:hint="default" w:ascii="宋体" w:hAnsi="宋体" w:eastAsia="宋体"/>
                <w:bCs/>
                <w:color w:val="auto"/>
                <w:sz w:val="21"/>
                <w:szCs w:val="21"/>
                <w:lang w:val="en-US" w:eastAsia="zh-CN"/>
              </w:rPr>
            </w:pPr>
            <w:r>
              <w:rPr>
                <w:rFonts w:hint="default" w:ascii="宋体" w:hAnsi="宋体"/>
                <w:bCs/>
                <w:color w:val="auto"/>
                <w:sz w:val="21"/>
                <w:szCs w:val="21"/>
                <w:lang w:val="en-US"/>
              </w:rPr>
              <mc:AlternateContent>
                <mc:Choice Requires="wps">
                  <w:drawing>
                    <wp:anchor distT="0" distB="0" distL="114300" distR="114300" simplePos="0" relativeHeight="251663360" behindDoc="0" locked="0" layoutInCell="1" allowOverlap="1">
                      <wp:simplePos x="0" y="0"/>
                      <wp:positionH relativeFrom="column">
                        <wp:posOffset>-49530</wp:posOffset>
                      </wp:positionH>
                      <wp:positionV relativeFrom="paragraph">
                        <wp:posOffset>-599440</wp:posOffset>
                      </wp:positionV>
                      <wp:extent cx="1379855" cy="572770"/>
                      <wp:effectExtent l="1905" t="4445" r="8890" b="13335"/>
                      <wp:wrapNone/>
                      <wp:docPr id="179" name="直接连接符 179"/>
                      <wp:cNvGraphicFramePr/>
                      <a:graphic xmlns:a="http://schemas.openxmlformats.org/drawingml/2006/main">
                        <a:graphicData uri="http://schemas.microsoft.com/office/word/2010/wordprocessingShape">
                          <wps:wsp>
                            <wps:cNvCnPr/>
                            <wps:spPr>
                              <a:xfrm>
                                <a:off x="0" y="0"/>
                                <a:ext cx="1379855" cy="57277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9pt;margin-top:-47.2pt;height:45.1pt;width:108.65pt;z-index:251663360;mso-width-relative:page;mso-height-relative:page;" filled="f" stroked="t" coordsize="21600,21600" o:gfxdata="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o6LH7YAAAACQEAAA8AAAAAAAAAAQAgAAAAIgAAAGRycy9kb3ducmV2Lnht&#10;bFBLAQIUABQAAAAIAIdO4kAGKZWm+QEAAO8DAAAOAAAAAAAAAAEAIAAAACcBAABkcnMvZTJvRG9j&#10;LnhtbFBLBQYAAAAABgAGAFkBAACSBQAAAAA=&#10;">
                      <v:fill on="f" focussize="0,0"/>
                      <v:stroke color="#000000" joinstyle="round"/>
                      <v:imagedata o:title=""/>
                      <o:lock v:ext="edit" aspectratio="f"/>
                    </v:line>
                  </w:pict>
                </mc:Fallback>
              </mc:AlternateContent>
            </w:r>
            <w:r>
              <w:rPr>
                <w:rFonts w:hint="eastAsia" w:ascii="宋体" w:hAnsi="宋体"/>
                <w:bCs/>
                <w:color w:val="auto"/>
                <w:sz w:val="21"/>
                <w:szCs w:val="21"/>
                <w:lang w:val="en-US" w:eastAsia="zh-CN"/>
              </w:rPr>
              <w:t>55</w:t>
            </w:r>
          </w:p>
        </w:tc>
        <w:tc>
          <w:tcPr>
            <w:tcW w:w="1434" w:type="dxa"/>
            <w:noWrap w:val="0"/>
            <w:vAlign w:val="center"/>
          </w:tcPr>
          <w:p w14:paraId="15B7E2BB">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sz w:val="21"/>
                <w:szCs w:val="21"/>
                <w:lang w:val="en-US" w:eastAsia="zh-CN"/>
              </w:rPr>
              <w:t>15</w:t>
            </w:r>
          </w:p>
        </w:tc>
        <w:tc>
          <w:tcPr>
            <w:tcW w:w="1472" w:type="dxa"/>
            <w:noWrap w:val="0"/>
            <w:vAlign w:val="center"/>
          </w:tcPr>
          <w:p w14:paraId="3F07D015">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kern w:val="2"/>
                <w:sz w:val="21"/>
                <w:szCs w:val="21"/>
                <w:lang w:val="en-US" w:eastAsia="zh-CN" w:bidi="ar-SA"/>
              </w:rPr>
              <w:t>10</w:t>
            </w:r>
          </w:p>
        </w:tc>
        <w:tc>
          <w:tcPr>
            <w:tcW w:w="1588" w:type="dxa"/>
            <w:noWrap w:val="0"/>
            <w:vAlign w:val="center"/>
          </w:tcPr>
          <w:p w14:paraId="364E0F68">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bCs/>
                <w:color w:val="auto"/>
                <w:sz w:val="21"/>
                <w:szCs w:val="21"/>
                <w:lang w:val="en-US" w:eastAsia="zh-CN"/>
              </w:rPr>
              <w:t>55</w:t>
            </w:r>
          </w:p>
        </w:tc>
        <w:tc>
          <w:tcPr>
            <w:tcW w:w="1559" w:type="dxa"/>
            <w:noWrap w:val="0"/>
            <w:vAlign w:val="center"/>
          </w:tcPr>
          <w:p w14:paraId="3301D4FC">
            <w:pPr>
              <w:ind w:firstLine="0" w:firstLineChars="0"/>
              <w:jc w:val="center"/>
              <w:rPr>
                <w:rFonts w:hint="default" w:ascii="宋体" w:hAnsi="宋体" w:eastAsia="宋体"/>
                <w:bCs/>
                <w:color w:val="auto"/>
                <w:sz w:val="21"/>
                <w:szCs w:val="21"/>
                <w:lang w:val="en-US" w:eastAsia="zh-CN"/>
              </w:rPr>
            </w:pPr>
            <w:r>
              <w:rPr>
                <w:rFonts w:hint="eastAsia" w:ascii="宋体" w:hAnsi="宋体"/>
                <w:bCs/>
                <w:color w:val="auto"/>
                <w:sz w:val="21"/>
                <w:szCs w:val="21"/>
                <w:lang w:val="en-US" w:eastAsia="zh-CN"/>
              </w:rPr>
              <w:t>2.275</w:t>
            </w:r>
          </w:p>
        </w:tc>
      </w:tr>
    </w:tbl>
    <w:p w14:paraId="3002FDC4">
      <w:pPr>
        <w:ind w:firstLine="480"/>
        <w:rPr>
          <w:rFonts w:ascii="Times New Roman" w:hAnsi="Times New Roman"/>
          <w:color w:val="auto"/>
          <w:szCs w:val="24"/>
        </w:rPr>
      </w:pPr>
      <w:r>
        <w:rPr>
          <w:rFonts w:hint="eastAsia" w:ascii="Times New Roman" w:hAnsi="Times New Roman"/>
          <w:color w:val="auto"/>
          <w:szCs w:val="24"/>
        </w:rPr>
        <w:t>在以上幅度I和幅度II，以最低安全速度将对应的吊重离地0.2米左右，记录下离地距离，保持十分钟，卸载后检查金属结构和焊缝质量情况及有无永久变形。</w:t>
      </w:r>
    </w:p>
    <w:p w14:paraId="03E92E58">
      <w:pPr>
        <w:ind w:firstLine="480"/>
        <w:rPr>
          <w:rFonts w:ascii="Times New Roman" w:hAnsi="Times New Roman"/>
          <w:color w:val="auto"/>
          <w:szCs w:val="24"/>
        </w:rPr>
      </w:pPr>
      <w:r>
        <w:rPr>
          <w:rFonts w:hint="eastAsia" w:ascii="Times New Roman" w:hAnsi="Times New Roman"/>
          <w:color w:val="auto"/>
          <w:szCs w:val="24"/>
        </w:rPr>
        <w:t>注意：静载试验不允许进行变幅和回转动作。</w:t>
      </w:r>
    </w:p>
    <w:p w14:paraId="32B54480">
      <w:pPr>
        <w:numPr>
          <w:ilvl w:val="0"/>
          <w:numId w:val="11"/>
        </w:numPr>
        <w:ind w:firstLine="480"/>
        <w:rPr>
          <w:color w:val="auto"/>
        </w:rPr>
      </w:pPr>
      <w:r>
        <w:rPr>
          <w:rFonts w:hint="eastAsia" w:ascii="Times New Roman" w:hAnsi="Times New Roman"/>
          <w:color w:val="auto"/>
          <w:szCs w:val="24"/>
        </w:rPr>
        <w:t>超载动态试验（四倍率</w:t>
      </w:r>
      <w:r>
        <w:rPr>
          <w:rFonts w:hint="eastAsia"/>
          <w:color w:val="auto"/>
          <w:szCs w:val="24"/>
          <w:lang w:val="en-US" w:eastAsia="zh-CN"/>
        </w:rPr>
        <w:t>1</w:t>
      </w:r>
      <w:r>
        <w:rPr>
          <w:rFonts w:hint="eastAsia" w:ascii="Times New Roman" w:hAnsi="Times New Roman"/>
          <w:color w:val="auto"/>
          <w:szCs w:val="24"/>
        </w:rPr>
        <w:t>10%）</w:t>
      </w:r>
    </w:p>
    <w:p w14:paraId="407701EB">
      <w:pPr>
        <w:ind w:firstLine="480"/>
        <w:rPr>
          <w:rFonts w:hint="eastAsia" w:ascii="Times New Roman" w:hAnsi="Times New Roman"/>
          <w:color w:val="auto"/>
          <w:szCs w:val="24"/>
          <w:highlight w:val="none"/>
        </w:rPr>
      </w:pPr>
      <w:r>
        <w:rPr>
          <w:rFonts w:hint="eastAsia" w:ascii="Times New Roman" w:hAnsi="Times New Roman"/>
          <w:color w:val="auto"/>
          <w:szCs w:val="24"/>
          <w:highlight w:val="none"/>
        </w:rPr>
        <w:t>超载动态试验按下表所示：</w:t>
      </w:r>
    </w:p>
    <w:p w14:paraId="6E21908D">
      <w:pPr>
        <w:pStyle w:val="52"/>
        <w:ind w:firstLine="480"/>
        <w:jc w:val="center"/>
        <w:rPr>
          <w:rFonts w:hint="default"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表 </w:t>
      </w:r>
      <w:r>
        <w:rPr>
          <w:rFonts w:hint="eastAsia" w:ascii="宋体" w:hAnsi="宋体" w:eastAsia="宋体" w:cs="宋体"/>
          <w:b/>
          <w:bCs/>
          <w:color w:val="auto"/>
          <w:kern w:val="2"/>
          <w:sz w:val="21"/>
          <w:szCs w:val="21"/>
          <w:lang w:val="en-US" w:eastAsia="zh-CN" w:bidi="ar-SA"/>
        </w:rPr>
        <w:fldChar w:fldCharType="begin"/>
      </w:r>
      <w:r>
        <w:rPr>
          <w:rFonts w:hint="eastAsia" w:ascii="宋体" w:hAnsi="宋体" w:eastAsia="宋体" w:cs="宋体"/>
          <w:b/>
          <w:bCs/>
          <w:color w:val="auto"/>
          <w:kern w:val="2"/>
          <w:sz w:val="21"/>
          <w:szCs w:val="21"/>
          <w:lang w:val="en-US" w:eastAsia="zh-CN" w:bidi="ar-SA"/>
        </w:rPr>
        <w:instrText xml:space="preserve"> STYLEREF 3 \s </w:instrText>
      </w:r>
      <w:r>
        <w:rPr>
          <w:rFonts w:hint="eastAsia" w:ascii="宋体" w:hAnsi="宋体" w:eastAsia="宋体" w:cs="宋体"/>
          <w:b/>
          <w:bCs/>
          <w:color w:val="auto"/>
          <w:kern w:val="2"/>
          <w:sz w:val="21"/>
          <w:szCs w:val="21"/>
          <w:lang w:val="en-US" w:eastAsia="zh-CN" w:bidi="ar-SA"/>
        </w:rPr>
        <w:fldChar w:fldCharType="separate"/>
      </w:r>
      <w:r>
        <w:rPr>
          <w:rFonts w:hint="eastAsia" w:ascii="宋体" w:hAnsi="宋体" w:eastAsia="宋体" w:cs="宋体"/>
          <w:b/>
          <w:bCs/>
          <w:color w:val="auto"/>
          <w:kern w:val="2"/>
          <w:sz w:val="21"/>
          <w:szCs w:val="21"/>
          <w:lang w:val="en-US" w:eastAsia="zh-CN" w:bidi="ar-SA"/>
        </w:rPr>
        <w:t>4.6.1</w:t>
      </w:r>
      <w:r>
        <w:rPr>
          <w:rFonts w:hint="eastAsia" w:ascii="宋体" w:hAnsi="宋体" w:eastAsia="宋体" w:cs="宋体"/>
          <w:b/>
          <w:bCs/>
          <w:color w:val="auto"/>
          <w:kern w:val="2"/>
          <w:sz w:val="21"/>
          <w:szCs w:val="21"/>
          <w:lang w:val="en-US" w:eastAsia="zh-CN" w:bidi="ar-SA"/>
        </w:rPr>
        <w:fldChar w:fldCharType="end"/>
      </w:r>
      <w:r>
        <w:rPr>
          <w:rFonts w:hint="eastAsia" w:ascii="宋体" w:hAnsi="宋体" w:eastAsia="宋体" w:cs="宋体"/>
          <w:b/>
          <w:bCs/>
          <w:color w:val="auto"/>
          <w:kern w:val="2"/>
          <w:sz w:val="21"/>
          <w:szCs w:val="21"/>
          <w:lang w:val="en-US" w:eastAsia="zh-CN" w:bidi="ar-SA"/>
        </w:rPr>
        <w:t>-</w:t>
      </w:r>
      <w:r>
        <w:rPr>
          <w:rFonts w:hint="eastAsia" w:ascii="宋体" w:hAnsi="宋体" w:eastAsia="宋体" w:cs="宋体"/>
          <w:b/>
          <w:bCs/>
          <w:color w:val="auto"/>
          <w:kern w:val="2"/>
          <w:sz w:val="21"/>
          <w:szCs w:val="21"/>
          <w:lang w:val="en-US" w:eastAsia="zh-CN" w:bidi="ar-SA"/>
        </w:rPr>
        <w:fldChar w:fldCharType="begin"/>
      </w:r>
      <w:r>
        <w:rPr>
          <w:rFonts w:hint="eastAsia" w:ascii="宋体" w:hAnsi="宋体" w:eastAsia="宋体" w:cs="宋体"/>
          <w:b/>
          <w:bCs/>
          <w:color w:val="auto"/>
          <w:kern w:val="2"/>
          <w:sz w:val="21"/>
          <w:szCs w:val="21"/>
          <w:lang w:val="en-US" w:eastAsia="zh-CN" w:bidi="ar-SA"/>
        </w:rPr>
        <w:instrText xml:space="preserve"> SEQ 表 \* ARABIC \s 3 </w:instrText>
      </w:r>
      <w:r>
        <w:rPr>
          <w:rFonts w:hint="eastAsia" w:ascii="宋体" w:hAnsi="宋体" w:eastAsia="宋体" w:cs="宋体"/>
          <w:b/>
          <w:bCs/>
          <w:color w:val="auto"/>
          <w:kern w:val="2"/>
          <w:sz w:val="21"/>
          <w:szCs w:val="21"/>
          <w:lang w:val="en-US" w:eastAsia="zh-CN" w:bidi="ar-SA"/>
        </w:rPr>
        <w:fldChar w:fldCharType="separate"/>
      </w:r>
      <w:r>
        <w:rPr>
          <w:rFonts w:hint="eastAsia" w:ascii="宋体" w:hAnsi="宋体" w:eastAsia="宋体" w:cs="宋体"/>
          <w:b/>
          <w:bCs/>
          <w:color w:val="auto"/>
          <w:kern w:val="2"/>
          <w:sz w:val="21"/>
          <w:szCs w:val="21"/>
          <w:lang w:val="en-US" w:eastAsia="zh-CN" w:bidi="ar-SA"/>
        </w:rPr>
        <w:t>2</w:t>
      </w:r>
      <w:r>
        <w:rPr>
          <w:rFonts w:hint="eastAsia" w:ascii="宋体" w:hAnsi="宋体" w:eastAsia="宋体" w:cs="宋体"/>
          <w:b/>
          <w:bCs/>
          <w:color w:val="auto"/>
          <w:kern w:val="2"/>
          <w:sz w:val="21"/>
          <w:szCs w:val="21"/>
          <w:lang w:val="en-US" w:eastAsia="zh-CN" w:bidi="ar-SA"/>
        </w:rPr>
        <w:fldChar w:fldCharType="end"/>
      </w:r>
      <w:r>
        <w:rPr>
          <w:rFonts w:hint="eastAsia" w:ascii="宋体" w:hAnsi="宋体" w:eastAsia="宋体" w:cs="宋体"/>
          <w:b/>
          <w:bCs/>
          <w:color w:val="auto"/>
          <w:kern w:val="2"/>
          <w:sz w:val="21"/>
          <w:szCs w:val="21"/>
          <w:lang w:val="en-US" w:eastAsia="zh-CN" w:bidi="ar-SA"/>
        </w:rPr>
        <w:t xml:space="preserve"> XGT601</w:t>
      </w:r>
      <w:r>
        <w:rPr>
          <w:rFonts w:hint="eastAsia" w:ascii="宋体" w:hAnsi="宋体" w:cs="宋体"/>
          <w:b/>
          <w:bCs/>
          <w:color w:val="auto"/>
          <w:kern w:val="2"/>
          <w:sz w:val="21"/>
          <w:szCs w:val="21"/>
          <w:lang w:val="en-US" w:eastAsia="zh-CN" w:bidi="ar-SA"/>
        </w:rPr>
        <w:t>5</w:t>
      </w:r>
      <w:r>
        <w:rPr>
          <w:rFonts w:hint="eastAsia" w:ascii="宋体" w:hAnsi="宋体" w:eastAsia="宋体" w:cs="宋体"/>
          <w:b/>
          <w:bCs/>
          <w:color w:val="auto"/>
          <w:kern w:val="2"/>
          <w:sz w:val="21"/>
          <w:szCs w:val="21"/>
          <w:lang w:val="en-US" w:eastAsia="zh-CN" w:bidi="ar-SA"/>
        </w:rPr>
        <w:t>-</w:t>
      </w:r>
      <w:r>
        <w:rPr>
          <w:rFonts w:hint="eastAsia" w:ascii="宋体" w:hAnsi="宋体" w:cs="宋体"/>
          <w:b/>
          <w:bCs/>
          <w:color w:val="auto"/>
          <w:kern w:val="2"/>
          <w:sz w:val="21"/>
          <w:szCs w:val="21"/>
          <w:lang w:val="en-US" w:eastAsia="zh-CN" w:bidi="ar-SA"/>
        </w:rPr>
        <w:t>8</w:t>
      </w:r>
      <w:r>
        <w:rPr>
          <w:rFonts w:hint="eastAsia" w:ascii="宋体" w:hAnsi="宋体" w:eastAsia="宋体" w:cs="宋体"/>
          <w:b/>
          <w:bCs/>
          <w:color w:val="auto"/>
          <w:kern w:val="2"/>
          <w:sz w:val="21"/>
          <w:szCs w:val="21"/>
          <w:lang w:val="en-US" w:eastAsia="zh-CN" w:bidi="ar-SA"/>
        </w:rPr>
        <w:t>S1</w:t>
      </w:r>
      <w:r>
        <w:rPr>
          <w:rFonts w:hint="eastAsia" w:ascii="宋体" w:hAnsi="宋体" w:cs="宋体"/>
          <w:b/>
          <w:bCs/>
          <w:color w:val="auto"/>
          <w:kern w:val="2"/>
          <w:sz w:val="21"/>
          <w:szCs w:val="21"/>
          <w:lang w:val="en-US" w:eastAsia="zh-CN" w:bidi="ar-SA"/>
        </w:rPr>
        <w:t>动</w:t>
      </w:r>
      <w:r>
        <w:rPr>
          <w:rFonts w:hint="eastAsia" w:ascii="宋体" w:hAnsi="宋体" w:eastAsia="宋体" w:cs="宋体"/>
          <w:b/>
          <w:bCs/>
          <w:color w:val="auto"/>
          <w:kern w:val="2"/>
          <w:sz w:val="21"/>
          <w:szCs w:val="21"/>
          <w:lang w:val="en-US" w:eastAsia="zh-CN" w:bidi="ar-SA"/>
        </w:rPr>
        <w:t>载实验</w:t>
      </w:r>
    </w:p>
    <w:tbl>
      <w:tblPr>
        <w:tblStyle w:val="2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1500"/>
        <w:gridCol w:w="1450"/>
        <w:gridCol w:w="1567"/>
        <w:gridCol w:w="1657"/>
      </w:tblGrid>
      <w:tr w14:paraId="0BACBC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noWrap w:val="0"/>
            <w:vAlign w:val="center"/>
          </w:tcPr>
          <w:p w14:paraId="3F5E1836">
            <w:pPr>
              <w:ind w:firstLine="420"/>
              <w:jc w:val="center"/>
              <w:rPr>
                <w:rFonts w:ascii="宋体" w:hAnsi="宋体" w:cs="宋体"/>
                <w:bCs/>
                <w:color w:val="auto"/>
                <w:sz w:val="21"/>
                <w:szCs w:val="21"/>
              </w:rPr>
            </w:pPr>
            <w:r>
              <w:rPr>
                <w:rFonts w:ascii="宋体" w:hAnsi="宋体" w:cs="宋体"/>
                <w:bCs/>
                <w:color w:val="auto"/>
                <w:sz w:val="21"/>
                <w:szCs w:val="21"/>
              </w:rPr>
              <mc:AlternateContent>
                <mc:Choice Requires="wps">
                  <w:drawing>
                    <wp:anchor distT="0" distB="0" distL="114300" distR="114300" simplePos="0" relativeHeight="251664384" behindDoc="0" locked="0" layoutInCell="1" allowOverlap="1">
                      <wp:simplePos x="0" y="0"/>
                      <wp:positionH relativeFrom="column">
                        <wp:posOffset>-60325</wp:posOffset>
                      </wp:positionH>
                      <wp:positionV relativeFrom="paragraph">
                        <wp:posOffset>16510</wp:posOffset>
                      </wp:positionV>
                      <wp:extent cx="1323975" cy="515620"/>
                      <wp:effectExtent l="1905" t="4445" r="7620" b="13335"/>
                      <wp:wrapNone/>
                      <wp:docPr id="180" name="直接连接符 180"/>
                      <wp:cNvGraphicFramePr/>
                      <a:graphic xmlns:a="http://schemas.openxmlformats.org/drawingml/2006/main">
                        <a:graphicData uri="http://schemas.microsoft.com/office/word/2010/wordprocessingShape">
                          <wps:wsp>
                            <wps:cNvCnPr/>
                            <wps:spPr>
                              <a:xfrm>
                                <a:off x="0" y="0"/>
                                <a:ext cx="1323975" cy="5156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75pt;margin-top:1.3pt;height:40.6pt;width:104.25pt;z-index:251664384;mso-width-relative:page;mso-height-relative:page;" filled="f" stroked="t" coordsize="21600,21600" o:gfxdata="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BgLBvWAAAABwEAAA8AAAAAAAAAAQAgAAAAIgAAAGRycy9kb3ducmV2LnhtbFBL&#10;AQIUABQAAAAIAIdO4kA+Irje+AEAAO8DAAAOAAAAAAAAAAEAIAAAACUBAABkcnMvZTJvRG9jLnht&#10;bFBLBQYAAAAABgAGAFkBAACPBQAAAAA=&#10;">
                      <v:fill on="f" focussize="0,0"/>
                      <v:stroke color="#000000" joinstyle="round"/>
                      <v:imagedata o:title=""/>
                      <o:lock v:ext="edit" aspectratio="f"/>
                    </v:line>
                  </w:pict>
                </mc:Fallback>
              </mc:AlternateContent>
            </w:r>
            <w:r>
              <w:rPr>
                <w:rFonts w:hint="eastAsia" w:ascii="宋体" w:hAnsi="宋体" w:cs="宋体"/>
                <w:bCs/>
                <w:color w:val="auto"/>
                <w:sz w:val="21"/>
                <w:szCs w:val="21"/>
              </w:rPr>
              <w:t>项目</w:t>
            </w:r>
          </w:p>
          <w:p w14:paraId="20702751">
            <w:pPr>
              <w:ind w:firstLine="0" w:firstLineChars="0"/>
              <w:rPr>
                <w:rFonts w:ascii="宋体" w:hAnsi="宋体" w:cs="宋体"/>
                <w:bCs/>
                <w:color w:val="auto"/>
                <w:sz w:val="21"/>
                <w:szCs w:val="21"/>
              </w:rPr>
            </w:pPr>
            <w:r>
              <w:rPr>
                <w:rFonts w:hint="eastAsia" w:ascii="宋体" w:hAnsi="宋体" w:cs="宋体"/>
                <w:bCs/>
                <w:color w:val="auto"/>
                <w:sz w:val="21"/>
                <w:szCs w:val="21"/>
              </w:rPr>
              <w:t>臂长（米）</w:t>
            </w:r>
          </w:p>
        </w:tc>
        <w:tc>
          <w:tcPr>
            <w:tcW w:w="1500" w:type="dxa"/>
            <w:noWrap w:val="0"/>
            <w:vAlign w:val="center"/>
          </w:tcPr>
          <w:p w14:paraId="22AB0923">
            <w:pPr>
              <w:ind w:firstLine="0" w:firstLineChars="0"/>
              <w:jc w:val="center"/>
              <w:rPr>
                <w:rFonts w:ascii="宋体" w:hAnsi="宋体" w:cs="宋体"/>
                <w:bCs/>
                <w:color w:val="auto"/>
                <w:sz w:val="21"/>
                <w:szCs w:val="21"/>
              </w:rPr>
            </w:pPr>
            <w:r>
              <w:rPr>
                <w:rFonts w:hint="eastAsia" w:ascii="宋体" w:hAnsi="宋体" w:cs="宋体"/>
                <w:bCs/>
                <w:color w:val="auto"/>
                <w:sz w:val="21"/>
                <w:szCs w:val="21"/>
              </w:rPr>
              <w:t>幅度I（米）</w:t>
            </w:r>
          </w:p>
        </w:tc>
        <w:tc>
          <w:tcPr>
            <w:tcW w:w="1450" w:type="dxa"/>
            <w:noWrap w:val="0"/>
            <w:vAlign w:val="center"/>
          </w:tcPr>
          <w:p w14:paraId="3FB8121C">
            <w:pPr>
              <w:ind w:firstLine="0" w:firstLineChars="0"/>
              <w:jc w:val="center"/>
              <w:rPr>
                <w:rFonts w:ascii="宋体" w:hAnsi="宋体" w:cs="宋体"/>
                <w:bCs/>
                <w:color w:val="auto"/>
                <w:sz w:val="21"/>
                <w:szCs w:val="21"/>
              </w:rPr>
            </w:pPr>
            <w:r>
              <w:rPr>
                <w:rFonts w:hint="eastAsia" w:ascii="宋体" w:hAnsi="宋体" w:cs="宋体"/>
                <w:bCs/>
                <w:color w:val="auto"/>
                <w:sz w:val="21"/>
                <w:szCs w:val="21"/>
              </w:rPr>
              <w:t>吊重I（吨）</w:t>
            </w:r>
          </w:p>
        </w:tc>
        <w:tc>
          <w:tcPr>
            <w:tcW w:w="1567" w:type="dxa"/>
            <w:noWrap w:val="0"/>
            <w:vAlign w:val="center"/>
          </w:tcPr>
          <w:p w14:paraId="22E0CDD2">
            <w:pPr>
              <w:ind w:firstLine="0" w:firstLineChars="0"/>
              <w:jc w:val="center"/>
              <w:rPr>
                <w:rFonts w:ascii="宋体" w:hAnsi="宋体" w:cs="宋体"/>
                <w:bCs/>
                <w:color w:val="auto"/>
                <w:sz w:val="21"/>
                <w:szCs w:val="21"/>
              </w:rPr>
            </w:pPr>
            <w:r>
              <w:rPr>
                <w:rFonts w:hint="eastAsia" w:ascii="宋体" w:hAnsi="宋体" w:cs="宋体"/>
                <w:bCs/>
                <w:color w:val="auto"/>
                <w:sz w:val="21"/>
                <w:szCs w:val="21"/>
              </w:rPr>
              <w:t>幅度II（米）</w:t>
            </w:r>
          </w:p>
        </w:tc>
        <w:tc>
          <w:tcPr>
            <w:tcW w:w="1657" w:type="dxa"/>
            <w:noWrap w:val="0"/>
            <w:vAlign w:val="center"/>
          </w:tcPr>
          <w:p w14:paraId="0BC329A0">
            <w:pPr>
              <w:ind w:firstLine="0" w:firstLineChars="0"/>
              <w:jc w:val="center"/>
              <w:rPr>
                <w:rFonts w:ascii="宋体" w:hAnsi="宋体" w:cs="宋体"/>
                <w:bCs/>
                <w:color w:val="auto"/>
                <w:sz w:val="21"/>
                <w:szCs w:val="21"/>
              </w:rPr>
            </w:pPr>
            <w:r>
              <w:rPr>
                <w:rFonts w:hint="eastAsia" w:ascii="宋体" w:hAnsi="宋体" w:cs="宋体"/>
                <w:bCs/>
                <w:color w:val="auto"/>
                <w:sz w:val="21"/>
                <w:szCs w:val="21"/>
              </w:rPr>
              <w:t>吊重II（吨）</w:t>
            </w:r>
          </w:p>
        </w:tc>
      </w:tr>
      <w:tr w14:paraId="1B6F4D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noWrap w:val="0"/>
            <w:vAlign w:val="center"/>
          </w:tcPr>
          <w:p w14:paraId="7F219A8E">
            <w:pPr>
              <w:ind w:firstLine="0" w:firstLineChars="0"/>
              <w:jc w:val="center"/>
              <w:rPr>
                <w:rFonts w:hint="default" w:ascii="宋体" w:hAnsi="宋体" w:cs="宋体"/>
                <w:bCs/>
                <w:color w:val="auto"/>
                <w:sz w:val="21"/>
                <w:szCs w:val="21"/>
                <w:lang w:val="en-US"/>
              </w:rPr>
            </w:pPr>
            <w:r>
              <w:rPr>
                <w:rFonts w:hint="eastAsia" w:ascii="宋体" w:hAnsi="宋体"/>
                <w:bCs/>
                <w:color w:val="auto"/>
                <w:sz w:val="21"/>
                <w:szCs w:val="21"/>
                <w:lang w:val="en-US" w:eastAsia="zh-CN"/>
              </w:rPr>
              <w:t>55</w:t>
            </w:r>
          </w:p>
        </w:tc>
        <w:tc>
          <w:tcPr>
            <w:tcW w:w="1500" w:type="dxa"/>
            <w:noWrap w:val="0"/>
            <w:vAlign w:val="center"/>
          </w:tcPr>
          <w:p w14:paraId="18311F28">
            <w:pPr>
              <w:ind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15</w:t>
            </w:r>
          </w:p>
        </w:tc>
        <w:tc>
          <w:tcPr>
            <w:tcW w:w="1450" w:type="dxa"/>
            <w:noWrap w:val="0"/>
            <w:vAlign w:val="center"/>
          </w:tcPr>
          <w:p w14:paraId="4EB9C696">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kern w:val="2"/>
                <w:sz w:val="21"/>
                <w:szCs w:val="21"/>
                <w:lang w:val="en-US" w:eastAsia="zh-CN" w:bidi="ar-SA"/>
              </w:rPr>
              <w:t>8.8</w:t>
            </w:r>
          </w:p>
        </w:tc>
        <w:tc>
          <w:tcPr>
            <w:tcW w:w="1567" w:type="dxa"/>
            <w:noWrap w:val="0"/>
            <w:vAlign w:val="center"/>
          </w:tcPr>
          <w:p w14:paraId="203A91DF">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bCs/>
                <w:color w:val="auto"/>
                <w:sz w:val="21"/>
                <w:szCs w:val="21"/>
                <w:lang w:val="en-US" w:eastAsia="zh-CN"/>
              </w:rPr>
              <w:t>55</w:t>
            </w:r>
          </w:p>
        </w:tc>
        <w:tc>
          <w:tcPr>
            <w:tcW w:w="1657" w:type="dxa"/>
            <w:noWrap w:val="0"/>
            <w:vAlign w:val="center"/>
          </w:tcPr>
          <w:p w14:paraId="16E01A62">
            <w:pPr>
              <w:ind w:firstLine="0" w:firstLineChars="0"/>
              <w:jc w:val="center"/>
              <w:rPr>
                <w:rFonts w:hint="default" w:ascii="宋体" w:hAnsi="宋体" w:eastAsia="宋体" w:cs="宋体"/>
                <w:bCs/>
                <w:color w:val="auto"/>
                <w:sz w:val="21"/>
                <w:szCs w:val="21"/>
                <w:lang w:val="en-US" w:eastAsia="zh-CN"/>
              </w:rPr>
            </w:pPr>
            <w:r>
              <w:rPr>
                <w:rFonts w:hint="eastAsia" w:ascii="宋体" w:hAnsi="宋体"/>
                <w:bCs/>
                <w:color w:val="auto"/>
                <w:sz w:val="21"/>
                <w:szCs w:val="21"/>
                <w:lang w:val="en-US" w:eastAsia="zh-CN"/>
              </w:rPr>
              <w:t>2.0</w:t>
            </w:r>
          </w:p>
        </w:tc>
      </w:tr>
    </w:tbl>
    <w:p w14:paraId="586B41F1">
      <w:pPr>
        <w:ind w:firstLine="480"/>
        <w:rPr>
          <w:rFonts w:hint="eastAsia" w:ascii="Times New Roman" w:hAnsi="Times New Roman"/>
          <w:color w:val="auto"/>
          <w:szCs w:val="24"/>
        </w:rPr>
      </w:pPr>
    </w:p>
    <w:p w14:paraId="2A62773A">
      <w:pPr>
        <w:ind w:firstLine="480"/>
        <w:rPr>
          <w:rFonts w:hint="eastAsia" w:ascii="Times New Roman" w:hAnsi="Times New Roman"/>
          <w:color w:val="auto"/>
          <w:szCs w:val="24"/>
        </w:rPr>
      </w:pPr>
      <w:r>
        <w:rPr>
          <w:rFonts w:hint="eastAsia" w:ascii="Times New Roman" w:hAnsi="Times New Roman"/>
          <w:color w:val="auto"/>
          <w:szCs w:val="24"/>
        </w:rPr>
        <w:t>在以上幅度I和幅度II处吊重如表中所示。对各机构对应的全程范围内进行3次动作，各机构应动作灵活，制动器动作可靠。机械及结构各部件无异常，连接无松动和破坏。调整好安全装置，然后进行塔吊顶升加节。</w:t>
      </w:r>
    </w:p>
    <w:p w14:paraId="05E599B1">
      <w:pPr>
        <w:pStyle w:val="4"/>
        <w:bidi w:val="0"/>
        <w:rPr>
          <w:rFonts w:hint="eastAsia"/>
          <w:lang w:val="en-US" w:eastAsia="zh-CN"/>
        </w:rPr>
      </w:pPr>
      <w:bookmarkStart w:id="123" w:name="_Toc10409851"/>
      <w:bookmarkStart w:id="124" w:name="_Toc4514"/>
      <w:r>
        <w:rPr>
          <w:rFonts w:hint="eastAsia"/>
          <w:lang w:val="en-US" w:eastAsia="zh-CN"/>
        </w:rPr>
        <w:t>塔式起重机验收</w:t>
      </w:r>
      <w:bookmarkEnd w:id="123"/>
      <w:bookmarkEnd w:id="124"/>
    </w:p>
    <w:p w14:paraId="48300E23">
      <w:pPr>
        <w:pStyle w:val="53"/>
        <w:rPr>
          <w:rFonts w:hint="eastAsia" w:ascii="宋体" w:hAnsi="宋体" w:eastAsia="宋体" w:cs="宋体"/>
          <w:b/>
          <w:bCs w:val="0"/>
          <w:color w:val="auto"/>
          <w:szCs w:val="24"/>
        </w:rPr>
      </w:pPr>
      <w:r>
        <w:rPr>
          <w:rFonts w:hint="eastAsia" w:ascii="宋体" w:hAnsi="宋体" w:eastAsia="宋体" w:cs="宋体"/>
          <w:b/>
          <w:bCs w:val="0"/>
          <w:color w:val="auto"/>
          <w:szCs w:val="21"/>
        </w:rPr>
        <w:t>表4.</w:t>
      </w:r>
      <w:r>
        <w:rPr>
          <w:rFonts w:hint="eastAsia" w:ascii="宋体" w:hAnsi="宋体" w:eastAsia="宋体" w:cs="宋体"/>
          <w:b/>
          <w:bCs w:val="0"/>
          <w:color w:val="auto"/>
          <w:szCs w:val="21"/>
          <w:lang w:val="en-US" w:eastAsia="zh-CN"/>
        </w:rPr>
        <w:t>6.2</w:t>
      </w:r>
      <w:r>
        <w:rPr>
          <w:rFonts w:hint="eastAsia" w:ascii="宋体" w:hAnsi="宋体" w:eastAsia="宋体" w:cs="宋体"/>
          <w:b/>
          <w:bCs w:val="0"/>
          <w:color w:val="auto"/>
          <w:szCs w:val="21"/>
        </w:rPr>
        <w:t>-</w:t>
      </w:r>
      <w:r>
        <w:rPr>
          <w:rFonts w:hint="eastAsia" w:ascii="宋体" w:hAnsi="宋体" w:eastAsia="宋体" w:cs="宋体"/>
          <w:b/>
          <w:bCs w:val="0"/>
          <w:color w:val="auto"/>
          <w:szCs w:val="21"/>
          <w:lang w:val="en-US" w:eastAsia="zh-CN"/>
        </w:rPr>
        <w:t>1</w:t>
      </w:r>
      <w:r>
        <w:rPr>
          <w:rFonts w:hint="eastAsia" w:ascii="宋体" w:hAnsi="宋体" w:eastAsia="宋体" w:cs="宋体"/>
          <w:b/>
          <w:bCs w:val="0"/>
          <w:color w:val="auto"/>
          <w:szCs w:val="21"/>
        </w:rPr>
        <w:t xml:space="preserve"> </w:t>
      </w:r>
      <w:r>
        <w:rPr>
          <w:rFonts w:hint="eastAsia" w:ascii="宋体" w:hAnsi="宋体" w:eastAsia="宋体" w:cs="宋体"/>
          <w:b/>
          <w:bCs w:val="0"/>
          <w:color w:val="auto"/>
        </w:rPr>
        <w:t>塔式起重机验收内容</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534"/>
        <w:gridCol w:w="607"/>
        <w:gridCol w:w="757"/>
        <w:gridCol w:w="9"/>
        <w:gridCol w:w="91"/>
        <w:gridCol w:w="12"/>
        <w:gridCol w:w="2171"/>
        <w:gridCol w:w="2363"/>
        <w:gridCol w:w="966"/>
        <w:gridCol w:w="921"/>
      </w:tblGrid>
      <w:tr w14:paraId="73EDD4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3DBAD36B">
            <w:pPr>
              <w:ind w:left="0" w:leftChars="0" w:firstLine="0" w:firstLineChars="0"/>
              <w:jc w:val="both"/>
              <w:rPr>
                <w:rFonts w:ascii="宋体" w:hAnsi="宋体"/>
                <w:color w:val="auto"/>
                <w:sz w:val="21"/>
              </w:rPr>
            </w:pPr>
            <w:r>
              <w:rPr>
                <w:rFonts w:hint="eastAsia" w:ascii="宋体" w:hAnsi="宋体"/>
                <w:color w:val="auto"/>
                <w:sz w:val="21"/>
              </w:rPr>
              <w:t>序号</w:t>
            </w:r>
          </w:p>
        </w:tc>
        <w:tc>
          <w:tcPr>
            <w:tcW w:w="6010" w:type="dxa"/>
            <w:gridSpan w:val="7"/>
            <w:noWrap w:val="0"/>
            <w:vAlign w:val="center"/>
          </w:tcPr>
          <w:p w14:paraId="4051350C">
            <w:pPr>
              <w:ind w:firstLine="420"/>
              <w:jc w:val="center"/>
              <w:rPr>
                <w:rFonts w:ascii="宋体" w:hAnsi="宋体"/>
                <w:color w:val="auto"/>
                <w:sz w:val="21"/>
              </w:rPr>
            </w:pPr>
            <w:r>
              <w:rPr>
                <w:rFonts w:hint="eastAsia" w:ascii="宋体" w:hAnsi="宋体"/>
                <w:color w:val="auto"/>
                <w:sz w:val="21"/>
              </w:rPr>
              <w:t>监检项目及其内容</w:t>
            </w:r>
          </w:p>
        </w:tc>
        <w:tc>
          <w:tcPr>
            <w:tcW w:w="966" w:type="dxa"/>
            <w:noWrap w:val="0"/>
            <w:vAlign w:val="center"/>
          </w:tcPr>
          <w:p w14:paraId="2624B8F2">
            <w:pPr>
              <w:ind w:left="0" w:leftChars="0" w:firstLine="0" w:firstLineChars="0"/>
              <w:jc w:val="both"/>
              <w:rPr>
                <w:rFonts w:ascii="宋体" w:hAnsi="宋体"/>
                <w:color w:val="auto"/>
                <w:sz w:val="21"/>
              </w:rPr>
            </w:pPr>
            <w:r>
              <w:rPr>
                <w:rFonts w:hint="eastAsia" w:ascii="宋体" w:hAnsi="宋体"/>
                <w:color w:val="auto"/>
                <w:sz w:val="21"/>
              </w:rPr>
              <w:t>检验结果</w:t>
            </w:r>
          </w:p>
        </w:tc>
        <w:tc>
          <w:tcPr>
            <w:tcW w:w="921" w:type="dxa"/>
            <w:noWrap w:val="0"/>
            <w:vAlign w:val="center"/>
          </w:tcPr>
          <w:p w14:paraId="47574446">
            <w:pPr>
              <w:ind w:left="0" w:leftChars="0" w:firstLine="210" w:firstLineChars="100"/>
              <w:jc w:val="both"/>
              <w:rPr>
                <w:rFonts w:ascii="宋体" w:hAnsi="宋体"/>
                <w:color w:val="auto"/>
                <w:sz w:val="21"/>
              </w:rPr>
            </w:pPr>
            <w:r>
              <w:rPr>
                <w:rFonts w:hint="eastAsia" w:ascii="宋体" w:hAnsi="宋体"/>
                <w:color w:val="auto"/>
                <w:sz w:val="21"/>
              </w:rPr>
              <w:t>结论</w:t>
            </w:r>
          </w:p>
        </w:tc>
      </w:tr>
      <w:tr w14:paraId="089CD4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577CC02F">
            <w:pPr>
              <w:ind w:left="0" w:leftChars="0" w:firstLine="210" w:firstLineChars="100"/>
              <w:jc w:val="both"/>
              <w:rPr>
                <w:rFonts w:hint="eastAsia" w:ascii="宋体" w:hAnsi="宋体" w:eastAsia="宋体"/>
                <w:color w:val="auto"/>
                <w:sz w:val="21"/>
                <w:lang w:val="en-US" w:eastAsia="zh-CN"/>
              </w:rPr>
            </w:pPr>
            <w:r>
              <w:rPr>
                <w:rFonts w:hint="eastAsia" w:ascii="宋体" w:hAnsi="宋体"/>
                <w:color w:val="auto"/>
                <w:sz w:val="21"/>
                <w:lang w:val="en-US" w:eastAsia="zh-CN"/>
              </w:rPr>
              <w:t>1</w:t>
            </w:r>
          </w:p>
        </w:tc>
        <w:tc>
          <w:tcPr>
            <w:tcW w:w="6010" w:type="dxa"/>
            <w:gridSpan w:val="7"/>
            <w:noWrap w:val="0"/>
            <w:vAlign w:val="center"/>
          </w:tcPr>
          <w:p w14:paraId="47696DC3">
            <w:pPr>
              <w:ind w:firstLine="0" w:firstLineChars="0"/>
              <w:rPr>
                <w:rFonts w:ascii="宋体" w:hAnsi="宋体"/>
                <w:color w:val="auto"/>
                <w:sz w:val="21"/>
              </w:rPr>
            </w:pPr>
            <w:r>
              <w:rPr>
                <w:rFonts w:hint="eastAsia" w:ascii="宋体" w:hAnsi="宋体"/>
                <w:color w:val="auto"/>
                <w:sz w:val="21"/>
              </w:rPr>
              <w:t>设备选型</w:t>
            </w:r>
          </w:p>
        </w:tc>
        <w:tc>
          <w:tcPr>
            <w:tcW w:w="966" w:type="dxa"/>
            <w:noWrap w:val="0"/>
            <w:vAlign w:val="center"/>
          </w:tcPr>
          <w:p w14:paraId="39A6F0E7">
            <w:pPr>
              <w:ind w:firstLine="0" w:firstLineChars="0"/>
              <w:jc w:val="center"/>
              <w:rPr>
                <w:rFonts w:ascii="宋体" w:hAnsi="宋体"/>
                <w:color w:val="auto"/>
                <w:sz w:val="21"/>
              </w:rPr>
            </w:pPr>
          </w:p>
        </w:tc>
        <w:tc>
          <w:tcPr>
            <w:tcW w:w="921" w:type="dxa"/>
            <w:noWrap w:val="0"/>
            <w:vAlign w:val="center"/>
          </w:tcPr>
          <w:p w14:paraId="40B08E89">
            <w:pPr>
              <w:ind w:firstLine="0" w:firstLineChars="0"/>
              <w:jc w:val="center"/>
              <w:rPr>
                <w:rFonts w:ascii="宋体" w:hAnsi="宋体"/>
                <w:color w:val="auto"/>
                <w:sz w:val="21"/>
              </w:rPr>
            </w:pPr>
          </w:p>
        </w:tc>
      </w:tr>
      <w:tr w14:paraId="7AA7B4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28CA00C5">
            <w:pPr>
              <w:ind w:left="0" w:leftChars="0" w:firstLine="210" w:firstLineChars="100"/>
              <w:jc w:val="both"/>
              <w:rPr>
                <w:rFonts w:hint="eastAsia" w:ascii="宋体" w:hAnsi="宋体" w:eastAsia="宋体"/>
                <w:color w:val="auto"/>
                <w:sz w:val="21"/>
                <w:lang w:val="en-US" w:eastAsia="zh-CN"/>
              </w:rPr>
            </w:pPr>
            <w:r>
              <w:rPr>
                <w:rFonts w:hint="eastAsia" w:ascii="宋体" w:hAnsi="宋体"/>
                <w:color w:val="auto"/>
                <w:sz w:val="21"/>
                <w:lang w:val="en-US" w:eastAsia="zh-CN"/>
              </w:rPr>
              <w:t>2</w:t>
            </w:r>
          </w:p>
        </w:tc>
        <w:tc>
          <w:tcPr>
            <w:tcW w:w="1364" w:type="dxa"/>
            <w:gridSpan w:val="2"/>
            <w:vMerge w:val="restart"/>
            <w:noWrap w:val="0"/>
            <w:vAlign w:val="center"/>
          </w:tcPr>
          <w:p w14:paraId="54925DAD">
            <w:pPr>
              <w:ind w:firstLine="0" w:firstLineChars="0"/>
              <w:rPr>
                <w:rFonts w:ascii="宋体" w:hAnsi="宋体"/>
                <w:color w:val="auto"/>
                <w:sz w:val="21"/>
              </w:rPr>
            </w:pPr>
            <w:r>
              <w:rPr>
                <w:rFonts w:hint="eastAsia" w:ascii="宋体" w:hAnsi="宋体"/>
                <w:color w:val="auto"/>
                <w:sz w:val="21"/>
              </w:rPr>
              <w:t>产品技术文件</w:t>
            </w:r>
          </w:p>
        </w:tc>
        <w:tc>
          <w:tcPr>
            <w:tcW w:w="4646" w:type="dxa"/>
            <w:gridSpan w:val="5"/>
            <w:noWrap w:val="0"/>
            <w:vAlign w:val="center"/>
          </w:tcPr>
          <w:p w14:paraId="302EA882">
            <w:pPr>
              <w:ind w:firstLine="0" w:firstLineChars="0"/>
              <w:rPr>
                <w:rFonts w:ascii="宋体" w:hAnsi="宋体"/>
                <w:color w:val="auto"/>
                <w:sz w:val="21"/>
              </w:rPr>
            </w:pPr>
            <w:r>
              <w:rPr>
                <w:rFonts w:hint="eastAsia" w:ascii="宋体" w:hAnsi="宋体"/>
                <w:color w:val="auto"/>
                <w:sz w:val="21"/>
              </w:rPr>
              <w:t>(1)产品设计文件</w:t>
            </w:r>
          </w:p>
        </w:tc>
        <w:tc>
          <w:tcPr>
            <w:tcW w:w="966" w:type="dxa"/>
            <w:noWrap w:val="0"/>
            <w:vAlign w:val="center"/>
          </w:tcPr>
          <w:p w14:paraId="17C1C158">
            <w:pPr>
              <w:ind w:firstLine="0" w:firstLineChars="0"/>
              <w:jc w:val="center"/>
              <w:rPr>
                <w:rFonts w:ascii="宋体" w:hAnsi="宋体"/>
                <w:color w:val="auto"/>
                <w:sz w:val="21"/>
              </w:rPr>
            </w:pPr>
          </w:p>
        </w:tc>
        <w:tc>
          <w:tcPr>
            <w:tcW w:w="921" w:type="dxa"/>
            <w:noWrap w:val="0"/>
            <w:vAlign w:val="center"/>
          </w:tcPr>
          <w:p w14:paraId="34EE693F">
            <w:pPr>
              <w:ind w:firstLine="0" w:firstLineChars="0"/>
              <w:jc w:val="center"/>
              <w:rPr>
                <w:rFonts w:ascii="宋体" w:hAnsi="宋体"/>
                <w:color w:val="auto"/>
                <w:sz w:val="21"/>
              </w:rPr>
            </w:pPr>
          </w:p>
        </w:tc>
      </w:tr>
      <w:tr w14:paraId="45E64A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6B18D6CE">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3</w:t>
            </w:r>
          </w:p>
        </w:tc>
        <w:tc>
          <w:tcPr>
            <w:tcW w:w="1364" w:type="dxa"/>
            <w:gridSpan w:val="2"/>
            <w:vMerge w:val="continue"/>
            <w:noWrap w:val="0"/>
            <w:vAlign w:val="center"/>
          </w:tcPr>
          <w:p w14:paraId="29808E15">
            <w:pPr>
              <w:ind w:firstLine="0" w:firstLineChars="0"/>
              <w:jc w:val="center"/>
              <w:rPr>
                <w:rFonts w:ascii="宋体" w:hAnsi="宋体"/>
                <w:color w:val="auto"/>
                <w:sz w:val="21"/>
              </w:rPr>
            </w:pPr>
          </w:p>
        </w:tc>
        <w:tc>
          <w:tcPr>
            <w:tcW w:w="4646" w:type="dxa"/>
            <w:gridSpan w:val="5"/>
            <w:noWrap w:val="0"/>
            <w:vAlign w:val="center"/>
          </w:tcPr>
          <w:p w14:paraId="18FDAB97">
            <w:pPr>
              <w:ind w:firstLine="0" w:firstLineChars="0"/>
              <w:rPr>
                <w:rFonts w:ascii="宋体" w:hAnsi="宋体"/>
                <w:color w:val="auto"/>
                <w:sz w:val="21"/>
              </w:rPr>
            </w:pPr>
            <w:r>
              <w:rPr>
                <w:rFonts w:hint="eastAsia" w:ascii="宋体" w:hAnsi="宋体"/>
                <w:color w:val="auto"/>
                <w:sz w:val="21"/>
              </w:rPr>
              <w:t>(2)产品质量合格证明、安装及其使用维护说明</w:t>
            </w:r>
          </w:p>
        </w:tc>
        <w:tc>
          <w:tcPr>
            <w:tcW w:w="966" w:type="dxa"/>
            <w:noWrap w:val="0"/>
            <w:vAlign w:val="center"/>
          </w:tcPr>
          <w:p w14:paraId="70E8EBB7">
            <w:pPr>
              <w:ind w:firstLine="0" w:firstLineChars="0"/>
              <w:jc w:val="center"/>
              <w:rPr>
                <w:rFonts w:ascii="宋体" w:hAnsi="宋体"/>
                <w:color w:val="auto"/>
                <w:sz w:val="21"/>
              </w:rPr>
            </w:pPr>
          </w:p>
        </w:tc>
        <w:tc>
          <w:tcPr>
            <w:tcW w:w="921" w:type="dxa"/>
            <w:noWrap w:val="0"/>
            <w:vAlign w:val="center"/>
          </w:tcPr>
          <w:p w14:paraId="3B033056">
            <w:pPr>
              <w:ind w:firstLine="0" w:firstLineChars="0"/>
              <w:jc w:val="center"/>
              <w:rPr>
                <w:rFonts w:ascii="宋体" w:hAnsi="宋体"/>
                <w:color w:val="auto"/>
                <w:sz w:val="21"/>
              </w:rPr>
            </w:pPr>
          </w:p>
        </w:tc>
      </w:tr>
      <w:tr w14:paraId="581D6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6F65A97">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4</w:t>
            </w:r>
          </w:p>
        </w:tc>
        <w:tc>
          <w:tcPr>
            <w:tcW w:w="1364" w:type="dxa"/>
            <w:gridSpan w:val="2"/>
            <w:vMerge w:val="continue"/>
            <w:noWrap w:val="0"/>
            <w:vAlign w:val="center"/>
          </w:tcPr>
          <w:p w14:paraId="70F40AD7">
            <w:pPr>
              <w:ind w:firstLine="0" w:firstLineChars="0"/>
              <w:jc w:val="center"/>
              <w:rPr>
                <w:rFonts w:ascii="宋体" w:hAnsi="宋体"/>
                <w:color w:val="auto"/>
                <w:sz w:val="21"/>
              </w:rPr>
            </w:pPr>
          </w:p>
        </w:tc>
        <w:tc>
          <w:tcPr>
            <w:tcW w:w="4646" w:type="dxa"/>
            <w:gridSpan w:val="5"/>
            <w:noWrap w:val="0"/>
            <w:vAlign w:val="center"/>
          </w:tcPr>
          <w:p w14:paraId="54E43063">
            <w:pPr>
              <w:ind w:firstLine="0" w:firstLineChars="0"/>
              <w:rPr>
                <w:rFonts w:ascii="宋体" w:hAnsi="宋体"/>
                <w:color w:val="auto"/>
                <w:sz w:val="21"/>
              </w:rPr>
            </w:pPr>
            <w:r>
              <w:rPr>
                <w:rFonts w:hint="eastAsia" w:ascii="宋体" w:hAnsi="宋体"/>
                <w:color w:val="auto"/>
                <w:sz w:val="21"/>
              </w:rPr>
              <w:t>(3)型式试验合格证明</w:t>
            </w:r>
          </w:p>
        </w:tc>
        <w:tc>
          <w:tcPr>
            <w:tcW w:w="966" w:type="dxa"/>
            <w:noWrap w:val="0"/>
            <w:vAlign w:val="center"/>
          </w:tcPr>
          <w:p w14:paraId="67794493">
            <w:pPr>
              <w:ind w:firstLine="0" w:firstLineChars="0"/>
              <w:jc w:val="center"/>
              <w:rPr>
                <w:rFonts w:ascii="宋体" w:hAnsi="宋体"/>
                <w:color w:val="auto"/>
                <w:sz w:val="21"/>
              </w:rPr>
            </w:pPr>
          </w:p>
        </w:tc>
        <w:tc>
          <w:tcPr>
            <w:tcW w:w="921" w:type="dxa"/>
            <w:noWrap w:val="0"/>
            <w:vAlign w:val="center"/>
          </w:tcPr>
          <w:p w14:paraId="0A99B1FD">
            <w:pPr>
              <w:ind w:firstLine="0" w:firstLineChars="0"/>
              <w:jc w:val="center"/>
              <w:rPr>
                <w:rFonts w:ascii="宋体" w:hAnsi="宋体"/>
                <w:color w:val="auto"/>
                <w:sz w:val="21"/>
              </w:rPr>
            </w:pPr>
          </w:p>
        </w:tc>
      </w:tr>
      <w:tr w14:paraId="7702B8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289253BE">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5</w:t>
            </w:r>
          </w:p>
        </w:tc>
        <w:tc>
          <w:tcPr>
            <w:tcW w:w="1364" w:type="dxa"/>
            <w:gridSpan w:val="2"/>
            <w:vMerge w:val="continue"/>
            <w:noWrap w:val="0"/>
            <w:vAlign w:val="center"/>
          </w:tcPr>
          <w:p w14:paraId="092D29D3">
            <w:pPr>
              <w:ind w:firstLine="0" w:firstLineChars="0"/>
              <w:jc w:val="center"/>
              <w:rPr>
                <w:rFonts w:ascii="宋体" w:hAnsi="宋体"/>
                <w:color w:val="auto"/>
                <w:sz w:val="21"/>
              </w:rPr>
            </w:pPr>
          </w:p>
        </w:tc>
        <w:tc>
          <w:tcPr>
            <w:tcW w:w="4646" w:type="dxa"/>
            <w:gridSpan w:val="5"/>
            <w:noWrap w:val="0"/>
            <w:vAlign w:val="center"/>
          </w:tcPr>
          <w:p w14:paraId="4A454CEC">
            <w:pPr>
              <w:ind w:firstLine="0" w:firstLineChars="0"/>
              <w:rPr>
                <w:rFonts w:ascii="宋体" w:hAnsi="宋体"/>
                <w:color w:val="auto"/>
                <w:sz w:val="21"/>
              </w:rPr>
            </w:pPr>
            <w:r>
              <w:rPr>
                <w:rFonts w:hint="eastAsia" w:ascii="宋体" w:hAnsi="宋体"/>
                <w:color w:val="auto"/>
                <w:sz w:val="21"/>
              </w:rPr>
              <w:t>(4)制造监督检验证书</w:t>
            </w:r>
          </w:p>
        </w:tc>
        <w:tc>
          <w:tcPr>
            <w:tcW w:w="966" w:type="dxa"/>
            <w:noWrap w:val="0"/>
            <w:vAlign w:val="center"/>
          </w:tcPr>
          <w:p w14:paraId="6FD58B9B">
            <w:pPr>
              <w:ind w:firstLine="0" w:firstLineChars="0"/>
              <w:jc w:val="center"/>
              <w:rPr>
                <w:rFonts w:ascii="宋体" w:hAnsi="宋体"/>
                <w:color w:val="auto"/>
                <w:sz w:val="21"/>
              </w:rPr>
            </w:pPr>
          </w:p>
        </w:tc>
        <w:tc>
          <w:tcPr>
            <w:tcW w:w="921" w:type="dxa"/>
            <w:noWrap w:val="0"/>
            <w:vAlign w:val="center"/>
          </w:tcPr>
          <w:p w14:paraId="5A13AD4F">
            <w:pPr>
              <w:ind w:firstLine="0" w:firstLineChars="0"/>
              <w:jc w:val="center"/>
              <w:rPr>
                <w:rFonts w:ascii="宋体" w:hAnsi="宋体"/>
                <w:color w:val="auto"/>
                <w:sz w:val="21"/>
              </w:rPr>
            </w:pPr>
          </w:p>
        </w:tc>
      </w:tr>
      <w:tr w14:paraId="2D3D19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3DCB1643">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6</w:t>
            </w:r>
          </w:p>
        </w:tc>
        <w:tc>
          <w:tcPr>
            <w:tcW w:w="1373" w:type="dxa"/>
            <w:gridSpan w:val="3"/>
            <w:vMerge w:val="restart"/>
            <w:noWrap w:val="0"/>
            <w:vAlign w:val="center"/>
          </w:tcPr>
          <w:p w14:paraId="666A7565">
            <w:pPr>
              <w:ind w:firstLine="0" w:firstLineChars="0"/>
              <w:rPr>
                <w:rFonts w:ascii="宋体" w:hAnsi="宋体"/>
                <w:color w:val="auto"/>
                <w:sz w:val="21"/>
              </w:rPr>
            </w:pPr>
            <w:r>
              <w:rPr>
                <w:rFonts w:hint="eastAsia" w:ascii="宋体" w:hAnsi="宋体"/>
                <w:color w:val="auto"/>
                <w:sz w:val="21"/>
              </w:rPr>
              <w:t>安装改造维修资格</w:t>
            </w:r>
          </w:p>
        </w:tc>
        <w:tc>
          <w:tcPr>
            <w:tcW w:w="4637" w:type="dxa"/>
            <w:gridSpan w:val="4"/>
            <w:noWrap w:val="0"/>
            <w:vAlign w:val="center"/>
          </w:tcPr>
          <w:p w14:paraId="3A00CAF1">
            <w:pPr>
              <w:ind w:firstLine="0" w:firstLineChars="0"/>
              <w:rPr>
                <w:rFonts w:ascii="宋体" w:hAnsi="宋体"/>
                <w:color w:val="auto"/>
                <w:sz w:val="21"/>
              </w:rPr>
            </w:pPr>
            <w:r>
              <w:rPr>
                <w:rFonts w:hint="eastAsia" w:ascii="宋体" w:hAnsi="宋体"/>
                <w:color w:val="auto"/>
                <w:sz w:val="21"/>
              </w:rPr>
              <w:t>(1)安装改造维修许可证</w:t>
            </w:r>
          </w:p>
        </w:tc>
        <w:tc>
          <w:tcPr>
            <w:tcW w:w="966" w:type="dxa"/>
            <w:noWrap w:val="0"/>
            <w:vAlign w:val="center"/>
          </w:tcPr>
          <w:p w14:paraId="5E7F6F78">
            <w:pPr>
              <w:ind w:firstLine="0" w:firstLineChars="0"/>
              <w:jc w:val="center"/>
              <w:rPr>
                <w:rFonts w:ascii="宋体" w:hAnsi="宋体"/>
                <w:color w:val="auto"/>
                <w:sz w:val="21"/>
              </w:rPr>
            </w:pPr>
          </w:p>
        </w:tc>
        <w:tc>
          <w:tcPr>
            <w:tcW w:w="921" w:type="dxa"/>
            <w:noWrap w:val="0"/>
            <w:vAlign w:val="center"/>
          </w:tcPr>
          <w:p w14:paraId="29EB7772">
            <w:pPr>
              <w:ind w:firstLine="0" w:firstLineChars="0"/>
              <w:jc w:val="center"/>
              <w:rPr>
                <w:rFonts w:ascii="宋体" w:hAnsi="宋体"/>
                <w:color w:val="auto"/>
                <w:sz w:val="21"/>
              </w:rPr>
            </w:pPr>
          </w:p>
        </w:tc>
      </w:tr>
      <w:tr w14:paraId="23AAC9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4B384FB6">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7</w:t>
            </w:r>
          </w:p>
        </w:tc>
        <w:tc>
          <w:tcPr>
            <w:tcW w:w="1373" w:type="dxa"/>
            <w:gridSpan w:val="3"/>
            <w:vMerge w:val="continue"/>
            <w:noWrap w:val="0"/>
            <w:vAlign w:val="center"/>
          </w:tcPr>
          <w:p w14:paraId="19299A28">
            <w:pPr>
              <w:ind w:firstLine="0" w:firstLineChars="0"/>
              <w:jc w:val="center"/>
              <w:rPr>
                <w:rFonts w:ascii="宋体" w:hAnsi="宋体"/>
                <w:color w:val="auto"/>
                <w:sz w:val="21"/>
              </w:rPr>
            </w:pPr>
          </w:p>
        </w:tc>
        <w:tc>
          <w:tcPr>
            <w:tcW w:w="4637" w:type="dxa"/>
            <w:gridSpan w:val="4"/>
            <w:noWrap w:val="0"/>
            <w:vAlign w:val="center"/>
          </w:tcPr>
          <w:p w14:paraId="7B7E6247">
            <w:pPr>
              <w:ind w:firstLine="0" w:firstLineChars="0"/>
              <w:rPr>
                <w:rFonts w:ascii="宋体" w:hAnsi="宋体"/>
                <w:color w:val="auto"/>
                <w:sz w:val="21"/>
              </w:rPr>
            </w:pPr>
            <w:r>
              <w:rPr>
                <w:rFonts w:hint="eastAsia" w:ascii="宋体" w:hAnsi="宋体"/>
                <w:color w:val="auto"/>
                <w:sz w:val="21"/>
              </w:rPr>
              <w:t>(2)安装改造重大维修告知书</w:t>
            </w:r>
          </w:p>
        </w:tc>
        <w:tc>
          <w:tcPr>
            <w:tcW w:w="966" w:type="dxa"/>
            <w:noWrap w:val="0"/>
            <w:vAlign w:val="center"/>
          </w:tcPr>
          <w:p w14:paraId="3148A319">
            <w:pPr>
              <w:ind w:firstLine="0" w:firstLineChars="0"/>
              <w:jc w:val="center"/>
              <w:rPr>
                <w:rFonts w:ascii="宋体" w:hAnsi="宋体"/>
                <w:color w:val="auto"/>
                <w:sz w:val="21"/>
              </w:rPr>
            </w:pPr>
          </w:p>
        </w:tc>
        <w:tc>
          <w:tcPr>
            <w:tcW w:w="921" w:type="dxa"/>
            <w:noWrap w:val="0"/>
            <w:vAlign w:val="center"/>
          </w:tcPr>
          <w:p w14:paraId="63CC4DF2">
            <w:pPr>
              <w:ind w:firstLine="0" w:firstLineChars="0"/>
              <w:jc w:val="center"/>
              <w:rPr>
                <w:rFonts w:ascii="宋体" w:hAnsi="宋体"/>
                <w:color w:val="auto"/>
                <w:sz w:val="21"/>
              </w:rPr>
            </w:pPr>
          </w:p>
        </w:tc>
      </w:tr>
      <w:tr w14:paraId="5E5A9B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F7A890F">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8</w:t>
            </w:r>
          </w:p>
        </w:tc>
        <w:tc>
          <w:tcPr>
            <w:tcW w:w="1373" w:type="dxa"/>
            <w:gridSpan w:val="3"/>
            <w:vMerge w:val="continue"/>
            <w:noWrap w:val="0"/>
            <w:vAlign w:val="center"/>
          </w:tcPr>
          <w:p w14:paraId="644F7359">
            <w:pPr>
              <w:ind w:firstLine="0" w:firstLineChars="0"/>
              <w:jc w:val="center"/>
              <w:rPr>
                <w:rFonts w:ascii="宋体" w:hAnsi="宋体"/>
                <w:color w:val="auto"/>
                <w:sz w:val="21"/>
              </w:rPr>
            </w:pPr>
          </w:p>
        </w:tc>
        <w:tc>
          <w:tcPr>
            <w:tcW w:w="4637" w:type="dxa"/>
            <w:gridSpan w:val="4"/>
            <w:noWrap w:val="0"/>
            <w:vAlign w:val="center"/>
          </w:tcPr>
          <w:p w14:paraId="211D5D84">
            <w:pPr>
              <w:ind w:firstLine="0" w:firstLineChars="0"/>
              <w:rPr>
                <w:rFonts w:ascii="宋体" w:hAnsi="宋体"/>
                <w:color w:val="auto"/>
                <w:sz w:val="21"/>
              </w:rPr>
            </w:pPr>
            <w:r>
              <w:rPr>
                <w:rFonts w:hint="eastAsia" w:ascii="宋体" w:hAnsi="宋体"/>
                <w:color w:val="auto"/>
                <w:sz w:val="21"/>
              </w:rPr>
              <w:t>(3)现场安装改造维修作业人员的资格证件</w:t>
            </w:r>
          </w:p>
        </w:tc>
        <w:tc>
          <w:tcPr>
            <w:tcW w:w="966" w:type="dxa"/>
            <w:noWrap w:val="0"/>
            <w:vAlign w:val="center"/>
          </w:tcPr>
          <w:p w14:paraId="466A9BF5">
            <w:pPr>
              <w:ind w:firstLine="0" w:firstLineChars="0"/>
              <w:jc w:val="center"/>
              <w:rPr>
                <w:rFonts w:ascii="宋体" w:hAnsi="宋体"/>
                <w:color w:val="auto"/>
                <w:sz w:val="21"/>
              </w:rPr>
            </w:pPr>
          </w:p>
        </w:tc>
        <w:tc>
          <w:tcPr>
            <w:tcW w:w="921" w:type="dxa"/>
            <w:noWrap w:val="0"/>
            <w:vAlign w:val="center"/>
          </w:tcPr>
          <w:p w14:paraId="7818ADC2">
            <w:pPr>
              <w:ind w:firstLine="0" w:firstLineChars="0"/>
              <w:jc w:val="center"/>
              <w:rPr>
                <w:rFonts w:ascii="宋体" w:hAnsi="宋体"/>
                <w:color w:val="auto"/>
                <w:sz w:val="21"/>
              </w:rPr>
            </w:pPr>
          </w:p>
        </w:tc>
      </w:tr>
      <w:tr w14:paraId="5A448B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4AE78D6D">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9</w:t>
            </w:r>
          </w:p>
        </w:tc>
        <w:tc>
          <w:tcPr>
            <w:tcW w:w="6010" w:type="dxa"/>
            <w:gridSpan w:val="7"/>
            <w:noWrap w:val="0"/>
            <w:vAlign w:val="center"/>
          </w:tcPr>
          <w:p w14:paraId="5E187A3C">
            <w:pPr>
              <w:ind w:firstLine="0" w:firstLineChars="0"/>
              <w:rPr>
                <w:rFonts w:ascii="宋体" w:hAnsi="宋体"/>
                <w:color w:val="auto"/>
                <w:sz w:val="21"/>
              </w:rPr>
            </w:pPr>
            <w:r>
              <w:rPr>
                <w:rFonts w:hint="eastAsia" w:ascii="宋体" w:hAnsi="宋体"/>
                <w:color w:val="auto"/>
                <w:sz w:val="21"/>
              </w:rPr>
              <w:t xml:space="preserve"> 施工作业（工艺）文件</w:t>
            </w:r>
          </w:p>
        </w:tc>
        <w:tc>
          <w:tcPr>
            <w:tcW w:w="966" w:type="dxa"/>
            <w:noWrap w:val="0"/>
            <w:vAlign w:val="center"/>
          </w:tcPr>
          <w:p w14:paraId="7F913135">
            <w:pPr>
              <w:ind w:firstLine="0" w:firstLineChars="0"/>
              <w:jc w:val="center"/>
              <w:rPr>
                <w:rFonts w:ascii="宋体" w:hAnsi="宋体"/>
                <w:color w:val="auto"/>
                <w:sz w:val="21"/>
              </w:rPr>
            </w:pPr>
          </w:p>
        </w:tc>
        <w:tc>
          <w:tcPr>
            <w:tcW w:w="921" w:type="dxa"/>
            <w:noWrap w:val="0"/>
            <w:vAlign w:val="center"/>
          </w:tcPr>
          <w:p w14:paraId="386CC9CA">
            <w:pPr>
              <w:ind w:firstLine="0" w:firstLineChars="0"/>
              <w:jc w:val="center"/>
              <w:rPr>
                <w:rFonts w:ascii="宋体" w:hAnsi="宋体"/>
                <w:color w:val="auto"/>
                <w:sz w:val="21"/>
              </w:rPr>
            </w:pPr>
          </w:p>
        </w:tc>
      </w:tr>
      <w:tr w14:paraId="5B2EB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6FCC105D">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10</w:t>
            </w:r>
          </w:p>
        </w:tc>
        <w:tc>
          <w:tcPr>
            <w:tcW w:w="1373" w:type="dxa"/>
            <w:gridSpan w:val="3"/>
            <w:vMerge w:val="restart"/>
            <w:noWrap w:val="0"/>
            <w:vAlign w:val="center"/>
          </w:tcPr>
          <w:p w14:paraId="55EEE8F1">
            <w:pPr>
              <w:ind w:firstLine="0" w:firstLineChars="0"/>
              <w:rPr>
                <w:rFonts w:ascii="宋体" w:hAnsi="宋体"/>
                <w:color w:val="auto"/>
                <w:sz w:val="21"/>
              </w:rPr>
            </w:pPr>
            <w:r>
              <w:rPr>
                <w:rFonts w:hint="eastAsia" w:ascii="宋体" w:hAnsi="宋体"/>
                <w:color w:val="auto"/>
                <w:sz w:val="21"/>
              </w:rPr>
              <w:t>现场施工条件</w:t>
            </w:r>
          </w:p>
        </w:tc>
        <w:tc>
          <w:tcPr>
            <w:tcW w:w="4637" w:type="dxa"/>
            <w:gridSpan w:val="4"/>
            <w:noWrap w:val="0"/>
            <w:vAlign w:val="center"/>
          </w:tcPr>
          <w:p w14:paraId="79792096">
            <w:pPr>
              <w:ind w:firstLine="0" w:firstLineChars="0"/>
              <w:rPr>
                <w:rFonts w:ascii="宋体" w:hAnsi="宋体"/>
                <w:color w:val="auto"/>
                <w:sz w:val="21"/>
              </w:rPr>
            </w:pPr>
            <w:r>
              <w:rPr>
                <w:rFonts w:hint="eastAsia" w:ascii="宋体" w:hAnsi="宋体"/>
                <w:color w:val="auto"/>
                <w:sz w:val="21"/>
              </w:rPr>
              <w:t>(1)基础验收证明</w:t>
            </w:r>
          </w:p>
        </w:tc>
        <w:tc>
          <w:tcPr>
            <w:tcW w:w="966" w:type="dxa"/>
            <w:noWrap w:val="0"/>
            <w:vAlign w:val="center"/>
          </w:tcPr>
          <w:p w14:paraId="2DB5331A">
            <w:pPr>
              <w:ind w:firstLine="0" w:firstLineChars="0"/>
              <w:jc w:val="center"/>
              <w:rPr>
                <w:rFonts w:ascii="宋体" w:hAnsi="宋体"/>
                <w:color w:val="auto"/>
                <w:sz w:val="21"/>
              </w:rPr>
            </w:pPr>
          </w:p>
        </w:tc>
        <w:tc>
          <w:tcPr>
            <w:tcW w:w="921" w:type="dxa"/>
            <w:noWrap w:val="0"/>
            <w:vAlign w:val="center"/>
          </w:tcPr>
          <w:p w14:paraId="04C3E4F7">
            <w:pPr>
              <w:ind w:firstLine="0" w:firstLineChars="0"/>
              <w:jc w:val="center"/>
              <w:rPr>
                <w:rFonts w:ascii="宋体" w:hAnsi="宋体"/>
                <w:color w:val="auto"/>
                <w:sz w:val="21"/>
              </w:rPr>
            </w:pPr>
          </w:p>
        </w:tc>
      </w:tr>
      <w:tr w14:paraId="3F4F1D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56D8B43">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11</w:t>
            </w:r>
          </w:p>
        </w:tc>
        <w:tc>
          <w:tcPr>
            <w:tcW w:w="1373" w:type="dxa"/>
            <w:gridSpan w:val="3"/>
            <w:vMerge w:val="continue"/>
            <w:noWrap w:val="0"/>
            <w:vAlign w:val="center"/>
          </w:tcPr>
          <w:p w14:paraId="0206586B">
            <w:pPr>
              <w:ind w:firstLine="0" w:firstLineChars="0"/>
              <w:rPr>
                <w:rFonts w:ascii="宋体" w:hAnsi="宋体"/>
                <w:color w:val="auto"/>
                <w:sz w:val="21"/>
              </w:rPr>
            </w:pPr>
          </w:p>
        </w:tc>
        <w:tc>
          <w:tcPr>
            <w:tcW w:w="4637" w:type="dxa"/>
            <w:gridSpan w:val="4"/>
            <w:noWrap w:val="0"/>
            <w:vAlign w:val="center"/>
          </w:tcPr>
          <w:p w14:paraId="504DA0FC">
            <w:pPr>
              <w:ind w:firstLine="0" w:firstLineChars="0"/>
              <w:rPr>
                <w:rFonts w:ascii="宋体" w:hAnsi="宋体"/>
                <w:color w:val="auto"/>
                <w:sz w:val="21"/>
              </w:rPr>
            </w:pPr>
            <w:r>
              <w:rPr>
                <w:rFonts w:hint="eastAsia" w:ascii="宋体" w:hAnsi="宋体"/>
                <w:color w:val="auto"/>
                <w:sz w:val="21"/>
              </w:rPr>
              <w:t xml:space="preserve">(2)安全距离和红色障碍灯 </w:t>
            </w:r>
          </w:p>
        </w:tc>
        <w:tc>
          <w:tcPr>
            <w:tcW w:w="966" w:type="dxa"/>
            <w:noWrap w:val="0"/>
            <w:vAlign w:val="center"/>
          </w:tcPr>
          <w:p w14:paraId="09F6B04C">
            <w:pPr>
              <w:ind w:firstLine="0" w:firstLineChars="0"/>
              <w:jc w:val="center"/>
              <w:rPr>
                <w:rFonts w:ascii="宋体" w:hAnsi="宋体"/>
                <w:color w:val="auto"/>
                <w:sz w:val="21"/>
              </w:rPr>
            </w:pPr>
          </w:p>
        </w:tc>
        <w:tc>
          <w:tcPr>
            <w:tcW w:w="921" w:type="dxa"/>
            <w:noWrap w:val="0"/>
            <w:vAlign w:val="center"/>
          </w:tcPr>
          <w:p w14:paraId="1DA68BAE">
            <w:pPr>
              <w:ind w:firstLine="0" w:firstLineChars="0"/>
              <w:jc w:val="center"/>
              <w:rPr>
                <w:rFonts w:ascii="宋体" w:hAnsi="宋体"/>
                <w:color w:val="auto"/>
                <w:sz w:val="21"/>
              </w:rPr>
            </w:pPr>
          </w:p>
        </w:tc>
      </w:tr>
      <w:tr w14:paraId="2157CC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4CDBD2DD">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12</w:t>
            </w:r>
          </w:p>
        </w:tc>
        <w:tc>
          <w:tcPr>
            <w:tcW w:w="1373" w:type="dxa"/>
            <w:gridSpan w:val="3"/>
            <w:vMerge w:val="restart"/>
            <w:noWrap w:val="0"/>
            <w:vAlign w:val="center"/>
          </w:tcPr>
          <w:p w14:paraId="597A1CF4">
            <w:pPr>
              <w:ind w:firstLine="0" w:firstLineChars="0"/>
              <w:rPr>
                <w:rFonts w:ascii="宋体" w:hAnsi="宋体"/>
                <w:color w:val="auto"/>
                <w:sz w:val="21"/>
              </w:rPr>
            </w:pPr>
            <w:r>
              <w:rPr>
                <w:rFonts w:hint="eastAsia" w:ascii="宋体" w:hAnsi="宋体"/>
                <w:color w:val="auto"/>
                <w:sz w:val="21"/>
              </w:rPr>
              <w:t>部件施工前检验</w:t>
            </w:r>
          </w:p>
        </w:tc>
        <w:tc>
          <w:tcPr>
            <w:tcW w:w="4637" w:type="dxa"/>
            <w:gridSpan w:val="4"/>
            <w:noWrap w:val="0"/>
            <w:vAlign w:val="center"/>
          </w:tcPr>
          <w:p w14:paraId="177EBB8B">
            <w:pPr>
              <w:ind w:firstLine="0" w:firstLineChars="0"/>
              <w:rPr>
                <w:rFonts w:ascii="宋体" w:hAnsi="宋体"/>
                <w:color w:val="auto"/>
                <w:sz w:val="21"/>
              </w:rPr>
            </w:pPr>
            <w:r>
              <w:rPr>
                <w:rFonts w:hint="eastAsia" w:ascii="宋体" w:hAnsi="宋体"/>
                <w:color w:val="auto"/>
                <w:sz w:val="21"/>
              </w:rPr>
              <w:t>(1)主要零部件合格证、铭牌</w:t>
            </w:r>
          </w:p>
        </w:tc>
        <w:tc>
          <w:tcPr>
            <w:tcW w:w="966" w:type="dxa"/>
            <w:noWrap w:val="0"/>
            <w:vAlign w:val="center"/>
          </w:tcPr>
          <w:p w14:paraId="78166D51">
            <w:pPr>
              <w:ind w:firstLine="0" w:firstLineChars="0"/>
              <w:jc w:val="center"/>
              <w:rPr>
                <w:rFonts w:ascii="宋体" w:hAnsi="宋体"/>
                <w:color w:val="auto"/>
                <w:sz w:val="21"/>
              </w:rPr>
            </w:pPr>
          </w:p>
        </w:tc>
        <w:tc>
          <w:tcPr>
            <w:tcW w:w="921" w:type="dxa"/>
            <w:noWrap w:val="0"/>
            <w:vAlign w:val="center"/>
          </w:tcPr>
          <w:p w14:paraId="5C668F9E">
            <w:pPr>
              <w:ind w:firstLine="0" w:firstLineChars="0"/>
              <w:jc w:val="center"/>
              <w:rPr>
                <w:rFonts w:ascii="宋体" w:hAnsi="宋体"/>
                <w:color w:val="auto"/>
                <w:sz w:val="21"/>
              </w:rPr>
            </w:pPr>
          </w:p>
        </w:tc>
      </w:tr>
      <w:tr w14:paraId="44A61D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4B33117C">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13</w:t>
            </w:r>
          </w:p>
        </w:tc>
        <w:tc>
          <w:tcPr>
            <w:tcW w:w="1373" w:type="dxa"/>
            <w:gridSpan w:val="3"/>
            <w:vMerge w:val="continue"/>
            <w:noWrap w:val="0"/>
            <w:vAlign w:val="center"/>
          </w:tcPr>
          <w:p w14:paraId="3EC177FC">
            <w:pPr>
              <w:ind w:firstLine="0" w:firstLineChars="0"/>
              <w:rPr>
                <w:rFonts w:ascii="宋体" w:hAnsi="宋体"/>
                <w:color w:val="auto"/>
                <w:sz w:val="21"/>
              </w:rPr>
            </w:pPr>
          </w:p>
        </w:tc>
        <w:tc>
          <w:tcPr>
            <w:tcW w:w="4637" w:type="dxa"/>
            <w:gridSpan w:val="4"/>
            <w:noWrap w:val="0"/>
            <w:vAlign w:val="center"/>
          </w:tcPr>
          <w:p w14:paraId="57A5BE46">
            <w:pPr>
              <w:ind w:firstLine="0" w:firstLineChars="0"/>
              <w:rPr>
                <w:rFonts w:ascii="宋体" w:hAnsi="宋体"/>
                <w:color w:val="auto"/>
                <w:sz w:val="21"/>
              </w:rPr>
            </w:pPr>
            <w:r>
              <w:rPr>
                <w:rFonts w:hint="eastAsia" w:ascii="宋体" w:hAnsi="宋体"/>
                <w:color w:val="auto"/>
                <w:sz w:val="21"/>
              </w:rPr>
              <w:t>(2) 安全保护装置合格证、铭牌、型式试验证明</w:t>
            </w:r>
          </w:p>
        </w:tc>
        <w:tc>
          <w:tcPr>
            <w:tcW w:w="966" w:type="dxa"/>
            <w:noWrap w:val="0"/>
            <w:vAlign w:val="center"/>
          </w:tcPr>
          <w:p w14:paraId="254AF053">
            <w:pPr>
              <w:ind w:firstLine="0" w:firstLineChars="0"/>
              <w:jc w:val="center"/>
              <w:rPr>
                <w:rFonts w:ascii="宋体" w:hAnsi="宋体"/>
                <w:color w:val="auto"/>
                <w:sz w:val="21"/>
              </w:rPr>
            </w:pPr>
          </w:p>
        </w:tc>
        <w:tc>
          <w:tcPr>
            <w:tcW w:w="921" w:type="dxa"/>
            <w:noWrap w:val="0"/>
            <w:vAlign w:val="center"/>
          </w:tcPr>
          <w:p w14:paraId="1164C996">
            <w:pPr>
              <w:ind w:firstLine="0" w:firstLineChars="0"/>
              <w:jc w:val="center"/>
              <w:rPr>
                <w:rFonts w:ascii="宋体" w:hAnsi="宋体"/>
                <w:color w:val="auto"/>
                <w:sz w:val="21"/>
              </w:rPr>
            </w:pPr>
          </w:p>
        </w:tc>
      </w:tr>
      <w:tr w14:paraId="474DE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395599A1">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14</w:t>
            </w:r>
          </w:p>
        </w:tc>
        <w:tc>
          <w:tcPr>
            <w:tcW w:w="1373" w:type="dxa"/>
            <w:gridSpan w:val="3"/>
            <w:vMerge w:val="continue"/>
            <w:noWrap w:val="0"/>
            <w:vAlign w:val="center"/>
          </w:tcPr>
          <w:p w14:paraId="05C5D1AC">
            <w:pPr>
              <w:ind w:firstLine="0" w:firstLineChars="0"/>
              <w:rPr>
                <w:rFonts w:ascii="宋体" w:hAnsi="宋体"/>
                <w:color w:val="auto"/>
                <w:sz w:val="21"/>
              </w:rPr>
            </w:pPr>
          </w:p>
        </w:tc>
        <w:tc>
          <w:tcPr>
            <w:tcW w:w="4637" w:type="dxa"/>
            <w:gridSpan w:val="4"/>
            <w:noWrap w:val="0"/>
            <w:vAlign w:val="center"/>
          </w:tcPr>
          <w:p w14:paraId="74EAAA44">
            <w:pPr>
              <w:ind w:firstLine="0" w:firstLineChars="0"/>
              <w:rPr>
                <w:rFonts w:ascii="宋体" w:hAnsi="宋体"/>
                <w:color w:val="auto"/>
                <w:sz w:val="21"/>
              </w:rPr>
            </w:pPr>
            <w:r>
              <w:rPr>
                <w:rFonts w:hint="eastAsia" w:ascii="宋体" w:hAnsi="宋体"/>
                <w:color w:val="auto"/>
                <w:sz w:val="21"/>
              </w:rPr>
              <w:t>(3)主要受力结构件主要几何尺寸</w:t>
            </w:r>
          </w:p>
        </w:tc>
        <w:tc>
          <w:tcPr>
            <w:tcW w:w="966" w:type="dxa"/>
            <w:noWrap w:val="0"/>
            <w:vAlign w:val="center"/>
          </w:tcPr>
          <w:p w14:paraId="7D60CE27">
            <w:pPr>
              <w:ind w:firstLine="0" w:firstLineChars="0"/>
              <w:jc w:val="center"/>
              <w:rPr>
                <w:rFonts w:ascii="宋体" w:hAnsi="宋体"/>
                <w:color w:val="auto"/>
                <w:sz w:val="21"/>
              </w:rPr>
            </w:pPr>
          </w:p>
        </w:tc>
        <w:tc>
          <w:tcPr>
            <w:tcW w:w="921" w:type="dxa"/>
            <w:noWrap w:val="0"/>
            <w:vAlign w:val="center"/>
          </w:tcPr>
          <w:p w14:paraId="6E1F1F42">
            <w:pPr>
              <w:ind w:firstLine="0" w:firstLineChars="0"/>
              <w:jc w:val="center"/>
              <w:rPr>
                <w:rFonts w:ascii="宋体" w:hAnsi="宋体"/>
                <w:color w:val="auto"/>
                <w:sz w:val="21"/>
              </w:rPr>
            </w:pPr>
          </w:p>
        </w:tc>
      </w:tr>
      <w:tr w14:paraId="16B18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B7CD579">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15</w:t>
            </w:r>
          </w:p>
        </w:tc>
        <w:tc>
          <w:tcPr>
            <w:tcW w:w="1373" w:type="dxa"/>
            <w:gridSpan w:val="3"/>
            <w:vMerge w:val="restart"/>
            <w:noWrap w:val="0"/>
            <w:vAlign w:val="center"/>
          </w:tcPr>
          <w:p w14:paraId="742BEAD9">
            <w:pPr>
              <w:ind w:firstLine="0" w:firstLineChars="0"/>
              <w:rPr>
                <w:rFonts w:ascii="宋体" w:hAnsi="宋体"/>
                <w:color w:val="auto"/>
                <w:sz w:val="21"/>
              </w:rPr>
            </w:pPr>
            <w:r>
              <w:rPr>
                <w:rFonts w:hint="eastAsia" w:ascii="宋体" w:hAnsi="宋体"/>
                <w:color w:val="auto"/>
                <w:sz w:val="21"/>
              </w:rPr>
              <w:t>主要零部件施工过程与施工后检验</w:t>
            </w:r>
          </w:p>
        </w:tc>
        <w:tc>
          <w:tcPr>
            <w:tcW w:w="4637" w:type="dxa"/>
            <w:gridSpan w:val="4"/>
            <w:noWrap w:val="0"/>
            <w:vAlign w:val="center"/>
          </w:tcPr>
          <w:p w14:paraId="06D437D4">
            <w:pPr>
              <w:ind w:firstLine="0" w:firstLineChars="0"/>
              <w:rPr>
                <w:rFonts w:ascii="宋体" w:hAnsi="宋体"/>
                <w:color w:val="auto"/>
                <w:sz w:val="21"/>
              </w:rPr>
            </w:pPr>
            <w:r>
              <w:rPr>
                <w:rFonts w:hint="eastAsia" w:ascii="宋体" w:hAnsi="宋体"/>
                <w:color w:val="auto"/>
                <w:sz w:val="21"/>
              </w:rPr>
              <w:t>(1)主要受力结构件连接</w:t>
            </w:r>
          </w:p>
        </w:tc>
        <w:tc>
          <w:tcPr>
            <w:tcW w:w="966" w:type="dxa"/>
            <w:noWrap w:val="0"/>
            <w:vAlign w:val="center"/>
          </w:tcPr>
          <w:p w14:paraId="4F824485">
            <w:pPr>
              <w:ind w:firstLine="0" w:firstLineChars="0"/>
              <w:rPr>
                <w:rFonts w:ascii="宋体" w:hAnsi="宋体"/>
                <w:color w:val="auto"/>
                <w:sz w:val="21"/>
              </w:rPr>
            </w:pPr>
          </w:p>
        </w:tc>
        <w:tc>
          <w:tcPr>
            <w:tcW w:w="921" w:type="dxa"/>
            <w:noWrap w:val="0"/>
            <w:vAlign w:val="center"/>
          </w:tcPr>
          <w:p w14:paraId="3804008E">
            <w:pPr>
              <w:ind w:firstLine="0" w:firstLineChars="0"/>
              <w:rPr>
                <w:rFonts w:ascii="宋体" w:hAnsi="宋体"/>
                <w:color w:val="auto"/>
                <w:sz w:val="21"/>
              </w:rPr>
            </w:pPr>
          </w:p>
        </w:tc>
      </w:tr>
      <w:tr w14:paraId="57EA4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175E0B00">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16</w:t>
            </w:r>
          </w:p>
        </w:tc>
        <w:tc>
          <w:tcPr>
            <w:tcW w:w="1373" w:type="dxa"/>
            <w:gridSpan w:val="3"/>
            <w:vMerge w:val="continue"/>
            <w:noWrap w:val="0"/>
            <w:vAlign w:val="center"/>
          </w:tcPr>
          <w:p w14:paraId="07CEB545">
            <w:pPr>
              <w:ind w:firstLine="0" w:firstLineChars="0"/>
              <w:jc w:val="center"/>
              <w:rPr>
                <w:rFonts w:ascii="宋体" w:hAnsi="宋体"/>
                <w:color w:val="auto"/>
                <w:sz w:val="21"/>
              </w:rPr>
            </w:pPr>
          </w:p>
        </w:tc>
        <w:tc>
          <w:tcPr>
            <w:tcW w:w="4637" w:type="dxa"/>
            <w:gridSpan w:val="4"/>
            <w:noWrap w:val="0"/>
            <w:vAlign w:val="center"/>
          </w:tcPr>
          <w:p w14:paraId="4F422EB9">
            <w:pPr>
              <w:ind w:firstLine="0" w:firstLineChars="0"/>
              <w:rPr>
                <w:rFonts w:ascii="宋体" w:hAnsi="宋体"/>
                <w:color w:val="auto"/>
                <w:sz w:val="21"/>
              </w:rPr>
            </w:pPr>
            <w:r>
              <w:rPr>
                <w:rFonts w:hint="eastAsia" w:ascii="宋体" w:hAnsi="宋体"/>
                <w:color w:val="auto"/>
                <w:sz w:val="21"/>
              </w:rPr>
              <w:t>(2)施工后主要受力结构件的主要几何尺寸</w:t>
            </w:r>
          </w:p>
        </w:tc>
        <w:tc>
          <w:tcPr>
            <w:tcW w:w="966" w:type="dxa"/>
            <w:noWrap w:val="0"/>
            <w:vAlign w:val="center"/>
          </w:tcPr>
          <w:p w14:paraId="77D33724">
            <w:pPr>
              <w:ind w:firstLine="0" w:firstLineChars="0"/>
              <w:jc w:val="center"/>
              <w:rPr>
                <w:rFonts w:ascii="宋体" w:hAnsi="宋体"/>
                <w:color w:val="auto"/>
                <w:sz w:val="21"/>
              </w:rPr>
            </w:pPr>
          </w:p>
        </w:tc>
        <w:tc>
          <w:tcPr>
            <w:tcW w:w="921" w:type="dxa"/>
            <w:noWrap w:val="0"/>
            <w:vAlign w:val="center"/>
          </w:tcPr>
          <w:p w14:paraId="4FFF8AB0">
            <w:pPr>
              <w:ind w:firstLine="0" w:firstLineChars="0"/>
              <w:jc w:val="center"/>
              <w:rPr>
                <w:rFonts w:ascii="宋体" w:hAnsi="宋体"/>
                <w:color w:val="auto"/>
                <w:sz w:val="21"/>
              </w:rPr>
            </w:pPr>
          </w:p>
        </w:tc>
      </w:tr>
      <w:tr w14:paraId="4AC14B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6FFF6350">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17</w:t>
            </w:r>
          </w:p>
        </w:tc>
        <w:tc>
          <w:tcPr>
            <w:tcW w:w="1373" w:type="dxa"/>
            <w:gridSpan w:val="3"/>
            <w:vMerge w:val="continue"/>
            <w:noWrap w:val="0"/>
            <w:vAlign w:val="center"/>
          </w:tcPr>
          <w:p w14:paraId="50F13821">
            <w:pPr>
              <w:ind w:firstLine="0" w:firstLineChars="0"/>
              <w:jc w:val="center"/>
              <w:rPr>
                <w:rFonts w:ascii="宋体" w:hAnsi="宋体"/>
                <w:color w:val="auto"/>
                <w:sz w:val="21"/>
              </w:rPr>
            </w:pPr>
          </w:p>
        </w:tc>
        <w:tc>
          <w:tcPr>
            <w:tcW w:w="4637" w:type="dxa"/>
            <w:gridSpan w:val="4"/>
            <w:noWrap w:val="0"/>
            <w:vAlign w:val="center"/>
          </w:tcPr>
          <w:p w14:paraId="6558C309">
            <w:pPr>
              <w:ind w:firstLine="0" w:firstLineChars="0"/>
              <w:rPr>
                <w:rFonts w:ascii="宋体" w:hAnsi="宋体"/>
                <w:color w:val="auto"/>
                <w:sz w:val="21"/>
              </w:rPr>
            </w:pPr>
            <w:r>
              <w:rPr>
                <w:rFonts w:hint="eastAsia" w:ascii="宋体" w:hAnsi="宋体"/>
                <w:color w:val="auto"/>
                <w:sz w:val="21"/>
              </w:rPr>
              <w:t>(3)钢丝绳及其连接、吊具、滑轮组、卷筒</w:t>
            </w:r>
          </w:p>
        </w:tc>
        <w:tc>
          <w:tcPr>
            <w:tcW w:w="966" w:type="dxa"/>
            <w:noWrap w:val="0"/>
            <w:vAlign w:val="center"/>
          </w:tcPr>
          <w:p w14:paraId="57CDBF62">
            <w:pPr>
              <w:ind w:firstLine="0" w:firstLineChars="0"/>
              <w:jc w:val="center"/>
              <w:rPr>
                <w:rFonts w:ascii="宋体" w:hAnsi="宋体"/>
                <w:color w:val="auto"/>
                <w:sz w:val="21"/>
              </w:rPr>
            </w:pPr>
          </w:p>
        </w:tc>
        <w:tc>
          <w:tcPr>
            <w:tcW w:w="921" w:type="dxa"/>
            <w:noWrap w:val="0"/>
            <w:vAlign w:val="center"/>
          </w:tcPr>
          <w:p w14:paraId="611229A9">
            <w:pPr>
              <w:ind w:firstLine="0" w:firstLineChars="0"/>
              <w:jc w:val="center"/>
              <w:rPr>
                <w:rFonts w:ascii="宋体" w:hAnsi="宋体"/>
                <w:color w:val="auto"/>
                <w:sz w:val="21"/>
              </w:rPr>
            </w:pPr>
          </w:p>
        </w:tc>
      </w:tr>
      <w:tr w14:paraId="694F0E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5CDEDF06">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18</w:t>
            </w:r>
          </w:p>
        </w:tc>
        <w:tc>
          <w:tcPr>
            <w:tcW w:w="1373" w:type="dxa"/>
            <w:gridSpan w:val="3"/>
            <w:vMerge w:val="continue"/>
            <w:noWrap w:val="0"/>
            <w:vAlign w:val="center"/>
          </w:tcPr>
          <w:p w14:paraId="26B4CA0A">
            <w:pPr>
              <w:ind w:firstLine="0" w:firstLineChars="0"/>
              <w:jc w:val="center"/>
              <w:rPr>
                <w:rFonts w:ascii="宋体" w:hAnsi="宋体"/>
                <w:color w:val="auto"/>
                <w:sz w:val="21"/>
              </w:rPr>
            </w:pPr>
          </w:p>
        </w:tc>
        <w:tc>
          <w:tcPr>
            <w:tcW w:w="4637" w:type="dxa"/>
            <w:gridSpan w:val="4"/>
            <w:noWrap w:val="0"/>
            <w:vAlign w:val="center"/>
          </w:tcPr>
          <w:p w14:paraId="69780A8E">
            <w:pPr>
              <w:ind w:firstLine="0" w:firstLineChars="0"/>
              <w:rPr>
                <w:rFonts w:ascii="宋体" w:hAnsi="宋体"/>
                <w:color w:val="auto"/>
                <w:sz w:val="21"/>
              </w:rPr>
            </w:pPr>
            <w:r>
              <w:rPr>
                <w:rFonts w:hint="eastAsia" w:ascii="宋体" w:hAnsi="宋体"/>
                <w:color w:val="auto"/>
                <w:sz w:val="21"/>
              </w:rPr>
              <w:t>(4)安全警示标识</w:t>
            </w:r>
          </w:p>
        </w:tc>
        <w:tc>
          <w:tcPr>
            <w:tcW w:w="966" w:type="dxa"/>
            <w:noWrap w:val="0"/>
            <w:vAlign w:val="center"/>
          </w:tcPr>
          <w:p w14:paraId="764A7ED6">
            <w:pPr>
              <w:ind w:firstLine="0" w:firstLineChars="0"/>
              <w:jc w:val="center"/>
              <w:rPr>
                <w:rFonts w:ascii="宋体" w:hAnsi="宋体"/>
                <w:color w:val="auto"/>
                <w:sz w:val="21"/>
              </w:rPr>
            </w:pPr>
          </w:p>
        </w:tc>
        <w:tc>
          <w:tcPr>
            <w:tcW w:w="921" w:type="dxa"/>
            <w:noWrap w:val="0"/>
            <w:vAlign w:val="center"/>
          </w:tcPr>
          <w:p w14:paraId="27C93C7F">
            <w:pPr>
              <w:ind w:firstLine="0" w:firstLineChars="0"/>
              <w:jc w:val="center"/>
              <w:rPr>
                <w:rFonts w:ascii="宋体" w:hAnsi="宋体"/>
                <w:color w:val="auto"/>
                <w:sz w:val="21"/>
              </w:rPr>
            </w:pPr>
          </w:p>
        </w:tc>
      </w:tr>
      <w:tr w14:paraId="491BF7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3AC50EA7">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19</w:t>
            </w:r>
          </w:p>
        </w:tc>
        <w:tc>
          <w:tcPr>
            <w:tcW w:w="607" w:type="dxa"/>
            <w:vMerge w:val="restart"/>
            <w:noWrap w:val="0"/>
            <w:vAlign w:val="center"/>
          </w:tcPr>
          <w:p w14:paraId="76202F09">
            <w:pPr>
              <w:ind w:firstLine="0" w:firstLineChars="0"/>
              <w:rPr>
                <w:rFonts w:ascii="宋体" w:hAnsi="宋体"/>
                <w:color w:val="auto"/>
                <w:sz w:val="21"/>
              </w:rPr>
            </w:pPr>
            <w:r>
              <w:rPr>
                <w:rFonts w:hint="eastAsia" w:ascii="宋体" w:hAnsi="宋体"/>
                <w:color w:val="auto"/>
                <w:sz w:val="21"/>
              </w:rPr>
              <w:t>电气与控制系统检验</w:t>
            </w:r>
          </w:p>
        </w:tc>
        <w:tc>
          <w:tcPr>
            <w:tcW w:w="5403" w:type="dxa"/>
            <w:gridSpan w:val="6"/>
            <w:noWrap w:val="0"/>
            <w:vAlign w:val="center"/>
          </w:tcPr>
          <w:p w14:paraId="3406E3B8">
            <w:pPr>
              <w:ind w:firstLine="0" w:firstLineChars="0"/>
              <w:rPr>
                <w:rFonts w:ascii="宋体" w:hAnsi="宋体"/>
                <w:color w:val="auto"/>
                <w:sz w:val="21"/>
              </w:rPr>
            </w:pPr>
            <w:r>
              <w:rPr>
                <w:rFonts w:hint="eastAsia" w:ascii="宋体" w:hAnsi="宋体"/>
                <w:color w:val="auto"/>
                <w:sz w:val="21"/>
              </w:rPr>
              <w:t>电气设备与控制系统</w:t>
            </w:r>
          </w:p>
        </w:tc>
        <w:tc>
          <w:tcPr>
            <w:tcW w:w="966" w:type="dxa"/>
            <w:noWrap w:val="0"/>
            <w:vAlign w:val="center"/>
          </w:tcPr>
          <w:p w14:paraId="52E8276F">
            <w:pPr>
              <w:ind w:firstLine="0" w:firstLineChars="0"/>
              <w:jc w:val="center"/>
              <w:rPr>
                <w:rFonts w:ascii="宋体" w:hAnsi="宋体"/>
                <w:color w:val="auto"/>
                <w:sz w:val="21"/>
              </w:rPr>
            </w:pPr>
          </w:p>
        </w:tc>
        <w:tc>
          <w:tcPr>
            <w:tcW w:w="921" w:type="dxa"/>
            <w:noWrap w:val="0"/>
            <w:vAlign w:val="center"/>
          </w:tcPr>
          <w:p w14:paraId="2A62F5C2">
            <w:pPr>
              <w:ind w:firstLine="0" w:firstLineChars="0"/>
              <w:jc w:val="center"/>
              <w:rPr>
                <w:rFonts w:ascii="宋体" w:hAnsi="宋体"/>
                <w:color w:val="auto"/>
                <w:sz w:val="21"/>
              </w:rPr>
            </w:pPr>
          </w:p>
        </w:tc>
      </w:tr>
      <w:tr w14:paraId="6AC66E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25345448">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20</w:t>
            </w:r>
          </w:p>
        </w:tc>
        <w:tc>
          <w:tcPr>
            <w:tcW w:w="607" w:type="dxa"/>
            <w:vMerge w:val="continue"/>
            <w:noWrap w:val="0"/>
            <w:vAlign w:val="center"/>
          </w:tcPr>
          <w:p w14:paraId="1870B7AD">
            <w:pPr>
              <w:ind w:firstLine="0" w:firstLineChars="0"/>
              <w:rPr>
                <w:rFonts w:ascii="宋体" w:hAnsi="宋体"/>
                <w:color w:val="auto"/>
                <w:sz w:val="21"/>
              </w:rPr>
            </w:pPr>
          </w:p>
        </w:tc>
        <w:tc>
          <w:tcPr>
            <w:tcW w:w="857" w:type="dxa"/>
            <w:gridSpan w:val="3"/>
            <w:vMerge w:val="restart"/>
            <w:noWrap w:val="0"/>
            <w:vAlign w:val="center"/>
          </w:tcPr>
          <w:p w14:paraId="7CEB2455">
            <w:pPr>
              <w:ind w:firstLine="0" w:firstLineChars="0"/>
              <w:rPr>
                <w:rFonts w:ascii="宋体" w:hAnsi="宋体"/>
                <w:color w:val="auto"/>
                <w:sz w:val="21"/>
              </w:rPr>
            </w:pPr>
            <w:r>
              <w:rPr>
                <w:rFonts w:hint="eastAsia" w:ascii="宋体" w:hAnsi="宋体"/>
                <w:color w:val="auto"/>
                <w:sz w:val="21"/>
              </w:rPr>
              <w:t>电气保护装置</w:t>
            </w:r>
          </w:p>
        </w:tc>
        <w:tc>
          <w:tcPr>
            <w:tcW w:w="4546" w:type="dxa"/>
            <w:gridSpan w:val="3"/>
            <w:noWrap w:val="0"/>
            <w:vAlign w:val="center"/>
          </w:tcPr>
          <w:p w14:paraId="3AA9FB26">
            <w:pPr>
              <w:ind w:firstLine="0" w:firstLineChars="0"/>
              <w:rPr>
                <w:rFonts w:ascii="宋体" w:hAnsi="宋体"/>
                <w:color w:val="auto"/>
                <w:sz w:val="21"/>
              </w:rPr>
            </w:pPr>
            <w:r>
              <w:rPr>
                <w:rFonts w:hint="eastAsia" w:ascii="宋体" w:hAnsi="宋体"/>
                <w:color w:val="auto"/>
                <w:sz w:val="21"/>
              </w:rPr>
              <w:t>接地保护</w:t>
            </w:r>
          </w:p>
        </w:tc>
        <w:tc>
          <w:tcPr>
            <w:tcW w:w="966" w:type="dxa"/>
            <w:noWrap w:val="0"/>
            <w:vAlign w:val="center"/>
          </w:tcPr>
          <w:p w14:paraId="0B250FD2">
            <w:pPr>
              <w:ind w:firstLine="0" w:firstLineChars="0"/>
              <w:jc w:val="center"/>
              <w:rPr>
                <w:rFonts w:ascii="宋体" w:hAnsi="宋体"/>
                <w:color w:val="auto"/>
                <w:sz w:val="21"/>
              </w:rPr>
            </w:pPr>
          </w:p>
        </w:tc>
        <w:tc>
          <w:tcPr>
            <w:tcW w:w="921" w:type="dxa"/>
            <w:noWrap w:val="0"/>
            <w:vAlign w:val="center"/>
          </w:tcPr>
          <w:p w14:paraId="04B27A5B">
            <w:pPr>
              <w:ind w:firstLine="0" w:firstLineChars="0"/>
              <w:jc w:val="center"/>
              <w:rPr>
                <w:rFonts w:ascii="宋体" w:hAnsi="宋体"/>
                <w:color w:val="auto"/>
                <w:sz w:val="21"/>
              </w:rPr>
            </w:pPr>
          </w:p>
        </w:tc>
      </w:tr>
      <w:tr w14:paraId="3F8BF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CC35916">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21</w:t>
            </w:r>
          </w:p>
        </w:tc>
        <w:tc>
          <w:tcPr>
            <w:tcW w:w="607" w:type="dxa"/>
            <w:vMerge w:val="continue"/>
            <w:noWrap w:val="0"/>
            <w:vAlign w:val="center"/>
          </w:tcPr>
          <w:p w14:paraId="0553C15A">
            <w:pPr>
              <w:ind w:firstLine="0" w:firstLineChars="0"/>
              <w:jc w:val="center"/>
              <w:rPr>
                <w:rFonts w:ascii="宋体" w:hAnsi="宋体"/>
                <w:color w:val="auto"/>
                <w:sz w:val="21"/>
              </w:rPr>
            </w:pPr>
          </w:p>
        </w:tc>
        <w:tc>
          <w:tcPr>
            <w:tcW w:w="857" w:type="dxa"/>
            <w:gridSpan w:val="3"/>
            <w:vMerge w:val="continue"/>
            <w:noWrap w:val="0"/>
            <w:vAlign w:val="center"/>
          </w:tcPr>
          <w:p w14:paraId="13178EA4">
            <w:pPr>
              <w:ind w:firstLine="0" w:firstLineChars="0"/>
              <w:rPr>
                <w:rFonts w:ascii="宋体" w:hAnsi="宋体"/>
                <w:color w:val="auto"/>
                <w:sz w:val="21"/>
              </w:rPr>
            </w:pPr>
          </w:p>
        </w:tc>
        <w:tc>
          <w:tcPr>
            <w:tcW w:w="4546" w:type="dxa"/>
            <w:gridSpan w:val="3"/>
            <w:noWrap w:val="0"/>
            <w:vAlign w:val="center"/>
          </w:tcPr>
          <w:p w14:paraId="37D4432E">
            <w:pPr>
              <w:ind w:firstLine="0" w:firstLineChars="0"/>
              <w:rPr>
                <w:rFonts w:ascii="宋体" w:hAnsi="宋体"/>
                <w:color w:val="auto"/>
                <w:sz w:val="21"/>
              </w:rPr>
            </w:pPr>
            <w:r>
              <w:rPr>
                <w:rFonts w:hint="eastAsia" w:ascii="宋体" w:hAnsi="宋体"/>
                <w:color w:val="auto"/>
                <w:sz w:val="21"/>
              </w:rPr>
              <w:t>绝缘电阻</w:t>
            </w:r>
          </w:p>
        </w:tc>
        <w:tc>
          <w:tcPr>
            <w:tcW w:w="966" w:type="dxa"/>
            <w:noWrap w:val="0"/>
            <w:vAlign w:val="center"/>
          </w:tcPr>
          <w:p w14:paraId="58181531">
            <w:pPr>
              <w:ind w:firstLine="0" w:firstLineChars="0"/>
              <w:jc w:val="center"/>
              <w:rPr>
                <w:rFonts w:ascii="宋体" w:hAnsi="宋体"/>
                <w:color w:val="auto"/>
                <w:sz w:val="21"/>
              </w:rPr>
            </w:pPr>
          </w:p>
        </w:tc>
        <w:tc>
          <w:tcPr>
            <w:tcW w:w="921" w:type="dxa"/>
            <w:noWrap w:val="0"/>
            <w:vAlign w:val="center"/>
          </w:tcPr>
          <w:p w14:paraId="1A5AD971">
            <w:pPr>
              <w:ind w:firstLine="0" w:firstLineChars="0"/>
              <w:jc w:val="center"/>
              <w:rPr>
                <w:rFonts w:ascii="宋体" w:hAnsi="宋体"/>
                <w:color w:val="auto"/>
                <w:sz w:val="21"/>
              </w:rPr>
            </w:pPr>
          </w:p>
        </w:tc>
      </w:tr>
      <w:tr w14:paraId="397663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523489B5">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22</w:t>
            </w:r>
          </w:p>
        </w:tc>
        <w:tc>
          <w:tcPr>
            <w:tcW w:w="607" w:type="dxa"/>
            <w:vMerge w:val="continue"/>
            <w:noWrap w:val="0"/>
            <w:vAlign w:val="center"/>
          </w:tcPr>
          <w:p w14:paraId="01334ED9">
            <w:pPr>
              <w:ind w:firstLine="0" w:firstLineChars="0"/>
              <w:rPr>
                <w:rFonts w:ascii="宋体" w:hAnsi="宋体"/>
                <w:color w:val="auto"/>
                <w:sz w:val="21"/>
              </w:rPr>
            </w:pPr>
          </w:p>
        </w:tc>
        <w:tc>
          <w:tcPr>
            <w:tcW w:w="857" w:type="dxa"/>
            <w:gridSpan w:val="3"/>
            <w:vMerge w:val="continue"/>
            <w:noWrap w:val="0"/>
            <w:vAlign w:val="center"/>
          </w:tcPr>
          <w:p w14:paraId="4EDEABB9">
            <w:pPr>
              <w:ind w:firstLine="0" w:firstLineChars="0"/>
              <w:rPr>
                <w:rFonts w:ascii="宋体" w:hAnsi="宋体"/>
                <w:color w:val="auto"/>
                <w:sz w:val="21"/>
              </w:rPr>
            </w:pPr>
          </w:p>
        </w:tc>
        <w:tc>
          <w:tcPr>
            <w:tcW w:w="4546" w:type="dxa"/>
            <w:gridSpan w:val="3"/>
            <w:noWrap w:val="0"/>
            <w:vAlign w:val="center"/>
          </w:tcPr>
          <w:p w14:paraId="7D7B3991">
            <w:pPr>
              <w:ind w:firstLine="0" w:firstLineChars="0"/>
              <w:rPr>
                <w:rFonts w:ascii="宋体" w:hAnsi="宋体"/>
                <w:color w:val="auto"/>
                <w:sz w:val="21"/>
              </w:rPr>
            </w:pPr>
            <w:r>
              <w:rPr>
                <w:rFonts w:hint="eastAsia" w:ascii="宋体" w:hAnsi="宋体"/>
                <w:color w:val="auto"/>
                <w:sz w:val="21"/>
              </w:rPr>
              <w:t>短路保护</w:t>
            </w:r>
          </w:p>
        </w:tc>
        <w:tc>
          <w:tcPr>
            <w:tcW w:w="966" w:type="dxa"/>
            <w:noWrap w:val="0"/>
            <w:vAlign w:val="center"/>
          </w:tcPr>
          <w:p w14:paraId="2A178FE9">
            <w:pPr>
              <w:ind w:firstLine="0" w:firstLineChars="0"/>
              <w:jc w:val="center"/>
              <w:rPr>
                <w:rFonts w:ascii="宋体" w:hAnsi="宋体"/>
                <w:color w:val="auto"/>
                <w:sz w:val="21"/>
              </w:rPr>
            </w:pPr>
          </w:p>
        </w:tc>
        <w:tc>
          <w:tcPr>
            <w:tcW w:w="921" w:type="dxa"/>
            <w:noWrap w:val="0"/>
            <w:vAlign w:val="center"/>
          </w:tcPr>
          <w:p w14:paraId="068A37D7">
            <w:pPr>
              <w:ind w:firstLine="0" w:firstLineChars="0"/>
              <w:jc w:val="center"/>
              <w:rPr>
                <w:rFonts w:ascii="宋体" w:hAnsi="宋体"/>
                <w:color w:val="auto"/>
                <w:sz w:val="21"/>
              </w:rPr>
            </w:pPr>
          </w:p>
        </w:tc>
      </w:tr>
      <w:tr w14:paraId="640207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3FDB4581">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23</w:t>
            </w:r>
          </w:p>
        </w:tc>
        <w:tc>
          <w:tcPr>
            <w:tcW w:w="607" w:type="dxa"/>
            <w:vMerge w:val="continue"/>
            <w:noWrap w:val="0"/>
            <w:vAlign w:val="center"/>
          </w:tcPr>
          <w:p w14:paraId="5620EB22">
            <w:pPr>
              <w:ind w:firstLine="0" w:firstLineChars="0"/>
              <w:rPr>
                <w:rFonts w:ascii="宋体" w:hAnsi="宋体"/>
                <w:color w:val="auto"/>
                <w:sz w:val="21"/>
              </w:rPr>
            </w:pPr>
          </w:p>
        </w:tc>
        <w:tc>
          <w:tcPr>
            <w:tcW w:w="857" w:type="dxa"/>
            <w:gridSpan w:val="3"/>
            <w:vMerge w:val="continue"/>
            <w:noWrap w:val="0"/>
            <w:vAlign w:val="center"/>
          </w:tcPr>
          <w:p w14:paraId="2A1D9A40">
            <w:pPr>
              <w:ind w:firstLine="0" w:firstLineChars="0"/>
              <w:rPr>
                <w:rFonts w:ascii="宋体" w:hAnsi="宋体"/>
                <w:color w:val="auto"/>
                <w:sz w:val="21"/>
              </w:rPr>
            </w:pPr>
          </w:p>
        </w:tc>
        <w:tc>
          <w:tcPr>
            <w:tcW w:w="4546" w:type="dxa"/>
            <w:gridSpan w:val="3"/>
            <w:noWrap w:val="0"/>
            <w:vAlign w:val="center"/>
          </w:tcPr>
          <w:p w14:paraId="7829AD18">
            <w:pPr>
              <w:ind w:firstLine="0" w:firstLineChars="0"/>
              <w:rPr>
                <w:rFonts w:ascii="宋体" w:hAnsi="宋体"/>
                <w:color w:val="auto"/>
                <w:sz w:val="21"/>
              </w:rPr>
            </w:pPr>
            <w:r>
              <w:rPr>
                <w:rFonts w:hint="eastAsia" w:ascii="宋体" w:hAnsi="宋体"/>
                <w:color w:val="auto"/>
                <w:sz w:val="21"/>
              </w:rPr>
              <w:t>失压保护</w:t>
            </w:r>
          </w:p>
        </w:tc>
        <w:tc>
          <w:tcPr>
            <w:tcW w:w="966" w:type="dxa"/>
            <w:noWrap w:val="0"/>
            <w:vAlign w:val="center"/>
          </w:tcPr>
          <w:p w14:paraId="1FC42C89">
            <w:pPr>
              <w:ind w:firstLine="0" w:firstLineChars="0"/>
              <w:jc w:val="center"/>
              <w:rPr>
                <w:rFonts w:ascii="宋体" w:hAnsi="宋体"/>
                <w:color w:val="auto"/>
                <w:sz w:val="21"/>
              </w:rPr>
            </w:pPr>
          </w:p>
        </w:tc>
        <w:tc>
          <w:tcPr>
            <w:tcW w:w="921" w:type="dxa"/>
            <w:noWrap w:val="0"/>
            <w:vAlign w:val="center"/>
          </w:tcPr>
          <w:p w14:paraId="30919808">
            <w:pPr>
              <w:ind w:firstLine="0" w:firstLineChars="0"/>
              <w:jc w:val="center"/>
              <w:rPr>
                <w:rFonts w:ascii="宋体" w:hAnsi="宋体"/>
                <w:color w:val="auto"/>
                <w:sz w:val="21"/>
              </w:rPr>
            </w:pPr>
          </w:p>
        </w:tc>
      </w:tr>
      <w:tr w14:paraId="44E788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63AD952A">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24</w:t>
            </w:r>
          </w:p>
        </w:tc>
        <w:tc>
          <w:tcPr>
            <w:tcW w:w="607" w:type="dxa"/>
            <w:vMerge w:val="continue"/>
            <w:noWrap w:val="0"/>
            <w:vAlign w:val="center"/>
          </w:tcPr>
          <w:p w14:paraId="1160F95A">
            <w:pPr>
              <w:ind w:firstLine="0" w:firstLineChars="0"/>
              <w:rPr>
                <w:rFonts w:ascii="宋体" w:hAnsi="宋体"/>
                <w:color w:val="auto"/>
                <w:sz w:val="21"/>
              </w:rPr>
            </w:pPr>
          </w:p>
        </w:tc>
        <w:tc>
          <w:tcPr>
            <w:tcW w:w="857" w:type="dxa"/>
            <w:gridSpan w:val="3"/>
            <w:vMerge w:val="continue"/>
            <w:noWrap w:val="0"/>
            <w:vAlign w:val="center"/>
          </w:tcPr>
          <w:p w14:paraId="697D450C">
            <w:pPr>
              <w:ind w:firstLine="0" w:firstLineChars="0"/>
              <w:rPr>
                <w:rFonts w:ascii="宋体" w:hAnsi="宋体"/>
                <w:color w:val="auto"/>
                <w:sz w:val="21"/>
              </w:rPr>
            </w:pPr>
          </w:p>
        </w:tc>
        <w:tc>
          <w:tcPr>
            <w:tcW w:w="4546" w:type="dxa"/>
            <w:gridSpan w:val="3"/>
            <w:noWrap w:val="0"/>
            <w:vAlign w:val="center"/>
          </w:tcPr>
          <w:p w14:paraId="51613C99">
            <w:pPr>
              <w:ind w:firstLine="0" w:firstLineChars="0"/>
              <w:rPr>
                <w:rFonts w:ascii="宋体" w:hAnsi="宋体"/>
                <w:color w:val="auto"/>
                <w:sz w:val="21"/>
              </w:rPr>
            </w:pPr>
            <w:r>
              <w:rPr>
                <w:rFonts w:hint="eastAsia" w:ascii="宋体" w:hAnsi="宋体"/>
                <w:color w:val="auto"/>
                <w:sz w:val="21"/>
              </w:rPr>
              <w:t>零位保护</w:t>
            </w:r>
          </w:p>
        </w:tc>
        <w:tc>
          <w:tcPr>
            <w:tcW w:w="966" w:type="dxa"/>
            <w:noWrap w:val="0"/>
            <w:vAlign w:val="center"/>
          </w:tcPr>
          <w:p w14:paraId="29ADDBED">
            <w:pPr>
              <w:ind w:firstLine="0" w:firstLineChars="0"/>
              <w:jc w:val="center"/>
              <w:rPr>
                <w:rFonts w:ascii="宋体" w:hAnsi="宋体"/>
                <w:color w:val="auto"/>
                <w:sz w:val="21"/>
              </w:rPr>
            </w:pPr>
          </w:p>
        </w:tc>
        <w:tc>
          <w:tcPr>
            <w:tcW w:w="921" w:type="dxa"/>
            <w:noWrap w:val="0"/>
            <w:vAlign w:val="center"/>
          </w:tcPr>
          <w:p w14:paraId="2D616690">
            <w:pPr>
              <w:ind w:firstLine="0" w:firstLineChars="0"/>
              <w:jc w:val="center"/>
              <w:rPr>
                <w:rFonts w:ascii="宋体" w:hAnsi="宋体"/>
                <w:color w:val="auto"/>
                <w:sz w:val="21"/>
              </w:rPr>
            </w:pPr>
          </w:p>
        </w:tc>
      </w:tr>
      <w:tr w14:paraId="0F34A9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77D8252B">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25</w:t>
            </w:r>
          </w:p>
        </w:tc>
        <w:tc>
          <w:tcPr>
            <w:tcW w:w="607" w:type="dxa"/>
            <w:vMerge w:val="restart"/>
            <w:noWrap w:val="0"/>
            <w:vAlign w:val="center"/>
          </w:tcPr>
          <w:p w14:paraId="591BB58F">
            <w:pPr>
              <w:ind w:firstLine="0" w:firstLineChars="0"/>
              <w:rPr>
                <w:rFonts w:ascii="宋体" w:hAnsi="宋体"/>
                <w:color w:val="auto"/>
                <w:sz w:val="21"/>
              </w:rPr>
            </w:pPr>
            <w:r>
              <w:rPr>
                <w:rFonts w:hint="eastAsia" w:ascii="宋体" w:hAnsi="宋体"/>
                <w:color w:val="auto"/>
                <w:sz w:val="21"/>
              </w:rPr>
              <w:t>电气与控制系统检验</w:t>
            </w:r>
          </w:p>
        </w:tc>
        <w:tc>
          <w:tcPr>
            <w:tcW w:w="869" w:type="dxa"/>
            <w:gridSpan w:val="4"/>
            <w:vMerge w:val="restart"/>
            <w:noWrap w:val="0"/>
            <w:vAlign w:val="center"/>
          </w:tcPr>
          <w:p w14:paraId="509C5CE5">
            <w:pPr>
              <w:ind w:firstLine="0" w:firstLineChars="0"/>
              <w:rPr>
                <w:rFonts w:ascii="宋体" w:hAnsi="宋体"/>
                <w:color w:val="auto"/>
                <w:sz w:val="21"/>
              </w:rPr>
            </w:pPr>
            <w:r>
              <w:rPr>
                <w:rFonts w:hint="eastAsia" w:ascii="宋体" w:hAnsi="宋体"/>
                <w:color w:val="auto"/>
                <w:sz w:val="21"/>
              </w:rPr>
              <w:t>电气保护装置</w:t>
            </w:r>
          </w:p>
        </w:tc>
        <w:tc>
          <w:tcPr>
            <w:tcW w:w="4534" w:type="dxa"/>
            <w:gridSpan w:val="2"/>
            <w:noWrap w:val="0"/>
            <w:vAlign w:val="center"/>
          </w:tcPr>
          <w:p w14:paraId="31ECE958">
            <w:pPr>
              <w:ind w:firstLine="0" w:firstLineChars="0"/>
              <w:rPr>
                <w:rFonts w:ascii="宋体" w:hAnsi="宋体"/>
                <w:color w:val="auto"/>
                <w:sz w:val="21"/>
              </w:rPr>
            </w:pPr>
            <w:r>
              <w:rPr>
                <w:rFonts w:hint="eastAsia" w:ascii="宋体" w:hAnsi="宋体"/>
                <w:color w:val="auto"/>
                <w:sz w:val="21"/>
              </w:rPr>
              <w:t>过流（过载）保护</w:t>
            </w:r>
          </w:p>
        </w:tc>
        <w:tc>
          <w:tcPr>
            <w:tcW w:w="966" w:type="dxa"/>
            <w:noWrap w:val="0"/>
            <w:vAlign w:val="center"/>
          </w:tcPr>
          <w:p w14:paraId="1786E502">
            <w:pPr>
              <w:ind w:firstLine="0" w:firstLineChars="0"/>
              <w:jc w:val="center"/>
              <w:rPr>
                <w:rFonts w:ascii="宋体" w:hAnsi="宋体"/>
                <w:color w:val="auto"/>
                <w:sz w:val="21"/>
              </w:rPr>
            </w:pPr>
          </w:p>
        </w:tc>
        <w:tc>
          <w:tcPr>
            <w:tcW w:w="921" w:type="dxa"/>
            <w:noWrap w:val="0"/>
            <w:vAlign w:val="center"/>
          </w:tcPr>
          <w:p w14:paraId="5418D475">
            <w:pPr>
              <w:ind w:firstLine="0" w:firstLineChars="0"/>
              <w:jc w:val="center"/>
              <w:rPr>
                <w:rFonts w:ascii="宋体" w:hAnsi="宋体"/>
                <w:color w:val="auto"/>
                <w:sz w:val="21"/>
              </w:rPr>
            </w:pPr>
          </w:p>
        </w:tc>
      </w:tr>
      <w:tr w14:paraId="1C64D2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4A45B090">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26</w:t>
            </w:r>
          </w:p>
        </w:tc>
        <w:tc>
          <w:tcPr>
            <w:tcW w:w="607" w:type="dxa"/>
            <w:vMerge w:val="continue"/>
            <w:noWrap w:val="0"/>
            <w:vAlign w:val="center"/>
          </w:tcPr>
          <w:p w14:paraId="345601F1">
            <w:pPr>
              <w:ind w:firstLine="0" w:firstLineChars="0"/>
              <w:rPr>
                <w:rFonts w:ascii="宋体" w:hAnsi="宋体"/>
                <w:color w:val="auto"/>
                <w:sz w:val="21"/>
              </w:rPr>
            </w:pPr>
          </w:p>
        </w:tc>
        <w:tc>
          <w:tcPr>
            <w:tcW w:w="869" w:type="dxa"/>
            <w:gridSpan w:val="4"/>
            <w:vMerge w:val="continue"/>
            <w:noWrap w:val="0"/>
            <w:vAlign w:val="center"/>
          </w:tcPr>
          <w:p w14:paraId="5B7C3167">
            <w:pPr>
              <w:ind w:firstLine="0" w:firstLineChars="0"/>
              <w:rPr>
                <w:rFonts w:ascii="宋体" w:hAnsi="宋体"/>
                <w:color w:val="auto"/>
                <w:sz w:val="21"/>
              </w:rPr>
            </w:pPr>
          </w:p>
        </w:tc>
        <w:tc>
          <w:tcPr>
            <w:tcW w:w="4534" w:type="dxa"/>
            <w:gridSpan w:val="2"/>
            <w:noWrap w:val="0"/>
            <w:vAlign w:val="center"/>
          </w:tcPr>
          <w:p w14:paraId="6765338C">
            <w:pPr>
              <w:ind w:firstLine="0" w:firstLineChars="0"/>
              <w:rPr>
                <w:rFonts w:ascii="宋体" w:hAnsi="宋体"/>
                <w:color w:val="auto"/>
                <w:sz w:val="21"/>
              </w:rPr>
            </w:pPr>
            <w:r>
              <w:rPr>
                <w:rFonts w:hint="eastAsia" w:ascii="宋体" w:hAnsi="宋体"/>
                <w:color w:val="auto"/>
                <w:sz w:val="21"/>
              </w:rPr>
              <w:t>失磁保护</w:t>
            </w:r>
          </w:p>
        </w:tc>
        <w:tc>
          <w:tcPr>
            <w:tcW w:w="966" w:type="dxa"/>
            <w:noWrap w:val="0"/>
            <w:vAlign w:val="center"/>
          </w:tcPr>
          <w:p w14:paraId="21FFA762">
            <w:pPr>
              <w:ind w:firstLine="0" w:firstLineChars="0"/>
              <w:jc w:val="center"/>
              <w:rPr>
                <w:rFonts w:ascii="宋体" w:hAnsi="宋体"/>
                <w:color w:val="auto"/>
                <w:sz w:val="21"/>
              </w:rPr>
            </w:pPr>
          </w:p>
        </w:tc>
        <w:tc>
          <w:tcPr>
            <w:tcW w:w="921" w:type="dxa"/>
            <w:noWrap w:val="0"/>
            <w:vAlign w:val="center"/>
          </w:tcPr>
          <w:p w14:paraId="6C5B037D">
            <w:pPr>
              <w:ind w:firstLine="0" w:firstLineChars="0"/>
              <w:jc w:val="center"/>
              <w:rPr>
                <w:rFonts w:ascii="宋体" w:hAnsi="宋体"/>
                <w:color w:val="auto"/>
                <w:sz w:val="21"/>
              </w:rPr>
            </w:pPr>
          </w:p>
        </w:tc>
      </w:tr>
      <w:tr w14:paraId="1808D3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65FE9329">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27</w:t>
            </w:r>
          </w:p>
        </w:tc>
        <w:tc>
          <w:tcPr>
            <w:tcW w:w="607" w:type="dxa"/>
            <w:vMerge w:val="continue"/>
            <w:noWrap w:val="0"/>
            <w:vAlign w:val="center"/>
          </w:tcPr>
          <w:p w14:paraId="215A8E78">
            <w:pPr>
              <w:ind w:firstLine="0" w:firstLineChars="0"/>
              <w:rPr>
                <w:rFonts w:ascii="宋体" w:hAnsi="宋体"/>
                <w:color w:val="auto"/>
                <w:sz w:val="21"/>
              </w:rPr>
            </w:pPr>
          </w:p>
        </w:tc>
        <w:tc>
          <w:tcPr>
            <w:tcW w:w="869" w:type="dxa"/>
            <w:gridSpan w:val="4"/>
            <w:vMerge w:val="continue"/>
            <w:noWrap w:val="0"/>
            <w:vAlign w:val="center"/>
          </w:tcPr>
          <w:p w14:paraId="1C076A6A">
            <w:pPr>
              <w:ind w:firstLine="0" w:firstLineChars="0"/>
              <w:rPr>
                <w:rFonts w:ascii="宋体" w:hAnsi="宋体"/>
                <w:color w:val="auto"/>
                <w:sz w:val="21"/>
              </w:rPr>
            </w:pPr>
          </w:p>
        </w:tc>
        <w:tc>
          <w:tcPr>
            <w:tcW w:w="4534" w:type="dxa"/>
            <w:gridSpan w:val="2"/>
            <w:noWrap w:val="0"/>
            <w:vAlign w:val="center"/>
          </w:tcPr>
          <w:p w14:paraId="1F493F04">
            <w:pPr>
              <w:ind w:firstLine="0" w:firstLineChars="0"/>
              <w:rPr>
                <w:rFonts w:ascii="宋体" w:hAnsi="宋体"/>
                <w:color w:val="auto"/>
                <w:sz w:val="21"/>
              </w:rPr>
            </w:pPr>
            <w:r>
              <w:rPr>
                <w:rFonts w:hint="eastAsia" w:ascii="宋体" w:hAnsi="宋体"/>
                <w:color w:val="auto"/>
                <w:sz w:val="21"/>
              </w:rPr>
              <w:t>供电电源断错相保护</w:t>
            </w:r>
          </w:p>
        </w:tc>
        <w:tc>
          <w:tcPr>
            <w:tcW w:w="966" w:type="dxa"/>
            <w:noWrap w:val="0"/>
            <w:vAlign w:val="center"/>
          </w:tcPr>
          <w:p w14:paraId="7A9A9BAA">
            <w:pPr>
              <w:ind w:firstLine="0" w:firstLineChars="0"/>
              <w:jc w:val="center"/>
              <w:rPr>
                <w:rFonts w:ascii="宋体" w:hAnsi="宋体"/>
                <w:color w:val="auto"/>
                <w:sz w:val="21"/>
              </w:rPr>
            </w:pPr>
          </w:p>
        </w:tc>
        <w:tc>
          <w:tcPr>
            <w:tcW w:w="921" w:type="dxa"/>
            <w:noWrap w:val="0"/>
            <w:vAlign w:val="center"/>
          </w:tcPr>
          <w:p w14:paraId="08D400F1">
            <w:pPr>
              <w:ind w:firstLine="0" w:firstLineChars="0"/>
              <w:jc w:val="center"/>
              <w:rPr>
                <w:rFonts w:ascii="宋体" w:hAnsi="宋体"/>
                <w:color w:val="auto"/>
                <w:sz w:val="21"/>
              </w:rPr>
            </w:pPr>
          </w:p>
        </w:tc>
      </w:tr>
      <w:tr w14:paraId="65F11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49D289FA">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28</w:t>
            </w:r>
          </w:p>
        </w:tc>
        <w:tc>
          <w:tcPr>
            <w:tcW w:w="607" w:type="dxa"/>
            <w:vMerge w:val="continue"/>
            <w:noWrap w:val="0"/>
            <w:vAlign w:val="center"/>
          </w:tcPr>
          <w:p w14:paraId="7170395C">
            <w:pPr>
              <w:ind w:firstLine="0" w:firstLineChars="0"/>
              <w:rPr>
                <w:rFonts w:ascii="宋体" w:hAnsi="宋体"/>
                <w:color w:val="auto"/>
                <w:sz w:val="21"/>
              </w:rPr>
            </w:pPr>
          </w:p>
        </w:tc>
        <w:tc>
          <w:tcPr>
            <w:tcW w:w="869" w:type="dxa"/>
            <w:gridSpan w:val="4"/>
            <w:vMerge w:val="continue"/>
            <w:noWrap w:val="0"/>
            <w:vAlign w:val="center"/>
          </w:tcPr>
          <w:p w14:paraId="7E21892C">
            <w:pPr>
              <w:ind w:firstLine="0" w:firstLineChars="0"/>
              <w:rPr>
                <w:rFonts w:ascii="宋体" w:hAnsi="宋体"/>
                <w:color w:val="auto"/>
                <w:sz w:val="21"/>
              </w:rPr>
            </w:pPr>
          </w:p>
        </w:tc>
        <w:tc>
          <w:tcPr>
            <w:tcW w:w="4534" w:type="dxa"/>
            <w:gridSpan w:val="2"/>
            <w:noWrap w:val="0"/>
            <w:vAlign w:val="center"/>
          </w:tcPr>
          <w:p w14:paraId="6D39FE06">
            <w:pPr>
              <w:ind w:firstLine="0" w:firstLineChars="0"/>
              <w:rPr>
                <w:rFonts w:ascii="宋体" w:hAnsi="宋体"/>
                <w:color w:val="auto"/>
                <w:sz w:val="21"/>
              </w:rPr>
            </w:pPr>
            <w:r>
              <w:rPr>
                <w:rFonts w:hint="eastAsia" w:ascii="宋体" w:hAnsi="宋体"/>
                <w:color w:val="auto"/>
                <w:sz w:val="21"/>
              </w:rPr>
              <w:t>正反向接触器故障保护</w:t>
            </w:r>
          </w:p>
        </w:tc>
        <w:tc>
          <w:tcPr>
            <w:tcW w:w="966" w:type="dxa"/>
            <w:noWrap w:val="0"/>
            <w:vAlign w:val="center"/>
          </w:tcPr>
          <w:p w14:paraId="4B29DB83">
            <w:pPr>
              <w:ind w:firstLine="0" w:firstLineChars="0"/>
              <w:jc w:val="center"/>
              <w:rPr>
                <w:rFonts w:ascii="宋体" w:hAnsi="宋体"/>
                <w:color w:val="auto"/>
                <w:sz w:val="21"/>
              </w:rPr>
            </w:pPr>
          </w:p>
        </w:tc>
        <w:tc>
          <w:tcPr>
            <w:tcW w:w="921" w:type="dxa"/>
            <w:noWrap w:val="0"/>
            <w:vAlign w:val="center"/>
          </w:tcPr>
          <w:p w14:paraId="6DC90E73">
            <w:pPr>
              <w:ind w:firstLine="0" w:firstLineChars="0"/>
              <w:jc w:val="center"/>
              <w:rPr>
                <w:rFonts w:ascii="宋体" w:hAnsi="宋体"/>
                <w:color w:val="auto"/>
                <w:sz w:val="21"/>
              </w:rPr>
            </w:pPr>
          </w:p>
        </w:tc>
      </w:tr>
      <w:tr w14:paraId="795097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0AEDEA26">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29</w:t>
            </w:r>
          </w:p>
        </w:tc>
        <w:tc>
          <w:tcPr>
            <w:tcW w:w="607" w:type="dxa"/>
            <w:vMerge w:val="restart"/>
            <w:noWrap w:val="0"/>
            <w:vAlign w:val="center"/>
          </w:tcPr>
          <w:p w14:paraId="76599F25">
            <w:pPr>
              <w:ind w:firstLine="0" w:firstLineChars="0"/>
              <w:jc w:val="left"/>
              <w:rPr>
                <w:rFonts w:ascii="宋体" w:hAnsi="宋体"/>
                <w:color w:val="auto"/>
                <w:sz w:val="21"/>
              </w:rPr>
            </w:pPr>
            <w:r>
              <w:rPr>
                <w:rFonts w:hint="eastAsia" w:ascii="宋体" w:hAnsi="宋体"/>
                <w:color w:val="auto"/>
                <w:sz w:val="21"/>
              </w:rPr>
              <w:t>安全保护与</w:t>
            </w:r>
          </w:p>
          <w:p w14:paraId="4BD1C0D3">
            <w:pPr>
              <w:ind w:firstLine="0" w:firstLineChars="0"/>
              <w:jc w:val="left"/>
              <w:rPr>
                <w:rFonts w:ascii="宋体" w:hAnsi="宋体"/>
                <w:color w:val="auto"/>
                <w:sz w:val="21"/>
              </w:rPr>
            </w:pPr>
            <w:r>
              <w:rPr>
                <w:rFonts w:hint="eastAsia" w:ascii="宋体" w:hAnsi="宋体"/>
                <w:color w:val="auto"/>
                <w:sz w:val="21"/>
              </w:rPr>
              <w:t>防护装置</w:t>
            </w:r>
          </w:p>
          <w:p w14:paraId="3C72BA2D">
            <w:pPr>
              <w:ind w:firstLine="0" w:firstLineChars="0"/>
              <w:jc w:val="left"/>
              <w:rPr>
                <w:rFonts w:ascii="宋体" w:hAnsi="宋体"/>
                <w:color w:val="auto"/>
                <w:sz w:val="21"/>
              </w:rPr>
            </w:pPr>
            <w:r>
              <w:rPr>
                <w:rFonts w:hint="eastAsia" w:ascii="宋体" w:hAnsi="宋体"/>
                <w:color w:val="auto"/>
                <w:sz w:val="21"/>
              </w:rPr>
              <w:t>检验</w:t>
            </w:r>
          </w:p>
        </w:tc>
        <w:tc>
          <w:tcPr>
            <w:tcW w:w="869" w:type="dxa"/>
            <w:gridSpan w:val="4"/>
            <w:vMerge w:val="restart"/>
            <w:noWrap w:val="0"/>
            <w:vAlign w:val="center"/>
          </w:tcPr>
          <w:p w14:paraId="74D4B682">
            <w:pPr>
              <w:ind w:firstLine="0" w:firstLineChars="0"/>
              <w:rPr>
                <w:rFonts w:ascii="宋体" w:hAnsi="宋体"/>
                <w:color w:val="auto"/>
                <w:sz w:val="21"/>
              </w:rPr>
            </w:pPr>
            <w:r>
              <w:rPr>
                <w:rFonts w:hint="eastAsia" w:ascii="宋体" w:hAnsi="宋体"/>
                <w:color w:val="auto"/>
                <w:sz w:val="21"/>
              </w:rPr>
              <w:t>制动器</w:t>
            </w:r>
          </w:p>
        </w:tc>
        <w:tc>
          <w:tcPr>
            <w:tcW w:w="4534" w:type="dxa"/>
            <w:gridSpan w:val="2"/>
            <w:noWrap w:val="0"/>
            <w:vAlign w:val="center"/>
          </w:tcPr>
          <w:p w14:paraId="4AD6B758">
            <w:pPr>
              <w:ind w:firstLine="0" w:firstLineChars="0"/>
              <w:rPr>
                <w:rFonts w:ascii="宋体" w:hAnsi="宋体"/>
                <w:color w:val="auto"/>
                <w:sz w:val="21"/>
              </w:rPr>
            </w:pPr>
            <w:r>
              <w:rPr>
                <w:rFonts w:hint="eastAsia" w:ascii="宋体" w:hAnsi="宋体"/>
                <w:color w:val="auto"/>
                <w:sz w:val="21"/>
              </w:rPr>
              <w:t>工作制动器与安全制动器的设置</w:t>
            </w:r>
          </w:p>
        </w:tc>
        <w:tc>
          <w:tcPr>
            <w:tcW w:w="966" w:type="dxa"/>
            <w:noWrap w:val="0"/>
            <w:vAlign w:val="center"/>
          </w:tcPr>
          <w:p w14:paraId="45F4B373">
            <w:pPr>
              <w:ind w:firstLine="0" w:firstLineChars="0"/>
              <w:jc w:val="center"/>
              <w:rPr>
                <w:rFonts w:ascii="宋体" w:hAnsi="宋体"/>
                <w:color w:val="auto"/>
                <w:sz w:val="21"/>
              </w:rPr>
            </w:pPr>
          </w:p>
        </w:tc>
        <w:tc>
          <w:tcPr>
            <w:tcW w:w="921" w:type="dxa"/>
            <w:noWrap w:val="0"/>
            <w:vAlign w:val="center"/>
          </w:tcPr>
          <w:p w14:paraId="2812CA36">
            <w:pPr>
              <w:ind w:firstLine="0" w:firstLineChars="0"/>
              <w:jc w:val="center"/>
              <w:rPr>
                <w:rFonts w:ascii="宋体" w:hAnsi="宋体"/>
                <w:color w:val="auto"/>
                <w:sz w:val="21"/>
              </w:rPr>
            </w:pPr>
          </w:p>
        </w:tc>
      </w:tr>
      <w:tr w14:paraId="54256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6717F026">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30</w:t>
            </w:r>
          </w:p>
        </w:tc>
        <w:tc>
          <w:tcPr>
            <w:tcW w:w="607" w:type="dxa"/>
            <w:vMerge w:val="continue"/>
            <w:noWrap w:val="0"/>
            <w:vAlign w:val="center"/>
          </w:tcPr>
          <w:p w14:paraId="7E01B653">
            <w:pPr>
              <w:ind w:firstLine="0" w:firstLineChars="0"/>
              <w:jc w:val="center"/>
              <w:rPr>
                <w:rFonts w:ascii="宋体" w:hAnsi="宋体"/>
                <w:color w:val="auto"/>
                <w:sz w:val="21"/>
              </w:rPr>
            </w:pPr>
          </w:p>
        </w:tc>
        <w:tc>
          <w:tcPr>
            <w:tcW w:w="869" w:type="dxa"/>
            <w:gridSpan w:val="4"/>
            <w:vMerge w:val="continue"/>
            <w:noWrap w:val="0"/>
            <w:vAlign w:val="center"/>
          </w:tcPr>
          <w:p w14:paraId="3437B429">
            <w:pPr>
              <w:ind w:firstLine="0" w:firstLineChars="0"/>
              <w:rPr>
                <w:rFonts w:ascii="宋体" w:hAnsi="宋体"/>
                <w:color w:val="auto"/>
                <w:sz w:val="21"/>
              </w:rPr>
            </w:pPr>
          </w:p>
        </w:tc>
        <w:tc>
          <w:tcPr>
            <w:tcW w:w="4534" w:type="dxa"/>
            <w:gridSpan w:val="2"/>
            <w:noWrap w:val="0"/>
            <w:vAlign w:val="center"/>
          </w:tcPr>
          <w:p w14:paraId="14E2BCA5">
            <w:pPr>
              <w:ind w:firstLine="0" w:firstLineChars="0"/>
              <w:rPr>
                <w:rFonts w:ascii="宋体" w:hAnsi="宋体"/>
                <w:color w:val="auto"/>
                <w:sz w:val="21"/>
              </w:rPr>
            </w:pPr>
            <w:r>
              <w:rPr>
                <w:rFonts w:hint="eastAsia" w:ascii="宋体" w:hAnsi="宋体"/>
                <w:color w:val="auto"/>
                <w:sz w:val="21"/>
              </w:rPr>
              <w:t>制动器型式、制动性能</w:t>
            </w:r>
          </w:p>
        </w:tc>
        <w:tc>
          <w:tcPr>
            <w:tcW w:w="966" w:type="dxa"/>
            <w:noWrap w:val="0"/>
            <w:vAlign w:val="center"/>
          </w:tcPr>
          <w:p w14:paraId="18F16837">
            <w:pPr>
              <w:ind w:firstLine="0" w:firstLineChars="0"/>
              <w:jc w:val="center"/>
              <w:rPr>
                <w:rFonts w:ascii="宋体" w:hAnsi="宋体"/>
                <w:color w:val="auto"/>
                <w:sz w:val="21"/>
              </w:rPr>
            </w:pPr>
          </w:p>
        </w:tc>
        <w:tc>
          <w:tcPr>
            <w:tcW w:w="921" w:type="dxa"/>
            <w:noWrap w:val="0"/>
            <w:vAlign w:val="center"/>
          </w:tcPr>
          <w:p w14:paraId="38D64569">
            <w:pPr>
              <w:ind w:firstLine="0" w:firstLineChars="0"/>
              <w:jc w:val="center"/>
              <w:rPr>
                <w:rFonts w:ascii="宋体" w:hAnsi="宋体"/>
                <w:color w:val="auto"/>
                <w:sz w:val="21"/>
              </w:rPr>
            </w:pPr>
          </w:p>
        </w:tc>
      </w:tr>
      <w:tr w14:paraId="26031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5EFF0AAB">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31</w:t>
            </w:r>
          </w:p>
        </w:tc>
        <w:tc>
          <w:tcPr>
            <w:tcW w:w="607" w:type="dxa"/>
            <w:vMerge w:val="continue"/>
            <w:noWrap w:val="0"/>
            <w:vAlign w:val="center"/>
          </w:tcPr>
          <w:p w14:paraId="15CC3E93">
            <w:pPr>
              <w:ind w:firstLine="0" w:firstLineChars="0"/>
              <w:jc w:val="center"/>
              <w:rPr>
                <w:rFonts w:ascii="宋体" w:hAnsi="宋体"/>
                <w:color w:val="auto"/>
                <w:sz w:val="21"/>
              </w:rPr>
            </w:pPr>
          </w:p>
        </w:tc>
        <w:tc>
          <w:tcPr>
            <w:tcW w:w="869" w:type="dxa"/>
            <w:gridSpan w:val="4"/>
            <w:vMerge w:val="continue"/>
            <w:noWrap w:val="0"/>
            <w:vAlign w:val="center"/>
          </w:tcPr>
          <w:p w14:paraId="5597C560">
            <w:pPr>
              <w:ind w:firstLine="0" w:firstLineChars="0"/>
              <w:rPr>
                <w:rFonts w:ascii="宋体" w:hAnsi="宋体"/>
                <w:color w:val="auto"/>
                <w:sz w:val="21"/>
              </w:rPr>
            </w:pPr>
          </w:p>
        </w:tc>
        <w:tc>
          <w:tcPr>
            <w:tcW w:w="4534" w:type="dxa"/>
            <w:gridSpan w:val="2"/>
            <w:noWrap w:val="0"/>
            <w:vAlign w:val="center"/>
          </w:tcPr>
          <w:p w14:paraId="1DAF0DDD">
            <w:pPr>
              <w:ind w:firstLine="0" w:firstLineChars="0"/>
              <w:rPr>
                <w:rFonts w:ascii="宋体" w:hAnsi="宋体"/>
                <w:color w:val="auto"/>
                <w:sz w:val="21"/>
              </w:rPr>
            </w:pPr>
            <w:r>
              <w:rPr>
                <w:rFonts w:hint="eastAsia" w:ascii="宋体" w:hAnsi="宋体"/>
                <w:color w:val="auto"/>
                <w:sz w:val="21"/>
              </w:rPr>
              <w:t>制动器推动器漏油现象</w:t>
            </w:r>
          </w:p>
        </w:tc>
        <w:tc>
          <w:tcPr>
            <w:tcW w:w="966" w:type="dxa"/>
            <w:noWrap w:val="0"/>
            <w:vAlign w:val="center"/>
          </w:tcPr>
          <w:p w14:paraId="6FD3C76E">
            <w:pPr>
              <w:ind w:firstLine="0" w:firstLineChars="0"/>
              <w:jc w:val="center"/>
              <w:rPr>
                <w:rFonts w:ascii="宋体" w:hAnsi="宋体"/>
                <w:color w:val="auto"/>
                <w:sz w:val="21"/>
              </w:rPr>
            </w:pPr>
          </w:p>
        </w:tc>
        <w:tc>
          <w:tcPr>
            <w:tcW w:w="921" w:type="dxa"/>
            <w:noWrap w:val="0"/>
            <w:vAlign w:val="center"/>
          </w:tcPr>
          <w:p w14:paraId="615CC528">
            <w:pPr>
              <w:ind w:firstLine="0" w:firstLineChars="0"/>
              <w:jc w:val="center"/>
              <w:rPr>
                <w:rFonts w:ascii="宋体" w:hAnsi="宋体"/>
                <w:color w:val="auto"/>
                <w:sz w:val="21"/>
              </w:rPr>
            </w:pPr>
          </w:p>
        </w:tc>
      </w:tr>
      <w:tr w14:paraId="3987B4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579CCECC">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32</w:t>
            </w:r>
          </w:p>
        </w:tc>
        <w:tc>
          <w:tcPr>
            <w:tcW w:w="607" w:type="dxa"/>
            <w:vMerge w:val="continue"/>
            <w:noWrap w:val="0"/>
            <w:vAlign w:val="center"/>
          </w:tcPr>
          <w:p w14:paraId="13E316EF">
            <w:pPr>
              <w:ind w:firstLine="0" w:firstLineChars="0"/>
              <w:jc w:val="center"/>
              <w:rPr>
                <w:rFonts w:ascii="宋体" w:hAnsi="宋体"/>
                <w:color w:val="auto"/>
                <w:sz w:val="21"/>
              </w:rPr>
            </w:pPr>
          </w:p>
        </w:tc>
        <w:tc>
          <w:tcPr>
            <w:tcW w:w="869" w:type="dxa"/>
            <w:gridSpan w:val="4"/>
            <w:vMerge w:val="continue"/>
            <w:noWrap w:val="0"/>
            <w:vAlign w:val="center"/>
          </w:tcPr>
          <w:p w14:paraId="0450A1E0">
            <w:pPr>
              <w:ind w:firstLine="0" w:firstLineChars="0"/>
              <w:rPr>
                <w:rFonts w:ascii="宋体" w:hAnsi="宋体"/>
                <w:color w:val="auto"/>
                <w:sz w:val="21"/>
              </w:rPr>
            </w:pPr>
          </w:p>
        </w:tc>
        <w:tc>
          <w:tcPr>
            <w:tcW w:w="4534" w:type="dxa"/>
            <w:gridSpan w:val="2"/>
            <w:noWrap w:val="0"/>
            <w:vAlign w:val="center"/>
          </w:tcPr>
          <w:p w14:paraId="2260A721">
            <w:pPr>
              <w:ind w:firstLine="0" w:firstLineChars="0"/>
              <w:rPr>
                <w:rFonts w:ascii="宋体" w:hAnsi="宋体"/>
                <w:color w:val="auto"/>
                <w:sz w:val="21"/>
              </w:rPr>
            </w:pPr>
            <w:r>
              <w:rPr>
                <w:rFonts w:hint="eastAsia" w:ascii="宋体" w:hAnsi="宋体"/>
                <w:color w:val="auto"/>
                <w:sz w:val="21"/>
              </w:rPr>
              <w:t>制动轮与摩擦片摩擦、缺陷和油污现象</w:t>
            </w:r>
          </w:p>
        </w:tc>
        <w:tc>
          <w:tcPr>
            <w:tcW w:w="966" w:type="dxa"/>
            <w:noWrap w:val="0"/>
            <w:vAlign w:val="center"/>
          </w:tcPr>
          <w:p w14:paraId="12D9CF03">
            <w:pPr>
              <w:ind w:firstLine="0" w:firstLineChars="0"/>
              <w:jc w:val="center"/>
              <w:rPr>
                <w:rFonts w:ascii="宋体" w:hAnsi="宋体"/>
                <w:color w:val="auto"/>
                <w:sz w:val="21"/>
              </w:rPr>
            </w:pPr>
          </w:p>
        </w:tc>
        <w:tc>
          <w:tcPr>
            <w:tcW w:w="921" w:type="dxa"/>
            <w:noWrap w:val="0"/>
            <w:vAlign w:val="center"/>
          </w:tcPr>
          <w:p w14:paraId="251D585A">
            <w:pPr>
              <w:ind w:firstLine="0" w:firstLineChars="0"/>
              <w:jc w:val="center"/>
              <w:rPr>
                <w:rFonts w:ascii="宋体" w:hAnsi="宋体"/>
                <w:color w:val="auto"/>
                <w:sz w:val="21"/>
              </w:rPr>
            </w:pPr>
          </w:p>
        </w:tc>
      </w:tr>
      <w:tr w14:paraId="30EFF2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0E7EDDEF">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33</w:t>
            </w:r>
          </w:p>
        </w:tc>
        <w:tc>
          <w:tcPr>
            <w:tcW w:w="607" w:type="dxa"/>
            <w:vMerge w:val="continue"/>
            <w:noWrap w:val="0"/>
            <w:vAlign w:val="center"/>
          </w:tcPr>
          <w:p w14:paraId="5BEF2CDF">
            <w:pPr>
              <w:ind w:firstLine="0" w:firstLineChars="0"/>
              <w:jc w:val="center"/>
              <w:rPr>
                <w:rFonts w:ascii="宋体" w:hAnsi="宋体"/>
                <w:color w:val="auto"/>
                <w:sz w:val="21"/>
              </w:rPr>
            </w:pPr>
          </w:p>
        </w:tc>
        <w:tc>
          <w:tcPr>
            <w:tcW w:w="869" w:type="dxa"/>
            <w:gridSpan w:val="4"/>
            <w:vMerge w:val="continue"/>
            <w:noWrap w:val="0"/>
            <w:vAlign w:val="center"/>
          </w:tcPr>
          <w:p w14:paraId="4C952CEF">
            <w:pPr>
              <w:ind w:firstLine="0" w:firstLineChars="0"/>
              <w:rPr>
                <w:rFonts w:ascii="宋体" w:hAnsi="宋体"/>
                <w:color w:val="auto"/>
                <w:sz w:val="21"/>
              </w:rPr>
            </w:pPr>
          </w:p>
        </w:tc>
        <w:tc>
          <w:tcPr>
            <w:tcW w:w="4534" w:type="dxa"/>
            <w:gridSpan w:val="2"/>
            <w:noWrap w:val="0"/>
            <w:vAlign w:val="center"/>
          </w:tcPr>
          <w:p w14:paraId="07BD2D82">
            <w:pPr>
              <w:ind w:firstLine="0" w:firstLineChars="0"/>
              <w:rPr>
                <w:rFonts w:ascii="宋体" w:hAnsi="宋体"/>
                <w:color w:val="auto"/>
                <w:sz w:val="21"/>
              </w:rPr>
            </w:pPr>
            <w:r>
              <w:rPr>
                <w:rFonts w:hint="eastAsia" w:ascii="宋体" w:hAnsi="宋体"/>
                <w:color w:val="auto"/>
                <w:sz w:val="21"/>
              </w:rPr>
              <w:t>制动器调整</w:t>
            </w:r>
          </w:p>
        </w:tc>
        <w:tc>
          <w:tcPr>
            <w:tcW w:w="966" w:type="dxa"/>
            <w:noWrap w:val="0"/>
            <w:vAlign w:val="center"/>
          </w:tcPr>
          <w:p w14:paraId="4C045157">
            <w:pPr>
              <w:ind w:firstLine="0" w:firstLineChars="0"/>
              <w:jc w:val="center"/>
              <w:rPr>
                <w:rFonts w:ascii="宋体" w:hAnsi="宋体"/>
                <w:color w:val="auto"/>
                <w:sz w:val="21"/>
              </w:rPr>
            </w:pPr>
          </w:p>
        </w:tc>
        <w:tc>
          <w:tcPr>
            <w:tcW w:w="921" w:type="dxa"/>
            <w:noWrap w:val="0"/>
            <w:vAlign w:val="center"/>
          </w:tcPr>
          <w:p w14:paraId="499395B2">
            <w:pPr>
              <w:ind w:firstLine="0" w:firstLineChars="0"/>
              <w:jc w:val="center"/>
              <w:rPr>
                <w:rFonts w:ascii="宋体" w:hAnsi="宋体"/>
                <w:color w:val="auto"/>
                <w:sz w:val="21"/>
              </w:rPr>
            </w:pPr>
          </w:p>
        </w:tc>
      </w:tr>
      <w:tr w14:paraId="305E19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714" w:hRule="atLeast"/>
          <w:jc w:val="center"/>
        </w:trPr>
        <w:tc>
          <w:tcPr>
            <w:tcW w:w="534" w:type="dxa"/>
            <w:noWrap w:val="0"/>
            <w:vAlign w:val="center"/>
          </w:tcPr>
          <w:p w14:paraId="7AA6DFE7">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34</w:t>
            </w:r>
          </w:p>
        </w:tc>
        <w:tc>
          <w:tcPr>
            <w:tcW w:w="607" w:type="dxa"/>
            <w:vMerge w:val="continue"/>
            <w:noWrap w:val="0"/>
            <w:vAlign w:val="center"/>
          </w:tcPr>
          <w:p w14:paraId="20C982BF">
            <w:pPr>
              <w:ind w:firstLine="0" w:firstLineChars="0"/>
              <w:jc w:val="center"/>
              <w:rPr>
                <w:rFonts w:ascii="宋体" w:hAnsi="宋体"/>
                <w:color w:val="auto"/>
                <w:sz w:val="21"/>
              </w:rPr>
            </w:pPr>
          </w:p>
        </w:tc>
        <w:tc>
          <w:tcPr>
            <w:tcW w:w="869" w:type="dxa"/>
            <w:gridSpan w:val="4"/>
            <w:vMerge w:val="continue"/>
            <w:noWrap w:val="0"/>
            <w:vAlign w:val="center"/>
          </w:tcPr>
          <w:p w14:paraId="53D9F1E1">
            <w:pPr>
              <w:ind w:firstLine="0" w:firstLineChars="0"/>
              <w:rPr>
                <w:rFonts w:ascii="宋体" w:hAnsi="宋体"/>
                <w:color w:val="auto"/>
                <w:sz w:val="21"/>
              </w:rPr>
            </w:pPr>
          </w:p>
        </w:tc>
        <w:tc>
          <w:tcPr>
            <w:tcW w:w="4534" w:type="dxa"/>
            <w:gridSpan w:val="2"/>
            <w:noWrap w:val="0"/>
            <w:vAlign w:val="center"/>
          </w:tcPr>
          <w:p w14:paraId="1F09EFD3">
            <w:pPr>
              <w:ind w:firstLine="0" w:firstLineChars="0"/>
              <w:rPr>
                <w:rFonts w:ascii="宋体" w:hAnsi="宋体"/>
                <w:color w:val="auto"/>
                <w:sz w:val="21"/>
              </w:rPr>
            </w:pPr>
            <w:r>
              <w:rPr>
                <w:rFonts w:hint="eastAsia" w:ascii="宋体" w:hAnsi="宋体"/>
                <w:color w:val="auto"/>
                <w:sz w:val="21"/>
              </w:rPr>
              <w:t>制动轮裂纹、划痕、凹凸不平度</w:t>
            </w:r>
          </w:p>
        </w:tc>
        <w:tc>
          <w:tcPr>
            <w:tcW w:w="966" w:type="dxa"/>
            <w:noWrap w:val="0"/>
            <w:vAlign w:val="center"/>
          </w:tcPr>
          <w:p w14:paraId="037074BC">
            <w:pPr>
              <w:ind w:firstLine="0" w:firstLineChars="0"/>
              <w:jc w:val="center"/>
              <w:rPr>
                <w:rFonts w:ascii="宋体" w:hAnsi="宋体"/>
                <w:color w:val="auto"/>
                <w:sz w:val="21"/>
              </w:rPr>
            </w:pPr>
          </w:p>
        </w:tc>
        <w:tc>
          <w:tcPr>
            <w:tcW w:w="921" w:type="dxa"/>
            <w:noWrap w:val="0"/>
            <w:vAlign w:val="center"/>
          </w:tcPr>
          <w:p w14:paraId="23493094">
            <w:pPr>
              <w:ind w:firstLine="0" w:firstLineChars="0"/>
              <w:jc w:val="center"/>
              <w:rPr>
                <w:rFonts w:ascii="宋体" w:hAnsi="宋体"/>
                <w:color w:val="auto"/>
                <w:sz w:val="21"/>
              </w:rPr>
            </w:pPr>
          </w:p>
        </w:tc>
      </w:tr>
      <w:tr w14:paraId="2C661E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1086" w:hRule="atLeast"/>
          <w:jc w:val="center"/>
        </w:trPr>
        <w:tc>
          <w:tcPr>
            <w:tcW w:w="534" w:type="dxa"/>
            <w:noWrap w:val="0"/>
            <w:vAlign w:val="center"/>
          </w:tcPr>
          <w:p w14:paraId="29AA565E">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35</w:t>
            </w:r>
          </w:p>
        </w:tc>
        <w:tc>
          <w:tcPr>
            <w:tcW w:w="607" w:type="dxa"/>
            <w:vMerge w:val="continue"/>
            <w:noWrap w:val="0"/>
            <w:vAlign w:val="center"/>
          </w:tcPr>
          <w:p w14:paraId="551BCD55">
            <w:pPr>
              <w:ind w:firstLine="0" w:firstLineChars="0"/>
              <w:jc w:val="center"/>
              <w:rPr>
                <w:rFonts w:ascii="宋体" w:hAnsi="宋体"/>
                <w:color w:val="auto"/>
                <w:sz w:val="21"/>
              </w:rPr>
            </w:pPr>
          </w:p>
        </w:tc>
        <w:tc>
          <w:tcPr>
            <w:tcW w:w="869" w:type="dxa"/>
            <w:gridSpan w:val="4"/>
            <w:vMerge w:val="restart"/>
            <w:noWrap w:val="0"/>
            <w:vAlign w:val="center"/>
          </w:tcPr>
          <w:p w14:paraId="6EE67241">
            <w:pPr>
              <w:ind w:firstLine="0" w:firstLineChars="0"/>
              <w:rPr>
                <w:rFonts w:ascii="宋体" w:hAnsi="宋体"/>
                <w:color w:val="auto"/>
                <w:sz w:val="21"/>
              </w:rPr>
            </w:pPr>
            <w:r>
              <w:rPr>
                <w:rFonts w:hint="eastAsia" w:ascii="宋体" w:hAnsi="宋体"/>
                <w:color w:val="auto"/>
                <w:sz w:val="21"/>
              </w:rPr>
              <w:t xml:space="preserve"> 起重量限制器</w:t>
            </w:r>
          </w:p>
        </w:tc>
        <w:tc>
          <w:tcPr>
            <w:tcW w:w="4534" w:type="dxa"/>
            <w:gridSpan w:val="2"/>
            <w:noWrap w:val="0"/>
            <w:vAlign w:val="center"/>
          </w:tcPr>
          <w:p w14:paraId="2D16532F">
            <w:pPr>
              <w:ind w:firstLine="0" w:firstLineChars="0"/>
              <w:rPr>
                <w:rFonts w:ascii="宋体" w:hAnsi="宋体"/>
                <w:color w:val="auto"/>
                <w:sz w:val="21"/>
              </w:rPr>
            </w:pPr>
            <w:r>
              <w:rPr>
                <w:rFonts w:hint="eastAsia" w:ascii="宋体" w:hAnsi="宋体"/>
                <w:color w:val="auto"/>
                <w:sz w:val="21"/>
              </w:rPr>
              <w:t>起重量限制器设置</w:t>
            </w:r>
          </w:p>
        </w:tc>
        <w:tc>
          <w:tcPr>
            <w:tcW w:w="966" w:type="dxa"/>
            <w:noWrap w:val="0"/>
            <w:vAlign w:val="center"/>
          </w:tcPr>
          <w:p w14:paraId="1E2B6FD4">
            <w:pPr>
              <w:ind w:firstLine="0" w:firstLineChars="0"/>
              <w:jc w:val="center"/>
              <w:rPr>
                <w:rFonts w:ascii="宋体" w:hAnsi="宋体"/>
                <w:color w:val="auto"/>
                <w:sz w:val="21"/>
              </w:rPr>
            </w:pPr>
          </w:p>
        </w:tc>
        <w:tc>
          <w:tcPr>
            <w:tcW w:w="921" w:type="dxa"/>
            <w:noWrap w:val="0"/>
            <w:vAlign w:val="center"/>
          </w:tcPr>
          <w:p w14:paraId="60506868">
            <w:pPr>
              <w:ind w:firstLine="0" w:firstLineChars="0"/>
              <w:jc w:val="center"/>
              <w:rPr>
                <w:rFonts w:ascii="宋体" w:hAnsi="宋体"/>
                <w:color w:val="auto"/>
                <w:sz w:val="21"/>
              </w:rPr>
            </w:pPr>
          </w:p>
        </w:tc>
      </w:tr>
      <w:tr w14:paraId="47479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1FBDE4E4">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36</w:t>
            </w:r>
          </w:p>
        </w:tc>
        <w:tc>
          <w:tcPr>
            <w:tcW w:w="607" w:type="dxa"/>
            <w:vMerge w:val="continue"/>
            <w:noWrap w:val="0"/>
            <w:vAlign w:val="center"/>
          </w:tcPr>
          <w:p w14:paraId="49DC1ABF">
            <w:pPr>
              <w:ind w:firstLine="0" w:firstLineChars="0"/>
              <w:jc w:val="center"/>
              <w:rPr>
                <w:rFonts w:ascii="宋体" w:hAnsi="宋体"/>
                <w:color w:val="auto"/>
                <w:sz w:val="21"/>
              </w:rPr>
            </w:pPr>
          </w:p>
        </w:tc>
        <w:tc>
          <w:tcPr>
            <w:tcW w:w="869" w:type="dxa"/>
            <w:gridSpan w:val="4"/>
            <w:vMerge w:val="continue"/>
            <w:noWrap w:val="0"/>
            <w:vAlign w:val="center"/>
          </w:tcPr>
          <w:p w14:paraId="3ED25C6D">
            <w:pPr>
              <w:ind w:firstLine="0" w:firstLineChars="0"/>
              <w:rPr>
                <w:rFonts w:ascii="宋体" w:hAnsi="宋体"/>
                <w:color w:val="auto"/>
                <w:sz w:val="21"/>
              </w:rPr>
            </w:pPr>
          </w:p>
        </w:tc>
        <w:tc>
          <w:tcPr>
            <w:tcW w:w="4534" w:type="dxa"/>
            <w:gridSpan w:val="2"/>
            <w:noWrap w:val="0"/>
            <w:vAlign w:val="center"/>
          </w:tcPr>
          <w:p w14:paraId="76E29DF6">
            <w:pPr>
              <w:ind w:firstLine="0" w:firstLineChars="0"/>
              <w:rPr>
                <w:rFonts w:ascii="宋体" w:hAnsi="宋体"/>
                <w:color w:val="auto"/>
                <w:sz w:val="21"/>
              </w:rPr>
            </w:pPr>
            <w:r>
              <w:rPr>
                <w:rFonts w:hint="eastAsia" w:ascii="宋体" w:hAnsi="宋体"/>
                <w:color w:val="auto"/>
                <w:sz w:val="21"/>
              </w:rPr>
              <w:t>试验</w:t>
            </w:r>
          </w:p>
        </w:tc>
        <w:tc>
          <w:tcPr>
            <w:tcW w:w="966" w:type="dxa"/>
            <w:noWrap w:val="0"/>
            <w:vAlign w:val="center"/>
          </w:tcPr>
          <w:p w14:paraId="6B6D8FA2">
            <w:pPr>
              <w:ind w:firstLine="0" w:firstLineChars="0"/>
              <w:jc w:val="center"/>
              <w:rPr>
                <w:rFonts w:ascii="宋体" w:hAnsi="宋体"/>
                <w:color w:val="auto"/>
                <w:sz w:val="21"/>
              </w:rPr>
            </w:pPr>
          </w:p>
        </w:tc>
        <w:tc>
          <w:tcPr>
            <w:tcW w:w="921" w:type="dxa"/>
            <w:noWrap w:val="0"/>
            <w:vAlign w:val="center"/>
          </w:tcPr>
          <w:p w14:paraId="2BC99D93">
            <w:pPr>
              <w:ind w:firstLine="0" w:firstLineChars="0"/>
              <w:jc w:val="center"/>
              <w:rPr>
                <w:rFonts w:ascii="宋体" w:hAnsi="宋体"/>
                <w:color w:val="auto"/>
                <w:sz w:val="21"/>
              </w:rPr>
            </w:pPr>
          </w:p>
        </w:tc>
      </w:tr>
      <w:tr w14:paraId="78A17C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08D4F9BF">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37</w:t>
            </w:r>
          </w:p>
        </w:tc>
        <w:tc>
          <w:tcPr>
            <w:tcW w:w="607" w:type="dxa"/>
            <w:vMerge w:val="continue"/>
            <w:noWrap w:val="0"/>
            <w:vAlign w:val="center"/>
          </w:tcPr>
          <w:p w14:paraId="18110F3C">
            <w:pPr>
              <w:ind w:firstLine="0" w:firstLineChars="0"/>
              <w:jc w:val="center"/>
              <w:rPr>
                <w:rFonts w:ascii="宋体" w:hAnsi="宋体"/>
                <w:color w:val="auto"/>
                <w:sz w:val="21"/>
              </w:rPr>
            </w:pPr>
          </w:p>
        </w:tc>
        <w:tc>
          <w:tcPr>
            <w:tcW w:w="5403" w:type="dxa"/>
            <w:gridSpan w:val="6"/>
            <w:noWrap w:val="0"/>
            <w:vAlign w:val="center"/>
          </w:tcPr>
          <w:p w14:paraId="47B9D6BF">
            <w:pPr>
              <w:ind w:firstLine="0" w:firstLineChars="0"/>
              <w:rPr>
                <w:rFonts w:ascii="宋体" w:hAnsi="宋体"/>
                <w:color w:val="auto"/>
                <w:sz w:val="21"/>
              </w:rPr>
            </w:pPr>
            <w:r>
              <w:rPr>
                <w:rFonts w:hint="eastAsia" w:ascii="宋体" w:hAnsi="宋体"/>
                <w:color w:val="auto"/>
                <w:sz w:val="21"/>
              </w:rPr>
              <w:t>起升高度（下降深度）限位器</w:t>
            </w:r>
          </w:p>
        </w:tc>
        <w:tc>
          <w:tcPr>
            <w:tcW w:w="966" w:type="dxa"/>
            <w:noWrap w:val="0"/>
            <w:vAlign w:val="center"/>
          </w:tcPr>
          <w:p w14:paraId="03798827">
            <w:pPr>
              <w:ind w:firstLine="0" w:firstLineChars="0"/>
              <w:jc w:val="center"/>
              <w:rPr>
                <w:rFonts w:ascii="宋体" w:hAnsi="宋体"/>
                <w:color w:val="auto"/>
                <w:sz w:val="21"/>
              </w:rPr>
            </w:pPr>
          </w:p>
        </w:tc>
        <w:tc>
          <w:tcPr>
            <w:tcW w:w="921" w:type="dxa"/>
            <w:noWrap w:val="0"/>
            <w:vAlign w:val="center"/>
          </w:tcPr>
          <w:p w14:paraId="50A902CB">
            <w:pPr>
              <w:ind w:firstLine="0" w:firstLineChars="0"/>
              <w:jc w:val="center"/>
              <w:rPr>
                <w:rFonts w:ascii="宋体" w:hAnsi="宋体"/>
                <w:color w:val="auto"/>
                <w:sz w:val="21"/>
              </w:rPr>
            </w:pPr>
          </w:p>
        </w:tc>
      </w:tr>
      <w:tr w14:paraId="504B3D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1D3C3045">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38</w:t>
            </w:r>
          </w:p>
        </w:tc>
        <w:tc>
          <w:tcPr>
            <w:tcW w:w="607" w:type="dxa"/>
            <w:vMerge w:val="continue"/>
            <w:noWrap w:val="0"/>
            <w:vAlign w:val="center"/>
          </w:tcPr>
          <w:p w14:paraId="2E3D94EF">
            <w:pPr>
              <w:ind w:firstLine="0" w:firstLineChars="0"/>
              <w:jc w:val="center"/>
              <w:rPr>
                <w:rFonts w:ascii="宋体" w:hAnsi="宋体"/>
                <w:color w:val="auto"/>
                <w:sz w:val="21"/>
              </w:rPr>
            </w:pPr>
          </w:p>
        </w:tc>
        <w:tc>
          <w:tcPr>
            <w:tcW w:w="5403" w:type="dxa"/>
            <w:gridSpan w:val="6"/>
            <w:noWrap w:val="0"/>
            <w:vAlign w:val="center"/>
          </w:tcPr>
          <w:p w14:paraId="070D1CD2">
            <w:pPr>
              <w:ind w:firstLine="0" w:firstLineChars="0"/>
              <w:rPr>
                <w:rFonts w:ascii="宋体" w:hAnsi="宋体"/>
                <w:color w:val="auto"/>
                <w:sz w:val="21"/>
              </w:rPr>
            </w:pPr>
            <w:r>
              <w:rPr>
                <w:rFonts w:hint="eastAsia" w:ascii="宋体" w:hAnsi="宋体"/>
                <w:color w:val="auto"/>
                <w:sz w:val="21"/>
              </w:rPr>
              <w:t>力矩限位器</w:t>
            </w:r>
          </w:p>
        </w:tc>
        <w:tc>
          <w:tcPr>
            <w:tcW w:w="966" w:type="dxa"/>
            <w:noWrap w:val="0"/>
            <w:vAlign w:val="center"/>
          </w:tcPr>
          <w:p w14:paraId="4919AC08">
            <w:pPr>
              <w:ind w:firstLine="0" w:firstLineChars="0"/>
              <w:jc w:val="center"/>
              <w:rPr>
                <w:rFonts w:ascii="宋体" w:hAnsi="宋体"/>
                <w:color w:val="auto"/>
                <w:sz w:val="21"/>
              </w:rPr>
            </w:pPr>
          </w:p>
        </w:tc>
        <w:tc>
          <w:tcPr>
            <w:tcW w:w="921" w:type="dxa"/>
            <w:noWrap w:val="0"/>
            <w:vAlign w:val="center"/>
          </w:tcPr>
          <w:p w14:paraId="52323DC0">
            <w:pPr>
              <w:ind w:firstLine="0" w:firstLineChars="0"/>
              <w:jc w:val="center"/>
              <w:rPr>
                <w:rFonts w:ascii="宋体" w:hAnsi="宋体"/>
                <w:color w:val="auto"/>
                <w:sz w:val="21"/>
              </w:rPr>
            </w:pPr>
          </w:p>
        </w:tc>
      </w:tr>
      <w:tr w14:paraId="7F8F62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41459819">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39</w:t>
            </w:r>
          </w:p>
        </w:tc>
        <w:tc>
          <w:tcPr>
            <w:tcW w:w="607" w:type="dxa"/>
            <w:vMerge w:val="continue"/>
            <w:noWrap w:val="0"/>
            <w:vAlign w:val="center"/>
          </w:tcPr>
          <w:p w14:paraId="6B5B6776">
            <w:pPr>
              <w:ind w:firstLine="0" w:firstLineChars="0"/>
              <w:jc w:val="center"/>
              <w:rPr>
                <w:rFonts w:ascii="宋体" w:hAnsi="宋体"/>
                <w:color w:val="auto"/>
                <w:sz w:val="21"/>
              </w:rPr>
            </w:pPr>
          </w:p>
        </w:tc>
        <w:tc>
          <w:tcPr>
            <w:tcW w:w="5403" w:type="dxa"/>
            <w:gridSpan w:val="6"/>
            <w:noWrap w:val="0"/>
            <w:vAlign w:val="center"/>
          </w:tcPr>
          <w:p w14:paraId="266D4347">
            <w:pPr>
              <w:ind w:firstLine="0" w:firstLineChars="0"/>
              <w:rPr>
                <w:rFonts w:ascii="宋体" w:hAnsi="宋体"/>
                <w:color w:val="auto"/>
                <w:sz w:val="21"/>
              </w:rPr>
            </w:pPr>
            <w:r>
              <w:rPr>
                <w:rFonts w:hint="eastAsia" w:ascii="宋体" w:hAnsi="宋体"/>
                <w:color w:val="auto"/>
                <w:sz w:val="21"/>
              </w:rPr>
              <w:t xml:space="preserve">回转限位器 </w:t>
            </w:r>
          </w:p>
        </w:tc>
        <w:tc>
          <w:tcPr>
            <w:tcW w:w="966" w:type="dxa"/>
            <w:noWrap w:val="0"/>
            <w:vAlign w:val="center"/>
          </w:tcPr>
          <w:p w14:paraId="0E3143D8">
            <w:pPr>
              <w:ind w:firstLine="0" w:firstLineChars="0"/>
              <w:jc w:val="center"/>
              <w:rPr>
                <w:rFonts w:ascii="宋体" w:hAnsi="宋体"/>
                <w:color w:val="auto"/>
                <w:sz w:val="21"/>
              </w:rPr>
            </w:pPr>
          </w:p>
        </w:tc>
        <w:tc>
          <w:tcPr>
            <w:tcW w:w="921" w:type="dxa"/>
            <w:noWrap w:val="0"/>
            <w:vAlign w:val="center"/>
          </w:tcPr>
          <w:p w14:paraId="2028FC56">
            <w:pPr>
              <w:ind w:firstLine="0" w:firstLineChars="0"/>
              <w:jc w:val="center"/>
              <w:rPr>
                <w:rFonts w:ascii="宋体" w:hAnsi="宋体"/>
                <w:color w:val="auto"/>
                <w:sz w:val="21"/>
              </w:rPr>
            </w:pPr>
          </w:p>
        </w:tc>
      </w:tr>
      <w:tr w14:paraId="16C714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54332C63">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40</w:t>
            </w:r>
          </w:p>
        </w:tc>
        <w:tc>
          <w:tcPr>
            <w:tcW w:w="607" w:type="dxa"/>
            <w:vMerge w:val="continue"/>
            <w:noWrap w:val="0"/>
            <w:vAlign w:val="center"/>
          </w:tcPr>
          <w:p w14:paraId="02B6768D">
            <w:pPr>
              <w:ind w:firstLine="0" w:firstLineChars="0"/>
              <w:jc w:val="center"/>
              <w:rPr>
                <w:rFonts w:ascii="宋体" w:hAnsi="宋体"/>
                <w:color w:val="auto"/>
                <w:sz w:val="21"/>
              </w:rPr>
            </w:pPr>
          </w:p>
        </w:tc>
        <w:tc>
          <w:tcPr>
            <w:tcW w:w="5403" w:type="dxa"/>
            <w:gridSpan w:val="6"/>
            <w:noWrap w:val="0"/>
            <w:vAlign w:val="center"/>
          </w:tcPr>
          <w:p w14:paraId="3A855F49">
            <w:pPr>
              <w:ind w:firstLine="0" w:firstLineChars="0"/>
              <w:rPr>
                <w:rFonts w:ascii="宋体" w:hAnsi="宋体"/>
                <w:color w:val="auto"/>
                <w:sz w:val="21"/>
              </w:rPr>
            </w:pPr>
            <w:r>
              <w:rPr>
                <w:rFonts w:hint="eastAsia" w:ascii="宋体" w:hAnsi="宋体"/>
                <w:color w:val="auto"/>
                <w:sz w:val="21"/>
              </w:rPr>
              <w:t>小车变幅限位器</w:t>
            </w:r>
          </w:p>
        </w:tc>
        <w:tc>
          <w:tcPr>
            <w:tcW w:w="966" w:type="dxa"/>
            <w:noWrap w:val="0"/>
            <w:vAlign w:val="center"/>
          </w:tcPr>
          <w:p w14:paraId="2638EAEF">
            <w:pPr>
              <w:ind w:firstLine="0" w:firstLineChars="0"/>
              <w:jc w:val="center"/>
              <w:rPr>
                <w:rFonts w:ascii="宋体" w:hAnsi="宋体"/>
                <w:color w:val="auto"/>
                <w:sz w:val="21"/>
              </w:rPr>
            </w:pPr>
          </w:p>
        </w:tc>
        <w:tc>
          <w:tcPr>
            <w:tcW w:w="921" w:type="dxa"/>
            <w:noWrap w:val="0"/>
            <w:vAlign w:val="center"/>
          </w:tcPr>
          <w:p w14:paraId="6227A5D5">
            <w:pPr>
              <w:ind w:firstLine="0" w:firstLineChars="0"/>
              <w:jc w:val="center"/>
              <w:rPr>
                <w:rFonts w:ascii="宋体" w:hAnsi="宋体"/>
                <w:color w:val="auto"/>
                <w:sz w:val="21"/>
              </w:rPr>
            </w:pPr>
          </w:p>
        </w:tc>
      </w:tr>
      <w:tr w14:paraId="7F2D32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35E2A6EC">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41</w:t>
            </w:r>
          </w:p>
        </w:tc>
        <w:tc>
          <w:tcPr>
            <w:tcW w:w="607" w:type="dxa"/>
            <w:vMerge w:val="continue"/>
            <w:noWrap w:val="0"/>
            <w:vAlign w:val="center"/>
          </w:tcPr>
          <w:p w14:paraId="797267ED">
            <w:pPr>
              <w:ind w:firstLine="0" w:firstLineChars="0"/>
              <w:jc w:val="center"/>
              <w:rPr>
                <w:rFonts w:ascii="宋体" w:hAnsi="宋体"/>
                <w:color w:val="auto"/>
                <w:sz w:val="21"/>
              </w:rPr>
            </w:pPr>
          </w:p>
        </w:tc>
        <w:tc>
          <w:tcPr>
            <w:tcW w:w="5403" w:type="dxa"/>
            <w:gridSpan w:val="6"/>
            <w:noWrap w:val="0"/>
            <w:vAlign w:val="center"/>
          </w:tcPr>
          <w:p w14:paraId="1856C8E5">
            <w:pPr>
              <w:ind w:firstLine="0" w:firstLineChars="0"/>
              <w:rPr>
                <w:rFonts w:ascii="宋体" w:hAnsi="宋体"/>
                <w:color w:val="auto"/>
                <w:sz w:val="21"/>
              </w:rPr>
            </w:pPr>
            <w:r>
              <w:rPr>
                <w:rFonts w:hint="eastAsia" w:ascii="宋体" w:hAnsi="宋体"/>
                <w:color w:val="auto"/>
                <w:sz w:val="21"/>
              </w:rPr>
              <w:t>应急断电开关</w:t>
            </w:r>
          </w:p>
        </w:tc>
        <w:tc>
          <w:tcPr>
            <w:tcW w:w="966" w:type="dxa"/>
            <w:noWrap w:val="0"/>
            <w:vAlign w:val="center"/>
          </w:tcPr>
          <w:p w14:paraId="0AC7D221">
            <w:pPr>
              <w:ind w:firstLine="0" w:firstLineChars="0"/>
              <w:jc w:val="center"/>
              <w:rPr>
                <w:rFonts w:ascii="宋体" w:hAnsi="宋体"/>
                <w:color w:val="auto"/>
                <w:sz w:val="21"/>
              </w:rPr>
            </w:pPr>
          </w:p>
        </w:tc>
        <w:tc>
          <w:tcPr>
            <w:tcW w:w="921" w:type="dxa"/>
            <w:noWrap w:val="0"/>
            <w:vAlign w:val="center"/>
          </w:tcPr>
          <w:p w14:paraId="5ABB3280">
            <w:pPr>
              <w:ind w:firstLine="0" w:firstLineChars="0"/>
              <w:jc w:val="center"/>
              <w:rPr>
                <w:rFonts w:ascii="宋体" w:hAnsi="宋体"/>
                <w:color w:val="auto"/>
                <w:sz w:val="21"/>
              </w:rPr>
            </w:pPr>
          </w:p>
        </w:tc>
      </w:tr>
      <w:tr w14:paraId="23B1CB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0D100BD5">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42</w:t>
            </w:r>
          </w:p>
        </w:tc>
        <w:tc>
          <w:tcPr>
            <w:tcW w:w="607" w:type="dxa"/>
            <w:vMerge w:val="continue"/>
            <w:noWrap w:val="0"/>
            <w:vAlign w:val="center"/>
          </w:tcPr>
          <w:p w14:paraId="627F36DD">
            <w:pPr>
              <w:ind w:firstLine="0" w:firstLineChars="0"/>
              <w:jc w:val="center"/>
              <w:rPr>
                <w:rFonts w:ascii="宋体" w:hAnsi="宋体"/>
                <w:color w:val="auto"/>
                <w:sz w:val="21"/>
              </w:rPr>
            </w:pPr>
          </w:p>
        </w:tc>
        <w:tc>
          <w:tcPr>
            <w:tcW w:w="5403" w:type="dxa"/>
            <w:gridSpan w:val="6"/>
            <w:noWrap w:val="0"/>
            <w:vAlign w:val="center"/>
          </w:tcPr>
          <w:p w14:paraId="0ABB680C">
            <w:pPr>
              <w:ind w:firstLine="0" w:firstLineChars="0"/>
              <w:rPr>
                <w:rFonts w:ascii="宋体" w:hAnsi="宋体"/>
                <w:color w:val="auto"/>
                <w:sz w:val="21"/>
              </w:rPr>
            </w:pPr>
            <w:r>
              <w:rPr>
                <w:rFonts w:hint="eastAsia" w:ascii="宋体" w:hAnsi="宋体"/>
                <w:color w:val="auto"/>
                <w:sz w:val="21"/>
              </w:rPr>
              <w:t>连锁保护装置</w:t>
            </w:r>
          </w:p>
        </w:tc>
        <w:tc>
          <w:tcPr>
            <w:tcW w:w="966" w:type="dxa"/>
            <w:noWrap w:val="0"/>
            <w:vAlign w:val="center"/>
          </w:tcPr>
          <w:p w14:paraId="3B637CDC">
            <w:pPr>
              <w:ind w:firstLine="0" w:firstLineChars="0"/>
              <w:jc w:val="center"/>
              <w:rPr>
                <w:rFonts w:ascii="宋体" w:hAnsi="宋体"/>
                <w:color w:val="auto"/>
                <w:sz w:val="21"/>
              </w:rPr>
            </w:pPr>
          </w:p>
        </w:tc>
        <w:tc>
          <w:tcPr>
            <w:tcW w:w="921" w:type="dxa"/>
            <w:noWrap w:val="0"/>
            <w:vAlign w:val="center"/>
          </w:tcPr>
          <w:p w14:paraId="51FE9A25">
            <w:pPr>
              <w:ind w:firstLine="0" w:firstLineChars="0"/>
              <w:jc w:val="center"/>
              <w:rPr>
                <w:rFonts w:ascii="宋体" w:hAnsi="宋体"/>
                <w:color w:val="auto"/>
                <w:sz w:val="21"/>
              </w:rPr>
            </w:pPr>
          </w:p>
        </w:tc>
      </w:tr>
      <w:tr w14:paraId="50CB2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2FD6B6DD">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43</w:t>
            </w:r>
          </w:p>
        </w:tc>
        <w:tc>
          <w:tcPr>
            <w:tcW w:w="607" w:type="dxa"/>
            <w:vMerge w:val="continue"/>
            <w:noWrap w:val="0"/>
            <w:vAlign w:val="center"/>
          </w:tcPr>
          <w:p w14:paraId="4180662C">
            <w:pPr>
              <w:ind w:firstLine="0" w:firstLineChars="0"/>
              <w:jc w:val="center"/>
              <w:rPr>
                <w:rFonts w:ascii="宋体" w:hAnsi="宋体"/>
                <w:color w:val="auto"/>
                <w:sz w:val="21"/>
              </w:rPr>
            </w:pPr>
          </w:p>
        </w:tc>
        <w:tc>
          <w:tcPr>
            <w:tcW w:w="5403" w:type="dxa"/>
            <w:gridSpan w:val="6"/>
            <w:noWrap w:val="0"/>
            <w:vAlign w:val="center"/>
          </w:tcPr>
          <w:p w14:paraId="1B8AA383">
            <w:pPr>
              <w:ind w:firstLine="0" w:firstLineChars="0"/>
              <w:rPr>
                <w:rFonts w:ascii="宋体" w:hAnsi="宋体"/>
                <w:color w:val="auto"/>
                <w:sz w:val="21"/>
              </w:rPr>
            </w:pPr>
            <w:r>
              <w:rPr>
                <w:rFonts w:hint="eastAsia" w:ascii="宋体" w:hAnsi="宋体"/>
                <w:color w:val="auto"/>
                <w:sz w:val="21"/>
              </w:rPr>
              <w:t>超速保护装置</w:t>
            </w:r>
          </w:p>
        </w:tc>
        <w:tc>
          <w:tcPr>
            <w:tcW w:w="966" w:type="dxa"/>
            <w:noWrap w:val="0"/>
            <w:vAlign w:val="center"/>
          </w:tcPr>
          <w:p w14:paraId="0FDC921B">
            <w:pPr>
              <w:ind w:firstLine="0" w:firstLineChars="0"/>
              <w:jc w:val="center"/>
              <w:rPr>
                <w:rFonts w:ascii="宋体" w:hAnsi="宋体"/>
                <w:color w:val="auto"/>
                <w:sz w:val="21"/>
              </w:rPr>
            </w:pPr>
          </w:p>
        </w:tc>
        <w:tc>
          <w:tcPr>
            <w:tcW w:w="921" w:type="dxa"/>
            <w:noWrap w:val="0"/>
            <w:vAlign w:val="center"/>
          </w:tcPr>
          <w:p w14:paraId="66218C0E">
            <w:pPr>
              <w:ind w:firstLine="0" w:firstLineChars="0"/>
              <w:jc w:val="center"/>
              <w:rPr>
                <w:rFonts w:ascii="宋体" w:hAnsi="宋体"/>
                <w:color w:val="auto"/>
                <w:sz w:val="21"/>
              </w:rPr>
            </w:pPr>
          </w:p>
        </w:tc>
      </w:tr>
      <w:tr w14:paraId="325EF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4893659E">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44</w:t>
            </w:r>
          </w:p>
        </w:tc>
        <w:tc>
          <w:tcPr>
            <w:tcW w:w="607" w:type="dxa"/>
            <w:vMerge w:val="continue"/>
            <w:noWrap w:val="0"/>
            <w:vAlign w:val="center"/>
          </w:tcPr>
          <w:p w14:paraId="39F0CCD4">
            <w:pPr>
              <w:ind w:firstLine="0" w:firstLineChars="0"/>
              <w:jc w:val="center"/>
              <w:rPr>
                <w:rFonts w:ascii="宋体" w:hAnsi="宋体"/>
                <w:color w:val="auto"/>
                <w:sz w:val="21"/>
              </w:rPr>
            </w:pPr>
          </w:p>
        </w:tc>
        <w:tc>
          <w:tcPr>
            <w:tcW w:w="5403" w:type="dxa"/>
            <w:gridSpan w:val="6"/>
            <w:noWrap w:val="0"/>
            <w:vAlign w:val="center"/>
          </w:tcPr>
          <w:p w14:paraId="7F6BDD89">
            <w:pPr>
              <w:ind w:firstLine="0" w:firstLineChars="0"/>
              <w:rPr>
                <w:rFonts w:ascii="宋体" w:hAnsi="宋体"/>
                <w:color w:val="auto"/>
                <w:sz w:val="21"/>
              </w:rPr>
            </w:pPr>
            <w:r>
              <w:rPr>
                <w:rFonts w:hint="eastAsia" w:ascii="宋体" w:hAnsi="宋体"/>
                <w:color w:val="auto"/>
                <w:sz w:val="21"/>
              </w:rPr>
              <w:t>风速仪</w:t>
            </w:r>
          </w:p>
        </w:tc>
        <w:tc>
          <w:tcPr>
            <w:tcW w:w="966" w:type="dxa"/>
            <w:noWrap w:val="0"/>
            <w:vAlign w:val="center"/>
          </w:tcPr>
          <w:p w14:paraId="046F998C">
            <w:pPr>
              <w:ind w:firstLine="0" w:firstLineChars="0"/>
              <w:jc w:val="center"/>
              <w:rPr>
                <w:rFonts w:ascii="宋体" w:hAnsi="宋体"/>
                <w:color w:val="auto"/>
                <w:sz w:val="21"/>
              </w:rPr>
            </w:pPr>
          </w:p>
        </w:tc>
        <w:tc>
          <w:tcPr>
            <w:tcW w:w="921" w:type="dxa"/>
            <w:noWrap w:val="0"/>
            <w:vAlign w:val="center"/>
          </w:tcPr>
          <w:p w14:paraId="0337DD37">
            <w:pPr>
              <w:ind w:firstLine="0" w:firstLineChars="0"/>
              <w:jc w:val="center"/>
              <w:rPr>
                <w:rFonts w:ascii="宋体" w:hAnsi="宋体"/>
                <w:color w:val="auto"/>
                <w:sz w:val="21"/>
              </w:rPr>
            </w:pPr>
          </w:p>
        </w:tc>
      </w:tr>
      <w:tr w14:paraId="64659B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347B13E9">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45</w:t>
            </w:r>
          </w:p>
        </w:tc>
        <w:tc>
          <w:tcPr>
            <w:tcW w:w="607" w:type="dxa"/>
            <w:vMerge w:val="continue"/>
            <w:noWrap w:val="0"/>
            <w:vAlign w:val="center"/>
          </w:tcPr>
          <w:p w14:paraId="1C7B0CCC">
            <w:pPr>
              <w:ind w:firstLine="0" w:firstLineChars="0"/>
              <w:jc w:val="center"/>
              <w:rPr>
                <w:rFonts w:ascii="宋体" w:hAnsi="宋体"/>
                <w:color w:val="auto"/>
                <w:sz w:val="21"/>
              </w:rPr>
            </w:pPr>
          </w:p>
        </w:tc>
        <w:tc>
          <w:tcPr>
            <w:tcW w:w="5403" w:type="dxa"/>
            <w:gridSpan w:val="6"/>
            <w:noWrap w:val="0"/>
            <w:vAlign w:val="center"/>
          </w:tcPr>
          <w:p w14:paraId="43C8CDBD">
            <w:pPr>
              <w:ind w:firstLine="0" w:firstLineChars="0"/>
              <w:rPr>
                <w:rFonts w:ascii="宋体" w:hAnsi="宋体"/>
                <w:color w:val="auto"/>
                <w:sz w:val="21"/>
              </w:rPr>
            </w:pPr>
            <w:r>
              <w:rPr>
                <w:rFonts w:hint="eastAsia" w:ascii="宋体" w:hAnsi="宋体"/>
                <w:color w:val="auto"/>
                <w:sz w:val="21"/>
              </w:rPr>
              <w:t>防护罩</w:t>
            </w:r>
          </w:p>
        </w:tc>
        <w:tc>
          <w:tcPr>
            <w:tcW w:w="966" w:type="dxa"/>
            <w:noWrap w:val="0"/>
            <w:vAlign w:val="center"/>
          </w:tcPr>
          <w:p w14:paraId="014DCA8C">
            <w:pPr>
              <w:ind w:firstLine="0" w:firstLineChars="0"/>
              <w:jc w:val="center"/>
              <w:rPr>
                <w:rFonts w:ascii="宋体" w:hAnsi="宋体"/>
                <w:color w:val="auto"/>
                <w:sz w:val="21"/>
              </w:rPr>
            </w:pPr>
          </w:p>
        </w:tc>
        <w:tc>
          <w:tcPr>
            <w:tcW w:w="921" w:type="dxa"/>
            <w:noWrap w:val="0"/>
            <w:vAlign w:val="center"/>
          </w:tcPr>
          <w:p w14:paraId="354D945B">
            <w:pPr>
              <w:ind w:firstLine="0" w:firstLineChars="0"/>
              <w:jc w:val="center"/>
              <w:rPr>
                <w:rFonts w:ascii="宋体" w:hAnsi="宋体"/>
                <w:color w:val="auto"/>
                <w:sz w:val="21"/>
              </w:rPr>
            </w:pPr>
          </w:p>
        </w:tc>
      </w:tr>
      <w:tr w14:paraId="6290E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noWrap w:val="0"/>
            <w:vAlign w:val="center"/>
          </w:tcPr>
          <w:p w14:paraId="078FD8BD">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46</w:t>
            </w:r>
          </w:p>
        </w:tc>
        <w:tc>
          <w:tcPr>
            <w:tcW w:w="1476" w:type="dxa"/>
            <w:gridSpan w:val="5"/>
            <w:vMerge w:val="restart"/>
            <w:noWrap w:val="0"/>
            <w:vAlign w:val="center"/>
          </w:tcPr>
          <w:p w14:paraId="3E577D29">
            <w:pPr>
              <w:ind w:firstLine="0" w:firstLineChars="0"/>
              <w:rPr>
                <w:rFonts w:ascii="宋体" w:hAnsi="宋体"/>
                <w:color w:val="auto"/>
                <w:sz w:val="21"/>
              </w:rPr>
            </w:pPr>
            <w:r>
              <w:rPr>
                <w:rFonts w:hint="eastAsia" w:ascii="宋体" w:hAnsi="宋体"/>
                <w:color w:val="auto"/>
                <w:sz w:val="21"/>
              </w:rPr>
              <w:t>质量管理体系运行情况</w:t>
            </w:r>
          </w:p>
        </w:tc>
        <w:tc>
          <w:tcPr>
            <w:tcW w:w="4534" w:type="dxa"/>
            <w:gridSpan w:val="2"/>
            <w:noWrap w:val="0"/>
            <w:vAlign w:val="center"/>
          </w:tcPr>
          <w:p w14:paraId="15845FAB">
            <w:pPr>
              <w:ind w:firstLine="0" w:firstLineChars="0"/>
              <w:rPr>
                <w:rFonts w:ascii="宋体" w:hAnsi="宋体"/>
                <w:color w:val="auto"/>
                <w:sz w:val="21"/>
              </w:rPr>
            </w:pPr>
            <w:r>
              <w:rPr>
                <w:rFonts w:hint="eastAsia" w:ascii="宋体" w:hAnsi="宋体"/>
                <w:color w:val="auto"/>
                <w:sz w:val="21"/>
              </w:rPr>
              <w:t>现场施工组织机构、质量管理机构和质量控制系统责任人</w:t>
            </w:r>
          </w:p>
        </w:tc>
        <w:tc>
          <w:tcPr>
            <w:tcW w:w="966" w:type="dxa"/>
            <w:noWrap w:val="0"/>
            <w:vAlign w:val="center"/>
          </w:tcPr>
          <w:p w14:paraId="5340F375">
            <w:pPr>
              <w:ind w:firstLine="0" w:firstLineChars="0"/>
              <w:jc w:val="center"/>
              <w:rPr>
                <w:rFonts w:ascii="宋体" w:hAnsi="宋体"/>
                <w:color w:val="auto"/>
                <w:sz w:val="21"/>
              </w:rPr>
            </w:pPr>
          </w:p>
        </w:tc>
        <w:tc>
          <w:tcPr>
            <w:tcW w:w="921" w:type="dxa"/>
            <w:noWrap w:val="0"/>
            <w:vAlign w:val="center"/>
          </w:tcPr>
          <w:p w14:paraId="5D4A8ABE">
            <w:pPr>
              <w:ind w:firstLine="0" w:firstLineChars="0"/>
              <w:jc w:val="center"/>
              <w:rPr>
                <w:rFonts w:ascii="宋体" w:hAnsi="宋体"/>
                <w:color w:val="auto"/>
                <w:sz w:val="21"/>
              </w:rPr>
            </w:pPr>
          </w:p>
        </w:tc>
      </w:tr>
      <w:tr w14:paraId="5811AE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noWrap w:val="0"/>
            <w:vAlign w:val="center"/>
          </w:tcPr>
          <w:p w14:paraId="217569A5">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47</w:t>
            </w:r>
          </w:p>
        </w:tc>
        <w:tc>
          <w:tcPr>
            <w:tcW w:w="1476" w:type="dxa"/>
            <w:gridSpan w:val="5"/>
            <w:vMerge w:val="continue"/>
            <w:noWrap w:val="0"/>
            <w:vAlign w:val="center"/>
          </w:tcPr>
          <w:p w14:paraId="7D90952C">
            <w:pPr>
              <w:ind w:firstLine="0" w:firstLineChars="0"/>
              <w:rPr>
                <w:rFonts w:ascii="宋体" w:hAnsi="宋体"/>
                <w:color w:val="auto"/>
                <w:sz w:val="21"/>
              </w:rPr>
            </w:pPr>
          </w:p>
        </w:tc>
        <w:tc>
          <w:tcPr>
            <w:tcW w:w="4534" w:type="dxa"/>
            <w:gridSpan w:val="2"/>
            <w:noWrap w:val="0"/>
            <w:vAlign w:val="center"/>
          </w:tcPr>
          <w:p w14:paraId="5209F464">
            <w:pPr>
              <w:ind w:firstLine="0" w:firstLineChars="0"/>
              <w:rPr>
                <w:rFonts w:ascii="宋体" w:hAnsi="宋体"/>
                <w:color w:val="auto"/>
                <w:sz w:val="21"/>
              </w:rPr>
            </w:pPr>
            <w:r>
              <w:rPr>
                <w:rFonts w:hint="eastAsia" w:ascii="宋体" w:hAnsi="宋体"/>
                <w:color w:val="auto"/>
                <w:sz w:val="21"/>
              </w:rPr>
              <w:t>现场作业人员的证件</w:t>
            </w:r>
          </w:p>
        </w:tc>
        <w:tc>
          <w:tcPr>
            <w:tcW w:w="966" w:type="dxa"/>
            <w:noWrap w:val="0"/>
            <w:vAlign w:val="center"/>
          </w:tcPr>
          <w:p w14:paraId="7BE5B2D9">
            <w:pPr>
              <w:ind w:firstLine="0" w:firstLineChars="0"/>
              <w:jc w:val="center"/>
              <w:rPr>
                <w:rFonts w:ascii="宋体" w:hAnsi="宋体"/>
                <w:color w:val="auto"/>
                <w:sz w:val="21"/>
              </w:rPr>
            </w:pPr>
          </w:p>
        </w:tc>
        <w:tc>
          <w:tcPr>
            <w:tcW w:w="921" w:type="dxa"/>
            <w:noWrap w:val="0"/>
            <w:vAlign w:val="center"/>
          </w:tcPr>
          <w:p w14:paraId="31D1F4E5">
            <w:pPr>
              <w:ind w:firstLine="0" w:firstLineChars="0"/>
              <w:jc w:val="center"/>
              <w:rPr>
                <w:rFonts w:ascii="宋体" w:hAnsi="宋体"/>
                <w:color w:val="auto"/>
                <w:sz w:val="21"/>
              </w:rPr>
            </w:pPr>
          </w:p>
        </w:tc>
      </w:tr>
      <w:tr w14:paraId="54980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noWrap w:val="0"/>
            <w:vAlign w:val="center"/>
          </w:tcPr>
          <w:p w14:paraId="02543A24">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48</w:t>
            </w:r>
          </w:p>
        </w:tc>
        <w:tc>
          <w:tcPr>
            <w:tcW w:w="1476" w:type="dxa"/>
            <w:gridSpan w:val="5"/>
            <w:vMerge w:val="continue"/>
            <w:noWrap w:val="0"/>
            <w:vAlign w:val="center"/>
          </w:tcPr>
          <w:p w14:paraId="797E6EEC">
            <w:pPr>
              <w:ind w:firstLine="0" w:firstLineChars="0"/>
              <w:jc w:val="center"/>
              <w:rPr>
                <w:rFonts w:ascii="宋体" w:hAnsi="宋体"/>
                <w:color w:val="auto"/>
                <w:sz w:val="21"/>
              </w:rPr>
            </w:pPr>
          </w:p>
        </w:tc>
        <w:tc>
          <w:tcPr>
            <w:tcW w:w="4534" w:type="dxa"/>
            <w:gridSpan w:val="2"/>
            <w:noWrap w:val="0"/>
            <w:vAlign w:val="center"/>
          </w:tcPr>
          <w:p w14:paraId="621DD9DD">
            <w:pPr>
              <w:ind w:firstLine="0" w:firstLineChars="0"/>
              <w:rPr>
                <w:rFonts w:ascii="宋体" w:hAnsi="宋体"/>
                <w:color w:val="auto"/>
                <w:sz w:val="21"/>
              </w:rPr>
            </w:pPr>
            <w:r>
              <w:rPr>
                <w:rFonts w:hint="eastAsia" w:ascii="宋体" w:hAnsi="宋体"/>
                <w:color w:val="auto"/>
                <w:sz w:val="21"/>
              </w:rPr>
              <w:t>施工过程中体系运转异常情况的处理</w:t>
            </w:r>
          </w:p>
        </w:tc>
        <w:tc>
          <w:tcPr>
            <w:tcW w:w="966" w:type="dxa"/>
            <w:noWrap w:val="0"/>
            <w:vAlign w:val="center"/>
          </w:tcPr>
          <w:p w14:paraId="29411333">
            <w:pPr>
              <w:ind w:firstLine="0" w:firstLineChars="0"/>
              <w:jc w:val="center"/>
              <w:rPr>
                <w:rFonts w:ascii="宋体" w:hAnsi="宋体"/>
                <w:color w:val="auto"/>
                <w:sz w:val="21"/>
              </w:rPr>
            </w:pPr>
          </w:p>
        </w:tc>
        <w:tc>
          <w:tcPr>
            <w:tcW w:w="921" w:type="dxa"/>
            <w:noWrap w:val="0"/>
            <w:vAlign w:val="center"/>
          </w:tcPr>
          <w:p w14:paraId="7DD0460D">
            <w:pPr>
              <w:ind w:firstLine="0" w:firstLineChars="0"/>
              <w:jc w:val="center"/>
              <w:rPr>
                <w:rFonts w:ascii="宋体" w:hAnsi="宋体"/>
                <w:color w:val="auto"/>
                <w:sz w:val="21"/>
              </w:rPr>
            </w:pPr>
          </w:p>
        </w:tc>
      </w:tr>
      <w:tr w14:paraId="5641A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noWrap w:val="0"/>
            <w:vAlign w:val="center"/>
          </w:tcPr>
          <w:p w14:paraId="5CD7DCE1">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49</w:t>
            </w:r>
          </w:p>
        </w:tc>
        <w:tc>
          <w:tcPr>
            <w:tcW w:w="1476" w:type="dxa"/>
            <w:gridSpan w:val="5"/>
            <w:vMerge w:val="continue"/>
            <w:noWrap w:val="0"/>
            <w:vAlign w:val="center"/>
          </w:tcPr>
          <w:p w14:paraId="1161285C">
            <w:pPr>
              <w:ind w:firstLine="0" w:firstLineChars="0"/>
              <w:jc w:val="center"/>
              <w:rPr>
                <w:rFonts w:ascii="宋体" w:hAnsi="宋体"/>
                <w:color w:val="auto"/>
                <w:sz w:val="21"/>
              </w:rPr>
            </w:pPr>
          </w:p>
        </w:tc>
        <w:tc>
          <w:tcPr>
            <w:tcW w:w="4534" w:type="dxa"/>
            <w:gridSpan w:val="2"/>
            <w:noWrap w:val="0"/>
            <w:vAlign w:val="center"/>
          </w:tcPr>
          <w:p w14:paraId="3427EB54">
            <w:pPr>
              <w:ind w:firstLine="0" w:firstLineChars="0"/>
              <w:rPr>
                <w:rFonts w:ascii="宋体" w:hAnsi="宋体"/>
                <w:color w:val="auto"/>
                <w:sz w:val="21"/>
              </w:rPr>
            </w:pPr>
            <w:r>
              <w:rPr>
                <w:rFonts w:hint="eastAsia" w:ascii="宋体" w:hAnsi="宋体"/>
                <w:color w:val="auto"/>
                <w:sz w:val="21"/>
              </w:rPr>
              <w:t>对监检机构或监检人员提出问题的处理和反馈情况</w:t>
            </w:r>
          </w:p>
        </w:tc>
        <w:tc>
          <w:tcPr>
            <w:tcW w:w="966" w:type="dxa"/>
            <w:noWrap w:val="0"/>
            <w:vAlign w:val="center"/>
          </w:tcPr>
          <w:p w14:paraId="712AC5CE">
            <w:pPr>
              <w:ind w:firstLine="0" w:firstLineChars="0"/>
              <w:jc w:val="center"/>
              <w:rPr>
                <w:rFonts w:ascii="宋体" w:hAnsi="宋体"/>
                <w:color w:val="auto"/>
                <w:sz w:val="21"/>
              </w:rPr>
            </w:pPr>
          </w:p>
        </w:tc>
        <w:tc>
          <w:tcPr>
            <w:tcW w:w="921" w:type="dxa"/>
            <w:noWrap w:val="0"/>
            <w:vAlign w:val="center"/>
          </w:tcPr>
          <w:p w14:paraId="15F36A13">
            <w:pPr>
              <w:ind w:firstLine="0" w:firstLineChars="0"/>
              <w:jc w:val="center"/>
              <w:rPr>
                <w:rFonts w:ascii="宋体" w:hAnsi="宋体"/>
                <w:color w:val="auto"/>
                <w:sz w:val="21"/>
              </w:rPr>
            </w:pPr>
          </w:p>
        </w:tc>
      </w:tr>
      <w:tr w14:paraId="1031E0F8">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73" w:hRule="atLeast"/>
          <w:jc w:val="center"/>
        </w:trPr>
        <w:tc>
          <w:tcPr>
            <w:tcW w:w="4181" w:type="dxa"/>
            <w:gridSpan w:val="7"/>
            <w:tcBorders>
              <w:top w:val="single" w:color="auto" w:sz="12" w:space="0"/>
              <w:right w:val="single" w:color="auto" w:sz="4" w:space="0"/>
            </w:tcBorders>
            <w:noWrap w:val="0"/>
            <w:vAlign w:val="top"/>
          </w:tcPr>
          <w:p w14:paraId="64D4A43D">
            <w:pPr>
              <w:ind w:firstLine="420"/>
              <w:jc w:val="center"/>
              <w:rPr>
                <w:rFonts w:ascii="宋体" w:hAnsi="宋体"/>
                <w:color w:val="auto"/>
                <w:sz w:val="21"/>
              </w:rPr>
            </w:pPr>
          </w:p>
          <w:p w14:paraId="0C9B3E5D">
            <w:pPr>
              <w:autoSpaceDE w:val="0"/>
              <w:autoSpaceDN w:val="0"/>
              <w:adjustRightInd w:val="0"/>
              <w:ind w:left="0" w:leftChars="0" w:right="1320" w:rightChars="550" w:firstLine="0" w:firstLineChars="0"/>
              <w:jc w:val="both"/>
              <w:rPr>
                <w:rFonts w:ascii="宋体" w:hAnsi="宋体"/>
                <w:color w:val="auto"/>
                <w:sz w:val="21"/>
              </w:rPr>
            </w:pPr>
            <w:r>
              <w:rPr>
                <w:rFonts w:hint="eastAsia" w:ascii="宋体" w:hAnsi="宋体"/>
                <w:color w:val="auto"/>
                <w:sz w:val="21"/>
              </w:rPr>
              <w:t>租赁单位（章）</w:t>
            </w:r>
          </w:p>
          <w:p w14:paraId="076652CA">
            <w:pPr>
              <w:autoSpaceDE w:val="0"/>
              <w:autoSpaceDN w:val="0"/>
              <w:adjustRightInd w:val="0"/>
              <w:ind w:right="1320" w:rightChars="550" w:firstLine="420"/>
              <w:jc w:val="center"/>
              <w:rPr>
                <w:rFonts w:ascii="宋体" w:hAnsi="宋体"/>
                <w:color w:val="auto"/>
                <w:sz w:val="21"/>
              </w:rPr>
            </w:pPr>
          </w:p>
          <w:p w14:paraId="18E6275E">
            <w:pPr>
              <w:autoSpaceDE w:val="0"/>
              <w:autoSpaceDN w:val="0"/>
              <w:adjustRightInd w:val="0"/>
              <w:ind w:right="1320" w:rightChars="550" w:firstLine="420"/>
              <w:jc w:val="center"/>
              <w:rPr>
                <w:rFonts w:ascii="宋体" w:hAnsi="宋体"/>
                <w:color w:val="auto"/>
                <w:sz w:val="21"/>
              </w:rPr>
            </w:pPr>
          </w:p>
          <w:p w14:paraId="767CFA82">
            <w:pPr>
              <w:autoSpaceDE w:val="0"/>
              <w:autoSpaceDN w:val="0"/>
              <w:adjustRightInd w:val="0"/>
              <w:ind w:left="0" w:leftChars="0" w:right="1320" w:rightChars="550" w:firstLine="0" w:firstLineChars="0"/>
              <w:jc w:val="both"/>
              <w:rPr>
                <w:rFonts w:ascii="宋体" w:hAnsi="宋体"/>
                <w:color w:val="auto"/>
                <w:sz w:val="21"/>
              </w:rPr>
            </w:pPr>
            <w:r>
              <w:rPr>
                <w:rFonts w:hint="eastAsia" w:ascii="宋体" w:hAnsi="宋体"/>
                <w:color w:val="auto"/>
                <w:sz w:val="21"/>
              </w:rPr>
              <w:t>租赁单位负责人：</w:t>
            </w:r>
          </w:p>
          <w:p w14:paraId="64711A23">
            <w:pPr>
              <w:autoSpaceDE w:val="0"/>
              <w:autoSpaceDN w:val="0"/>
              <w:adjustRightInd w:val="0"/>
              <w:ind w:right="1320" w:rightChars="550" w:firstLine="420"/>
              <w:jc w:val="center"/>
              <w:rPr>
                <w:rFonts w:ascii="宋体" w:hAnsi="宋体"/>
                <w:color w:val="auto"/>
                <w:sz w:val="21"/>
              </w:rPr>
            </w:pPr>
          </w:p>
          <w:p w14:paraId="3681D746">
            <w:pPr>
              <w:autoSpaceDE w:val="0"/>
              <w:autoSpaceDN w:val="0"/>
              <w:adjustRightInd w:val="0"/>
              <w:ind w:right="1320" w:rightChars="550" w:firstLine="420"/>
              <w:jc w:val="center"/>
              <w:rPr>
                <w:rFonts w:ascii="宋体" w:hAnsi="宋体"/>
                <w:color w:val="auto"/>
                <w:sz w:val="21"/>
              </w:rPr>
            </w:pPr>
          </w:p>
          <w:p w14:paraId="45423320">
            <w:pPr>
              <w:autoSpaceDE w:val="0"/>
              <w:autoSpaceDN w:val="0"/>
              <w:adjustRightInd w:val="0"/>
              <w:ind w:right="1320" w:rightChars="550" w:firstLine="420"/>
              <w:jc w:val="center"/>
              <w:rPr>
                <w:rFonts w:ascii="宋体" w:hAnsi="宋体"/>
                <w:color w:val="auto"/>
                <w:sz w:val="21"/>
              </w:rPr>
            </w:pPr>
            <w:r>
              <w:rPr>
                <w:rFonts w:hint="eastAsia" w:ascii="宋体" w:hAnsi="宋体"/>
                <w:color w:val="auto"/>
                <w:sz w:val="21"/>
              </w:rPr>
              <w:t xml:space="preserve">     年   　月　   日</w:t>
            </w:r>
          </w:p>
        </w:tc>
        <w:tc>
          <w:tcPr>
            <w:tcW w:w="4250" w:type="dxa"/>
            <w:gridSpan w:val="3"/>
            <w:tcBorders>
              <w:top w:val="single" w:color="auto" w:sz="12" w:space="0"/>
              <w:left w:val="single" w:color="auto" w:sz="4" w:space="0"/>
            </w:tcBorders>
            <w:noWrap w:val="0"/>
            <w:vAlign w:val="top"/>
          </w:tcPr>
          <w:p w14:paraId="772FB87B">
            <w:pPr>
              <w:autoSpaceDE w:val="0"/>
              <w:autoSpaceDN w:val="0"/>
              <w:adjustRightInd w:val="0"/>
              <w:ind w:right="1320" w:rightChars="550" w:firstLine="420"/>
              <w:jc w:val="center"/>
              <w:rPr>
                <w:rFonts w:ascii="宋体" w:hAnsi="宋体"/>
                <w:color w:val="auto"/>
                <w:sz w:val="21"/>
              </w:rPr>
            </w:pPr>
          </w:p>
          <w:p w14:paraId="072FDCD5">
            <w:pPr>
              <w:autoSpaceDE w:val="0"/>
              <w:autoSpaceDN w:val="0"/>
              <w:adjustRightInd w:val="0"/>
              <w:ind w:left="0" w:leftChars="0" w:right="1320" w:rightChars="550" w:firstLine="0" w:firstLineChars="0"/>
              <w:jc w:val="both"/>
              <w:rPr>
                <w:rFonts w:ascii="宋体" w:hAnsi="宋体"/>
                <w:color w:val="auto"/>
                <w:sz w:val="21"/>
              </w:rPr>
            </w:pPr>
            <w:r>
              <w:rPr>
                <w:rFonts w:hint="eastAsia" w:ascii="宋体" w:hAnsi="宋体"/>
                <w:color w:val="auto"/>
                <w:sz w:val="21"/>
              </w:rPr>
              <w:t>安装单位（章）</w:t>
            </w:r>
          </w:p>
          <w:p w14:paraId="0E952B64">
            <w:pPr>
              <w:autoSpaceDE w:val="0"/>
              <w:autoSpaceDN w:val="0"/>
              <w:adjustRightInd w:val="0"/>
              <w:ind w:right="1320" w:rightChars="550" w:firstLine="420"/>
              <w:jc w:val="center"/>
              <w:rPr>
                <w:rFonts w:ascii="宋体" w:hAnsi="宋体"/>
                <w:color w:val="auto"/>
                <w:sz w:val="21"/>
              </w:rPr>
            </w:pPr>
          </w:p>
          <w:p w14:paraId="2B224B21">
            <w:pPr>
              <w:autoSpaceDE w:val="0"/>
              <w:autoSpaceDN w:val="0"/>
              <w:adjustRightInd w:val="0"/>
              <w:ind w:right="1320" w:rightChars="550" w:firstLine="420"/>
              <w:jc w:val="center"/>
              <w:rPr>
                <w:rFonts w:ascii="宋体" w:hAnsi="宋体"/>
                <w:color w:val="auto"/>
                <w:sz w:val="21"/>
              </w:rPr>
            </w:pPr>
          </w:p>
          <w:p w14:paraId="1E620192">
            <w:pPr>
              <w:autoSpaceDE w:val="0"/>
              <w:autoSpaceDN w:val="0"/>
              <w:adjustRightInd w:val="0"/>
              <w:ind w:left="0" w:leftChars="0" w:right="1320" w:rightChars="550" w:firstLine="0" w:firstLineChars="0"/>
              <w:jc w:val="both"/>
              <w:rPr>
                <w:rFonts w:ascii="宋体" w:hAnsi="宋体"/>
                <w:color w:val="auto"/>
                <w:sz w:val="21"/>
              </w:rPr>
            </w:pPr>
            <w:r>
              <w:rPr>
                <w:rFonts w:hint="eastAsia" w:ascii="宋体" w:hAnsi="宋体"/>
                <w:color w:val="auto"/>
                <w:sz w:val="21"/>
              </w:rPr>
              <w:t>安装单位</w:t>
            </w:r>
            <w:r>
              <w:rPr>
                <w:rFonts w:hint="eastAsia" w:ascii="宋体" w:hAnsi="宋体"/>
                <w:color w:val="auto"/>
                <w:sz w:val="21"/>
                <w:lang w:eastAsia="zh-CN"/>
              </w:rPr>
              <w:t>安全</w:t>
            </w:r>
            <w:r>
              <w:rPr>
                <w:rFonts w:hint="eastAsia" w:ascii="宋体" w:hAnsi="宋体"/>
                <w:color w:val="auto"/>
                <w:sz w:val="21"/>
              </w:rPr>
              <w:t>负责人：</w:t>
            </w:r>
          </w:p>
          <w:p w14:paraId="578EF054">
            <w:pPr>
              <w:autoSpaceDE w:val="0"/>
              <w:autoSpaceDN w:val="0"/>
              <w:adjustRightInd w:val="0"/>
              <w:ind w:right="1320" w:rightChars="550" w:firstLine="420"/>
              <w:jc w:val="center"/>
              <w:rPr>
                <w:rFonts w:ascii="宋体" w:hAnsi="宋体"/>
                <w:color w:val="auto"/>
                <w:sz w:val="21"/>
              </w:rPr>
            </w:pPr>
          </w:p>
          <w:p w14:paraId="59D621E7">
            <w:pPr>
              <w:autoSpaceDE w:val="0"/>
              <w:autoSpaceDN w:val="0"/>
              <w:adjustRightInd w:val="0"/>
              <w:ind w:left="0" w:leftChars="0" w:right="1320" w:rightChars="550" w:firstLine="0" w:firstLineChars="0"/>
              <w:jc w:val="both"/>
              <w:rPr>
                <w:rFonts w:ascii="宋体" w:hAnsi="宋体"/>
                <w:color w:val="auto"/>
                <w:sz w:val="21"/>
              </w:rPr>
            </w:pPr>
            <w:r>
              <w:rPr>
                <w:rFonts w:hint="eastAsia" w:ascii="宋体" w:hAnsi="宋体"/>
                <w:color w:val="auto"/>
                <w:sz w:val="21"/>
                <w:lang w:eastAsia="zh-CN"/>
              </w:rPr>
              <w:t>　　　　</w:t>
            </w:r>
            <w:r>
              <w:rPr>
                <w:rFonts w:hint="eastAsia" w:ascii="宋体" w:hAnsi="宋体"/>
                <w:color w:val="auto"/>
                <w:sz w:val="21"/>
              </w:rPr>
              <w:t>年   　月　   日</w:t>
            </w:r>
          </w:p>
        </w:tc>
      </w:tr>
    </w:tbl>
    <w:p w14:paraId="40436578">
      <w:pPr>
        <w:pStyle w:val="48"/>
        <w:ind w:firstLine="480"/>
        <w:rPr>
          <w:color w:val="auto"/>
        </w:rPr>
      </w:pPr>
    </w:p>
    <w:p w14:paraId="3D0B2037">
      <w:pPr>
        <w:pStyle w:val="4"/>
        <w:bidi w:val="0"/>
        <w:rPr>
          <w:rFonts w:hint="eastAsia"/>
          <w:lang w:val="en-US" w:eastAsia="zh-CN"/>
        </w:rPr>
      </w:pPr>
      <w:bookmarkStart w:id="125" w:name="_Toc4621"/>
      <w:r>
        <w:rPr>
          <w:rFonts w:hint="eastAsia"/>
          <w:lang w:val="en-US" w:eastAsia="zh-CN"/>
        </w:rPr>
        <w:t>塔式起重机检查</w:t>
      </w:r>
      <w:bookmarkEnd w:id="125"/>
    </w:p>
    <w:p w14:paraId="3C12006B">
      <w:pPr>
        <w:ind w:firstLine="480"/>
        <w:rPr>
          <w:rFonts w:hint="eastAsia" w:ascii="Times New Roman" w:hAnsi="Times New Roman"/>
          <w:color w:val="auto"/>
          <w:szCs w:val="24"/>
        </w:rPr>
      </w:pPr>
      <w:r>
        <w:rPr>
          <w:rFonts w:hint="eastAsia" w:ascii="Times New Roman" w:hAnsi="Times New Roman"/>
          <w:color w:val="auto"/>
          <w:szCs w:val="24"/>
        </w:rPr>
        <w:t>安全检查分的主要检查方法为：看施工现场的环境和作业条件，看操作人员的时间操作，看设备的安全防护装置是否齐全有效，看设备的各机构是否运转正常。</w:t>
      </w:r>
    </w:p>
    <w:p w14:paraId="109D596E">
      <w:pPr>
        <w:ind w:firstLine="480"/>
        <w:rPr>
          <w:rFonts w:hint="eastAsia" w:ascii="Times New Roman" w:hAnsi="Times New Roman"/>
          <w:color w:val="auto"/>
          <w:szCs w:val="24"/>
        </w:rPr>
      </w:pPr>
      <w:r>
        <w:rPr>
          <w:rFonts w:hint="eastAsia" w:ascii="Times New Roman" w:hAnsi="Times New Roman"/>
          <w:color w:val="auto"/>
          <w:szCs w:val="24"/>
        </w:rPr>
        <w:t>对其主体结构、电气系统、安全防护设施等内容的检查。检查小组内技术人员主要负责结构安全检查，安全员负责安全防护设施及安全隐患的检查，专职电工主要负责电气系统的检查，机械工程师主要负责各机构的检查。</w:t>
      </w:r>
    </w:p>
    <w:p w14:paraId="25B2F2C1">
      <w:pPr>
        <w:ind w:firstLine="480"/>
        <w:rPr>
          <w:rFonts w:hint="eastAsia" w:ascii="Times New Roman" w:hAnsi="Times New Roman"/>
          <w:color w:val="auto"/>
          <w:szCs w:val="24"/>
        </w:rPr>
      </w:pPr>
      <w:r>
        <w:rPr>
          <w:rFonts w:hint="eastAsia" w:ascii="Times New Roman" w:hAnsi="Times New Roman"/>
          <w:color w:val="auto"/>
          <w:szCs w:val="24"/>
        </w:rPr>
        <w:t>（1）查意识：检查现场设备班组长、操作人员对安全生产是否足够重视，检查施工人员是否具有足够的安全意识。</w:t>
      </w:r>
    </w:p>
    <w:p w14:paraId="15B63376">
      <w:pPr>
        <w:ind w:firstLine="480"/>
        <w:rPr>
          <w:rFonts w:hint="eastAsia" w:ascii="Times New Roman" w:hAnsi="Times New Roman"/>
          <w:color w:val="auto"/>
          <w:szCs w:val="24"/>
        </w:rPr>
      </w:pPr>
      <w:r>
        <w:rPr>
          <w:rFonts w:hint="eastAsia" w:ascii="Times New Roman" w:hAnsi="Times New Roman"/>
          <w:color w:val="auto"/>
          <w:szCs w:val="24"/>
        </w:rPr>
        <w:t>（2）查制度落实：查安全生产制度的执行情况，并根据奖惩办法实施奖惩。</w:t>
      </w:r>
    </w:p>
    <w:p w14:paraId="35A8FB02">
      <w:pPr>
        <w:ind w:firstLine="480"/>
        <w:rPr>
          <w:rFonts w:hint="eastAsia" w:ascii="Times New Roman" w:hAnsi="Times New Roman"/>
          <w:color w:val="auto"/>
          <w:szCs w:val="24"/>
        </w:rPr>
      </w:pPr>
      <w:r>
        <w:rPr>
          <w:rFonts w:hint="eastAsia" w:ascii="Times New Roman" w:hAnsi="Times New Roman"/>
          <w:color w:val="auto"/>
          <w:szCs w:val="24"/>
        </w:rPr>
        <w:t>（3）查隐患：深入施工现场，检查作业条件、设备状况等是否符合规范要求，是否存在安全隐患。</w:t>
      </w:r>
    </w:p>
    <w:p w14:paraId="4C625BCE">
      <w:pPr>
        <w:ind w:firstLine="480"/>
        <w:rPr>
          <w:rFonts w:hint="eastAsia" w:ascii="Times New Roman" w:hAnsi="Times New Roman"/>
          <w:color w:val="auto"/>
          <w:szCs w:val="24"/>
        </w:rPr>
      </w:pPr>
      <w:r>
        <w:rPr>
          <w:rFonts w:hint="eastAsia" w:ascii="Times New Roman" w:hAnsi="Times New Roman"/>
          <w:color w:val="auto"/>
          <w:szCs w:val="24"/>
        </w:rPr>
        <w:t>（4）查整改落实：检查在各个部位、各个环节出现的隐患，是否严格按照整改要求及时整改。</w:t>
      </w:r>
    </w:p>
    <w:p w14:paraId="207F60A4">
      <w:pPr>
        <w:pStyle w:val="54"/>
        <w:ind w:left="420" w:firstLine="0" w:firstLineChars="0"/>
        <w:jc w:val="center"/>
        <w:rPr>
          <w:rFonts w:hint="eastAsia" w:ascii="宋体" w:hAnsi="宋体" w:cs="宋体"/>
          <w:b/>
          <w:color w:val="auto"/>
          <w:sz w:val="21"/>
          <w:szCs w:val="21"/>
        </w:rPr>
      </w:pPr>
      <w:r>
        <w:rPr>
          <w:rFonts w:hint="eastAsia" w:ascii="宋体" w:hAnsi="宋体" w:cs="宋体"/>
          <w:b/>
          <w:color w:val="auto"/>
          <w:sz w:val="21"/>
          <w:szCs w:val="21"/>
        </w:rPr>
        <w:t>表</w:t>
      </w:r>
      <w:r>
        <w:rPr>
          <w:rFonts w:hint="eastAsia" w:ascii="宋体" w:hAnsi="宋体" w:cs="宋体"/>
          <w:b/>
          <w:color w:val="auto"/>
          <w:sz w:val="21"/>
          <w:szCs w:val="21"/>
          <w:lang w:val="en-US" w:eastAsia="zh-CN"/>
        </w:rPr>
        <w:t>4.6.3</w:t>
      </w:r>
      <w:r>
        <w:rPr>
          <w:rFonts w:hint="eastAsia" w:ascii="宋体" w:hAnsi="宋体" w:cs="宋体"/>
          <w:b/>
          <w:color w:val="auto"/>
          <w:sz w:val="21"/>
          <w:szCs w:val="21"/>
        </w:rPr>
        <w:t>-1 塔机安全检查表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5019"/>
        <w:gridCol w:w="1773"/>
        <w:gridCol w:w="1407"/>
      </w:tblGrid>
      <w:tr w14:paraId="1C43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5829" w:type="dxa"/>
            <w:gridSpan w:val="2"/>
            <w:noWrap w:val="0"/>
            <w:vAlign w:val="center"/>
          </w:tcPr>
          <w:p w14:paraId="6BA4D6C3">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       查      内      容</w:t>
            </w:r>
          </w:p>
        </w:tc>
        <w:tc>
          <w:tcPr>
            <w:tcW w:w="1773" w:type="dxa"/>
            <w:noWrap w:val="0"/>
            <w:vAlign w:val="center"/>
          </w:tcPr>
          <w:p w14:paraId="121BB70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参照标准</w:t>
            </w:r>
          </w:p>
        </w:tc>
        <w:tc>
          <w:tcPr>
            <w:tcW w:w="1407" w:type="dxa"/>
            <w:noWrap w:val="0"/>
            <w:vAlign w:val="center"/>
          </w:tcPr>
          <w:p w14:paraId="09E3277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检查结果</w:t>
            </w:r>
          </w:p>
        </w:tc>
      </w:tr>
      <w:tr w14:paraId="54B7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restart"/>
            <w:noWrap w:val="0"/>
            <w:vAlign w:val="center"/>
          </w:tcPr>
          <w:p w14:paraId="60E033E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（1）基</w:t>
            </w:r>
          </w:p>
          <w:p w14:paraId="2BB4205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础</w:t>
            </w:r>
          </w:p>
        </w:tc>
        <w:tc>
          <w:tcPr>
            <w:tcW w:w="5019" w:type="dxa"/>
            <w:noWrap w:val="0"/>
            <w:vAlign w:val="center"/>
          </w:tcPr>
          <w:p w14:paraId="6E9A548A">
            <w:pPr>
              <w:ind w:firstLine="0" w:firstLineChars="0"/>
              <w:rPr>
                <w:rFonts w:hint="eastAsia" w:ascii="宋体" w:hAnsi="宋体" w:cs="宋体"/>
                <w:bCs/>
                <w:color w:val="auto"/>
                <w:sz w:val="21"/>
                <w:szCs w:val="21"/>
              </w:rPr>
            </w:pPr>
            <w:r>
              <w:rPr>
                <w:rFonts w:hint="eastAsia" w:ascii="宋体" w:hAnsi="宋体" w:cs="宋体"/>
                <w:bCs/>
                <w:color w:val="auto"/>
                <w:sz w:val="21"/>
                <w:szCs w:val="21"/>
              </w:rPr>
              <w:t>1.稳定性；</w:t>
            </w:r>
          </w:p>
        </w:tc>
        <w:tc>
          <w:tcPr>
            <w:tcW w:w="1773" w:type="dxa"/>
            <w:vMerge w:val="restart"/>
            <w:noWrap w:val="0"/>
            <w:vAlign w:val="center"/>
          </w:tcPr>
          <w:p w14:paraId="43E803CF">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J</w:t>
            </w:r>
            <w:r>
              <w:rPr>
                <w:rFonts w:hint="eastAsia" w:ascii="宋体" w:hAnsi="宋体" w:cs="宋体"/>
                <w:bCs/>
                <w:color w:val="auto"/>
                <w:sz w:val="21"/>
                <w:szCs w:val="21"/>
                <w:highlight w:val="none"/>
                <w:lang w:val="en-US" w:eastAsia="zh-CN"/>
              </w:rPr>
              <w:t>G</w:t>
            </w:r>
            <w:r>
              <w:rPr>
                <w:rFonts w:hint="eastAsia" w:ascii="宋体" w:hAnsi="宋体" w:cs="宋体"/>
                <w:bCs/>
                <w:color w:val="auto"/>
                <w:sz w:val="21"/>
                <w:szCs w:val="21"/>
                <w:highlight w:val="none"/>
              </w:rPr>
              <w:t>J/T</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187-20</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rPr>
              <w:t>9</w:t>
            </w:r>
          </w:p>
        </w:tc>
        <w:tc>
          <w:tcPr>
            <w:tcW w:w="1407" w:type="dxa"/>
            <w:noWrap w:val="0"/>
            <w:vAlign w:val="center"/>
          </w:tcPr>
          <w:p w14:paraId="4AB9A977">
            <w:pPr>
              <w:ind w:firstLine="0" w:firstLineChars="0"/>
              <w:rPr>
                <w:rFonts w:hint="eastAsia" w:ascii="宋体" w:hAnsi="宋体" w:cs="宋体"/>
                <w:bCs/>
                <w:color w:val="auto"/>
                <w:sz w:val="21"/>
                <w:szCs w:val="21"/>
              </w:rPr>
            </w:pPr>
          </w:p>
        </w:tc>
      </w:tr>
      <w:tr w14:paraId="47D8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5F484D9B">
            <w:pPr>
              <w:ind w:firstLine="0" w:firstLineChars="0"/>
              <w:jc w:val="center"/>
              <w:rPr>
                <w:rFonts w:hint="eastAsia" w:ascii="宋体" w:hAnsi="宋体" w:cs="宋体"/>
                <w:bCs/>
                <w:color w:val="auto"/>
                <w:sz w:val="21"/>
                <w:szCs w:val="21"/>
              </w:rPr>
            </w:pPr>
          </w:p>
        </w:tc>
        <w:tc>
          <w:tcPr>
            <w:tcW w:w="5019" w:type="dxa"/>
            <w:noWrap w:val="0"/>
            <w:vAlign w:val="center"/>
          </w:tcPr>
          <w:p w14:paraId="302303BB">
            <w:pPr>
              <w:ind w:firstLine="0" w:firstLineChars="0"/>
              <w:rPr>
                <w:rFonts w:hint="eastAsia" w:ascii="宋体" w:hAnsi="宋体" w:cs="宋体"/>
                <w:bCs/>
                <w:color w:val="auto"/>
                <w:sz w:val="21"/>
                <w:szCs w:val="21"/>
              </w:rPr>
            </w:pPr>
            <w:r>
              <w:rPr>
                <w:rFonts w:hint="eastAsia" w:ascii="宋体" w:hAnsi="宋体" w:cs="宋体"/>
                <w:bCs/>
                <w:color w:val="auto"/>
                <w:sz w:val="21"/>
                <w:szCs w:val="21"/>
              </w:rPr>
              <w:t>2.排水措施；</w:t>
            </w:r>
          </w:p>
        </w:tc>
        <w:tc>
          <w:tcPr>
            <w:tcW w:w="1773" w:type="dxa"/>
            <w:vMerge w:val="continue"/>
            <w:noWrap w:val="0"/>
            <w:vAlign w:val="center"/>
          </w:tcPr>
          <w:p w14:paraId="6AF22DDA">
            <w:pPr>
              <w:ind w:firstLine="0" w:firstLineChars="0"/>
              <w:rPr>
                <w:rFonts w:hint="eastAsia" w:ascii="宋体" w:hAnsi="宋体" w:cs="宋体"/>
                <w:bCs/>
                <w:color w:val="auto"/>
                <w:sz w:val="21"/>
                <w:szCs w:val="21"/>
              </w:rPr>
            </w:pPr>
          </w:p>
        </w:tc>
        <w:tc>
          <w:tcPr>
            <w:tcW w:w="1407" w:type="dxa"/>
            <w:noWrap w:val="0"/>
            <w:vAlign w:val="center"/>
          </w:tcPr>
          <w:p w14:paraId="10ACED0C">
            <w:pPr>
              <w:ind w:firstLine="0" w:firstLineChars="0"/>
              <w:rPr>
                <w:rFonts w:hint="eastAsia" w:ascii="宋体" w:hAnsi="宋体" w:cs="宋体"/>
                <w:bCs/>
                <w:color w:val="auto"/>
                <w:sz w:val="21"/>
                <w:szCs w:val="21"/>
              </w:rPr>
            </w:pPr>
          </w:p>
        </w:tc>
      </w:tr>
      <w:tr w14:paraId="396A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53F74A7A">
            <w:pPr>
              <w:ind w:firstLine="0" w:firstLineChars="0"/>
              <w:jc w:val="center"/>
              <w:rPr>
                <w:rFonts w:hint="eastAsia" w:ascii="宋体" w:hAnsi="宋体" w:cs="宋体"/>
                <w:bCs/>
                <w:color w:val="auto"/>
                <w:sz w:val="21"/>
                <w:szCs w:val="21"/>
              </w:rPr>
            </w:pPr>
          </w:p>
        </w:tc>
        <w:tc>
          <w:tcPr>
            <w:tcW w:w="5019" w:type="dxa"/>
            <w:noWrap w:val="0"/>
            <w:vAlign w:val="center"/>
          </w:tcPr>
          <w:p w14:paraId="2C68CDAC">
            <w:pPr>
              <w:ind w:firstLine="0" w:firstLineChars="0"/>
              <w:rPr>
                <w:rFonts w:hint="eastAsia" w:ascii="宋体" w:hAnsi="宋体" w:cs="宋体"/>
                <w:bCs/>
                <w:color w:val="auto"/>
                <w:sz w:val="21"/>
                <w:szCs w:val="21"/>
              </w:rPr>
            </w:pPr>
            <w:r>
              <w:rPr>
                <w:rFonts w:hint="eastAsia" w:ascii="宋体" w:hAnsi="宋体" w:cs="宋体"/>
                <w:bCs/>
                <w:color w:val="auto"/>
                <w:sz w:val="21"/>
                <w:szCs w:val="21"/>
              </w:rPr>
              <w:t>3.沉降量不大于50mm。</w:t>
            </w:r>
          </w:p>
        </w:tc>
        <w:tc>
          <w:tcPr>
            <w:tcW w:w="1773" w:type="dxa"/>
            <w:vMerge w:val="continue"/>
            <w:noWrap w:val="0"/>
            <w:vAlign w:val="center"/>
          </w:tcPr>
          <w:p w14:paraId="703B9516">
            <w:pPr>
              <w:ind w:firstLine="0" w:firstLineChars="0"/>
              <w:rPr>
                <w:rFonts w:hint="eastAsia" w:ascii="宋体" w:hAnsi="宋体" w:cs="宋体"/>
                <w:bCs/>
                <w:color w:val="auto"/>
                <w:sz w:val="21"/>
                <w:szCs w:val="21"/>
              </w:rPr>
            </w:pPr>
          </w:p>
        </w:tc>
        <w:tc>
          <w:tcPr>
            <w:tcW w:w="1407" w:type="dxa"/>
            <w:noWrap w:val="0"/>
            <w:vAlign w:val="center"/>
          </w:tcPr>
          <w:p w14:paraId="29C9D869">
            <w:pPr>
              <w:ind w:firstLine="0" w:firstLineChars="0"/>
              <w:rPr>
                <w:rFonts w:hint="eastAsia" w:ascii="宋体" w:hAnsi="宋体" w:cs="宋体"/>
                <w:bCs/>
                <w:color w:val="auto"/>
                <w:sz w:val="21"/>
                <w:szCs w:val="21"/>
              </w:rPr>
            </w:pPr>
          </w:p>
        </w:tc>
      </w:tr>
      <w:tr w14:paraId="20EA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810" w:type="dxa"/>
            <w:vMerge w:val="restart"/>
            <w:noWrap w:val="0"/>
            <w:vAlign w:val="center"/>
          </w:tcPr>
          <w:p w14:paraId="7E72D14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（2）塔</w:t>
            </w:r>
          </w:p>
          <w:p w14:paraId="4EAF4CC3">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身</w:t>
            </w:r>
          </w:p>
          <w:p w14:paraId="276CDA5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结</w:t>
            </w:r>
          </w:p>
          <w:p w14:paraId="6A7D66AB">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构</w:t>
            </w:r>
          </w:p>
        </w:tc>
        <w:tc>
          <w:tcPr>
            <w:tcW w:w="5019" w:type="dxa"/>
            <w:noWrap w:val="0"/>
            <w:vAlign w:val="center"/>
          </w:tcPr>
          <w:p w14:paraId="6B9DE89F">
            <w:pPr>
              <w:ind w:firstLine="0" w:firstLineChars="0"/>
              <w:rPr>
                <w:rFonts w:hint="eastAsia" w:ascii="宋体" w:hAnsi="宋体" w:cs="宋体"/>
                <w:bCs/>
                <w:color w:val="auto"/>
                <w:sz w:val="21"/>
                <w:szCs w:val="21"/>
              </w:rPr>
            </w:pPr>
            <w:r>
              <w:rPr>
                <w:rFonts w:hint="eastAsia" w:ascii="宋体" w:hAnsi="宋体" w:cs="宋体"/>
                <w:bCs/>
                <w:color w:val="auto"/>
                <w:sz w:val="21"/>
                <w:szCs w:val="21"/>
              </w:rPr>
              <w:t>1.结构无变形、开焊、裂纹；</w:t>
            </w:r>
          </w:p>
        </w:tc>
        <w:tc>
          <w:tcPr>
            <w:tcW w:w="1773" w:type="dxa"/>
            <w:vMerge w:val="restart"/>
            <w:noWrap w:val="0"/>
            <w:vAlign w:val="center"/>
          </w:tcPr>
          <w:p w14:paraId="5402F66D">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4AA1D74F">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4FB83B41">
            <w:pPr>
              <w:ind w:firstLine="0" w:firstLineChars="0"/>
              <w:rPr>
                <w:rFonts w:hint="eastAsia" w:ascii="宋体" w:hAnsi="宋体" w:cs="宋体"/>
                <w:bCs/>
                <w:color w:val="auto"/>
                <w:sz w:val="21"/>
                <w:szCs w:val="21"/>
              </w:rPr>
            </w:pPr>
          </w:p>
        </w:tc>
      </w:tr>
      <w:tr w14:paraId="6EAE3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6B2AF1B0">
            <w:pPr>
              <w:ind w:firstLine="0" w:firstLineChars="0"/>
              <w:jc w:val="center"/>
              <w:rPr>
                <w:rFonts w:hint="eastAsia" w:ascii="宋体" w:hAnsi="宋体" w:cs="宋体"/>
                <w:bCs/>
                <w:color w:val="auto"/>
                <w:sz w:val="21"/>
                <w:szCs w:val="21"/>
              </w:rPr>
            </w:pPr>
          </w:p>
        </w:tc>
        <w:tc>
          <w:tcPr>
            <w:tcW w:w="5019" w:type="dxa"/>
            <w:noWrap w:val="0"/>
            <w:vAlign w:val="center"/>
          </w:tcPr>
          <w:p w14:paraId="7ECD3A32">
            <w:pPr>
              <w:ind w:firstLine="0" w:firstLineChars="0"/>
              <w:rPr>
                <w:rFonts w:hint="eastAsia" w:ascii="宋体" w:hAnsi="宋体" w:cs="宋体"/>
                <w:bCs/>
                <w:color w:val="auto"/>
                <w:sz w:val="21"/>
                <w:szCs w:val="21"/>
              </w:rPr>
            </w:pPr>
            <w:r>
              <w:rPr>
                <w:rFonts w:hint="eastAsia" w:ascii="宋体" w:hAnsi="宋体" w:cs="宋体"/>
                <w:bCs/>
                <w:color w:val="auto"/>
                <w:sz w:val="21"/>
                <w:szCs w:val="21"/>
              </w:rPr>
              <w:t>2.螺帽、销轴、高强度螺栓等零部件配置齐全、无松动、缺损、无严重锈蚀；</w:t>
            </w:r>
          </w:p>
        </w:tc>
        <w:tc>
          <w:tcPr>
            <w:tcW w:w="1773" w:type="dxa"/>
            <w:vMerge w:val="continue"/>
            <w:noWrap w:val="0"/>
            <w:vAlign w:val="center"/>
          </w:tcPr>
          <w:p w14:paraId="51FF7173">
            <w:pPr>
              <w:ind w:firstLine="0" w:firstLineChars="0"/>
              <w:rPr>
                <w:rFonts w:hint="eastAsia" w:ascii="宋体" w:hAnsi="宋体" w:cs="宋体"/>
                <w:bCs/>
                <w:color w:val="auto"/>
                <w:sz w:val="21"/>
                <w:szCs w:val="21"/>
              </w:rPr>
            </w:pPr>
          </w:p>
        </w:tc>
        <w:tc>
          <w:tcPr>
            <w:tcW w:w="1407" w:type="dxa"/>
            <w:noWrap w:val="0"/>
            <w:vAlign w:val="center"/>
          </w:tcPr>
          <w:p w14:paraId="39C60957">
            <w:pPr>
              <w:ind w:firstLine="0" w:firstLineChars="0"/>
              <w:rPr>
                <w:rFonts w:hint="eastAsia" w:ascii="宋体" w:hAnsi="宋体" w:cs="宋体"/>
                <w:bCs/>
                <w:color w:val="auto"/>
                <w:sz w:val="21"/>
                <w:szCs w:val="21"/>
              </w:rPr>
            </w:pPr>
          </w:p>
        </w:tc>
      </w:tr>
      <w:tr w14:paraId="0ECF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35CC0B35">
            <w:pPr>
              <w:ind w:firstLine="0" w:firstLineChars="0"/>
              <w:jc w:val="center"/>
              <w:rPr>
                <w:rFonts w:hint="eastAsia" w:ascii="宋体" w:hAnsi="宋体" w:cs="宋体"/>
                <w:bCs/>
                <w:color w:val="auto"/>
                <w:sz w:val="21"/>
                <w:szCs w:val="21"/>
              </w:rPr>
            </w:pPr>
          </w:p>
        </w:tc>
        <w:tc>
          <w:tcPr>
            <w:tcW w:w="5019" w:type="dxa"/>
            <w:noWrap w:val="0"/>
            <w:vAlign w:val="center"/>
          </w:tcPr>
          <w:p w14:paraId="4298C66C">
            <w:pPr>
              <w:ind w:firstLine="0" w:firstLineChars="0"/>
              <w:rPr>
                <w:rFonts w:hint="eastAsia" w:ascii="宋体" w:hAnsi="宋体" w:cs="宋体"/>
                <w:bCs/>
                <w:color w:val="auto"/>
                <w:sz w:val="21"/>
                <w:szCs w:val="21"/>
              </w:rPr>
            </w:pPr>
            <w:r>
              <w:rPr>
                <w:rFonts w:hint="eastAsia" w:ascii="宋体" w:hAnsi="宋体" w:cs="宋体"/>
                <w:bCs/>
                <w:color w:val="auto"/>
                <w:sz w:val="21"/>
                <w:szCs w:val="21"/>
              </w:rPr>
              <w:t>3.垂直度≤3‰；</w:t>
            </w:r>
          </w:p>
        </w:tc>
        <w:tc>
          <w:tcPr>
            <w:tcW w:w="1773" w:type="dxa"/>
            <w:vMerge w:val="continue"/>
            <w:noWrap w:val="0"/>
            <w:vAlign w:val="center"/>
          </w:tcPr>
          <w:p w14:paraId="18A4E57F">
            <w:pPr>
              <w:ind w:firstLine="0" w:firstLineChars="0"/>
              <w:rPr>
                <w:rFonts w:hint="eastAsia" w:ascii="宋体" w:hAnsi="宋体" w:cs="宋体"/>
                <w:bCs/>
                <w:color w:val="auto"/>
                <w:sz w:val="21"/>
                <w:szCs w:val="21"/>
              </w:rPr>
            </w:pPr>
          </w:p>
        </w:tc>
        <w:tc>
          <w:tcPr>
            <w:tcW w:w="1407" w:type="dxa"/>
            <w:noWrap w:val="0"/>
            <w:vAlign w:val="center"/>
          </w:tcPr>
          <w:p w14:paraId="4331853E">
            <w:pPr>
              <w:ind w:firstLine="0" w:firstLineChars="0"/>
              <w:rPr>
                <w:rFonts w:hint="eastAsia" w:ascii="宋体" w:hAnsi="宋体" w:cs="宋体"/>
                <w:bCs/>
                <w:color w:val="auto"/>
                <w:sz w:val="21"/>
                <w:szCs w:val="21"/>
              </w:rPr>
            </w:pPr>
          </w:p>
        </w:tc>
      </w:tr>
      <w:tr w14:paraId="56AB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57A68199">
            <w:pPr>
              <w:ind w:firstLine="0" w:firstLineChars="0"/>
              <w:jc w:val="center"/>
              <w:rPr>
                <w:rFonts w:hint="eastAsia" w:ascii="宋体" w:hAnsi="宋体" w:cs="宋体"/>
                <w:bCs/>
                <w:color w:val="auto"/>
                <w:sz w:val="21"/>
                <w:szCs w:val="21"/>
              </w:rPr>
            </w:pPr>
          </w:p>
        </w:tc>
        <w:tc>
          <w:tcPr>
            <w:tcW w:w="5019" w:type="dxa"/>
            <w:noWrap w:val="0"/>
            <w:vAlign w:val="center"/>
          </w:tcPr>
          <w:p w14:paraId="11638B43">
            <w:pPr>
              <w:ind w:firstLine="0" w:firstLineChars="0"/>
              <w:rPr>
                <w:rFonts w:hint="eastAsia" w:ascii="宋体" w:hAnsi="宋体" w:cs="宋体"/>
                <w:bCs/>
                <w:color w:val="auto"/>
                <w:sz w:val="21"/>
                <w:szCs w:val="21"/>
              </w:rPr>
            </w:pPr>
            <w:r>
              <w:rPr>
                <w:rFonts w:hint="eastAsia" w:ascii="宋体" w:hAnsi="宋体" w:cs="宋体"/>
                <w:bCs/>
                <w:color w:val="auto"/>
                <w:sz w:val="21"/>
                <w:szCs w:val="21"/>
              </w:rPr>
              <w:t>4.爬梯设置防护圈应符合国家标准；</w:t>
            </w:r>
          </w:p>
        </w:tc>
        <w:tc>
          <w:tcPr>
            <w:tcW w:w="1773" w:type="dxa"/>
            <w:vMerge w:val="continue"/>
            <w:noWrap w:val="0"/>
            <w:vAlign w:val="center"/>
          </w:tcPr>
          <w:p w14:paraId="6AE02E35">
            <w:pPr>
              <w:ind w:firstLine="0" w:firstLineChars="0"/>
              <w:rPr>
                <w:rFonts w:hint="eastAsia" w:ascii="宋体" w:hAnsi="宋体" w:cs="宋体"/>
                <w:bCs/>
                <w:color w:val="auto"/>
                <w:sz w:val="21"/>
                <w:szCs w:val="21"/>
              </w:rPr>
            </w:pPr>
          </w:p>
        </w:tc>
        <w:tc>
          <w:tcPr>
            <w:tcW w:w="1407" w:type="dxa"/>
            <w:noWrap w:val="0"/>
            <w:vAlign w:val="center"/>
          </w:tcPr>
          <w:p w14:paraId="7A07987A">
            <w:pPr>
              <w:ind w:firstLine="0" w:firstLineChars="0"/>
              <w:rPr>
                <w:rFonts w:hint="eastAsia" w:ascii="宋体" w:hAnsi="宋体" w:cs="宋体"/>
                <w:bCs/>
                <w:color w:val="auto"/>
                <w:sz w:val="21"/>
                <w:szCs w:val="21"/>
              </w:rPr>
            </w:pPr>
          </w:p>
        </w:tc>
      </w:tr>
      <w:tr w14:paraId="4D5D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14:paraId="77DE869E">
            <w:pPr>
              <w:ind w:firstLine="0" w:firstLineChars="0"/>
              <w:jc w:val="center"/>
              <w:rPr>
                <w:rFonts w:hint="eastAsia" w:ascii="宋体" w:hAnsi="宋体" w:cs="宋体"/>
                <w:bCs/>
                <w:color w:val="auto"/>
                <w:sz w:val="21"/>
                <w:szCs w:val="21"/>
              </w:rPr>
            </w:pPr>
          </w:p>
        </w:tc>
        <w:tc>
          <w:tcPr>
            <w:tcW w:w="5019" w:type="dxa"/>
            <w:noWrap w:val="0"/>
            <w:vAlign w:val="center"/>
          </w:tcPr>
          <w:p w14:paraId="765000DF">
            <w:pPr>
              <w:ind w:firstLine="0" w:firstLineChars="0"/>
              <w:rPr>
                <w:rFonts w:hint="eastAsia" w:ascii="宋体" w:hAnsi="宋体" w:cs="宋体"/>
                <w:bCs/>
                <w:color w:val="auto"/>
                <w:sz w:val="21"/>
                <w:szCs w:val="21"/>
              </w:rPr>
            </w:pPr>
            <w:r>
              <w:rPr>
                <w:rFonts w:hint="eastAsia" w:ascii="宋体" w:hAnsi="宋体" w:cs="宋体"/>
                <w:bCs/>
                <w:color w:val="auto"/>
                <w:sz w:val="21"/>
                <w:szCs w:val="21"/>
              </w:rPr>
              <w:t>5.开口销不得用金属丝等代替。</w:t>
            </w:r>
          </w:p>
        </w:tc>
        <w:tc>
          <w:tcPr>
            <w:tcW w:w="1773" w:type="dxa"/>
            <w:vMerge w:val="continue"/>
            <w:noWrap w:val="0"/>
            <w:vAlign w:val="center"/>
          </w:tcPr>
          <w:p w14:paraId="3D9C349B">
            <w:pPr>
              <w:ind w:firstLine="0" w:firstLineChars="0"/>
              <w:rPr>
                <w:rFonts w:hint="eastAsia" w:ascii="宋体" w:hAnsi="宋体" w:cs="宋体"/>
                <w:bCs/>
                <w:color w:val="auto"/>
                <w:sz w:val="21"/>
                <w:szCs w:val="21"/>
              </w:rPr>
            </w:pPr>
          </w:p>
        </w:tc>
        <w:tc>
          <w:tcPr>
            <w:tcW w:w="1407" w:type="dxa"/>
            <w:noWrap w:val="0"/>
            <w:vAlign w:val="center"/>
          </w:tcPr>
          <w:p w14:paraId="0D0D9100">
            <w:pPr>
              <w:ind w:firstLine="0" w:firstLineChars="0"/>
              <w:rPr>
                <w:rFonts w:hint="eastAsia" w:ascii="宋体" w:hAnsi="宋体" w:cs="宋体"/>
                <w:bCs/>
                <w:color w:val="auto"/>
                <w:sz w:val="21"/>
                <w:szCs w:val="21"/>
              </w:rPr>
            </w:pPr>
          </w:p>
        </w:tc>
      </w:tr>
      <w:tr w14:paraId="607A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810" w:type="dxa"/>
            <w:vMerge w:val="restart"/>
            <w:noWrap w:val="0"/>
            <w:vAlign w:val="center"/>
          </w:tcPr>
          <w:p w14:paraId="2587ED8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（3）钢</w:t>
            </w:r>
          </w:p>
          <w:p w14:paraId="56C49AD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丝</w:t>
            </w:r>
          </w:p>
          <w:p w14:paraId="39EC2A8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绳</w:t>
            </w:r>
          </w:p>
        </w:tc>
        <w:tc>
          <w:tcPr>
            <w:tcW w:w="5019" w:type="dxa"/>
            <w:noWrap w:val="0"/>
            <w:vAlign w:val="center"/>
          </w:tcPr>
          <w:p w14:paraId="104223C6">
            <w:pPr>
              <w:ind w:firstLine="0" w:firstLineChars="0"/>
              <w:rPr>
                <w:rFonts w:hint="eastAsia" w:ascii="宋体" w:hAnsi="宋体" w:cs="宋体"/>
                <w:bCs/>
                <w:color w:val="auto"/>
                <w:sz w:val="21"/>
                <w:szCs w:val="21"/>
              </w:rPr>
            </w:pPr>
            <w:r>
              <w:rPr>
                <w:rFonts w:hint="eastAsia" w:ascii="宋体" w:hAnsi="宋体" w:cs="宋体"/>
                <w:bCs/>
                <w:color w:val="auto"/>
                <w:sz w:val="21"/>
                <w:szCs w:val="21"/>
              </w:rPr>
              <w:t>1.完好、无断股；</w:t>
            </w:r>
          </w:p>
        </w:tc>
        <w:tc>
          <w:tcPr>
            <w:tcW w:w="1773" w:type="dxa"/>
            <w:vMerge w:val="restart"/>
            <w:noWrap w:val="0"/>
            <w:vAlign w:val="center"/>
          </w:tcPr>
          <w:p w14:paraId="50DC206E">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GBT5972-20</w:t>
            </w:r>
            <w:r>
              <w:rPr>
                <w:rFonts w:hint="eastAsia" w:ascii="宋体" w:hAnsi="宋体" w:cs="宋体"/>
                <w:bCs/>
                <w:color w:val="auto"/>
                <w:sz w:val="21"/>
                <w:szCs w:val="21"/>
                <w:highlight w:val="none"/>
                <w:lang w:val="en-US" w:eastAsia="zh-CN"/>
              </w:rPr>
              <w:t>16</w:t>
            </w:r>
          </w:p>
          <w:p w14:paraId="4866A0DF">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2699B7C7">
            <w:pPr>
              <w:ind w:firstLine="0" w:firstLineChars="0"/>
              <w:rPr>
                <w:rFonts w:hint="eastAsia" w:ascii="宋体" w:hAnsi="宋体" w:cs="宋体"/>
                <w:bCs/>
                <w:color w:val="auto"/>
                <w:sz w:val="21"/>
                <w:szCs w:val="21"/>
              </w:rPr>
            </w:pPr>
          </w:p>
        </w:tc>
      </w:tr>
      <w:tr w14:paraId="7085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7251529B">
            <w:pPr>
              <w:ind w:firstLine="0" w:firstLineChars="0"/>
              <w:jc w:val="center"/>
              <w:rPr>
                <w:rFonts w:hint="eastAsia" w:ascii="宋体" w:hAnsi="宋体" w:cs="宋体"/>
                <w:bCs/>
                <w:color w:val="auto"/>
                <w:sz w:val="21"/>
                <w:szCs w:val="21"/>
              </w:rPr>
            </w:pPr>
          </w:p>
        </w:tc>
        <w:tc>
          <w:tcPr>
            <w:tcW w:w="5019" w:type="dxa"/>
            <w:noWrap w:val="0"/>
            <w:vAlign w:val="center"/>
          </w:tcPr>
          <w:p w14:paraId="6AED9AB6">
            <w:pPr>
              <w:ind w:firstLine="0" w:firstLineChars="0"/>
              <w:rPr>
                <w:rFonts w:hint="eastAsia" w:ascii="宋体" w:hAnsi="宋体" w:cs="宋体"/>
                <w:bCs/>
                <w:color w:val="auto"/>
                <w:sz w:val="21"/>
                <w:szCs w:val="21"/>
              </w:rPr>
            </w:pPr>
            <w:r>
              <w:rPr>
                <w:rFonts w:hint="eastAsia" w:ascii="宋体" w:hAnsi="宋体" w:cs="宋体"/>
                <w:bCs/>
                <w:color w:val="auto"/>
                <w:sz w:val="21"/>
                <w:szCs w:val="21"/>
              </w:rPr>
              <w:t>2.断丝不超过10％；</w:t>
            </w:r>
          </w:p>
        </w:tc>
        <w:tc>
          <w:tcPr>
            <w:tcW w:w="1773" w:type="dxa"/>
            <w:vMerge w:val="continue"/>
            <w:noWrap w:val="0"/>
            <w:vAlign w:val="center"/>
          </w:tcPr>
          <w:p w14:paraId="00BDFA76">
            <w:pPr>
              <w:ind w:firstLine="0" w:firstLineChars="0"/>
              <w:rPr>
                <w:rFonts w:hint="eastAsia" w:ascii="宋体" w:hAnsi="宋体" w:cs="宋体"/>
                <w:bCs/>
                <w:color w:val="auto"/>
                <w:sz w:val="21"/>
                <w:szCs w:val="21"/>
              </w:rPr>
            </w:pPr>
          </w:p>
        </w:tc>
        <w:tc>
          <w:tcPr>
            <w:tcW w:w="1407" w:type="dxa"/>
            <w:noWrap w:val="0"/>
            <w:vAlign w:val="center"/>
          </w:tcPr>
          <w:p w14:paraId="3253E93F">
            <w:pPr>
              <w:ind w:firstLine="0" w:firstLineChars="0"/>
              <w:rPr>
                <w:rFonts w:hint="eastAsia" w:ascii="宋体" w:hAnsi="宋体" w:cs="宋体"/>
                <w:bCs/>
                <w:color w:val="auto"/>
                <w:sz w:val="21"/>
                <w:szCs w:val="21"/>
              </w:rPr>
            </w:pPr>
          </w:p>
        </w:tc>
      </w:tr>
      <w:tr w14:paraId="2E01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7D232B13">
            <w:pPr>
              <w:ind w:firstLine="0" w:firstLineChars="0"/>
              <w:jc w:val="center"/>
              <w:rPr>
                <w:rFonts w:hint="eastAsia" w:ascii="宋体" w:hAnsi="宋体" w:cs="宋体"/>
                <w:bCs/>
                <w:color w:val="auto"/>
                <w:sz w:val="21"/>
                <w:szCs w:val="21"/>
              </w:rPr>
            </w:pPr>
          </w:p>
        </w:tc>
        <w:tc>
          <w:tcPr>
            <w:tcW w:w="5019" w:type="dxa"/>
            <w:noWrap w:val="0"/>
            <w:vAlign w:val="center"/>
          </w:tcPr>
          <w:p w14:paraId="4CDE534C">
            <w:pPr>
              <w:ind w:firstLine="0" w:firstLineChars="0"/>
              <w:rPr>
                <w:rFonts w:hint="eastAsia" w:ascii="宋体" w:hAnsi="宋体" w:cs="宋体"/>
                <w:bCs/>
                <w:color w:val="auto"/>
                <w:sz w:val="21"/>
                <w:szCs w:val="21"/>
              </w:rPr>
            </w:pPr>
            <w:r>
              <w:rPr>
                <w:rFonts w:hint="eastAsia" w:ascii="宋体" w:hAnsi="宋体" w:cs="宋体"/>
                <w:bCs/>
                <w:color w:val="auto"/>
                <w:sz w:val="21"/>
                <w:szCs w:val="21"/>
              </w:rPr>
              <w:t>3.型号、规格、长度符合本机说明书规定；</w:t>
            </w:r>
          </w:p>
        </w:tc>
        <w:tc>
          <w:tcPr>
            <w:tcW w:w="1773" w:type="dxa"/>
            <w:vMerge w:val="continue"/>
            <w:noWrap w:val="0"/>
            <w:vAlign w:val="center"/>
          </w:tcPr>
          <w:p w14:paraId="10E730EF">
            <w:pPr>
              <w:ind w:firstLine="0" w:firstLineChars="0"/>
              <w:rPr>
                <w:rFonts w:hint="eastAsia" w:ascii="宋体" w:hAnsi="宋体" w:cs="宋体"/>
                <w:bCs/>
                <w:color w:val="auto"/>
                <w:sz w:val="21"/>
                <w:szCs w:val="21"/>
              </w:rPr>
            </w:pPr>
          </w:p>
        </w:tc>
        <w:tc>
          <w:tcPr>
            <w:tcW w:w="1407" w:type="dxa"/>
            <w:noWrap w:val="0"/>
            <w:vAlign w:val="center"/>
          </w:tcPr>
          <w:p w14:paraId="4250AFD7">
            <w:pPr>
              <w:ind w:firstLine="0" w:firstLineChars="0"/>
              <w:rPr>
                <w:rFonts w:hint="eastAsia" w:ascii="宋体" w:hAnsi="宋体" w:cs="宋体"/>
                <w:bCs/>
                <w:color w:val="auto"/>
                <w:sz w:val="21"/>
                <w:szCs w:val="21"/>
              </w:rPr>
            </w:pPr>
          </w:p>
        </w:tc>
      </w:tr>
      <w:tr w14:paraId="5212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66E9AC8F">
            <w:pPr>
              <w:ind w:firstLine="0" w:firstLineChars="0"/>
              <w:jc w:val="center"/>
              <w:rPr>
                <w:rFonts w:hint="eastAsia" w:ascii="宋体" w:hAnsi="宋体" w:cs="宋体"/>
                <w:bCs/>
                <w:color w:val="auto"/>
                <w:sz w:val="21"/>
                <w:szCs w:val="21"/>
              </w:rPr>
            </w:pPr>
          </w:p>
        </w:tc>
        <w:tc>
          <w:tcPr>
            <w:tcW w:w="5019" w:type="dxa"/>
            <w:noWrap w:val="0"/>
            <w:vAlign w:val="center"/>
          </w:tcPr>
          <w:p w14:paraId="091EE228">
            <w:pPr>
              <w:ind w:firstLine="0" w:firstLineChars="0"/>
              <w:rPr>
                <w:rFonts w:hint="eastAsia" w:ascii="宋体" w:hAnsi="宋体" w:cs="宋体"/>
                <w:bCs/>
                <w:color w:val="auto"/>
                <w:sz w:val="21"/>
                <w:szCs w:val="21"/>
              </w:rPr>
            </w:pPr>
            <w:r>
              <w:rPr>
                <w:rFonts w:hint="eastAsia" w:ascii="宋体" w:hAnsi="宋体" w:cs="宋体"/>
                <w:bCs/>
                <w:color w:val="auto"/>
                <w:sz w:val="21"/>
                <w:szCs w:val="21"/>
              </w:rPr>
              <w:t>4.固定绳卡数量与绳径匹配，卡间距为6-7倍绳径；</w:t>
            </w:r>
          </w:p>
        </w:tc>
        <w:tc>
          <w:tcPr>
            <w:tcW w:w="1773" w:type="dxa"/>
            <w:vMerge w:val="continue"/>
            <w:noWrap w:val="0"/>
            <w:vAlign w:val="center"/>
          </w:tcPr>
          <w:p w14:paraId="5E2976A7">
            <w:pPr>
              <w:ind w:firstLine="0" w:firstLineChars="0"/>
              <w:rPr>
                <w:rFonts w:hint="eastAsia" w:ascii="宋体" w:hAnsi="宋体" w:cs="宋体"/>
                <w:bCs/>
                <w:color w:val="auto"/>
                <w:sz w:val="21"/>
                <w:szCs w:val="21"/>
              </w:rPr>
            </w:pPr>
          </w:p>
        </w:tc>
        <w:tc>
          <w:tcPr>
            <w:tcW w:w="1407" w:type="dxa"/>
            <w:noWrap w:val="0"/>
            <w:vAlign w:val="center"/>
          </w:tcPr>
          <w:p w14:paraId="05ED14C3">
            <w:pPr>
              <w:ind w:firstLine="0" w:firstLineChars="0"/>
              <w:rPr>
                <w:rFonts w:hint="eastAsia" w:ascii="宋体" w:hAnsi="宋体" w:cs="宋体"/>
                <w:bCs/>
                <w:color w:val="auto"/>
                <w:sz w:val="21"/>
                <w:szCs w:val="21"/>
              </w:rPr>
            </w:pPr>
          </w:p>
        </w:tc>
      </w:tr>
      <w:tr w14:paraId="625A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14:paraId="59272BDD">
            <w:pPr>
              <w:ind w:firstLine="0" w:firstLineChars="0"/>
              <w:jc w:val="center"/>
              <w:rPr>
                <w:rFonts w:hint="eastAsia" w:ascii="宋体" w:hAnsi="宋体" w:cs="宋体"/>
                <w:bCs/>
                <w:color w:val="auto"/>
                <w:sz w:val="21"/>
                <w:szCs w:val="21"/>
              </w:rPr>
            </w:pPr>
          </w:p>
        </w:tc>
        <w:tc>
          <w:tcPr>
            <w:tcW w:w="5019" w:type="dxa"/>
            <w:noWrap w:val="0"/>
            <w:vAlign w:val="center"/>
          </w:tcPr>
          <w:p w14:paraId="5D819731">
            <w:pPr>
              <w:ind w:firstLine="0" w:firstLineChars="0"/>
              <w:rPr>
                <w:rFonts w:hint="eastAsia" w:ascii="宋体" w:hAnsi="宋体" w:cs="宋体"/>
                <w:bCs/>
                <w:color w:val="auto"/>
                <w:sz w:val="21"/>
                <w:szCs w:val="21"/>
              </w:rPr>
            </w:pPr>
            <w:r>
              <w:rPr>
                <w:rFonts w:hint="eastAsia" w:ascii="宋体" w:hAnsi="宋体" w:cs="宋体"/>
                <w:bCs/>
                <w:color w:val="auto"/>
                <w:sz w:val="21"/>
                <w:szCs w:val="21"/>
              </w:rPr>
              <w:t>5.钢绳磨损量不超过钢丝绳的10%；</w:t>
            </w:r>
          </w:p>
        </w:tc>
        <w:tc>
          <w:tcPr>
            <w:tcW w:w="1773" w:type="dxa"/>
            <w:vMerge w:val="continue"/>
            <w:noWrap w:val="0"/>
            <w:vAlign w:val="center"/>
          </w:tcPr>
          <w:p w14:paraId="2F9BB251">
            <w:pPr>
              <w:ind w:firstLine="0" w:firstLineChars="0"/>
              <w:rPr>
                <w:rFonts w:hint="eastAsia" w:ascii="宋体" w:hAnsi="宋体" w:cs="宋体"/>
                <w:bCs/>
                <w:color w:val="auto"/>
                <w:sz w:val="21"/>
                <w:szCs w:val="21"/>
              </w:rPr>
            </w:pPr>
          </w:p>
        </w:tc>
        <w:tc>
          <w:tcPr>
            <w:tcW w:w="1407" w:type="dxa"/>
            <w:noWrap w:val="0"/>
            <w:vAlign w:val="center"/>
          </w:tcPr>
          <w:p w14:paraId="148ECC03">
            <w:pPr>
              <w:ind w:firstLine="0" w:firstLineChars="0"/>
              <w:rPr>
                <w:rFonts w:hint="eastAsia" w:ascii="宋体" w:hAnsi="宋体" w:cs="宋体"/>
                <w:bCs/>
                <w:color w:val="auto"/>
                <w:sz w:val="21"/>
                <w:szCs w:val="21"/>
              </w:rPr>
            </w:pPr>
          </w:p>
        </w:tc>
      </w:tr>
      <w:tr w14:paraId="0120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57008AB0">
            <w:pPr>
              <w:ind w:firstLine="0" w:firstLineChars="0"/>
              <w:jc w:val="center"/>
              <w:rPr>
                <w:rFonts w:hint="eastAsia" w:ascii="宋体" w:hAnsi="宋体" w:cs="宋体"/>
                <w:bCs/>
                <w:color w:val="auto"/>
                <w:sz w:val="21"/>
                <w:szCs w:val="21"/>
              </w:rPr>
            </w:pPr>
          </w:p>
        </w:tc>
        <w:tc>
          <w:tcPr>
            <w:tcW w:w="5019" w:type="dxa"/>
            <w:noWrap w:val="0"/>
            <w:vAlign w:val="center"/>
          </w:tcPr>
          <w:p w14:paraId="48CEA514">
            <w:pPr>
              <w:ind w:firstLine="0" w:firstLineChars="0"/>
              <w:rPr>
                <w:rFonts w:hint="eastAsia" w:ascii="宋体" w:hAnsi="宋体" w:cs="宋体"/>
                <w:bCs/>
                <w:color w:val="auto"/>
                <w:sz w:val="21"/>
                <w:szCs w:val="21"/>
              </w:rPr>
            </w:pPr>
            <w:r>
              <w:rPr>
                <w:rFonts w:hint="eastAsia" w:ascii="宋体" w:hAnsi="宋体" w:cs="宋体"/>
                <w:bCs/>
                <w:color w:val="auto"/>
                <w:sz w:val="21"/>
                <w:szCs w:val="21"/>
              </w:rPr>
              <w:t>6.捆绑起重索具符合要求。</w:t>
            </w:r>
          </w:p>
        </w:tc>
        <w:tc>
          <w:tcPr>
            <w:tcW w:w="1773" w:type="dxa"/>
            <w:vMerge w:val="continue"/>
            <w:noWrap w:val="0"/>
            <w:vAlign w:val="center"/>
          </w:tcPr>
          <w:p w14:paraId="68391F6E">
            <w:pPr>
              <w:ind w:firstLine="0" w:firstLineChars="0"/>
              <w:rPr>
                <w:rFonts w:hint="eastAsia" w:ascii="宋体" w:hAnsi="宋体" w:cs="宋体"/>
                <w:bCs/>
                <w:color w:val="auto"/>
                <w:sz w:val="21"/>
                <w:szCs w:val="21"/>
              </w:rPr>
            </w:pPr>
          </w:p>
        </w:tc>
        <w:tc>
          <w:tcPr>
            <w:tcW w:w="1407" w:type="dxa"/>
            <w:noWrap w:val="0"/>
            <w:vAlign w:val="center"/>
          </w:tcPr>
          <w:p w14:paraId="01E5CE1E">
            <w:pPr>
              <w:ind w:firstLine="0" w:firstLineChars="0"/>
              <w:rPr>
                <w:rFonts w:hint="eastAsia" w:ascii="宋体" w:hAnsi="宋体" w:cs="宋体"/>
                <w:bCs/>
                <w:color w:val="auto"/>
                <w:sz w:val="21"/>
                <w:szCs w:val="21"/>
              </w:rPr>
            </w:pPr>
          </w:p>
        </w:tc>
      </w:tr>
      <w:tr w14:paraId="7CBE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jc w:val="center"/>
        </w:trPr>
        <w:tc>
          <w:tcPr>
            <w:tcW w:w="810" w:type="dxa"/>
            <w:vMerge w:val="restart"/>
            <w:noWrap w:val="0"/>
            <w:vAlign w:val="center"/>
          </w:tcPr>
          <w:p w14:paraId="2472A7B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（4）吊</w:t>
            </w:r>
          </w:p>
          <w:p w14:paraId="1A340CE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钩</w:t>
            </w:r>
          </w:p>
        </w:tc>
        <w:tc>
          <w:tcPr>
            <w:tcW w:w="5019" w:type="dxa"/>
            <w:noWrap w:val="0"/>
            <w:vAlign w:val="center"/>
          </w:tcPr>
          <w:p w14:paraId="3DD03C94">
            <w:pPr>
              <w:ind w:firstLine="0" w:firstLineChars="0"/>
              <w:rPr>
                <w:rFonts w:hint="eastAsia" w:ascii="宋体" w:hAnsi="宋体" w:cs="宋体"/>
                <w:bCs/>
                <w:color w:val="auto"/>
                <w:sz w:val="21"/>
                <w:szCs w:val="21"/>
              </w:rPr>
            </w:pPr>
            <w:r>
              <w:rPr>
                <w:rFonts w:hint="eastAsia" w:ascii="宋体" w:hAnsi="宋体" w:cs="宋体"/>
                <w:bCs/>
                <w:color w:val="auto"/>
                <w:sz w:val="21"/>
                <w:szCs w:val="21"/>
              </w:rPr>
              <w:t>1.无裂纹、变形、严重磨损；</w:t>
            </w:r>
          </w:p>
        </w:tc>
        <w:tc>
          <w:tcPr>
            <w:tcW w:w="1773" w:type="dxa"/>
            <w:vMerge w:val="restart"/>
            <w:noWrap w:val="0"/>
            <w:vAlign w:val="center"/>
          </w:tcPr>
          <w:p w14:paraId="7E1DFD41">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49D7CE04">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JGJ160-20</w:t>
            </w:r>
            <w:r>
              <w:rPr>
                <w:rFonts w:hint="eastAsia" w:ascii="宋体" w:hAnsi="宋体" w:cs="宋体"/>
                <w:bCs/>
                <w:color w:val="auto"/>
                <w:sz w:val="21"/>
                <w:szCs w:val="21"/>
                <w:highlight w:val="none"/>
                <w:lang w:val="en-US" w:eastAsia="zh-CN"/>
              </w:rPr>
              <w:t>16</w:t>
            </w:r>
          </w:p>
        </w:tc>
        <w:tc>
          <w:tcPr>
            <w:tcW w:w="1407" w:type="dxa"/>
            <w:noWrap w:val="0"/>
            <w:vAlign w:val="center"/>
          </w:tcPr>
          <w:p w14:paraId="0FCC29BC">
            <w:pPr>
              <w:ind w:firstLine="0" w:firstLineChars="0"/>
              <w:rPr>
                <w:rFonts w:hint="eastAsia" w:ascii="宋体" w:hAnsi="宋体" w:cs="宋体"/>
                <w:bCs/>
                <w:color w:val="auto"/>
                <w:sz w:val="21"/>
                <w:szCs w:val="21"/>
              </w:rPr>
            </w:pPr>
          </w:p>
        </w:tc>
      </w:tr>
      <w:tr w14:paraId="43F3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continue"/>
            <w:noWrap w:val="0"/>
            <w:vAlign w:val="center"/>
          </w:tcPr>
          <w:p w14:paraId="577FF422">
            <w:pPr>
              <w:ind w:firstLine="0" w:firstLineChars="0"/>
              <w:jc w:val="center"/>
              <w:rPr>
                <w:rFonts w:hint="eastAsia" w:ascii="宋体" w:hAnsi="宋体" w:cs="宋体"/>
                <w:bCs/>
                <w:color w:val="auto"/>
                <w:sz w:val="21"/>
                <w:szCs w:val="21"/>
              </w:rPr>
            </w:pPr>
          </w:p>
        </w:tc>
        <w:tc>
          <w:tcPr>
            <w:tcW w:w="5019" w:type="dxa"/>
            <w:noWrap w:val="0"/>
            <w:vAlign w:val="center"/>
          </w:tcPr>
          <w:p w14:paraId="673D049D">
            <w:pPr>
              <w:ind w:firstLine="0" w:firstLineChars="0"/>
              <w:rPr>
                <w:rFonts w:hint="eastAsia" w:ascii="宋体" w:hAnsi="宋体" w:cs="宋体"/>
                <w:bCs/>
                <w:color w:val="auto"/>
                <w:sz w:val="21"/>
                <w:szCs w:val="21"/>
              </w:rPr>
            </w:pPr>
            <w:r>
              <w:rPr>
                <w:rFonts w:hint="eastAsia" w:ascii="宋体" w:hAnsi="宋体" w:cs="宋体"/>
                <w:bCs/>
                <w:color w:val="auto"/>
                <w:sz w:val="21"/>
                <w:szCs w:val="21"/>
              </w:rPr>
              <w:t>2.钩身无补焊、钻孔现象；</w:t>
            </w:r>
          </w:p>
        </w:tc>
        <w:tc>
          <w:tcPr>
            <w:tcW w:w="1773" w:type="dxa"/>
            <w:vMerge w:val="continue"/>
            <w:noWrap w:val="0"/>
            <w:vAlign w:val="center"/>
          </w:tcPr>
          <w:p w14:paraId="65BCDC83">
            <w:pPr>
              <w:ind w:firstLine="0" w:firstLineChars="0"/>
              <w:rPr>
                <w:rFonts w:hint="eastAsia" w:ascii="宋体" w:hAnsi="宋体" w:cs="宋体"/>
                <w:bCs/>
                <w:color w:val="auto"/>
                <w:sz w:val="21"/>
                <w:szCs w:val="21"/>
              </w:rPr>
            </w:pPr>
          </w:p>
        </w:tc>
        <w:tc>
          <w:tcPr>
            <w:tcW w:w="1407" w:type="dxa"/>
            <w:noWrap w:val="0"/>
            <w:vAlign w:val="center"/>
          </w:tcPr>
          <w:p w14:paraId="0F260F9F">
            <w:pPr>
              <w:ind w:firstLine="0" w:firstLineChars="0"/>
              <w:rPr>
                <w:rFonts w:hint="eastAsia" w:ascii="宋体" w:hAnsi="宋体" w:cs="宋体"/>
                <w:bCs/>
                <w:color w:val="auto"/>
                <w:sz w:val="21"/>
                <w:szCs w:val="21"/>
              </w:rPr>
            </w:pPr>
          </w:p>
        </w:tc>
      </w:tr>
      <w:tr w14:paraId="1ED8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4E8C3B4D">
            <w:pPr>
              <w:ind w:firstLine="0" w:firstLineChars="0"/>
              <w:jc w:val="center"/>
              <w:rPr>
                <w:rFonts w:hint="eastAsia" w:ascii="宋体" w:hAnsi="宋体" w:cs="宋体"/>
                <w:bCs/>
                <w:color w:val="auto"/>
                <w:sz w:val="21"/>
                <w:szCs w:val="21"/>
              </w:rPr>
            </w:pPr>
          </w:p>
        </w:tc>
        <w:tc>
          <w:tcPr>
            <w:tcW w:w="5019" w:type="dxa"/>
            <w:noWrap w:val="0"/>
            <w:vAlign w:val="center"/>
          </w:tcPr>
          <w:p w14:paraId="4469DEB3">
            <w:pPr>
              <w:ind w:firstLine="0" w:firstLineChars="0"/>
              <w:rPr>
                <w:rFonts w:hint="eastAsia" w:ascii="宋体" w:hAnsi="宋体" w:cs="宋体"/>
                <w:bCs/>
                <w:color w:val="auto"/>
                <w:sz w:val="21"/>
                <w:szCs w:val="21"/>
              </w:rPr>
            </w:pPr>
            <w:r>
              <w:rPr>
                <w:rFonts w:hint="eastAsia" w:ascii="宋体" w:hAnsi="宋体" w:cs="宋体"/>
                <w:bCs/>
                <w:color w:val="auto"/>
                <w:sz w:val="21"/>
                <w:szCs w:val="21"/>
              </w:rPr>
              <w:t>3.具有防脱装置;</w:t>
            </w:r>
            <w:r>
              <w:rPr>
                <w:rFonts w:hint="eastAsia" w:ascii="宋体" w:hAnsi="宋体" w:cs="宋体"/>
                <w:bCs/>
                <w:color w:val="auto"/>
                <w:kern w:val="0"/>
                <w:sz w:val="21"/>
                <w:szCs w:val="21"/>
              </w:rPr>
              <w:t xml:space="preserve"> </w:t>
            </w:r>
          </w:p>
        </w:tc>
        <w:tc>
          <w:tcPr>
            <w:tcW w:w="1773" w:type="dxa"/>
            <w:vMerge w:val="continue"/>
            <w:noWrap w:val="0"/>
            <w:vAlign w:val="center"/>
          </w:tcPr>
          <w:p w14:paraId="690AFE53">
            <w:pPr>
              <w:ind w:firstLine="0" w:firstLineChars="0"/>
              <w:rPr>
                <w:rFonts w:hint="eastAsia" w:ascii="宋体" w:hAnsi="宋体" w:cs="宋体"/>
                <w:bCs/>
                <w:color w:val="auto"/>
                <w:sz w:val="21"/>
                <w:szCs w:val="21"/>
              </w:rPr>
            </w:pPr>
          </w:p>
        </w:tc>
        <w:tc>
          <w:tcPr>
            <w:tcW w:w="1407" w:type="dxa"/>
            <w:noWrap w:val="0"/>
            <w:vAlign w:val="center"/>
          </w:tcPr>
          <w:p w14:paraId="19439F41">
            <w:pPr>
              <w:ind w:firstLine="0" w:firstLineChars="0"/>
              <w:rPr>
                <w:rFonts w:hint="eastAsia" w:ascii="宋体" w:hAnsi="宋体" w:cs="宋体"/>
                <w:bCs/>
                <w:color w:val="auto"/>
                <w:sz w:val="21"/>
                <w:szCs w:val="21"/>
              </w:rPr>
            </w:pPr>
          </w:p>
        </w:tc>
      </w:tr>
      <w:tr w14:paraId="7FD1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5A010401">
            <w:pPr>
              <w:ind w:firstLine="0" w:firstLineChars="0"/>
              <w:jc w:val="center"/>
              <w:rPr>
                <w:rFonts w:hint="eastAsia" w:ascii="宋体" w:hAnsi="宋体" w:cs="宋体"/>
                <w:bCs/>
                <w:color w:val="auto"/>
                <w:sz w:val="21"/>
                <w:szCs w:val="21"/>
              </w:rPr>
            </w:pPr>
          </w:p>
        </w:tc>
        <w:tc>
          <w:tcPr>
            <w:tcW w:w="5019" w:type="dxa"/>
            <w:noWrap w:val="0"/>
            <w:vAlign w:val="center"/>
          </w:tcPr>
          <w:p w14:paraId="6F7F618F">
            <w:pPr>
              <w:ind w:firstLine="0" w:firstLineChars="0"/>
              <w:rPr>
                <w:rFonts w:hint="eastAsia" w:ascii="宋体" w:hAnsi="宋体" w:cs="宋体"/>
                <w:bCs/>
                <w:color w:val="auto"/>
                <w:sz w:val="21"/>
                <w:szCs w:val="21"/>
              </w:rPr>
            </w:pPr>
            <w:r>
              <w:rPr>
                <w:rFonts w:hint="eastAsia" w:ascii="宋体" w:hAnsi="宋体" w:cs="宋体"/>
                <w:bCs/>
                <w:color w:val="auto"/>
                <w:sz w:val="21"/>
                <w:szCs w:val="21"/>
              </w:rPr>
              <w:t>4.挂绳处截面磨损量不超过原高度的10%；</w:t>
            </w:r>
          </w:p>
        </w:tc>
        <w:tc>
          <w:tcPr>
            <w:tcW w:w="1773" w:type="dxa"/>
            <w:vMerge w:val="continue"/>
            <w:noWrap w:val="0"/>
            <w:vAlign w:val="center"/>
          </w:tcPr>
          <w:p w14:paraId="5453937F">
            <w:pPr>
              <w:ind w:firstLine="0" w:firstLineChars="0"/>
              <w:rPr>
                <w:rFonts w:hint="eastAsia" w:ascii="宋体" w:hAnsi="宋体" w:cs="宋体"/>
                <w:bCs/>
                <w:color w:val="auto"/>
                <w:sz w:val="21"/>
                <w:szCs w:val="21"/>
              </w:rPr>
            </w:pPr>
          </w:p>
        </w:tc>
        <w:tc>
          <w:tcPr>
            <w:tcW w:w="1407" w:type="dxa"/>
            <w:noWrap w:val="0"/>
            <w:vAlign w:val="center"/>
          </w:tcPr>
          <w:p w14:paraId="1DB3FA0C">
            <w:pPr>
              <w:ind w:firstLine="0" w:firstLineChars="0"/>
              <w:rPr>
                <w:rFonts w:hint="eastAsia" w:ascii="宋体" w:hAnsi="宋体" w:cs="宋体"/>
                <w:bCs/>
                <w:color w:val="auto"/>
                <w:sz w:val="21"/>
                <w:szCs w:val="21"/>
              </w:rPr>
            </w:pPr>
          </w:p>
        </w:tc>
      </w:tr>
      <w:tr w14:paraId="3B63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810" w:type="dxa"/>
            <w:vMerge w:val="restart"/>
            <w:noWrap w:val="0"/>
            <w:vAlign w:val="center"/>
          </w:tcPr>
          <w:p w14:paraId="4DCCE52F">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（5）高度限位</w:t>
            </w:r>
          </w:p>
        </w:tc>
        <w:tc>
          <w:tcPr>
            <w:tcW w:w="5019" w:type="dxa"/>
            <w:noWrap w:val="0"/>
            <w:vAlign w:val="center"/>
          </w:tcPr>
          <w:p w14:paraId="2F6A04EB">
            <w:pPr>
              <w:ind w:firstLine="0" w:firstLineChars="0"/>
              <w:rPr>
                <w:rFonts w:hint="eastAsia" w:ascii="宋体" w:hAnsi="宋体" w:cs="宋体"/>
                <w:bCs/>
                <w:color w:val="auto"/>
                <w:sz w:val="21"/>
                <w:szCs w:val="21"/>
              </w:rPr>
            </w:pPr>
            <w:r>
              <w:rPr>
                <w:rFonts w:hint="eastAsia" w:ascii="宋体" w:hAnsi="宋体" w:cs="宋体"/>
                <w:bCs/>
                <w:color w:val="auto"/>
                <w:sz w:val="21"/>
                <w:szCs w:val="21"/>
              </w:rPr>
              <w:t>1.吊钩顶部距起重臂下端800mm，能立即停止起升，但有向下、向内变幅运动；</w:t>
            </w:r>
          </w:p>
        </w:tc>
        <w:tc>
          <w:tcPr>
            <w:tcW w:w="1773" w:type="dxa"/>
            <w:vMerge w:val="restart"/>
            <w:noWrap w:val="0"/>
            <w:vAlign w:val="center"/>
          </w:tcPr>
          <w:p w14:paraId="086C5B5F">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005D65CC">
            <w:pPr>
              <w:ind w:firstLine="0" w:firstLineChars="0"/>
              <w:rPr>
                <w:rFonts w:hint="eastAsia" w:ascii="宋体" w:hAnsi="宋体" w:cs="宋体"/>
                <w:bCs/>
                <w:color w:val="auto"/>
                <w:sz w:val="21"/>
                <w:szCs w:val="21"/>
                <w:highlight w:val="none"/>
              </w:rPr>
            </w:pPr>
          </w:p>
        </w:tc>
        <w:tc>
          <w:tcPr>
            <w:tcW w:w="1407" w:type="dxa"/>
            <w:noWrap w:val="0"/>
            <w:vAlign w:val="center"/>
          </w:tcPr>
          <w:p w14:paraId="32476043">
            <w:pPr>
              <w:ind w:firstLine="0" w:firstLineChars="0"/>
              <w:rPr>
                <w:rFonts w:hint="eastAsia" w:ascii="宋体" w:hAnsi="宋体" w:cs="宋体"/>
                <w:bCs/>
                <w:color w:val="auto"/>
                <w:sz w:val="21"/>
                <w:szCs w:val="21"/>
              </w:rPr>
            </w:pPr>
          </w:p>
        </w:tc>
      </w:tr>
      <w:tr w14:paraId="1401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dxa"/>
            <w:vMerge w:val="continue"/>
            <w:noWrap w:val="0"/>
            <w:vAlign w:val="center"/>
          </w:tcPr>
          <w:p w14:paraId="366C2FEC">
            <w:pPr>
              <w:ind w:firstLine="0" w:firstLineChars="0"/>
              <w:jc w:val="center"/>
              <w:rPr>
                <w:rFonts w:hint="eastAsia" w:ascii="宋体" w:hAnsi="宋体" w:cs="宋体"/>
                <w:bCs/>
                <w:color w:val="auto"/>
                <w:sz w:val="21"/>
                <w:szCs w:val="21"/>
              </w:rPr>
            </w:pPr>
          </w:p>
        </w:tc>
        <w:tc>
          <w:tcPr>
            <w:tcW w:w="5019" w:type="dxa"/>
            <w:noWrap w:val="0"/>
            <w:vAlign w:val="center"/>
          </w:tcPr>
          <w:p w14:paraId="235F09A7">
            <w:pPr>
              <w:ind w:firstLine="0" w:firstLineChars="0"/>
              <w:rPr>
                <w:rFonts w:hint="eastAsia" w:ascii="宋体" w:hAnsi="宋体" w:cs="宋体"/>
                <w:bCs/>
                <w:color w:val="auto"/>
                <w:sz w:val="21"/>
                <w:szCs w:val="21"/>
              </w:rPr>
            </w:pPr>
            <w:r>
              <w:rPr>
                <w:rFonts w:hint="eastAsia" w:ascii="宋体" w:hAnsi="宋体" w:cs="宋体"/>
                <w:bCs/>
                <w:color w:val="auto"/>
                <w:sz w:val="21"/>
                <w:szCs w:val="21"/>
              </w:rPr>
              <w:t>2.吊钩不能再下降或卷筒上钢丝绳只剩3圈时，应能立即停止下降运动；</w:t>
            </w:r>
          </w:p>
        </w:tc>
        <w:tc>
          <w:tcPr>
            <w:tcW w:w="1773" w:type="dxa"/>
            <w:vMerge w:val="continue"/>
            <w:noWrap w:val="0"/>
            <w:vAlign w:val="center"/>
          </w:tcPr>
          <w:p w14:paraId="49DF206B">
            <w:pPr>
              <w:ind w:firstLine="0" w:firstLineChars="0"/>
              <w:rPr>
                <w:rFonts w:hint="eastAsia" w:ascii="宋体" w:hAnsi="宋体" w:cs="宋体"/>
                <w:bCs/>
                <w:color w:val="auto"/>
                <w:sz w:val="21"/>
                <w:szCs w:val="21"/>
              </w:rPr>
            </w:pPr>
          </w:p>
        </w:tc>
        <w:tc>
          <w:tcPr>
            <w:tcW w:w="1407" w:type="dxa"/>
            <w:noWrap w:val="0"/>
            <w:vAlign w:val="center"/>
          </w:tcPr>
          <w:p w14:paraId="4F0A6897">
            <w:pPr>
              <w:ind w:firstLine="0" w:firstLineChars="0"/>
              <w:rPr>
                <w:rFonts w:hint="eastAsia" w:ascii="宋体" w:hAnsi="宋体" w:cs="宋体"/>
                <w:bCs/>
                <w:color w:val="auto"/>
                <w:sz w:val="21"/>
                <w:szCs w:val="21"/>
              </w:rPr>
            </w:pPr>
          </w:p>
        </w:tc>
      </w:tr>
      <w:tr w14:paraId="050C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810" w:type="dxa"/>
            <w:vMerge w:val="continue"/>
            <w:noWrap w:val="0"/>
            <w:vAlign w:val="center"/>
          </w:tcPr>
          <w:p w14:paraId="3A12DB2F">
            <w:pPr>
              <w:ind w:firstLine="0" w:firstLineChars="0"/>
              <w:jc w:val="center"/>
              <w:rPr>
                <w:rFonts w:hint="eastAsia" w:ascii="宋体" w:hAnsi="宋体" w:cs="宋体"/>
                <w:bCs/>
                <w:color w:val="auto"/>
                <w:sz w:val="21"/>
                <w:szCs w:val="21"/>
              </w:rPr>
            </w:pPr>
          </w:p>
        </w:tc>
        <w:tc>
          <w:tcPr>
            <w:tcW w:w="5019" w:type="dxa"/>
            <w:noWrap w:val="0"/>
            <w:vAlign w:val="center"/>
          </w:tcPr>
          <w:p w14:paraId="22E81881">
            <w:pPr>
              <w:ind w:firstLine="0" w:firstLineChars="0"/>
              <w:rPr>
                <w:rFonts w:hint="eastAsia" w:ascii="宋体" w:hAnsi="宋体" w:cs="宋体"/>
                <w:bCs/>
                <w:color w:val="auto"/>
                <w:sz w:val="21"/>
                <w:szCs w:val="21"/>
              </w:rPr>
            </w:pPr>
            <w:r>
              <w:rPr>
                <w:rFonts w:hint="eastAsia" w:ascii="宋体" w:hAnsi="宋体" w:cs="宋体"/>
                <w:bCs/>
                <w:color w:val="auto"/>
                <w:sz w:val="21"/>
                <w:szCs w:val="21"/>
              </w:rPr>
              <w:t>3.钢丝绳松弛可能造成卷筒上钢丝绳乱绳或反卷，设置下限位。</w:t>
            </w:r>
          </w:p>
        </w:tc>
        <w:tc>
          <w:tcPr>
            <w:tcW w:w="1773" w:type="dxa"/>
            <w:vMerge w:val="continue"/>
            <w:noWrap w:val="0"/>
            <w:vAlign w:val="center"/>
          </w:tcPr>
          <w:p w14:paraId="4AFF18F6">
            <w:pPr>
              <w:ind w:firstLine="0" w:firstLineChars="0"/>
              <w:rPr>
                <w:rFonts w:hint="eastAsia" w:ascii="宋体" w:hAnsi="宋体" w:cs="宋体"/>
                <w:bCs/>
                <w:color w:val="auto"/>
                <w:sz w:val="21"/>
                <w:szCs w:val="21"/>
              </w:rPr>
            </w:pPr>
          </w:p>
        </w:tc>
        <w:tc>
          <w:tcPr>
            <w:tcW w:w="1407" w:type="dxa"/>
            <w:noWrap w:val="0"/>
            <w:vAlign w:val="center"/>
          </w:tcPr>
          <w:p w14:paraId="7936E2EA">
            <w:pPr>
              <w:ind w:firstLine="0" w:firstLineChars="0"/>
              <w:rPr>
                <w:rFonts w:hint="eastAsia" w:ascii="宋体" w:hAnsi="宋体" w:cs="宋体"/>
                <w:bCs/>
                <w:color w:val="auto"/>
                <w:sz w:val="21"/>
                <w:szCs w:val="21"/>
              </w:rPr>
            </w:pPr>
          </w:p>
        </w:tc>
      </w:tr>
      <w:tr w14:paraId="5B96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810" w:type="dxa"/>
            <w:vMerge w:val="restart"/>
            <w:noWrap w:val="0"/>
            <w:vAlign w:val="center"/>
          </w:tcPr>
          <w:p w14:paraId="62C028B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（6）幅度限位装置</w:t>
            </w:r>
          </w:p>
        </w:tc>
        <w:tc>
          <w:tcPr>
            <w:tcW w:w="5019" w:type="dxa"/>
            <w:noWrap w:val="0"/>
            <w:vAlign w:val="center"/>
          </w:tcPr>
          <w:p w14:paraId="54510FCC">
            <w:pPr>
              <w:ind w:firstLine="0" w:firstLineChars="0"/>
              <w:rPr>
                <w:rFonts w:hint="eastAsia" w:ascii="宋体" w:hAnsi="宋体" w:cs="宋体"/>
                <w:bCs/>
                <w:color w:val="auto"/>
                <w:sz w:val="21"/>
                <w:szCs w:val="21"/>
              </w:rPr>
            </w:pPr>
            <w:r>
              <w:rPr>
                <w:rFonts w:hint="eastAsia" w:ascii="宋体" w:hAnsi="宋体" w:cs="宋体"/>
                <w:bCs/>
                <w:color w:val="auto"/>
                <w:sz w:val="21"/>
                <w:szCs w:val="21"/>
              </w:rPr>
              <w:t>1.小车前后两端应设置限位开关和缓冲装置；</w:t>
            </w:r>
          </w:p>
        </w:tc>
        <w:tc>
          <w:tcPr>
            <w:tcW w:w="1773" w:type="dxa"/>
            <w:vMerge w:val="restart"/>
            <w:noWrap w:val="0"/>
            <w:vAlign w:val="center"/>
          </w:tcPr>
          <w:p w14:paraId="6F9A70D8">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19E3A2F5">
            <w:pPr>
              <w:ind w:firstLine="0" w:firstLineChars="0"/>
              <w:rPr>
                <w:rFonts w:hint="eastAsia" w:ascii="宋体" w:hAnsi="宋体" w:cs="宋体"/>
                <w:bCs/>
                <w:color w:val="auto"/>
                <w:sz w:val="21"/>
                <w:szCs w:val="21"/>
                <w:highlight w:val="none"/>
              </w:rPr>
            </w:pPr>
          </w:p>
        </w:tc>
        <w:tc>
          <w:tcPr>
            <w:tcW w:w="1407" w:type="dxa"/>
            <w:noWrap w:val="0"/>
            <w:vAlign w:val="center"/>
          </w:tcPr>
          <w:p w14:paraId="35DC320B">
            <w:pPr>
              <w:ind w:firstLine="0" w:firstLineChars="0"/>
              <w:rPr>
                <w:rFonts w:hint="eastAsia" w:ascii="宋体" w:hAnsi="宋体" w:cs="宋体"/>
                <w:bCs/>
                <w:color w:val="auto"/>
                <w:sz w:val="21"/>
                <w:szCs w:val="21"/>
              </w:rPr>
            </w:pPr>
          </w:p>
        </w:tc>
      </w:tr>
      <w:tr w14:paraId="5188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810" w:type="dxa"/>
            <w:vMerge w:val="continue"/>
            <w:noWrap w:val="0"/>
            <w:vAlign w:val="center"/>
          </w:tcPr>
          <w:p w14:paraId="3E869AB2">
            <w:pPr>
              <w:ind w:firstLine="0" w:firstLineChars="0"/>
              <w:jc w:val="center"/>
              <w:rPr>
                <w:rFonts w:hint="eastAsia" w:ascii="宋体" w:hAnsi="宋体" w:cs="宋体"/>
                <w:bCs/>
                <w:color w:val="auto"/>
                <w:sz w:val="21"/>
                <w:szCs w:val="21"/>
              </w:rPr>
            </w:pPr>
          </w:p>
        </w:tc>
        <w:tc>
          <w:tcPr>
            <w:tcW w:w="5019" w:type="dxa"/>
            <w:noWrap w:val="0"/>
            <w:vAlign w:val="center"/>
          </w:tcPr>
          <w:p w14:paraId="62D5DA19">
            <w:pPr>
              <w:ind w:firstLine="0" w:firstLineChars="0"/>
              <w:rPr>
                <w:rFonts w:hint="eastAsia" w:ascii="宋体" w:hAnsi="宋体" w:cs="宋体"/>
                <w:bCs/>
                <w:color w:val="auto"/>
                <w:sz w:val="21"/>
                <w:szCs w:val="21"/>
              </w:rPr>
            </w:pPr>
            <w:r>
              <w:rPr>
                <w:rFonts w:hint="eastAsia" w:ascii="宋体" w:hAnsi="宋体" w:cs="宋体"/>
                <w:bCs/>
                <w:color w:val="auto"/>
                <w:sz w:val="21"/>
                <w:szCs w:val="21"/>
              </w:rPr>
              <w:t>2.限位开关距小车停车时其端部缓冲装置最小距离200mm。</w:t>
            </w:r>
          </w:p>
        </w:tc>
        <w:tc>
          <w:tcPr>
            <w:tcW w:w="1773" w:type="dxa"/>
            <w:vMerge w:val="continue"/>
            <w:noWrap w:val="0"/>
            <w:vAlign w:val="center"/>
          </w:tcPr>
          <w:p w14:paraId="33AF9F76">
            <w:pPr>
              <w:ind w:firstLine="0" w:firstLineChars="0"/>
              <w:rPr>
                <w:rFonts w:hint="eastAsia" w:ascii="宋体" w:hAnsi="宋体" w:cs="宋体"/>
                <w:bCs/>
                <w:color w:val="auto"/>
                <w:sz w:val="21"/>
                <w:szCs w:val="21"/>
              </w:rPr>
            </w:pPr>
          </w:p>
        </w:tc>
        <w:tc>
          <w:tcPr>
            <w:tcW w:w="1407" w:type="dxa"/>
            <w:noWrap w:val="0"/>
            <w:vAlign w:val="center"/>
          </w:tcPr>
          <w:p w14:paraId="44FC6D4B">
            <w:pPr>
              <w:ind w:firstLine="0" w:firstLineChars="0"/>
              <w:rPr>
                <w:rFonts w:hint="eastAsia" w:ascii="宋体" w:hAnsi="宋体" w:cs="宋体"/>
                <w:bCs/>
                <w:color w:val="auto"/>
                <w:sz w:val="21"/>
                <w:szCs w:val="21"/>
              </w:rPr>
            </w:pPr>
          </w:p>
        </w:tc>
      </w:tr>
      <w:tr w14:paraId="3591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14:paraId="29F08038">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（7）力矩限制器</w:t>
            </w:r>
          </w:p>
        </w:tc>
        <w:tc>
          <w:tcPr>
            <w:tcW w:w="5019" w:type="dxa"/>
            <w:noWrap w:val="0"/>
            <w:vAlign w:val="center"/>
          </w:tcPr>
          <w:p w14:paraId="6F651C5D">
            <w:pPr>
              <w:ind w:firstLine="0" w:firstLineChars="0"/>
              <w:rPr>
                <w:rFonts w:hint="eastAsia" w:ascii="宋体" w:hAnsi="宋体" w:cs="宋体"/>
                <w:bCs/>
                <w:color w:val="auto"/>
                <w:sz w:val="21"/>
                <w:szCs w:val="21"/>
              </w:rPr>
            </w:pPr>
            <w:r>
              <w:rPr>
                <w:rFonts w:hint="eastAsia" w:ascii="宋体" w:hAnsi="宋体" w:cs="宋体"/>
                <w:bCs/>
                <w:color w:val="auto"/>
                <w:sz w:val="21"/>
                <w:szCs w:val="21"/>
              </w:rPr>
              <w:t>1.应设置力矩限制器；</w:t>
            </w:r>
          </w:p>
        </w:tc>
        <w:tc>
          <w:tcPr>
            <w:tcW w:w="1773" w:type="dxa"/>
            <w:vMerge w:val="restart"/>
            <w:noWrap w:val="0"/>
            <w:vAlign w:val="center"/>
          </w:tcPr>
          <w:p w14:paraId="352820C7">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w:t>
            </w:r>
            <w:r>
              <w:rPr>
                <w:rFonts w:hint="eastAsia" w:ascii="宋体" w:hAnsi="宋体" w:cs="宋体"/>
                <w:bCs/>
                <w:color w:val="auto"/>
                <w:sz w:val="21"/>
                <w:szCs w:val="21"/>
                <w:highlight w:val="none"/>
                <w:lang w:val="en-US" w:eastAsia="zh-CN"/>
              </w:rPr>
              <w:t xml:space="preserve">/T </w:t>
            </w:r>
            <w:r>
              <w:rPr>
                <w:rFonts w:hint="eastAsia" w:ascii="宋体" w:hAnsi="宋体" w:cs="宋体"/>
                <w:bCs/>
                <w:color w:val="auto"/>
                <w:sz w:val="21"/>
                <w:szCs w:val="21"/>
                <w:highlight w:val="none"/>
              </w:rPr>
              <w:t>12602-20</w:t>
            </w:r>
            <w:r>
              <w:rPr>
                <w:rFonts w:hint="eastAsia" w:ascii="宋体" w:hAnsi="宋体" w:cs="宋体"/>
                <w:bCs/>
                <w:color w:val="auto"/>
                <w:sz w:val="21"/>
                <w:szCs w:val="21"/>
                <w:highlight w:val="none"/>
                <w:lang w:val="en-US" w:eastAsia="zh-CN"/>
              </w:rPr>
              <w:t>20</w:t>
            </w:r>
          </w:p>
        </w:tc>
        <w:tc>
          <w:tcPr>
            <w:tcW w:w="1407" w:type="dxa"/>
            <w:noWrap w:val="0"/>
            <w:vAlign w:val="center"/>
          </w:tcPr>
          <w:p w14:paraId="11C8D059">
            <w:pPr>
              <w:ind w:firstLine="0" w:firstLineChars="0"/>
              <w:rPr>
                <w:rFonts w:hint="eastAsia" w:ascii="宋体" w:hAnsi="宋体" w:cs="宋体"/>
                <w:bCs/>
                <w:color w:val="auto"/>
                <w:sz w:val="21"/>
                <w:szCs w:val="21"/>
              </w:rPr>
            </w:pPr>
          </w:p>
        </w:tc>
      </w:tr>
      <w:tr w14:paraId="4B4B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58C3E441">
            <w:pPr>
              <w:ind w:firstLine="0" w:firstLineChars="0"/>
              <w:jc w:val="center"/>
              <w:rPr>
                <w:rFonts w:hint="eastAsia" w:ascii="宋体" w:hAnsi="宋体" w:cs="宋体"/>
                <w:bCs/>
                <w:color w:val="auto"/>
                <w:sz w:val="21"/>
                <w:szCs w:val="21"/>
              </w:rPr>
            </w:pPr>
          </w:p>
        </w:tc>
        <w:tc>
          <w:tcPr>
            <w:tcW w:w="5019" w:type="dxa"/>
            <w:noWrap w:val="0"/>
            <w:vAlign w:val="center"/>
          </w:tcPr>
          <w:p w14:paraId="5AC09C36">
            <w:pPr>
              <w:ind w:firstLine="0" w:firstLineChars="0"/>
              <w:rPr>
                <w:rFonts w:hint="eastAsia" w:ascii="宋体" w:hAnsi="宋体" w:cs="宋体"/>
                <w:bCs/>
                <w:color w:val="auto"/>
                <w:sz w:val="21"/>
                <w:szCs w:val="21"/>
              </w:rPr>
            </w:pPr>
            <w:r>
              <w:rPr>
                <w:rFonts w:hint="eastAsia" w:ascii="宋体" w:hAnsi="宋体" w:cs="宋体"/>
                <w:bCs/>
                <w:color w:val="auto"/>
                <w:sz w:val="21"/>
                <w:szCs w:val="21"/>
              </w:rPr>
              <w:t>2.起重量达到90%-95%时，能发出报警信号；</w:t>
            </w:r>
          </w:p>
        </w:tc>
        <w:tc>
          <w:tcPr>
            <w:tcW w:w="1773" w:type="dxa"/>
            <w:vMerge w:val="continue"/>
            <w:noWrap w:val="0"/>
            <w:vAlign w:val="center"/>
          </w:tcPr>
          <w:p w14:paraId="0EDA8591">
            <w:pPr>
              <w:ind w:firstLine="0" w:firstLineChars="0"/>
              <w:rPr>
                <w:rFonts w:hint="eastAsia" w:ascii="宋体" w:hAnsi="宋体" w:cs="宋体"/>
                <w:bCs/>
                <w:color w:val="auto"/>
                <w:sz w:val="21"/>
                <w:szCs w:val="21"/>
              </w:rPr>
            </w:pPr>
          </w:p>
        </w:tc>
        <w:tc>
          <w:tcPr>
            <w:tcW w:w="1407" w:type="dxa"/>
            <w:noWrap w:val="0"/>
            <w:vAlign w:val="center"/>
          </w:tcPr>
          <w:p w14:paraId="2A6CDA4A">
            <w:pPr>
              <w:ind w:firstLine="0" w:firstLineChars="0"/>
              <w:rPr>
                <w:rFonts w:hint="eastAsia" w:ascii="宋体" w:hAnsi="宋体" w:cs="宋体"/>
                <w:bCs/>
                <w:color w:val="auto"/>
                <w:sz w:val="21"/>
                <w:szCs w:val="21"/>
              </w:rPr>
            </w:pPr>
          </w:p>
        </w:tc>
      </w:tr>
      <w:tr w14:paraId="3C1E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810" w:type="dxa"/>
            <w:vMerge w:val="continue"/>
            <w:noWrap w:val="0"/>
            <w:vAlign w:val="center"/>
          </w:tcPr>
          <w:p w14:paraId="0FEC44FF">
            <w:pPr>
              <w:ind w:firstLine="0" w:firstLineChars="0"/>
              <w:jc w:val="center"/>
              <w:rPr>
                <w:rFonts w:hint="eastAsia" w:ascii="宋体" w:hAnsi="宋体" w:cs="宋体"/>
                <w:bCs/>
                <w:color w:val="auto"/>
                <w:sz w:val="21"/>
                <w:szCs w:val="21"/>
              </w:rPr>
            </w:pPr>
          </w:p>
        </w:tc>
        <w:tc>
          <w:tcPr>
            <w:tcW w:w="5019" w:type="dxa"/>
            <w:noWrap w:val="0"/>
            <w:vAlign w:val="center"/>
          </w:tcPr>
          <w:p w14:paraId="1F468001">
            <w:pPr>
              <w:ind w:firstLine="0" w:firstLineChars="0"/>
              <w:rPr>
                <w:rFonts w:hint="eastAsia" w:ascii="宋体" w:hAnsi="宋体" w:cs="宋体"/>
                <w:bCs/>
                <w:color w:val="auto"/>
                <w:sz w:val="21"/>
                <w:szCs w:val="21"/>
              </w:rPr>
            </w:pPr>
            <w:r>
              <w:rPr>
                <w:rFonts w:hint="eastAsia" w:ascii="宋体" w:hAnsi="宋体" w:cs="宋体"/>
                <w:bCs/>
                <w:color w:val="auto"/>
                <w:sz w:val="21"/>
                <w:szCs w:val="21"/>
              </w:rPr>
              <w:t>3.起重量达到105%-110%时，能停止向不安全方向继续动作。</w:t>
            </w:r>
          </w:p>
        </w:tc>
        <w:tc>
          <w:tcPr>
            <w:tcW w:w="1773" w:type="dxa"/>
            <w:vMerge w:val="continue"/>
            <w:noWrap w:val="0"/>
            <w:vAlign w:val="center"/>
          </w:tcPr>
          <w:p w14:paraId="0B5A0170">
            <w:pPr>
              <w:ind w:firstLine="0" w:firstLineChars="0"/>
              <w:rPr>
                <w:rFonts w:hint="eastAsia" w:ascii="宋体" w:hAnsi="宋体" w:cs="宋体"/>
                <w:bCs/>
                <w:color w:val="auto"/>
                <w:sz w:val="21"/>
                <w:szCs w:val="21"/>
              </w:rPr>
            </w:pPr>
          </w:p>
        </w:tc>
        <w:tc>
          <w:tcPr>
            <w:tcW w:w="1407" w:type="dxa"/>
            <w:noWrap w:val="0"/>
            <w:vAlign w:val="center"/>
          </w:tcPr>
          <w:p w14:paraId="78531E7F">
            <w:pPr>
              <w:ind w:firstLine="0" w:firstLineChars="0"/>
              <w:rPr>
                <w:rFonts w:hint="eastAsia" w:ascii="宋体" w:hAnsi="宋体" w:cs="宋体"/>
                <w:bCs/>
                <w:color w:val="auto"/>
                <w:sz w:val="21"/>
                <w:szCs w:val="21"/>
              </w:rPr>
            </w:pPr>
          </w:p>
        </w:tc>
      </w:tr>
      <w:tr w14:paraId="0A2D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810" w:type="dxa"/>
            <w:vMerge w:val="continue"/>
            <w:noWrap w:val="0"/>
            <w:vAlign w:val="center"/>
          </w:tcPr>
          <w:p w14:paraId="324444EB">
            <w:pPr>
              <w:ind w:firstLine="0" w:firstLineChars="0"/>
              <w:jc w:val="center"/>
              <w:rPr>
                <w:rFonts w:hint="eastAsia" w:ascii="宋体" w:hAnsi="宋体" w:cs="宋体"/>
                <w:bCs/>
                <w:color w:val="auto"/>
                <w:sz w:val="21"/>
                <w:szCs w:val="21"/>
              </w:rPr>
            </w:pPr>
          </w:p>
        </w:tc>
        <w:tc>
          <w:tcPr>
            <w:tcW w:w="5019" w:type="dxa"/>
            <w:noWrap w:val="0"/>
            <w:vAlign w:val="center"/>
          </w:tcPr>
          <w:p w14:paraId="74E7735B">
            <w:pPr>
              <w:ind w:firstLine="0" w:firstLineChars="0"/>
              <w:rPr>
                <w:rFonts w:hint="eastAsia" w:ascii="宋体" w:hAnsi="宋体" w:cs="宋体"/>
                <w:bCs/>
                <w:color w:val="auto"/>
                <w:sz w:val="21"/>
                <w:szCs w:val="21"/>
              </w:rPr>
            </w:pPr>
            <w:r>
              <w:rPr>
                <w:rFonts w:hint="eastAsia" w:ascii="宋体" w:hAnsi="宋体" w:cs="宋体"/>
                <w:bCs/>
                <w:color w:val="auto"/>
                <w:sz w:val="21"/>
                <w:szCs w:val="21"/>
              </w:rPr>
              <w:t>4.力矩限制器综合误差不超过±8%。</w:t>
            </w:r>
          </w:p>
        </w:tc>
        <w:tc>
          <w:tcPr>
            <w:tcW w:w="1773" w:type="dxa"/>
            <w:vMerge w:val="continue"/>
            <w:noWrap w:val="0"/>
            <w:vAlign w:val="center"/>
          </w:tcPr>
          <w:p w14:paraId="0E782A80">
            <w:pPr>
              <w:ind w:firstLine="0" w:firstLineChars="0"/>
              <w:rPr>
                <w:rFonts w:hint="eastAsia" w:ascii="宋体" w:hAnsi="宋体" w:cs="宋体"/>
                <w:bCs/>
                <w:color w:val="auto"/>
                <w:sz w:val="21"/>
                <w:szCs w:val="21"/>
              </w:rPr>
            </w:pPr>
          </w:p>
        </w:tc>
        <w:tc>
          <w:tcPr>
            <w:tcW w:w="1407" w:type="dxa"/>
            <w:noWrap w:val="0"/>
            <w:vAlign w:val="center"/>
          </w:tcPr>
          <w:p w14:paraId="1D782D73">
            <w:pPr>
              <w:ind w:firstLine="0" w:firstLineChars="0"/>
              <w:rPr>
                <w:rFonts w:hint="eastAsia" w:ascii="宋体" w:hAnsi="宋体" w:cs="宋体"/>
                <w:bCs/>
                <w:color w:val="auto"/>
                <w:sz w:val="21"/>
                <w:szCs w:val="21"/>
              </w:rPr>
            </w:pPr>
          </w:p>
        </w:tc>
      </w:tr>
      <w:tr w14:paraId="7AD9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restart"/>
            <w:noWrap w:val="0"/>
            <w:vAlign w:val="center"/>
          </w:tcPr>
          <w:p w14:paraId="110EC43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（8）附</w:t>
            </w:r>
          </w:p>
          <w:p w14:paraId="5C001B9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着</w:t>
            </w:r>
          </w:p>
          <w:p w14:paraId="5578E03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架</w:t>
            </w:r>
          </w:p>
        </w:tc>
        <w:tc>
          <w:tcPr>
            <w:tcW w:w="5019" w:type="dxa"/>
            <w:noWrap w:val="0"/>
            <w:vAlign w:val="center"/>
          </w:tcPr>
          <w:p w14:paraId="65A05593">
            <w:pPr>
              <w:ind w:firstLine="0" w:firstLineChars="0"/>
              <w:rPr>
                <w:rFonts w:hint="eastAsia" w:ascii="宋体" w:hAnsi="宋体" w:cs="宋体"/>
                <w:bCs/>
                <w:color w:val="auto"/>
                <w:sz w:val="21"/>
                <w:szCs w:val="21"/>
              </w:rPr>
            </w:pPr>
            <w:r>
              <w:rPr>
                <w:rFonts w:hint="eastAsia" w:ascii="宋体" w:hAnsi="宋体" w:cs="宋体"/>
                <w:bCs/>
                <w:color w:val="auto"/>
                <w:sz w:val="21"/>
                <w:szCs w:val="21"/>
              </w:rPr>
              <w:t>1.框架、附着杆安装正确、牢固；无开焊、变形、裂纹；</w:t>
            </w:r>
          </w:p>
        </w:tc>
        <w:tc>
          <w:tcPr>
            <w:tcW w:w="1773" w:type="dxa"/>
            <w:vMerge w:val="restart"/>
            <w:noWrap w:val="0"/>
            <w:vAlign w:val="center"/>
          </w:tcPr>
          <w:p w14:paraId="19532ACD">
            <w:pPr>
              <w:ind w:firstLine="0" w:firstLineChars="0"/>
              <w:rPr>
                <w:rFonts w:hint="eastAsia" w:ascii="宋体" w:hAnsi="宋体" w:cs="宋体"/>
                <w:bCs/>
                <w:color w:val="auto"/>
                <w:sz w:val="21"/>
                <w:szCs w:val="21"/>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tc>
        <w:tc>
          <w:tcPr>
            <w:tcW w:w="1407" w:type="dxa"/>
            <w:noWrap w:val="0"/>
            <w:vAlign w:val="center"/>
          </w:tcPr>
          <w:p w14:paraId="7C12F055">
            <w:pPr>
              <w:ind w:firstLine="0" w:firstLineChars="0"/>
              <w:rPr>
                <w:rFonts w:hint="eastAsia" w:ascii="宋体" w:hAnsi="宋体" w:cs="宋体"/>
                <w:bCs/>
                <w:color w:val="auto"/>
                <w:sz w:val="21"/>
                <w:szCs w:val="21"/>
              </w:rPr>
            </w:pPr>
          </w:p>
        </w:tc>
      </w:tr>
      <w:tr w14:paraId="3A77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79A52594">
            <w:pPr>
              <w:ind w:firstLine="0" w:firstLineChars="0"/>
              <w:jc w:val="center"/>
              <w:rPr>
                <w:rFonts w:hint="eastAsia" w:ascii="宋体" w:hAnsi="宋体" w:cs="宋体"/>
                <w:bCs/>
                <w:color w:val="auto"/>
                <w:sz w:val="21"/>
                <w:szCs w:val="21"/>
              </w:rPr>
            </w:pPr>
          </w:p>
        </w:tc>
        <w:tc>
          <w:tcPr>
            <w:tcW w:w="5019" w:type="dxa"/>
            <w:noWrap w:val="0"/>
            <w:vAlign w:val="center"/>
          </w:tcPr>
          <w:p w14:paraId="3CEA4850">
            <w:pPr>
              <w:ind w:firstLine="0" w:firstLineChars="0"/>
              <w:rPr>
                <w:rFonts w:hint="eastAsia" w:ascii="宋体" w:hAnsi="宋体" w:cs="宋体"/>
                <w:bCs/>
                <w:color w:val="auto"/>
                <w:sz w:val="21"/>
                <w:szCs w:val="21"/>
              </w:rPr>
            </w:pPr>
            <w:r>
              <w:rPr>
                <w:rFonts w:hint="eastAsia" w:ascii="宋体" w:hAnsi="宋体" w:cs="宋体"/>
                <w:bCs/>
                <w:color w:val="auto"/>
                <w:sz w:val="21"/>
                <w:szCs w:val="21"/>
              </w:rPr>
              <w:t>2.各处螺栓、轴销齐全牢固；</w:t>
            </w:r>
          </w:p>
        </w:tc>
        <w:tc>
          <w:tcPr>
            <w:tcW w:w="1773" w:type="dxa"/>
            <w:vMerge w:val="continue"/>
            <w:noWrap w:val="0"/>
            <w:vAlign w:val="center"/>
          </w:tcPr>
          <w:p w14:paraId="0E4A465E">
            <w:pPr>
              <w:ind w:firstLine="0" w:firstLineChars="0"/>
              <w:rPr>
                <w:rFonts w:hint="eastAsia" w:ascii="宋体" w:hAnsi="宋体" w:cs="宋体"/>
                <w:bCs/>
                <w:color w:val="auto"/>
                <w:sz w:val="21"/>
                <w:szCs w:val="21"/>
              </w:rPr>
            </w:pPr>
          </w:p>
        </w:tc>
        <w:tc>
          <w:tcPr>
            <w:tcW w:w="1407" w:type="dxa"/>
            <w:noWrap w:val="0"/>
            <w:vAlign w:val="center"/>
          </w:tcPr>
          <w:p w14:paraId="561C61D7">
            <w:pPr>
              <w:ind w:firstLine="0" w:firstLineChars="0"/>
              <w:rPr>
                <w:rFonts w:hint="eastAsia" w:ascii="宋体" w:hAnsi="宋体" w:cs="宋体"/>
                <w:bCs/>
                <w:color w:val="auto"/>
                <w:sz w:val="21"/>
                <w:szCs w:val="21"/>
              </w:rPr>
            </w:pPr>
          </w:p>
        </w:tc>
      </w:tr>
      <w:tr w14:paraId="3E4B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219B5EA4">
            <w:pPr>
              <w:ind w:firstLine="0" w:firstLineChars="0"/>
              <w:jc w:val="center"/>
              <w:rPr>
                <w:rFonts w:hint="eastAsia" w:ascii="宋体" w:hAnsi="宋体" w:cs="宋体"/>
                <w:bCs/>
                <w:color w:val="auto"/>
                <w:sz w:val="21"/>
                <w:szCs w:val="21"/>
              </w:rPr>
            </w:pPr>
          </w:p>
        </w:tc>
        <w:tc>
          <w:tcPr>
            <w:tcW w:w="5019" w:type="dxa"/>
            <w:noWrap w:val="0"/>
            <w:vAlign w:val="center"/>
          </w:tcPr>
          <w:p w14:paraId="0581DDA0">
            <w:pPr>
              <w:ind w:firstLine="0" w:firstLineChars="0"/>
              <w:rPr>
                <w:rFonts w:hint="eastAsia" w:ascii="宋体" w:hAnsi="宋体" w:cs="宋体"/>
                <w:bCs/>
                <w:color w:val="auto"/>
                <w:sz w:val="21"/>
                <w:szCs w:val="21"/>
              </w:rPr>
            </w:pPr>
            <w:r>
              <w:rPr>
                <w:rFonts w:hint="eastAsia" w:ascii="宋体" w:hAnsi="宋体" w:cs="宋体"/>
                <w:bCs/>
                <w:color w:val="auto"/>
                <w:sz w:val="21"/>
                <w:szCs w:val="21"/>
              </w:rPr>
              <w:t>3.间距、数量、安装固定符合说明书要求；</w:t>
            </w:r>
          </w:p>
        </w:tc>
        <w:tc>
          <w:tcPr>
            <w:tcW w:w="1773" w:type="dxa"/>
            <w:vMerge w:val="continue"/>
            <w:noWrap w:val="0"/>
            <w:vAlign w:val="center"/>
          </w:tcPr>
          <w:p w14:paraId="0E48B148">
            <w:pPr>
              <w:ind w:firstLine="0" w:firstLineChars="0"/>
              <w:rPr>
                <w:rFonts w:hint="eastAsia" w:ascii="宋体" w:hAnsi="宋体" w:cs="宋体"/>
                <w:bCs/>
                <w:color w:val="auto"/>
                <w:sz w:val="21"/>
                <w:szCs w:val="21"/>
              </w:rPr>
            </w:pPr>
          </w:p>
        </w:tc>
        <w:tc>
          <w:tcPr>
            <w:tcW w:w="1407" w:type="dxa"/>
            <w:noWrap w:val="0"/>
            <w:vAlign w:val="center"/>
          </w:tcPr>
          <w:p w14:paraId="56FD66D2">
            <w:pPr>
              <w:ind w:firstLine="0" w:firstLineChars="0"/>
              <w:rPr>
                <w:rFonts w:hint="eastAsia" w:ascii="宋体" w:hAnsi="宋体" w:cs="宋体"/>
                <w:bCs/>
                <w:color w:val="auto"/>
                <w:sz w:val="21"/>
                <w:szCs w:val="21"/>
              </w:rPr>
            </w:pPr>
          </w:p>
        </w:tc>
      </w:tr>
      <w:tr w14:paraId="3B5B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05A40357">
            <w:pPr>
              <w:ind w:firstLine="0" w:firstLineChars="0"/>
              <w:jc w:val="center"/>
              <w:rPr>
                <w:rFonts w:hint="eastAsia" w:ascii="宋体" w:hAnsi="宋体" w:cs="宋体"/>
                <w:bCs/>
                <w:color w:val="auto"/>
                <w:sz w:val="21"/>
                <w:szCs w:val="21"/>
              </w:rPr>
            </w:pPr>
          </w:p>
        </w:tc>
        <w:tc>
          <w:tcPr>
            <w:tcW w:w="5019" w:type="dxa"/>
            <w:noWrap w:val="0"/>
            <w:vAlign w:val="center"/>
          </w:tcPr>
          <w:p w14:paraId="0223F603">
            <w:pPr>
              <w:ind w:firstLine="0" w:firstLineChars="0"/>
              <w:rPr>
                <w:rFonts w:hint="eastAsia" w:ascii="宋体" w:hAnsi="宋体" w:cs="宋体"/>
                <w:bCs/>
                <w:color w:val="auto"/>
                <w:sz w:val="21"/>
                <w:szCs w:val="21"/>
              </w:rPr>
            </w:pPr>
            <w:r>
              <w:rPr>
                <w:rFonts w:hint="eastAsia" w:ascii="宋体" w:hAnsi="宋体" w:cs="宋体"/>
                <w:bCs/>
                <w:color w:val="auto"/>
                <w:sz w:val="21"/>
                <w:szCs w:val="21"/>
              </w:rPr>
              <w:t>4.架体不得擅自改动。</w:t>
            </w:r>
          </w:p>
        </w:tc>
        <w:tc>
          <w:tcPr>
            <w:tcW w:w="1773" w:type="dxa"/>
            <w:vMerge w:val="continue"/>
            <w:noWrap w:val="0"/>
            <w:vAlign w:val="center"/>
          </w:tcPr>
          <w:p w14:paraId="4032437A">
            <w:pPr>
              <w:ind w:firstLine="0" w:firstLineChars="0"/>
              <w:rPr>
                <w:rFonts w:hint="eastAsia" w:ascii="宋体" w:hAnsi="宋体" w:cs="宋体"/>
                <w:bCs/>
                <w:color w:val="auto"/>
                <w:sz w:val="21"/>
                <w:szCs w:val="21"/>
              </w:rPr>
            </w:pPr>
          </w:p>
        </w:tc>
        <w:tc>
          <w:tcPr>
            <w:tcW w:w="1407" w:type="dxa"/>
            <w:noWrap w:val="0"/>
            <w:vAlign w:val="center"/>
          </w:tcPr>
          <w:p w14:paraId="7C8BE00A">
            <w:pPr>
              <w:ind w:firstLine="0" w:firstLineChars="0"/>
              <w:rPr>
                <w:rFonts w:hint="eastAsia" w:ascii="宋体" w:hAnsi="宋体" w:cs="宋体"/>
                <w:bCs/>
                <w:color w:val="auto"/>
                <w:sz w:val="21"/>
                <w:szCs w:val="21"/>
              </w:rPr>
            </w:pPr>
          </w:p>
        </w:tc>
      </w:tr>
      <w:tr w14:paraId="3CB3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restart"/>
            <w:noWrap w:val="0"/>
            <w:vAlign w:val="center"/>
          </w:tcPr>
          <w:p w14:paraId="5880ABA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（9）电</w:t>
            </w:r>
          </w:p>
          <w:p w14:paraId="5B87608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气</w:t>
            </w:r>
          </w:p>
        </w:tc>
        <w:tc>
          <w:tcPr>
            <w:tcW w:w="5019" w:type="dxa"/>
            <w:noWrap w:val="0"/>
            <w:vAlign w:val="center"/>
          </w:tcPr>
          <w:p w14:paraId="39CD2204">
            <w:pPr>
              <w:ind w:firstLine="0" w:firstLineChars="0"/>
              <w:rPr>
                <w:rFonts w:hint="eastAsia" w:ascii="宋体" w:hAnsi="宋体" w:cs="宋体"/>
                <w:bCs/>
                <w:color w:val="auto"/>
                <w:sz w:val="21"/>
                <w:szCs w:val="21"/>
              </w:rPr>
            </w:pPr>
            <w:r>
              <w:rPr>
                <w:rFonts w:hint="eastAsia" w:ascii="宋体" w:hAnsi="宋体" w:cs="宋体"/>
                <w:bCs/>
                <w:color w:val="auto"/>
                <w:sz w:val="21"/>
                <w:szCs w:val="21"/>
              </w:rPr>
              <w:t>1.电缆无破损，无老化；</w:t>
            </w:r>
          </w:p>
        </w:tc>
        <w:tc>
          <w:tcPr>
            <w:tcW w:w="1773" w:type="dxa"/>
            <w:vMerge w:val="restart"/>
            <w:noWrap w:val="0"/>
            <w:vAlign w:val="center"/>
          </w:tcPr>
          <w:p w14:paraId="779C7A58">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GB5226-20</w:t>
            </w:r>
            <w:r>
              <w:rPr>
                <w:rFonts w:hint="eastAsia" w:ascii="宋体" w:hAnsi="宋体" w:cs="宋体"/>
                <w:bCs/>
                <w:color w:val="auto"/>
                <w:sz w:val="21"/>
                <w:szCs w:val="21"/>
                <w:highlight w:val="none"/>
                <w:lang w:val="en-US" w:eastAsia="zh-CN"/>
              </w:rPr>
              <w:t>20</w:t>
            </w:r>
          </w:p>
          <w:p w14:paraId="5CE1734D">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p w14:paraId="0774ED86">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GBT5031-</w:t>
            </w:r>
            <w:r>
              <w:rPr>
                <w:rFonts w:hint="eastAsia" w:ascii="宋体" w:hAnsi="宋体" w:cs="宋体"/>
                <w:bCs/>
                <w:color w:val="auto"/>
                <w:sz w:val="21"/>
                <w:szCs w:val="21"/>
                <w:highlight w:val="none"/>
                <w:lang w:val="en-US" w:eastAsia="zh-CN"/>
              </w:rPr>
              <w:t>2019</w:t>
            </w:r>
          </w:p>
        </w:tc>
        <w:tc>
          <w:tcPr>
            <w:tcW w:w="1407" w:type="dxa"/>
            <w:noWrap w:val="0"/>
            <w:vAlign w:val="center"/>
          </w:tcPr>
          <w:p w14:paraId="14851476">
            <w:pPr>
              <w:ind w:firstLine="0" w:firstLineChars="0"/>
              <w:rPr>
                <w:rFonts w:hint="eastAsia" w:ascii="宋体" w:hAnsi="宋体" w:cs="宋体"/>
                <w:bCs/>
                <w:color w:val="auto"/>
                <w:sz w:val="21"/>
                <w:szCs w:val="21"/>
              </w:rPr>
            </w:pPr>
          </w:p>
        </w:tc>
      </w:tr>
      <w:tr w14:paraId="1BF0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14:paraId="62F578DE">
            <w:pPr>
              <w:ind w:firstLine="0" w:firstLineChars="0"/>
              <w:jc w:val="center"/>
              <w:rPr>
                <w:rFonts w:hint="eastAsia" w:ascii="宋体" w:hAnsi="宋体" w:cs="宋体"/>
                <w:bCs/>
                <w:color w:val="auto"/>
                <w:sz w:val="21"/>
                <w:szCs w:val="21"/>
              </w:rPr>
            </w:pPr>
          </w:p>
        </w:tc>
        <w:tc>
          <w:tcPr>
            <w:tcW w:w="5019" w:type="dxa"/>
            <w:noWrap w:val="0"/>
            <w:vAlign w:val="center"/>
          </w:tcPr>
          <w:p w14:paraId="1B9AC2C9">
            <w:pPr>
              <w:ind w:firstLine="0" w:firstLineChars="0"/>
              <w:rPr>
                <w:rFonts w:hint="eastAsia" w:ascii="宋体" w:hAnsi="宋体" w:cs="宋体"/>
                <w:bCs/>
                <w:color w:val="auto"/>
                <w:sz w:val="21"/>
                <w:szCs w:val="21"/>
              </w:rPr>
            </w:pPr>
            <w:r>
              <w:rPr>
                <w:rFonts w:hint="eastAsia" w:ascii="宋体" w:hAnsi="宋体" w:cs="宋体"/>
                <w:bCs/>
                <w:color w:val="auto"/>
                <w:sz w:val="21"/>
                <w:szCs w:val="21"/>
              </w:rPr>
              <w:t>2.各接地、接零保护装置符合要求；</w:t>
            </w:r>
          </w:p>
        </w:tc>
        <w:tc>
          <w:tcPr>
            <w:tcW w:w="1773" w:type="dxa"/>
            <w:vMerge w:val="continue"/>
            <w:noWrap w:val="0"/>
            <w:vAlign w:val="center"/>
          </w:tcPr>
          <w:p w14:paraId="313E8C68">
            <w:pPr>
              <w:ind w:firstLine="0" w:firstLineChars="0"/>
              <w:rPr>
                <w:rFonts w:hint="eastAsia" w:ascii="宋体" w:hAnsi="宋体" w:cs="宋体"/>
                <w:bCs/>
                <w:color w:val="auto"/>
                <w:sz w:val="21"/>
                <w:szCs w:val="21"/>
              </w:rPr>
            </w:pPr>
          </w:p>
        </w:tc>
        <w:tc>
          <w:tcPr>
            <w:tcW w:w="1407" w:type="dxa"/>
            <w:noWrap w:val="0"/>
            <w:vAlign w:val="center"/>
          </w:tcPr>
          <w:p w14:paraId="32458A16">
            <w:pPr>
              <w:ind w:firstLine="0" w:firstLineChars="0"/>
              <w:rPr>
                <w:rFonts w:hint="eastAsia" w:ascii="宋体" w:hAnsi="宋体" w:cs="宋体"/>
                <w:bCs/>
                <w:color w:val="auto"/>
                <w:sz w:val="21"/>
                <w:szCs w:val="21"/>
              </w:rPr>
            </w:pPr>
          </w:p>
        </w:tc>
      </w:tr>
      <w:tr w14:paraId="22D3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4CC0C5CA">
            <w:pPr>
              <w:ind w:firstLine="0" w:firstLineChars="0"/>
              <w:jc w:val="center"/>
              <w:rPr>
                <w:rFonts w:hint="eastAsia" w:ascii="宋体" w:hAnsi="宋体" w:cs="宋体"/>
                <w:bCs/>
                <w:color w:val="auto"/>
                <w:sz w:val="21"/>
                <w:szCs w:val="21"/>
              </w:rPr>
            </w:pPr>
          </w:p>
        </w:tc>
        <w:tc>
          <w:tcPr>
            <w:tcW w:w="5019" w:type="dxa"/>
            <w:noWrap w:val="0"/>
            <w:vAlign w:val="center"/>
          </w:tcPr>
          <w:p w14:paraId="786C0D0E">
            <w:pPr>
              <w:ind w:firstLine="0" w:firstLineChars="0"/>
              <w:rPr>
                <w:rFonts w:hint="eastAsia" w:ascii="宋体" w:hAnsi="宋体" w:cs="宋体"/>
                <w:bCs/>
                <w:color w:val="auto"/>
                <w:sz w:val="21"/>
                <w:szCs w:val="21"/>
              </w:rPr>
            </w:pPr>
            <w:r>
              <w:rPr>
                <w:rFonts w:hint="eastAsia" w:ascii="宋体" w:hAnsi="宋体" w:cs="宋体"/>
                <w:bCs/>
                <w:color w:val="auto"/>
                <w:sz w:val="21"/>
                <w:szCs w:val="21"/>
              </w:rPr>
              <w:t>3.开关等配电装置齐全有效；</w:t>
            </w:r>
          </w:p>
        </w:tc>
        <w:tc>
          <w:tcPr>
            <w:tcW w:w="1773" w:type="dxa"/>
            <w:vMerge w:val="continue"/>
            <w:noWrap w:val="0"/>
            <w:vAlign w:val="center"/>
          </w:tcPr>
          <w:p w14:paraId="339BE967">
            <w:pPr>
              <w:ind w:firstLine="0" w:firstLineChars="0"/>
              <w:rPr>
                <w:rFonts w:hint="eastAsia" w:ascii="宋体" w:hAnsi="宋体" w:cs="宋体"/>
                <w:bCs/>
                <w:color w:val="auto"/>
                <w:sz w:val="21"/>
                <w:szCs w:val="21"/>
              </w:rPr>
            </w:pPr>
          </w:p>
        </w:tc>
        <w:tc>
          <w:tcPr>
            <w:tcW w:w="1407" w:type="dxa"/>
            <w:noWrap w:val="0"/>
            <w:vAlign w:val="center"/>
          </w:tcPr>
          <w:p w14:paraId="7C4C47B9">
            <w:pPr>
              <w:ind w:firstLine="0" w:firstLineChars="0"/>
              <w:rPr>
                <w:rFonts w:hint="eastAsia" w:ascii="宋体" w:hAnsi="宋体" w:cs="宋体"/>
                <w:bCs/>
                <w:color w:val="auto"/>
                <w:sz w:val="21"/>
                <w:szCs w:val="21"/>
              </w:rPr>
            </w:pPr>
          </w:p>
        </w:tc>
      </w:tr>
      <w:tr w14:paraId="52A5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37ACBC1D">
            <w:pPr>
              <w:ind w:firstLine="0" w:firstLineChars="0"/>
              <w:jc w:val="center"/>
              <w:rPr>
                <w:rFonts w:hint="eastAsia" w:ascii="宋体" w:hAnsi="宋体" w:cs="宋体"/>
                <w:bCs/>
                <w:color w:val="auto"/>
                <w:sz w:val="21"/>
                <w:szCs w:val="21"/>
              </w:rPr>
            </w:pPr>
          </w:p>
        </w:tc>
        <w:tc>
          <w:tcPr>
            <w:tcW w:w="5019" w:type="dxa"/>
            <w:noWrap w:val="0"/>
            <w:vAlign w:val="center"/>
          </w:tcPr>
          <w:p w14:paraId="62DE4B55">
            <w:pPr>
              <w:ind w:firstLine="0" w:firstLineChars="0"/>
              <w:rPr>
                <w:rFonts w:hint="eastAsia" w:ascii="宋体" w:hAnsi="宋体" w:cs="宋体"/>
                <w:bCs/>
                <w:color w:val="auto"/>
                <w:sz w:val="21"/>
                <w:szCs w:val="21"/>
              </w:rPr>
            </w:pPr>
            <w:r>
              <w:rPr>
                <w:rFonts w:hint="eastAsia" w:ascii="宋体" w:hAnsi="宋体" w:cs="宋体"/>
                <w:bCs/>
                <w:color w:val="auto"/>
                <w:sz w:val="21"/>
                <w:szCs w:val="21"/>
              </w:rPr>
              <w:t>4.绝缘良好；</w:t>
            </w:r>
          </w:p>
        </w:tc>
        <w:tc>
          <w:tcPr>
            <w:tcW w:w="1773" w:type="dxa"/>
            <w:vMerge w:val="continue"/>
            <w:noWrap w:val="0"/>
            <w:vAlign w:val="center"/>
          </w:tcPr>
          <w:p w14:paraId="480884ED">
            <w:pPr>
              <w:ind w:firstLine="0" w:firstLineChars="0"/>
              <w:rPr>
                <w:rFonts w:hint="eastAsia" w:ascii="宋体" w:hAnsi="宋体" w:cs="宋体"/>
                <w:bCs/>
                <w:color w:val="auto"/>
                <w:sz w:val="21"/>
                <w:szCs w:val="21"/>
              </w:rPr>
            </w:pPr>
          </w:p>
        </w:tc>
        <w:tc>
          <w:tcPr>
            <w:tcW w:w="1407" w:type="dxa"/>
            <w:noWrap w:val="0"/>
            <w:vAlign w:val="center"/>
          </w:tcPr>
          <w:p w14:paraId="23AC60C4">
            <w:pPr>
              <w:ind w:firstLine="0" w:firstLineChars="0"/>
              <w:rPr>
                <w:rFonts w:hint="eastAsia" w:ascii="宋体" w:hAnsi="宋体" w:cs="宋体"/>
                <w:bCs/>
                <w:color w:val="auto"/>
                <w:sz w:val="21"/>
                <w:szCs w:val="21"/>
              </w:rPr>
            </w:pPr>
          </w:p>
        </w:tc>
      </w:tr>
      <w:tr w14:paraId="1831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10" w:type="dxa"/>
            <w:vMerge w:val="continue"/>
            <w:noWrap w:val="0"/>
            <w:vAlign w:val="center"/>
          </w:tcPr>
          <w:p w14:paraId="0A9EE7F2">
            <w:pPr>
              <w:ind w:firstLine="0" w:firstLineChars="0"/>
              <w:jc w:val="center"/>
              <w:rPr>
                <w:rFonts w:hint="eastAsia" w:ascii="宋体" w:hAnsi="宋体" w:cs="宋体"/>
                <w:bCs/>
                <w:color w:val="auto"/>
                <w:sz w:val="21"/>
                <w:szCs w:val="21"/>
              </w:rPr>
            </w:pPr>
          </w:p>
        </w:tc>
        <w:tc>
          <w:tcPr>
            <w:tcW w:w="5019" w:type="dxa"/>
            <w:noWrap w:val="0"/>
            <w:vAlign w:val="center"/>
          </w:tcPr>
          <w:p w14:paraId="098EA900">
            <w:pPr>
              <w:ind w:firstLine="0" w:firstLineChars="0"/>
              <w:rPr>
                <w:rFonts w:hint="eastAsia" w:ascii="宋体" w:hAnsi="宋体" w:cs="宋体"/>
                <w:bCs/>
                <w:color w:val="auto"/>
                <w:sz w:val="21"/>
                <w:szCs w:val="21"/>
              </w:rPr>
            </w:pPr>
            <w:r>
              <w:rPr>
                <w:rFonts w:hint="eastAsia" w:ascii="宋体" w:hAnsi="宋体" w:cs="宋体"/>
                <w:bCs/>
                <w:color w:val="auto"/>
                <w:sz w:val="21"/>
                <w:szCs w:val="21"/>
              </w:rPr>
              <w:t>5.接闪器、避雷等接地装置良好,；</w:t>
            </w:r>
          </w:p>
        </w:tc>
        <w:tc>
          <w:tcPr>
            <w:tcW w:w="1773" w:type="dxa"/>
            <w:vMerge w:val="continue"/>
            <w:noWrap w:val="0"/>
            <w:vAlign w:val="center"/>
          </w:tcPr>
          <w:p w14:paraId="6472751A">
            <w:pPr>
              <w:ind w:firstLine="0" w:firstLineChars="0"/>
              <w:rPr>
                <w:rFonts w:hint="eastAsia" w:ascii="宋体" w:hAnsi="宋体" w:cs="宋体"/>
                <w:bCs/>
                <w:color w:val="auto"/>
                <w:sz w:val="21"/>
                <w:szCs w:val="21"/>
              </w:rPr>
            </w:pPr>
          </w:p>
        </w:tc>
        <w:tc>
          <w:tcPr>
            <w:tcW w:w="1407" w:type="dxa"/>
            <w:noWrap w:val="0"/>
            <w:vAlign w:val="center"/>
          </w:tcPr>
          <w:p w14:paraId="441E5A19">
            <w:pPr>
              <w:ind w:firstLine="0" w:firstLineChars="0"/>
              <w:rPr>
                <w:rFonts w:hint="eastAsia" w:ascii="宋体" w:hAnsi="宋体" w:cs="宋体"/>
                <w:bCs/>
                <w:color w:val="auto"/>
                <w:sz w:val="21"/>
                <w:szCs w:val="21"/>
              </w:rPr>
            </w:pPr>
          </w:p>
        </w:tc>
      </w:tr>
      <w:tr w14:paraId="497C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45F8023B">
            <w:pPr>
              <w:ind w:firstLine="0" w:firstLineChars="0"/>
              <w:jc w:val="center"/>
              <w:rPr>
                <w:rFonts w:hint="eastAsia" w:ascii="宋体" w:hAnsi="宋体" w:cs="宋体"/>
                <w:bCs/>
                <w:color w:val="auto"/>
                <w:sz w:val="21"/>
                <w:szCs w:val="21"/>
              </w:rPr>
            </w:pPr>
          </w:p>
        </w:tc>
        <w:tc>
          <w:tcPr>
            <w:tcW w:w="5019" w:type="dxa"/>
            <w:noWrap w:val="0"/>
            <w:vAlign w:val="center"/>
          </w:tcPr>
          <w:p w14:paraId="3FA7B871">
            <w:pPr>
              <w:ind w:firstLine="0" w:firstLineChars="0"/>
              <w:rPr>
                <w:rFonts w:hint="eastAsia" w:ascii="宋体" w:hAnsi="宋体" w:cs="宋体"/>
                <w:bCs/>
                <w:color w:val="auto"/>
                <w:sz w:val="21"/>
                <w:szCs w:val="21"/>
              </w:rPr>
            </w:pPr>
            <w:r>
              <w:rPr>
                <w:rFonts w:hint="eastAsia" w:ascii="宋体" w:hAnsi="宋体" w:cs="宋体"/>
                <w:bCs/>
                <w:color w:val="auto"/>
                <w:sz w:val="21"/>
                <w:szCs w:val="21"/>
              </w:rPr>
              <w:t>6.动力电路和控制电路对地绝缘值不超过0.5兆欧；</w:t>
            </w:r>
          </w:p>
        </w:tc>
        <w:tc>
          <w:tcPr>
            <w:tcW w:w="1773" w:type="dxa"/>
            <w:vMerge w:val="continue"/>
            <w:noWrap w:val="0"/>
            <w:vAlign w:val="center"/>
          </w:tcPr>
          <w:p w14:paraId="55433C21">
            <w:pPr>
              <w:ind w:firstLine="0" w:firstLineChars="0"/>
              <w:rPr>
                <w:rFonts w:hint="eastAsia" w:ascii="宋体" w:hAnsi="宋体" w:cs="宋体"/>
                <w:bCs/>
                <w:color w:val="auto"/>
                <w:sz w:val="21"/>
                <w:szCs w:val="21"/>
              </w:rPr>
            </w:pPr>
          </w:p>
        </w:tc>
        <w:tc>
          <w:tcPr>
            <w:tcW w:w="1407" w:type="dxa"/>
            <w:noWrap w:val="0"/>
            <w:vAlign w:val="center"/>
          </w:tcPr>
          <w:p w14:paraId="13F45F85">
            <w:pPr>
              <w:ind w:firstLine="0" w:firstLineChars="0"/>
              <w:rPr>
                <w:rFonts w:hint="eastAsia" w:ascii="宋体" w:hAnsi="宋体" w:cs="宋体"/>
                <w:bCs/>
                <w:color w:val="auto"/>
                <w:sz w:val="21"/>
                <w:szCs w:val="21"/>
              </w:rPr>
            </w:pPr>
          </w:p>
        </w:tc>
      </w:tr>
      <w:tr w14:paraId="216A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810" w:type="dxa"/>
            <w:vMerge w:val="restart"/>
            <w:noWrap w:val="0"/>
            <w:vAlign w:val="center"/>
          </w:tcPr>
          <w:p w14:paraId="38399158">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（10）机构油类</w:t>
            </w:r>
          </w:p>
        </w:tc>
        <w:tc>
          <w:tcPr>
            <w:tcW w:w="5019" w:type="dxa"/>
            <w:noWrap w:val="0"/>
            <w:vAlign w:val="center"/>
          </w:tcPr>
          <w:p w14:paraId="7084870D">
            <w:pPr>
              <w:ind w:firstLine="0" w:firstLineChars="0"/>
              <w:rPr>
                <w:rFonts w:hint="eastAsia" w:ascii="宋体" w:hAnsi="宋体" w:cs="宋体"/>
                <w:bCs/>
                <w:color w:val="auto"/>
                <w:sz w:val="21"/>
                <w:szCs w:val="21"/>
              </w:rPr>
            </w:pPr>
            <w:r>
              <w:rPr>
                <w:rFonts w:hint="eastAsia" w:ascii="宋体" w:hAnsi="宋体" w:cs="宋体"/>
                <w:bCs/>
                <w:color w:val="auto"/>
                <w:sz w:val="21"/>
                <w:szCs w:val="21"/>
              </w:rPr>
              <w:t>1.减速机、卷扬机、回转机构、液压顶升系统部件齐全、工作正常；</w:t>
            </w:r>
          </w:p>
        </w:tc>
        <w:tc>
          <w:tcPr>
            <w:tcW w:w="1773" w:type="dxa"/>
            <w:vMerge w:val="restart"/>
            <w:noWrap w:val="0"/>
            <w:vAlign w:val="center"/>
          </w:tcPr>
          <w:p w14:paraId="7EA1044D">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3828C398">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1EF3485E">
            <w:pPr>
              <w:ind w:firstLine="0" w:firstLineChars="0"/>
              <w:rPr>
                <w:rFonts w:hint="eastAsia" w:ascii="宋体" w:hAnsi="宋体" w:cs="宋体"/>
                <w:bCs/>
                <w:color w:val="auto"/>
                <w:sz w:val="21"/>
                <w:szCs w:val="21"/>
              </w:rPr>
            </w:pPr>
          </w:p>
        </w:tc>
      </w:tr>
      <w:tr w14:paraId="32F1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0EFD3290">
            <w:pPr>
              <w:ind w:firstLine="0" w:firstLineChars="0"/>
              <w:jc w:val="center"/>
              <w:rPr>
                <w:rFonts w:hint="eastAsia" w:ascii="宋体" w:hAnsi="宋体" w:cs="宋体"/>
                <w:bCs/>
                <w:color w:val="auto"/>
                <w:sz w:val="21"/>
                <w:szCs w:val="21"/>
              </w:rPr>
            </w:pPr>
          </w:p>
        </w:tc>
        <w:tc>
          <w:tcPr>
            <w:tcW w:w="5019" w:type="dxa"/>
            <w:noWrap w:val="0"/>
            <w:vAlign w:val="center"/>
          </w:tcPr>
          <w:p w14:paraId="3E00D659">
            <w:pPr>
              <w:ind w:firstLine="0" w:firstLineChars="0"/>
              <w:rPr>
                <w:rFonts w:hint="eastAsia" w:ascii="宋体" w:hAnsi="宋体" w:cs="宋体"/>
                <w:bCs/>
                <w:color w:val="auto"/>
                <w:sz w:val="21"/>
                <w:szCs w:val="21"/>
              </w:rPr>
            </w:pPr>
            <w:r>
              <w:rPr>
                <w:rFonts w:hint="eastAsia" w:ascii="宋体" w:hAnsi="宋体" w:cs="宋体"/>
                <w:bCs/>
                <w:color w:val="auto"/>
                <w:sz w:val="21"/>
                <w:szCs w:val="21"/>
              </w:rPr>
              <w:t>2.传动部位有防护罩；</w:t>
            </w:r>
          </w:p>
        </w:tc>
        <w:tc>
          <w:tcPr>
            <w:tcW w:w="1773" w:type="dxa"/>
            <w:vMerge w:val="continue"/>
            <w:noWrap w:val="0"/>
            <w:vAlign w:val="center"/>
          </w:tcPr>
          <w:p w14:paraId="1E5DE279">
            <w:pPr>
              <w:ind w:firstLine="0" w:firstLineChars="0"/>
              <w:rPr>
                <w:rFonts w:hint="eastAsia" w:ascii="宋体" w:hAnsi="宋体" w:cs="宋体"/>
                <w:bCs/>
                <w:color w:val="auto"/>
                <w:sz w:val="21"/>
                <w:szCs w:val="21"/>
              </w:rPr>
            </w:pPr>
          </w:p>
        </w:tc>
        <w:tc>
          <w:tcPr>
            <w:tcW w:w="1407" w:type="dxa"/>
            <w:noWrap w:val="0"/>
            <w:vAlign w:val="center"/>
          </w:tcPr>
          <w:p w14:paraId="67611D93">
            <w:pPr>
              <w:ind w:firstLine="0" w:firstLineChars="0"/>
              <w:rPr>
                <w:rFonts w:hint="eastAsia" w:ascii="宋体" w:hAnsi="宋体" w:cs="宋体"/>
                <w:bCs/>
                <w:color w:val="auto"/>
                <w:sz w:val="21"/>
                <w:szCs w:val="21"/>
              </w:rPr>
            </w:pPr>
          </w:p>
        </w:tc>
      </w:tr>
      <w:tr w14:paraId="4834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14:paraId="42FEB2C4">
            <w:pPr>
              <w:ind w:firstLine="0" w:firstLineChars="0"/>
              <w:jc w:val="center"/>
              <w:rPr>
                <w:rFonts w:hint="eastAsia" w:ascii="宋体" w:hAnsi="宋体" w:cs="宋体"/>
                <w:bCs/>
                <w:color w:val="auto"/>
                <w:sz w:val="21"/>
                <w:szCs w:val="21"/>
              </w:rPr>
            </w:pPr>
          </w:p>
        </w:tc>
        <w:tc>
          <w:tcPr>
            <w:tcW w:w="5019" w:type="dxa"/>
            <w:noWrap w:val="0"/>
            <w:vAlign w:val="center"/>
          </w:tcPr>
          <w:p w14:paraId="2B4852D9">
            <w:pPr>
              <w:ind w:firstLine="0" w:firstLineChars="0"/>
              <w:rPr>
                <w:rFonts w:hint="eastAsia" w:ascii="宋体" w:hAnsi="宋体" w:cs="宋体"/>
                <w:bCs/>
                <w:color w:val="auto"/>
                <w:sz w:val="21"/>
                <w:szCs w:val="21"/>
              </w:rPr>
            </w:pPr>
            <w:r>
              <w:rPr>
                <w:rFonts w:hint="eastAsia" w:ascii="宋体" w:hAnsi="宋体" w:cs="宋体"/>
                <w:bCs/>
                <w:color w:val="auto"/>
                <w:sz w:val="21"/>
                <w:szCs w:val="21"/>
              </w:rPr>
              <w:t>3.油箱有足够容量；</w:t>
            </w:r>
          </w:p>
        </w:tc>
        <w:tc>
          <w:tcPr>
            <w:tcW w:w="1773" w:type="dxa"/>
            <w:vMerge w:val="continue"/>
            <w:noWrap w:val="0"/>
            <w:vAlign w:val="center"/>
          </w:tcPr>
          <w:p w14:paraId="32B4D08C">
            <w:pPr>
              <w:ind w:firstLine="0" w:firstLineChars="0"/>
              <w:rPr>
                <w:rFonts w:hint="eastAsia" w:ascii="宋体" w:hAnsi="宋体" w:cs="宋体"/>
                <w:bCs/>
                <w:color w:val="auto"/>
                <w:sz w:val="21"/>
                <w:szCs w:val="21"/>
              </w:rPr>
            </w:pPr>
          </w:p>
        </w:tc>
        <w:tc>
          <w:tcPr>
            <w:tcW w:w="1407" w:type="dxa"/>
            <w:noWrap w:val="0"/>
            <w:vAlign w:val="center"/>
          </w:tcPr>
          <w:p w14:paraId="31684970">
            <w:pPr>
              <w:ind w:firstLine="0" w:firstLineChars="0"/>
              <w:rPr>
                <w:rFonts w:hint="eastAsia" w:ascii="宋体" w:hAnsi="宋体" w:cs="宋体"/>
                <w:bCs/>
                <w:color w:val="auto"/>
                <w:sz w:val="21"/>
                <w:szCs w:val="21"/>
              </w:rPr>
            </w:pPr>
          </w:p>
        </w:tc>
      </w:tr>
      <w:tr w14:paraId="0B81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669665D4">
            <w:pPr>
              <w:ind w:firstLine="0" w:firstLineChars="0"/>
              <w:jc w:val="center"/>
              <w:rPr>
                <w:rFonts w:hint="eastAsia" w:ascii="宋体" w:hAnsi="宋体" w:cs="宋体"/>
                <w:bCs/>
                <w:color w:val="auto"/>
                <w:sz w:val="21"/>
                <w:szCs w:val="21"/>
              </w:rPr>
            </w:pPr>
          </w:p>
        </w:tc>
        <w:tc>
          <w:tcPr>
            <w:tcW w:w="5019" w:type="dxa"/>
            <w:noWrap w:val="0"/>
            <w:vAlign w:val="center"/>
          </w:tcPr>
          <w:p w14:paraId="762AD396">
            <w:pPr>
              <w:ind w:firstLine="0" w:firstLineChars="0"/>
              <w:rPr>
                <w:rFonts w:hint="eastAsia" w:ascii="宋体" w:hAnsi="宋体" w:cs="宋体"/>
                <w:bCs/>
                <w:color w:val="auto"/>
                <w:sz w:val="21"/>
                <w:szCs w:val="21"/>
              </w:rPr>
            </w:pPr>
            <w:r>
              <w:rPr>
                <w:rFonts w:hint="eastAsia" w:ascii="宋体" w:hAnsi="宋体" w:cs="宋体"/>
                <w:bCs/>
                <w:color w:val="auto"/>
                <w:sz w:val="21"/>
                <w:szCs w:val="21"/>
              </w:rPr>
              <w:t xml:space="preserve">4.油路无泄露、堵塞现象。 </w:t>
            </w:r>
          </w:p>
        </w:tc>
        <w:tc>
          <w:tcPr>
            <w:tcW w:w="1773" w:type="dxa"/>
            <w:vMerge w:val="continue"/>
            <w:noWrap w:val="0"/>
            <w:vAlign w:val="center"/>
          </w:tcPr>
          <w:p w14:paraId="4D054C26">
            <w:pPr>
              <w:ind w:firstLine="0" w:firstLineChars="0"/>
              <w:rPr>
                <w:rFonts w:hint="eastAsia" w:ascii="宋体" w:hAnsi="宋体" w:cs="宋体"/>
                <w:bCs/>
                <w:color w:val="auto"/>
                <w:sz w:val="21"/>
                <w:szCs w:val="21"/>
              </w:rPr>
            </w:pPr>
          </w:p>
        </w:tc>
        <w:tc>
          <w:tcPr>
            <w:tcW w:w="1407" w:type="dxa"/>
            <w:noWrap w:val="0"/>
            <w:vAlign w:val="center"/>
          </w:tcPr>
          <w:p w14:paraId="10D90756">
            <w:pPr>
              <w:ind w:firstLine="0" w:firstLineChars="0"/>
              <w:rPr>
                <w:rFonts w:hint="eastAsia" w:ascii="宋体" w:hAnsi="宋体" w:cs="宋体"/>
                <w:bCs/>
                <w:color w:val="auto"/>
                <w:sz w:val="21"/>
                <w:szCs w:val="21"/>
              </w:rPr>
            </w:pPr>
          </w:p>
        </w:tc>
      </w:tr>
      <w:tr w14:paraId="3336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14:paraId="4CEDFA7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（11）制</w:t>
            </w:r>
          </w:p>
          <w:p w14:paraId="51BB4BF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动</w:t>
            </w:r>
          </w:p>
          <w:p w14:paraId="25F44C6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器</w:t>
            </w:r>
          </w:p>
        </w:tc>
        <w:tc>
          <w:tcPr>
            <w:tcW w:w="5019" w:type="dxa"/>
            <w:noWrap w:val="0"/>
            <w:vAlign w:val="center"/>
          </w:tcPr>
          <w:p w14:paraId="16561FE2">
            <w:pPr>
              <w:ind w:firstLine="0" w:firstLineChars="0"/>
              <w:rPr>
                <w:rFonts w:hint="eastAsia" w:ascii="宋体" w:hAnsi="宋体" w:cs="宋体"/>
                <w:bCs/>
                <w:color w:val="auto"/>
                <w:sz w:val="21"/>
                <w:szCs w:val="21"/>
              </w:rPr>
            </w:pPr>
            <w:r>
              <w:rPr>
                <w:rFonts w:hint="eastAsia" w:ascii="宋体" w:hAnsi="宋体" w:cs="宋体"/>
                <w:bCs/>
                <w:color w:val="auto"/>
                <w:sz w:val="21"/>
                <w:szCs w:val="21"/>
              </w:rPr>
              <w:t>1.无可见裂纹;</w:t>
            </w:r>
          </w:p>
        </w:tc>
        <w:tc>
          <w:tcPr>
            <w:tcW w:w="1773" w:type="dxa"/>
            <w:vMerge w:val="restart"/>
            <w:noWrap w:val="0"/>
            <w:vAlign w:val="center"/>
          </w:tcPr>
          <w:p w14:paraId="5E2418B4">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GB</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5144-2006</w:t>
            </w:r>
          </w:p>
          <w:p w14:paraId="54367870">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7F24729C">
            <w:pPr>
              <w:ind w:firstLine="0" w:firstLineChars="0"/>
              <w:rPr>
                <w:rFonts w:hint="eastAsia" w:ascii="宋体" w:hAnsi="宋体" w:cs="宋体"/>
                <w:bCs/>
                <w:color w:val="auto"/>
                <w:sz w:val="21"/>
                <w:szCs w:val="21"/>
              </w:rPr>
            </w:pPr>
          </w:p>
        </w:tc>
      </w:tr>
      <w:tr w14:paraId="434E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810" w:type="dxa"/>
            <w:vMerge w:val="continue"/>
            <w:noWrap w:val="0"/>
            <w:vAlign w:val="center"/>
          </w:tcPr>
          <w:p w14:paraId="2E7E96BE">
            <w:pPr>
              <w:ind w:firstLine="0" w:firstLineChars="0"/>
              <w:jc w:val="center"/>
              <w:rPr>
                <w:rFonts w:hint="eastAsia" w:ascii="宋体" w:hAnsi="宋体" w:cs="宋体"/>
                <w:bCs/>
                <w:color w:val="auto"/>
                <w:sz w:val="21"/>
                <w:szCs w:val="21"/>
              </w:rPr>
            </w:pPr>
          </w:p>
        </w:tc>
        <w:tc>
          <w:tcPr>
            <w:tcW w:w="5019" w:type="dxa"/>
            <w:noWrap w:val="0"/>
            <w:vAlign w:val="center"/>
          </w:tcPr>
          <w:p w14:paraId="7BC1EC3C">
            <w:pPr>
              <w:ind w:firstLine="0" w:firstLineChars="0"/>
              <w:rPr>
                <w:rFonts w:hint="eastAsia" w:ascii="宋体" w:hAnsi="宋体" w:cs="宋体"/>
                <w:bCs/>
                <w:color w:val="auto"/>
                <w:sz w:val="21"/>
                <w:szCs w:val="21"/>
              </w:rPr>
            </w:pPr>
            <w:r>
              <w:rPr>
                <w:rFonts w:hint="eastAsia" w:ascii="宋体" w:hAnsi="宋体" w:cs="宋体"/>
                <w:bCs/>
                <w:color w:val="auto"/>
                <w:sz w:val="21"/>
                <w:szCs w:val="21"/>
              </w:rPr>
              <w:t>2.制动块摩擦衬垫磨损量未达原厚度的50%;</w:t>
            </w:r>
          </w:p>
        </w:tc>
        <w:tc>
          <w:tcPr>
            <w:tcW w:w="1773" w:type="dxa"/>
            <w:vMerge w:val="continue"/>
            <w:noWrap w:val="0"/>
            <w:vAlign w:val="center"/>
          </w:tcPr>
          <w:p w14:paraId="179D6673">
            <w:pPr>
              <w:ind w:firstLine="0" w:firstLineChars="0"/>
              <w:rPr>
                <w:rFonts w:hint="eastAsia" w:ascii="宋体" w:hAnsi="宋体" w:cs="宋体"/>
                <w:bCs/>
                <w:color w:val="auto"/>
                <w:sz w:val="21"/>
                <w:szCs w:val="21"/>
              </w:rPr>
            </w:pPr>
          </w:p>
        </w:tc>
        <w:tc>
          <w:tcPr>
            <w:tcW w:w="1407" w:type="dxa"/>
            <w:noWrap w:val="0"/>
            <w:vAlign w:val="center"/>
          </w:tcPr>
          <w:p w14:paraId="42D9B3BC">
            <w:pPr>
              <w:ind w:firstLine="0" w:firstLineChars="0"/>
              <w:rPr>
                <w:rFonts w:hint="eastAsia" w:ascii="宋体" w:hAnsi="宋体" w:cs="宋体"/>
                <w:bCs/>
                <w:color w:val="auto"/>
                <w:sz w:val="21"/>
                <w:szCs w:val="21"/>
              </w:rPr>
            </w:pPr>
          </w:p>
        </w:tc>
      </w:tr>
      <w:tr w14:paraId="198A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continue"/>
            <w:noWrap w:val="0"/>
            <w:vAlign w:val="center"/>
          </w:tcPr>
          <w:p w14:paraId="6F59E942">
            <w:pPr>
              <w:ind w:firstLine="0" w:firstLineChars="0"/>
              <w:jc w:val="center"/>
              <w:rPr>
                <w:rFonts w:hint="eastAsia" w:ascii="宋体" w:hAnsi="宋体" w:cs="宋体"/>
                <w:bCs/>
                <w:color w:val="auto"/>
                <w:sz w:val="21"/>
                <w:szCs w:val="21"/>
              </w:rPr>
            </w:pPr>
          </w:p>
        </w:tc>
        <w:tc>
          <w:tcPr>
            <w:tcW w:w="5019" w:type="dxa"/>
            <w:noWrap w:val="0"/>
            <w:vAlign w:val="center"/>
          </w:tcPr>
          <w:p w14:paraId="1717A86E">
            <w:pPr>
              <w:ind w:firstLine="0" w:firstLineChars="0"/>
              <w:rPr>
                <w:rFonts w:hint="eastAsia" w:ascii="宋体" w:hAnsi="宋体" w:cs="宋体"/>
                <w:bCs/>
                <w:color w:val="auto"/>
                <w:sz w:val="21"/>
                <w:szCs w:val="21"/>
              </w:rPr>
            </w:pPr>
            <w:r>
              <w:rPr>
                <w:rFonts w:hint="eastAsia" w:ascii="宋体" w:hAnsi="宋体" w:cs="宋体"/>
                <w:bCs/>
                <w:color w:val="auto"/>
                <w:sz w:val="21"/>
                <w:szCs w:val="21"/>
              </w:rPr>
              <w:t>3.制动轮表面磨损量未达1.5 mm ~2mm;</w:t>
            </w:r>
          </w:p>
        </w:tc>
        <w:tc>
          <w:tcPr>
            <w:tcW w:w="1773" w:type="dxa"/>
            <w:vMerge w:val="continue"/>
            <w:noWrap w:val="0"/>
            <w:vAlign w:val="center"/>
          </w:tcPr>
          <w:p w14:paraId="1934301A">
            <w:pPr>
              <w:ind w:firstLine="0" w:firstLineChars="0"/>
              <w:rPr>
                <w:rFonts w:hint="eastAsia" w:ascii="宋体" w:hAnsi="宋体" w:cs="宋体"/>
                <w:bCs/>
                <w:color w:val="auto"/>
                <w:sz w:val="21"/>
                <w:szCs w:val="21"/>
              </w:rPr>
            </w:pPr>
          </w:p>
        </w:tc>
        <w:tc>
          <w:tcPr>
            <w:tcW w:w="1407" w:type="dxa"/>
            <w:noWrap w:val="0"/>
            <w:vAlign w:val="center"/>
          </w:tcPr>
          <w:p w14:paraId="4FD485B8">
            <w:pPr>
              <w:ind w:firstLine="0" w:firstLineChars="0"/>
              <w:rPr>
                <w:rFonts w:hint="eastAsia" w:ascii="宋体" w:hAnsi="宋体" w:cs="宋体"/>
                <w:bCs/>
                <w:color w:val="auto"/>
                <w:sz w:val="21"/>
                <w:szCs w:val="21"/>
              </w:rPr>
            </w:pPr>
          </w:p>
        </w:tc>
      </w:tr>
      <w:tr w14:paraId="7CA2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10" w:type="dxa"/>
            <w:vMerge w:val="continue"/>
            <w:noWrap w:val="0"/>
            <w:vAlign w:val="center"/>
          </w:tcPr>
          <w:p w14:paraId="6E8BB9CE">
            <w:pPr>
              <w:ind w:firstLine="0" w:firstLineChars="0"/>
              <w:jc w:val="center"/>
              <w:rPr>
                <w:rFonts w:hint="eastAsia" w:ascii="宋体" w:hAnsi="宋体" w:cs="宋体"/>
                <w:bCs/>
                <w:color w:val="auto"/>
                <w:sz w:val="21"/>
                <w:szCs w:val="21"/>
              </w:rPr>
            </w:pPr>
          </w:p>
        </w:tc>
        <w:tc>
          <w:tcPr>
            <w:tcW w:w="5019" w:type="dxa"/>
            <w:noWrap w:val="0"/>
            <w:vAlign w:val="center"/>
          </w:tcPr>
          <w:p w14:paraId="4DF7670A">
            <w:pPr>
              <w:ind w:firstLine="0" w:firstLineChars="0"/>
              <w:rPr>
                <w:rFonts w:hint="eastAsia" w:ascii="宋体" w:hAnsi="宋体" w:cs="宋体"/>
                <w:bCs/>
                <w:color w:val="auto"/>
                <w:sz w:val="21"/>
                <w:szCs w:val="21"/>
              </w:rPr>
            </w:pPr>
            <w:r>
              <w:rPr>
                <w:rFonts w:hint="eastAsia" w:ascii="宋体" w:hAnsi="宋体" w:cs="宋体"/>
                <w:bCs/>
                <w:color w:val="auto"/>
                <w:sz w:val="21"/>
                <w:szCs w:val="21"/>
              </w:rPr>
              <w:t>4.弹簧未出现塑性变形;</w:t>
            </w:r>
          </w:p>
        </w:tc>
        <w:tc>
          <w:tcPr>
            <w:tcW w:w="1773" w:type="dxa"/>
            <w:vMerge w:val="continue"/>
            <w:noWrap w:val="0"/>
            <w:vAlign w:val="center"/>
          </w:tcPr>
          <w:p w14:paraId="2A8F62C9">
            <w:pPr>
              <w:ind w:firstLine="0" w:firstLineChars="0"/>
              <w:rPr>
                <w:rFonts w:hint="eastAsia" w:ascii="宋体" w:hAnsi="宋体" w:cs="宋体"/>
                <w:bCs/>
                <w:color w:val="auto"/>
                <w:sz w:val="21"/>
                <w:szCs w:val="21"/>
              </w:rPr>
            </w:pPr>
          </w:p>
        </w:tc>
        <w:tc>
          <w:tcPr>
            <w:tcW w:w="1407" w:type="dxa"/>
            <w:noWrap w:val="0"/>
            <w:vAlign w:val="center"/>
          </w:tcPr>
          <w:p w14:paraId="16C7FE82">
            <w:pPr>
              <w:ind w:firstLine="0" w:firstLineChars="0"/>
              <w:rPr>
                <w:rFonts w:hint="eastAsia" w:ascii="宋体" w:hAnsi="宋体" w:cs="宋体"/>
                <w:bCs/>
                <w:color w:val="auto"/>
                <w:sz w:val="21"/>
                <w:szCs w:val="21"/>
              </w:rPr>
            </w:pPr>
          </w:p>
        </w:tc>
      </w:tr>
      <w:tr w14:paraId="3F7E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14:paraId="6D4A124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（12）安</w:t>
            </w:r>
          </w:p>
          <w:p w14:paraId="7AA4550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全</w:t>
            </w:r>
          </w:p>
          <w:p w14:paraId="185AD56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距</w:t>
            </w:r>
          </w:p>
          <w:p w14:paraId="27B2B95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离</w:t>
            </w:r>
          </w:p>
        </w:tc>
        <w:tc>
          <w:tcPr>
            <w:tcW w:w="5019" w:type="dxa"/>
            <w:noWrap w:val="0"/>
            <w:vAlign w:val="center"/>
          </w:tcPr>
          <w:p w14:paraId="21B45745">
            <w:pPr>
              <w:ind w:firstLine="0" w:firstLineChars="0"/>
              <w:rPr>
                <w:rFonts w:hint="eastAsia" w:ascii="宋体" w:hAnsi="宋体" w:cs="宋体"/>
                <w:bCs/>
                <w:color w:val="auto"/>
                <w:sz w:val="21"/>
                <w:szCs w:val="21"/>
              </w:rPr>
            </w:pPr>
            <w:r>
              <w:rPr>
                <w:rFonts w:hint="eastAsia" w:ascii="宋体" w:hAnsi="宋体" w:cs="宋体"/>
                <w:bCs/>
                <w:color w:val="auto"/>
                <w:sz w:val="21"/>
                <w:szCs w:val="21"/>
              </w:rPr>
              <w:t>1.与建筑物周围施工设施之间距离≥0.5米；</w:t>
            </w:r>
          </w:p>
        </w:tc>
        <w:tc>
          <w:tcPr>
            <w:tcW w:w="1773" w:type="dxa"/>
            <w:vMerge w:val="restart"/>
            <w:noWrap w:val="0"/>
            <w:vAlign w:val="center"/>
          </w:tcPr>
          <w:p w14:paraId="4DBA557F">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p w14:paraId="25602865">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160-20</w:t>
            </w:r>
            <w:r>
              <w:rPr>
                <w:rFonts w:hint="eastAsia" w:ascii="宋体" w:hAnsi="宋体" w:cs="宋体"/>
                <w:bCs/>
                <w:color w:val="auto"/>
                <w:sz w:val="21"/>
                <w:szCs w:val="21"/>
                <w:lang w:val="en-US" w:eastAsia="zh-CN"/>
              </w:rPr>
              <w:t>16</w:t>
            </w:r>
          </w:p>
        </w:tc>
        <w:tc>
          <w:tcPr>
            <w:tcW w:w="1407" w:type="dxa"/>
            <w:noWrap w:val="0"/>
            <w:vAlign w:val="center"/>
          </w:tcPr>
          <w:p w14:paraId="4132B574">
            <w:pPr>
              <w:ind w:firstLine="0" w:firstLineChars="0"/>
              <w:rPr>
                <w:rFonts w:hint="eastAsia" w:ascii="宋体" w:hAnsi="宋体" w:cs="宋体"/>
                <w:bCs/>
                <w:color w:val="auto"/>
                <w:sz w:val="21"/>
                <w:szCs w:val="21"/>
              </w:rPr>
            </w:pPr>
          </w:p>
        </w:tc>
      </w:tr>
      <w:tr w14:paraId="1E1B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4F038DF6">
            <w:pPr>
              <w:ind w:firstLine="0" w:firstLineChars="0"/>
              <w:jc w:val="center"/>
              <w:rPr>
                <w:rFonts w:hint="eastAsia" w:ascii="宋体" w:hAnsi="宋体" w:cs="宋体"/>
                <w:bCs/>
                <w:color w:val="auto"/>
                <w:sz w:val="21"/>
                <w:szCs w:val="21"/>
              </w:rPr>
            </w:pPr>
          </w:p>
        </w:tc>
        <w:tc>
          <w:tcPr>
            <w:tcW w:w="5019" w:type="dxa"/>
            <w:noWrap w:val="0"/>
            <w:vAlign w:val="center"/>
          </w:tcPr>
          <w:p w14:paraId="19070417">
            <w:pPr>
              <w:ind w:firstLine="0" w:firstLineChars="0"/>
              <w:rPr>
                <w:rFonts w:hint="eastAsia" w:ascii="宋体" w:hAnsi="宋体" w:cs="宋体"/>
                <w:bCs/>
                <w:color w:val="auto"/>
                <w:sz w:val="21"/>
                <w:szCs w:val="21"/>
              </w:rPr>
            </w:pPr>
            <w:r>
              <w:rPr>
                <w:rFonts w:hint="eastAsia" w:ascii="宋体" w:hAnsi="宋体" w:cs="宋体"/>
                <w:bCs/>
                <w:color w:val="auto"/>
                <w:sz w:val="21"/>
                <w:szCs w:val="21"/>
              </w:rPr>
              <w:t>2.多塔作业相互间应符合要求，有防碰撞措施；</w:t>
            </w:r>
          </w:p>
        </w:tc>
        <w:tc>
          <w:tcPr>
            <w:tcW w:w="1773" w:type="dxa"/>
            <w:vMerge w:val="continue"/>
            <w:noWrap w:val="0"/>
            <w:vAlign w:val="center"/>
          </w:tcPr>
          <w:p w14:paraId="69A078AD">
            <w:pPr>
              <w:ind w:firstLine="0" w:firstLineChars="0"/>
              <w:rPr>
                <w:rFonts w:hint="eastAsia" w:ascii="宋体" w:hAnsi="宋体" w:cs="宋体"/>
                <w:bCs/>
                <w:color w:val="auto"/>
                <w:sz w:val="21"/>
                <w:szCs w:val="21"/>
              </w:rPr>
            </w:pPr>
          </w:p>
        </w:tc>
        <w:tc>
          <w:tcPr>
            <w:tcW w:w="1407" w:type="dxa"/>
            <w:noWrap w:val="0"/>
            <w:vAlign w:val="center"/>
          </w:tcPr>
          <w:p w14:paraId="591171F0">
            <w:pPr>
              <w:ind w:firstLine="0" w:firstLineChars="0"/>
              <w:rPr>
                <w:rFonts w:hint="eastAsia" w:ascii="宋体" w:hAnsi="宋体" w:cs="宋体"/>
                <w:bCs/>
                <w:color w:val="auto"/>
                <w:sz w:val="21"/>
                <w:szCs w:val="21"/>
              </w:rPr>
            </w:pPr>
          </w:p>
        </w:tc>
      </w:tr>
      <w:tr w14:paraId="40A9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810" w:type="dxa"/>
            <w:vMerge w:val="continue"/>
            <w:noWrap w:val="0"/>
            <w:vAlign w:val="center"/>
          </w:tcPr>
          <w:p w14:paraId="67AAD541">
            <w:pPr>
              <w:ind w:firstLine="0" w:firstLineChars="0"/>
              <w:jc w:val="center"/>
              <w:rPr>
                <w:rFonts w:hint="eastAsia" w:ascii="宋体" w:hAnsi="宋体" w:cs="宋体"/>
                <w:bCs/>
                <w:color w:val="auto"/>
                <w:sz w:val="21"/>
                <w:szCs w:val="21"/>
              </w:rPr>
            </w:pPr>
          </w:p>
        </w:tc>
        <w:tc>
          <w:tcPr>
            <w:tcW w:w="5019" w:type="dxa"/>
            <w:noWrap w:val="0"/>
            <w:vAlign w:val="center"/>
          </w:tcPr>
          <w:p w14:paraId="1A50346A">
            <w:pPr>
              <w:ind w:firstLine="0" w:firstLineChars="0"/>
              <w:rPr>
                <w:rFonts w:hint="eastAsia" w:ascii="宋体" w:hAnsi="宋体" w:cs="宋体"/>
                <w:bCs/>
                <w:color w:val="auto"/>
                <w:sz w:val="21"/>
                <w:szCs w:val="21"/>
              </w:rPr>
            </w:pPr>
            <w:r>
              <w:rPr>
                <w:rFonts w:hint="eastAsia" w:ascii="宋体" w:hAnsi="宋体" w:cs="宋体"/>
                <w:bCs/>
                <w:color w:val="auto"/>
                <w:sz w:val="21"/>
                <w:szCs w:val="21"/>
              </w:rPr>
              <w:t>3.各部位与外电线路保持安全距离，达不到要求的必须按规定采取防护措施，防护措施应达到电业部门规定要求。</w:t>
            </w:r>
          </w:p>
        </w:tc>
        <w:tc>
          <w:tcPr>
            <w:tcW w:w="1773" w:type="dxa"/>
            <w:vMerge w:val="continue"/>
            <w:noWrap w:val="0"/>
            <w:vAlign w:val="center"/>
          </w:tcPr>
          <w:p w14:paraId="77FBDAC4">
            <w:pPr>
              <w:ind w:firstLine="0" w:firstLineChars="0"/>
              <w:rPr>
                <w:rFonts w:hint="eastAsia" w:ascii="宋体" w:hAnsi="宋体" w:cs="宋体"/>
                <w:bCs/>
                <w:color w:val="auto"/>
                <w:sz w:val="21"/>
                <w:szCs w:val="21"/>
              </w:rPr>
            </w:pPr>
          </w:p>
        </w:tc>
        <w:tc>
          <w:tcPr>
            <w:tcW w:w="1407" w:type="dxa"/>
            <w:noWrap w:val="0"/>
            <w:vAlign w:val="center"/>
          </w:tcPr>
          <w:p w14:paraId="71811090">
            <w:pPr>
              <w:ind w:firstLine="0" w:firstLineChars="0"/>
              <w:rPr>
                <w:rFonts w:hint="eastAsia" w:ascii="宋体" w:hAnsi="宋体" w:cs="宋体"/>
                <w:bCs/>
                <w:color w:val="auto"/>
                <w:sz w:val="21"/>
                <w:szCs w:val="21"/>
              </w:rPr>
            </w:pPr>
          </w:p>
        </w:tc>
      </w:tr>
      <w:tr w14:paraId="173F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14:paraId="27A03BE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（13）卷</w:t>
            </w:r>
          </w:p>
          <w:p w14:paraId="17A632A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筒</w:t>
            </w:r>
          </w:p>
          <w:p w14:paraId="7A4C668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滑</w:t>
            </w:r>
          </w:p>
          <w:p w14:paraId="01C068C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轮</w:t>
            </w:r>
          </w:p>
        </w:tc>
        <w:tc>
          <w:tcPr>
            <w:tcW w:w="5019" w:type="dxa"/>
            <w:noWrap w:val="0"/>
            <w:vAlign w:val="center"/>
          </w:tcPr>
          <w:p w14:paraId="62B364AD">
            <w:pPr>
              <w:ind w:firstLine="0" w:firstLineChars="0"/>
              <w:rPr>
                <w:rFonts w:hint="eastAsia" w:ascii="宋体" w:hAnsi="宋体" w:cs="宋体"/>
                <w:bCs/>
                <w:color w:val="auto"/>
                <w:sz w:val="21"/>
                <w:szCs w:val="21"/>
              </w:rPr>
            </w:pPr>
            <w:r>
              <w:rPr>
                <w:rFonts w:hint="eastAsia" w:ascii="宋体" w:hAnsi="宋体" w:cs="宋体"/>
                <w:bCs/>
                <w:color w:val="auto"/>
                <w:sz w:val="21"/>
                <w:szCs w:val="21"/>
              </w:rPr>
              <w:t>1.卷筒两侧边沿的高度大于钢丝绳直径2倍；</w:t>
            </w:r>
          </w:p>
        </w:tc>
        <w:tc>
          <w:tcPr>
            <w:tcW w:w="1773" w:type="dxa"/>
            <w:vMerge w:val="restart"/>
            <w:noWrap w:val="0"/>
            <w:vAlign w:val="center"/>
          </w:tcPr>
          <w:p w14:paraId="4FB58642">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GBT</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13752</w:t>
            </w:r>
            <w:r>
              <w:rPr>
                <w:rFonts w:hint="eastAsia" w:ascii="宋体" w:hAnsi="宋体" w:cs="宋体"/>
                <w:bCs/>
                <w:color w:val="auto"/>
                <w:sz w:val="21"/>
                <w:szCs w:val="21"/>
                <w:lang w:val="en-US" w:eastAsia="zh-CN"/>
              </w:rPr>
              <w:t>-2017</w:t>
            </w:r>
          </w:p>
          <w:p w14:paraId="0DDE5CDE">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160-20</w:t>
            </w:r>
            <w:r>
              <w:rPr>
                <w:rFonts w:hint="eastAsia" w:ascii="宋体" w:hAnsi="宋体" w:cs="宋体"/>
                <w:bCs/>
                <w:color w:val="auto"/>
                <w:sz w:val="21"/>
                <w:szCs w:val="21"/>
                <w:lang w:val="en-US" w:eastAsia="zh-CN"/>
              </w:rPr>
              <w:t>16</w:t>
            </w:r>
          </w:p>
        </w:tc>
        <w:tc>
          <w:tcPr>
            <w:tcW w:w="1407" w:type="dxa"/>
            <w:noWrap w:val="0"/>
            <w:vAlign w:val="center"/>
          </w:tcPr>
          <w:p w14:paraId="7AE50819">
            <w:pPr>
              <w:ind w:firstLine="0" w:firstLineChars="0"/>
              <w:rPr>
                <w:rFonts w:hint="eastAsia" w:ascii="宋体" w:hAnsi="宋体" w:cs="宋体"/>
                <w:bCs/>
                <w:color w:val="auto"/>
                <w:sz w:val="21"/>
                <w:szCs w:val="21"/>
              </w:rPr>
            </w:pPr>
          </w:p>
        </w:tc>
      </w:tr>
      <w:tr w14:paraId="5033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49ACD083">
            <w:pPr>
              <w:ind w:firstLine="0" w:firstLineChars="0"/>
              <w:jc w:val="center"/>
              <w:rPr>
                <w:rFonts w:hint="eastAsia" w:ascii="宋体" w:hAnsi="宋体" w:cs="宋体"/>
                <w:bCs/>
                <w:color w:val="auto"/>
                <w:sz w:val="21"/>
                <w:szCs w:val="21"/>
              </w:rPr>
            </w:pPr>
          </w:p>
        </w:tc>
        <w:tc>
          <w:tcPr>
            <w:tcW w:w="5019" w:type="dxa"/>
            <w:noWrap w:val="0"/>
            <w:vAlign w:val="center"/>
          </w:tcPr>
          <w:p w14:paraId="054439D9">
            <w:pPr>
              <w:ind w:firstLine="0" w:firstLineChars="0"/>
              <w:rPr>
                <w:rFonts w:hint="eastAsia" w:ascii="宋体" w:hAnsi="宋体" w:cs="宋体"/>
                <w:bCs/>
                <w:color w:val="auto"/>
                <w:sz w:val="21"/>
                <w:szCs w:val="21"/>
              </w:rPr>
            </w:pPr>
            <w:r>
              <w:rPr>
                <w:rFonts w:hint="eastAsia" w:ascii="宋体" w:hAnsi="宋体" w:cs="宋体"/>
                <w:bCs/>
                <w:color w:val="auto"/>
                <w:sz w:val="21"/>
                <w:szCs w:val="21"/>
              </w:rPr>
              <w:t>2.卷筒上的钢丝绳至少保留3圈；</w:t>
            </w:r>
          </w:p>
        </w:tc>
        <w:tc>
          <w:tcPr>
            <w:tcW w:w="1773" w:type="dxa"/>
            <w:vMerge w:val="continue"/>
            <w:noWrap w:val="0"/>
            <w:vAlign w:val="center"/>
          </w:tcPr>
          <w:p w14:paraId="0C1F404E">
            <w:pPr>
              <w:ind w:firstLine="0" w:firstLineChars="0"/>
              <w:rPr>
                <w:rFonts w:hint="eastAsia" w:ascii="宋体" w:hAnsi="宋体" w:cs="宋体"/>
                <w:bCs/>
                <w:color w:val="auto"/>
                <w:sz w:val="21"/>
                <w:szCs w:val="21"/>
              </w:rPr>
            </w:pPr>
          </w:p>
        </w:tc>
        <w:tc>
          <w:tcPr>
            <w:tcW w:w="1407" w:type="dxa"/>
            <w:noWrap w:val="0"/>
            <w:vAlign w:val="center"/>
          </w:tcPr>
          <w:p w14:paraId="3B38E8B6">
            <w:pPr>
              <w:ind w:firstLine="0" w:firstLineChars="0"/>
              <w:rPr>
                <w:rFonts w:hint="eastAsia" w:ascii="宋体" w:hAnsi="宋体" w:cs="宋体"/>
                <w:bCs/>
                <w:color w:val="auto"/>
                <w:sz w:val="21"/>
                <w:szCs w:val="21"/>
              </w:rPr>
            </w:pPr>
          </w:p>
        </w:tc>
      </w:tr>
      <w:tr w14:paraId="4300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810" w:type="dxa"/>
            <w:vMerge w:val="continue"/>
            <w:noWrap w:val="0"/>
            <w:vAlign w:val="center"/>
          </w:tcPr>
          <w:p w14:paraId="45EACC1A">
            <w:pPr>
              <w:ind w:firstLine="0" w:firstLineChars="0"/>
              <w:jc w:val="center"/>
              <w:rPr>
                <w:rFonts w:hint="eastAsia" w:ascii="宋体" w:hAnsi="宋体" w:cs="宋体"/>
                <w:bCs/>
                <w:color w:val="auto"/>
                <w:sz w:val="21"/>
                <w:szCs w:val="21"/>
              </w:rPr>
            </w:pPr>
          </w:p>
        </w:tc>
        <w:tc>
          <w:tcPr>
            <w:tcW w:w="5019" w:type="dxa"/>
            <w:noWrap w:val="0"/>
            <w:vAlign w:val="center"/>
          </w:tcPr>
          <w:p w14:paraId="62D99D3D">
            <w:pPr>
              <w:ind w:firstLine="0" w:firstLineChars="0"/>
              <w:rPr>
                <w:rFonts w:hint="eastAsia" w:ascii="宋体" w:hAnsi="宋体" w:cs="宋体"/>
                <w:bCs/>
                <w:color w:val="auto"/>
                <w:sz w:val="21"/>
                <w:szCs w:val="21"/>
              </w:rPr>
            </w:pPr>
            <w:r>
              <w:rPr>
                <w:rFonts w:hint="eastAsia" w:ascii="宋体" w:hAnsi="宋体" w:cs="宋体"/>
                <w:bCs/>
                <w:color w:val="auto"/>
                <w:sz w:val="21"/>
                <w:szCs w:val="21"/>
              </w:rPr>
              <w:t>3.滑轮应设有防绳跳槽装置，且与滑轮最外沿间隙不得超过钢丝绳直径的20％；</w:t>
            </w:r>
          </w:p>
        </w:tc>
        <w:tc>
          <w:tcPr>
            <w:tcW w:w="1773" w:type="dxa"/>
            <w:vMerge w:val="continue"/>
            <w:noWrap w:val="0"/>
            <w:vAlign w:val="center"/>
          </w:tcPr>
          <w:p w14:paraId="69E2C262">
            <w:pPr>
              <w:ind w:firstLine="0" w:firstLineChars="0"/>
              <w:rPr>
                <w:rFonts w:hint="eastAsia" w:ascii="宋体" w:hAnsi="宋体" w:cs="宋体"/>
                <w:bCs/>
                <w:color w:val="auto"/>
                <w:sz w:val="21"/>
                <w:szCs w:val="21"/>
              </w:rPr>
            </w:pPr>
          </w:p>
        </w:tc>
        <w:tc>
          <w:tcPr>
            <w:tcW w:w="1407" w:type="dxa"/>
            <w:noWrap w:val="0"/>
            <w:vAlign w:val="center"/>
          </w:tcPr>
          <w:p w14:paraId="2071F503">
            <w:pPr>
              <w:ind w:firstLine="0" w:firstLineChars="0"/>
              <w:rPr>
                <w:rFonts w:hint="eastAsia" w:ascii="宋体" w:hAnsi="宋体" w:cs="宋体"/>
                <w:bCs/>
                <w:color w:val="auto"/>
                <w:sz w:val="21"/>
                <w:szCs w:val="21"/>
              </w:rPr>
            </w:pPr>
          </w:p>
        </w:tc>
      </w:tr>
      <w:tr w14:paraId="05BC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7E19E0EF">
            <w:pPr>
              <w:ind w:firstLine="0" w:firstLineChars="0"/>
              <w:jc w:val="center"/>
              <w:rPr>
                <w:rFonts w:hint="eastAsia" w:ascii="宋体" w:hAnsi="宋体" w:cs="宋体"/>
                <w:bCs/>
                <w:color w:val="auto"/>
                <w:sz w:val="21"/>
                <w:szCs w:val="21"/>
              </w:rPr>
            </w:pPr>
          </w:p>
        </w:tc>
        <w:tc>
          <w:tcPr>
            <w:tcW w:w="5019" w:type="dxa"/>
            <w:noWrap w:val="0"/>
            <w:vAlign w:val="center"/>
          </w:tcPr>
          <w:p w14:paraId="3EEB424A">
            <w:pPr>
              <w:ind w:firstLine="0" w:firstLineChars="0"/>
              <w:rPr>
                <w:rFonts w:hint="eastAsia" w:ascii="宋体" w:hAnsi="宋体" w:cs="宋体"/>
                <w:bCs/>
                <w:color w:val="auto"/>
                <w:sz w:val="21"/>
                <w:szCs w:val="21"/>
              </w:rPr>
            </w:pPr>
            <w:r>
              <w:rPr>
                <w:rFonts w:hint="eastAsia" w:ascii="宋体" w:hAnsi="宋体" w:cs="宋体"/>
                <w:bCs/>
                <w:color w:val="auto"/>
                <w:sz w:val="21"/>
                <w:szCs w:val="21"/>
              </w:rPr>
              <w:t>4.滑轮转动灵活、无卡塞现象。</w:t>
            </w:r>
          </w:p>
        </w:tc>
        <w:tc>
          <w:tcPr>
            <w:tcW w:w="1773" w:type="dxa"/>
            <w:vMerge w:val="continue"/>
            <w:noWrap w:val="0"/>
            <w:vAlign w:val="center"/>
          </w:tcPr>
          <w:p w14:paraId="16B9DC6E">
            <w:pPr>
              <w:ind w:firstLine="0" w:firstLineChars="0"/>
              <w:rPr>
                <w:rFonts w:hint="eastAsia" w:ascii="宋体" w:hAnsi="宋体" w:cs="宋体"/>
                <w:bCs/>
                <w:color w:val="auto"/>
                <w:sz w:val="21"/>
                <w:szCs w:val="21"/>
              </w:rPr>
            </w:pPr>
          </w:p>
        </w:tc>
        <w:tc>
          <w:tcPr>
            <w:tcW w:w="1407" w:type="dxa"/>
            <w:noWrap w:val="0"/>
            <w:vAlign w:val="center"/>
          </w:tcPr>
          <w:p w14:paraId="1362637A">
            <w:pPr>
              <w:ind w:firstLine="0" w:firstLineChars="0"/>
              <w:rPr>
                <w:rFonts w:hint="eastAsia" w:ascii="宋体" w:hAnsi="宋体" w:cs="宋体"/>
                <w:bCs/>
                <w:color w:val="auto"/>
                <w:sz w:val="21"/>
                <w:szCs w:val="21"/>
              </w:rPr>
            </w:pPr>
          </w:p>
        </w:tc>
      </w:tr>
      <w:tr w14:paraId="5F75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810" w:type="dxa"/>
            <w:noWrap w:val="0"/>
            <w:vAlign w:val="center"/>
          </w:tcPr>
          <w:p w14:paraId="7D6C5B1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（14）持证上岗</w:t>
            </w:r>
          </w:p>
        </w:tc>
        <w:tc>
          <w:tcPr>
            <w:tcW w:w="5019" w:type="dxa"/>
            <w:noWrap w:val="0"/>
            <w:vAlign w:val="center"/>
          </w:tcPr>
          <w:p w14:paraId="2E54D6E2">
            <w:pPr>
              <w:ind w:firstLine="0" w:firstLineChars="0"/>
              <w:rPr>
                <w:rFonts w:hint="eastAsia" w:ascii="宋体" w:hAnsi="宋体" w:cs="宋体"/>
                <w:bCs/>
                <w:color w:val="auto"/>
                <w:sz w:val="21"/>
                <w:szCs w:val="21"/>
              </w:rPr>
            </w:pPr>
            <w:r>
              <w:rPr>
                <w:rFonts w:hint="eastAsia" w:ascii="宋体" w:hAnsi="宋体" w:cs="宋体"/>
                <w:bCs/>
                <w:color w:val="auto"/>
                <w:sz w:val="21"/>
                <w:szCs w:val="21"/>
              </w:rPr>
              <w:t>1.使用过程中塔吊司机必须持证上岗。</w:t>
            </w:r>
          </w:p>
        </w:tc>
        <w:tc>
          <w:tcPr>
            <w:tcW w:w="1773" w:type="dxa"/>
            <w:noWrap w:val="0"/>
            <w:vAlign w:val="center"/>
          </w:tcPr>
          <w:p w14:paraId="44C9E305">
            <w:pPr>
              <w:ind w:firstLine="0" w:firstLineChars="0"/>
              <w:rPr>
                <w:rFonts w:hint="eastAsia" w:ascii="宋体" w:hAnsi="宋体" w:cs="宋体"/>
                <w:bCs/>
                <w:color w:val="auto"/>
                <w:sz w:val="21"/>
                <w:szCs w:val="21"/>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tc>
        <w:tc>
          <w:tcPr>
            <w:tcW w:w="1407" w:type="dxa"/>
            <w:noWrap w:val="0"/>
            <w:vAlign w:val="center"/>
          </w:tcPr>
          <w:p w14:paraId="7C9E5131">
            <w:pPr>
              <w:ind w:firstLine="0" w:firstLineChars="0"/>
              <w:rPr>
                <w:rFonts w:hint="eastAsia" w:ascii="宋体" w:hAnsi="宋体" w:cs="宋体"/>
                <w:bCs/>
                <w:color w:val="auto"/>
                <w:sz w:val="21"/>
                <w:szCs w:val="21"/>
              </w:rPr>
            </w:pPr>
          </w:p>
        </w:tc>
      </w:tr>
      <w:tr w14:paraId="32B7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5" w:hRule="atLeast"/>
          <w:jc w:val="center"/>
        </w:trPr>
        <w:tc>
          <w:tcPr>
            <w:tcW w:w="810" w:type="dxa"/>
            <w:tcBorders>
              <w:bottom w:val="single" w:color="auto" w:sz="4" w:space="0"/>
            </w:tcBorders>
            <w:noWrap w:val="0"/>
            <w:vAlign w:val="center"/>
          </w:tcPr>
          <w:p w14:paraId="4D81A8D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（15）</w:t>
            </w:r>
          </w:p>
          <w:p w14:paraId="5996449E">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检查结论及整改措施</w:t>
            </w:r>
          </w:p>
        </w:tc>
        <w:tc>
          <w:tcPr>
            <w:tcW w:w="8199" w:type="dxa"/>
            <w:gridSpan w:val="3"/>
            <w:tcBorders>
              <w:bottom w:val="single" w:color="auto" w:sz="4" w:space="0"/>
            </w:tcBorders>
            <w:noWrap w:val="0"/>
            <w:vAlign w:val="top"/>
          </w:tcPr>
          <w:p w14:paraId="51240E57">
            <w:pPr>
              <w:ind w:firstLine="0" w:firstLineChars="0"/>
              <w:rPr>
                <w:rFonts w:hint="eastAsia" w:ascii="宋体" w:hAnsi="宋体" w:cs="宋体"/>
                <w:bCs/>
                <w:color w:val="auto"/>
                <w:sz w:val="21"/>
                <w:szCs w:val="21"/>
              </w:rPr>
            </w:pPr>
          </w:p>
          <w:p w14:paraId="1842C35C">
            <w:pPr>
              <w:ind w:firstLine="0" w:firstLineChars="0"/>
              <w:rPr>
                <w:rFonts w:hint="eastAsia" w:ascii="宋体" w:hAnsi="宋体" w:cs="宋体"/>
                <w:bCs/>
                <w:color w:val="auto"/>
                <w:sz w:val="21"/>
                <w:szCs w:val="21"/>
              </w:rPr>
            </w:pPr>
          </w:p>
          <w:p w14:paraId="3EAE2A34">
            <w:pPr>
              <w:ind w:firstLine="0" w:firstLineChars="0"/>
              <w:rPr>
                <w:rFonts w:hint="eastAsia" w:ascii="宋体" w:hAnsi="宋体" w:cs="宋体"/>
                <w:bCs/>
                <w:color w:val="auto"/>
                <w:sz w:val="21"/>
                <w:szCs w:val="21"/>
              </w:rPr>
            </w:pPr>
          </w:p>
          <w:p w14:paraId="2A164F12">
            <w:pPr>
              <w:ind w:firstLine="0" w:firstLineChars="0"/>
              <w:rPr>
                <w:rFonts w:hint="eastAsia" w:ascii="宋体" w:hAnsi="宋体" w:cs="宋体"/>
                <w:bCs/>
                <w:color w:val="auto"/>
                <w:sz w:val="21"/>
                <w:szCs w:val="21"/>
              </w:rPr>
            </w:pPr>
          </w:p>
        </w:tc>
      </w:tr>
    </w:tbl>
    <w:p w14:paraId="79099445">
      <w:pPr>
        <w:pStyle w:val="11"/>
        <w:ind w:left="0" w:leftChars="0" w:firstLine="0" w:firstLineChars="0"/>
        <w:rPr>
          <w:rFonts w:hint="eastAsia"/>
          <w:color w:val="auto"/>
          <w:lang w:val="en-US" w:eastAsia="zh-CN"/>
        </w:rPr>
      </w:pPr>
    </w:p>
    <w:p w14:paraId="67468094">
      <w:pPr>
        <w:rPr>
          <w:color w:val="auto"/>
        </w:rPr>
      </w:pPr>
      <w:bookmarkStart w:id="126" w:name="_Toc16196"/>
      <w:bookmarkStart w:id="127" w:name="_Toc24330"/>
      <w:bookmarkStart w:id="128" w:name="_Toc40778442"/>
      <w:r>
        <w:rPr>
          <w:rFonts w:hint="eastAsia"/>
          <w:color w:val="auto"/>
        </w:rPr>
        <w:br w:type="page"/>
      </w:r>
    </w:p>
    <w:p w14:paraId="3800365F">
      <w:pPr>
        <w:pStyle w:val="2"/>
        <w:pageBreakBefore w:val="0"/>
        <w:kinsoku/>
        <w:wordWrap/>
        <w:overflowPunct/>
        <w:topLinePunct w:val="0"/>
        <w:bidi w:val="0"/>
        <w:snapToGrid/>
        <w:spacing w:before="156" w:after="156" w:line="360" w:lineRule="auto"/>
        <w:textAlignment w:val="auto"/>
        <w:rPr>
          <w:color w:val="auto"/>
        </w:rPr>
      </w:pPr>
      <w:bookmarkStart w:id="129" w:name="_Toc7764"/>
      <w:r>
        <w:rPr>
          <w:rFonts w:hint="eastAsia"/>
          <w:color w:val="auto"/>
        </w:rPr>
        <w:t>质量管理</w:t>
      </w:r>
      <w:r>
        <w:rPr>
          <w:color w:val="auto"/>
        </w:rPr>
        <w:t>措施</w:t>
      </w:r>
      <w:bookmarkEnd w:id="126"/>
      <w:bookmarkEnd w:id="129"/>
    </w:p>
    <w:bookmarkEnd w:id="127"/>
    <w:bookmarkEnd w:id="128"/>
    <w:p w14:paraId="4FA8C969">
      <w:pPr>
        <w:pStyle w:val="3"/>
        <w:rPr>
          <w:color w:val="auto"/>
        </w:rPr>
      </w:pPr>
      <w:bookmarkStart w:id="130" w:name="_Toc10656"/>
      <w:bookmarkStart w:id="131" w:name="_Toc1615"/>
      <w:bookmarkStart w:id="132" w:name="_Toc20434"/>
      <w:r>
        <w:rPr>
          <w:rFonts w:hint="eastAsia"/>
          <w:color w:val="auto"/>
        </w:rPr>
        <w:t>质量管理组织机构</w:t>
      </w:r>
      <w:bookmarkEnd w:id="130"/>
      <w:bookmarkEnd w:id="131"/>
      <w:bookmarkEnd w:id="132"/>
    </w:p>
    <w:p w14:paraId="181A8753">
      <w:pPr>
        <w:rPr>
          <w:color w:val="auto"/>
          <w:shd w:val="clear" w:color="auto" w:fill="auto"/>
        </w:rPr>
      </w:pPr>
      <w:r>
        <w:rPr>
          <w:color w:val="auto"/>
        </w:rPr>
        <w:t>为保证</w:t>
      </w:r>
      <w:r>
        <w:rPr>
          <w:rFonts w:hint="eastAsia"/>
          <w:color w:val="auto"/>
          <w:lang w:val="en-US" w:eastAsia="zh-CN"/>
        </w:rPr>
        <w:t>塔</w:t>
      </w:r>
      <w:r>
        <w:rPr>
          <w:rFonts w:hint="eastAsia"/>
          <w:color w:val="auto"/>
        </w:rPr>
        <w:t>式起重机</w:t>
      </w:r>
      <w:r>
        <w:rPr>
          <w:color w:val="auto"/>
        </w:rPr>
        <w:t>安装过程中的施</w:t>
      </w:r>
      <w:r>
        <w:rPr>
          <w:rFonts w:hint="eastAsia"/>
          <w:color w:val="auto"/>
        </w:rPr>
        <w:t>工</w:t>
      </w:r>
      <w:r>
        <w:rPr>
          <w:color w:val="auto"/>
        </w:rPr>
        <w:t>质量、安全</w:t>
      </w:r>
      <w:r>
        <w:rPr>
          <w:rFonts w:hint="eastAsia"/>
          <w:color w:val="auto"/>
        </w:rPr>
        <w:t>及文明生产等符合管理要求</w:t>
      </w:r>
      <w:r>
        <w:rPr>
          <w:color w:val="auto"/>
        </w:rPr>
        <w:t>，</w:t>
      </w:r>
      <w:r>
        <w:rPr>
          <w:color w:val="auto"/>
          <w:shd w:val="clear" w:color="auto" w:fill="auto"/>
        </w:rPr>
        <w:t>特成立以施工质量、安全为一体的</w:t>
      </w:r>
      <w:r>
        <w:rPr>
          <w:rFonts w:hint="eastAsia"/>
          <w:color w:val="auto"/>
          <w:shd w:val="clear" w:color="auto" w:fill="auto"/>
          <w:lang w:val="en-US" w:eastAsia="zh-CN"/>
        </w:rPr>
        <w:t>塔</w:t>
      </w:r>
      <w:r>
        <w:rPr>
          <w:rFonts w:hint="eastAsia"/>
          <w:color w:val="auto"/>
          <w:shd w:val="clear" w:color="auto" w:fill="auto"/>
        </w:rPr>
        <w:t>式起重机</w:t>
      </w:r>
      <w:r>
        <w:rPr>
          <w:rFonts w:hint="eastAsia"/>
          <w:color w:val="auto"/>
          <w:shd w:val="clear" w:color="auto" w:fill="auto"/>
          <w:lang w:val="en-US" w:eastAsia="zh-CN"/>
        </w:rPr>
        <w:t>安装</w:t>
      </w:r>
      <w:r>
        <w:rPr>
          <w:color w:val="auto"/>
          <w:shd w:val="clear" w:color="auto" w:fill="auto"/>
        </w:rPr>
        <w:t>施工组织机构。</w:t>
      </w:r>
    </w:p>
    <w:p w14:paraId="203D8FCF">
      <w:pPr>
        <w:pStyle w:val="49"/>
        <w:rPr>
          <w:rFonts w:hint="eastAsia" w:eastAsia="宋体"/>
          <w:color w:val="auto"/>
          <w:shd w:val="clear" w:color="FFFFFF" w:fill="D9D9D9"/>
          <w:lang w:eastAsia="zh-CN"/>
        </w:rPr>
      </w:pPr>
      <w:r>
        <w:rPr>
          <w:color w:val="auto"/>
          <w:shd w:val="clear" w:color="FFFFFF" w:fill="D9D9D9"/>
        </w:rPr>
        <w:drawing>
          <wp:inline distT="0" distB="0" distL="0" distR="0">
            <wp:extent cx="5168900" cy="2486660"/>
            <wp:effectExtent l="0" t="0" r="12700" b="8890"/>
            <wp:docPr id="129" name="图片 1124"/>
            <wp:cNvGraphicFramePr/>
            <a:graphic xmlns:a="http://schemas.openxmlformats.org/drawingml/2006/main">
              <a:graphicData uri="http://schemas.openxmlformats.org/drawingml/2006/picture">
                <pic:pic xmlns:pic="http://schemas.openxmlformats.org/drawingml/2006/picture">
                  <pic:nvPicPr>
                    <pic:cNvPr id="129" name="图片 1124"/>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168900" cy="2486660"/>
                    </a:xfrm>
                    <a:prstGeom prst="rect">
                      <a:avLst/>
                    </a:prstGeom>
                    <a:noFill/>
                    <a:ln>
                      <a:noFill/>
                    </a:ln>
                  </pic:spPr>
                </pic:pic>
              </a:graphicData>
            </a:graphic>
          </wp:inline>
        </w:drawing>
      </w:r>
    </w:p>
    <w:p w14:paraId="0A1494EC">
      <w:pPr>
        <w:pStyle w:val="48"/>
        <w:ind w:firstLine="422"/>
        <w:jc w:val="center"/>
        <w:rPr>
          <w:b/>
          <w:bCs/>
          <w:color w:val="auto"/>
          <w:sz w:val="21"/>
          <w:szCs w:val="21"/>
        </w:rPr>
      </w:pPr>
      <w:r>
        <w:rPr>
          <w:rFonts w:hint="eastAsia"/>
          <w:b/>
          <w:bCs/>
          <w:color w:val="auto"/>
          <w:sz w:val="21"/>
          <w:szCs w:val="21"/>
        </w:rPr>
        <w:t>图 5.1</w:t>
      </w:r>
      <w:r>
        <w:rPr>
          <w:rFonts w:hint="eastAsia"/>
          <w:b/>
          <w:bCs/>
          <w:color w:val="auto"/>
          <w:sz w:val="21"/>
          <w:szCs w:val="21"/>
          <w:lang w:val="en-US" w:eastAsia="zh-CN"/>
        </w:rPr>
        <w:t>-</w:t>
      </w:r>
      <w:r>
        <w:rPr>
          <w:b/>
          <w:bCs/>
          <w:color w:val="auto"/>
          <w:sz w:val="21"/>
          <w:szCs w:val="21"/>
        </w:rPr>
        <w:fldChar w:fldCharType="begin"/>
      </w:r>
      <w:r>
        <w:rPr>
          <w:b/>
          <w:bCs/>
          <w:color w:val="auto"/>
          <w:sz w:val="21"/>
          <w:szCs w:val="21"/>
        </w:rPr>
        <w:instrText xml:space="preserve"> </w:instrText>
      </w:r>
      <w:r>
        <w:rPr>
          <w:rFonts w:hint="eastAsia"/>
          <w:b/>
          <w:bCs/>
          <w:color w:val="auto"/>
          <w:sz w:val="21"/>
          <w:szCs w:val="21"/>
        </w:rPr>
        <w:instrText xml:space="preserve">SEQ 图 \* ARABIC \s 2</w:instrText>
      </w:r>
      <w:r>
        <w:rPr>
          <w:b/>
          <w:bCs/>
          <w:color w:val="auto"/>
          <w:sz w:val="21"/>
          <w:szCs w:val="21"/>
        </w:rPr>
        <w:instrText xml:space="preserve"> </w:instrText>
      </w:r>
      <w:r>
        <w:rPr>
          <w:b/>
          <w:bCs/>
          <w:color w:val="auto"/>
          <w:sz w:val="21"/>
          <w:szCs w:val="21"/>
        </w:rPr>
        <w:fldChar w:fldCharType="separate"/>
      </w:r>
      <w:r>
        <w:rPr>
          <w:rFonts w:hint="eastAsia"/>
          <w:b/>
          <w:bCs/>
          <w:color w:val="auto"/>
          <w:sz w:val="21"/>
          <w:szCs w:val="21"/>
        </w:rPr>
        <w:t>1</w:t>
      </w:r>
      <w:r>
        <w:rPr>
          <w:b/>
          <w:bCs/>
          <w:color w:val="auto"/>
          <w:sz w:val="21"/>
          <w:szCs w:val="21"/>
        </w:rPr>
        <w:fldChar w:fldCharType="end"/>
      </w:r>
      <w:r>
        <w:rPr>
          <w:b/>
          <w:bCs/>
          <w:color w:val="auto"/>
          <w:sz w:val="21"/>
          <w:szCs w:val="21"/>
        </w:rPr>
        <w:t xml:space="preserve">  </w:t>
      </w:r>
      <w:r>
        <w:rPr>
          <w:rFonts w:hint="eastAsia"/>
          <w:b/>
          <w:bCs/>
          <w:color w:val="auto"/>
          <w:sz w:val="21"/>
          <w:szCs w:val="21"/>
        </w:rPr>
        <w:t>项目</w:t>
      </w:r>
      <w:r>
        <w:rPr>
          <w:b/>
          <w:bCs/>
          <w:color w:val="auto"/>
          <w:sz w:val="21"/>
          <w:szCs w:val="21"/>
        </w:rPr>
        <w:t>组织机构图</w:t>
      </w:r>
    </w:p>
    <w:p w14:paraId="6DA8436F">
      <w:pPr>
        <w:ind w:firstLine="480"/>
        <w:rPr>
          <w:rFonts w:ascii="Times New Roman" w:hAnsi="Times New Roman"/>
          <w:color w:val="auto"/>
          <w:szCs w:val="24"/>
          <w:highlight w:val="none"/>
        </w:rPr>
      </w:pPr>
      <w:r>
        <w:rPr>
          <w:rFonts w:hint="eastAsia" w:ascii="Times New Roman" w:hAnsi="Times New Roman"/>
          <w:color w:val="auto"/>
          <w:szCs w:val="24"/>
        </w:rPr>
        <w:t>建立健全管理体系，坚持管生产必须管安全的原则，健全岗位责任制，从组织上、制度上、</w:t>
      </w:r>
      <w:r>
        <w:rPr>
          <w:rFonts w:hint="eastAsia" w:ascii="Times New Roman" w:hAnsi="Times New Roman"/>
          <w:color w:val="auto"/>
          <w:szCs w:val="24"/>
          <w:highlight w:val="none"/>
        </w:rPr>
        <w:t>防范措施上保证安全生产，做到规范施工，安全操作。</w:t>
      </w:r>
    </w:p>
    <w:p w14:paraId="65024AE8">
      <w:pPr>
        <w:pStyle w:val="3"/>
        <w:rPr>
          <w:rFonts w:hint="default" w:asciiTheme="majorAscii" w:hAnsiTheme="majorAscii"/>
          <w:b/>
          <w:bCs/>
          <w:color w:val="auto"/>
          <w:sz w:val="28"/>
          <w:highlight w:val="none"/>
          <w:shd w:val="clear" w:color="auto" w:fill="auto"/>
        </w:rPr>
      </w:pPr>
      <w:bookmarkStart w:id="133" w:name="_Toc30252"/>
      <w:bookmarkStart w:id="134" w:name="_Toc31512"/>
      <w:bookmarkStart w:id="135" w:name="_Toc20038"/>
      <w:r>
        <w:rPr>
          <w:rFonts w:hint="default" w:asciiTheme="majorAscii" w:hAnsiTheme="majorAscii"/>
          <w:b/>
          <w:bCs/>
          <w:color w:val="auto"/>
          <w:sz w:val="28"/>
          <w:highlight w:val="none"/>
          <w:shd w:val="clear" w:color="auto" w:fill="auto"/>
        </w:rPr>
        <w:t>质量通病及质量通病预防</w:t>
      </w:r>
      <w:bookmarkEnd w:id="133"/>
      <w:bookmarkEnd w:id="134"/>
    </w:p>
    <w:p w14:paraId="2D13F677">
      <w:pPr>
        <w:pStyle w:val="69"/>
        <w:ind w:firstLine="422"/>
        <w:rPr>
          <w:rFonts w:hint="eastAsia" w:eastAsia="仿宋"/>
          <w:color w:val="auto"/>
          <w:highlight w:val="none"/>
          <w:lang w:eastAsia="zh-CN"/>
        </w:rPr>
      </w:pPr>
      <w:r>
        <w:rPr>
          <w:rFonts w:hint="eastAsia"/>
          <w:color w:val="auto"/>
          <w:highlight w:val="none"/>
          <w:lang w:val="en-US" w:eastAsia="zh-CN"/>
        </w:rPr>
        <w:t>5</w:t>
      </w:r>
      <w:r>
        <w:rPr>
          <w:color w:val="auto"/>
          <w:highlight w:val="none"/>
        </w:rPr>
        <w:t>.</w:t>
      </w:r>
      <w:r>
        <w:rPr>
          <w:rFonts w:hint="eastAsia"/>
          <w:color w:val="auto"/>
          <w:highlight w:val="none"/>
          <w:lang w:val="en-US" w:eastAsia="zh-CN"/>
        </w:rPr>
        <w:t>2</w:t>
      </w:r>
      <w:r>
        <w:rPr>
          <w:color w:val="auto"/>
          <w:highlight w:val="none"/>
        </w:rPr>
        <w:t xml:space="preserve">-1 </w:t>
      </w:r>
      <w:r>
        <w:rPr>
          <w:rFonts w:hint="eastAsia"/>
          <w:color w:val="auto"/>
          <w:highlight w:val="none"/>
        </w:rPr>
        <w:t>塔吊安装质量通病预防措施</w:t>
      </w:r>
    </w:p>
    <w:tbl>
      <w:tblPr>
        <w:tblStyle w:val="26"/>
        <w:tblW w:w="9049"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7"/>
        <w:gridCol w:w="1644"/>
        <w:gridCol w:w="6558"/>
      </w:tblGrid>
      <w:tr w14:paraId="70CD2B7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shd w:val="clear" w:color="auto" w:fill="C7DAF1" w:themeFill="text2" w:themeFillTint="32"/>
            <w:vAlign w:val="center"/>
          </w:tcPr>
          <w:p w14:paraId="5A1A0A31">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项次</w:t>
            </w:r>
          </w:p>
        </w:tc>
        <w:tc>
          <w:tcPr>
            <w:tcW w:w="1644" w:type="dxa"/>
            <w:tcBorders>
              <w:tl2br w:val="nil"/>
              <w:tr2bl w:val="nil"/>
            </w:tcBorders>
            <w:shd w:val="clear" w:color="auto" w:fill="C7DAF1" w:themeFill="text2" w:themeFillTint="32"/>
            <w:vAlign w:val="center"/>
          </w:tcPr>
          <w:p w14:paraId="12960255">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质量通病</w:t>
            </w:r>
          </w:p>
        </w:tc>
        <w:tc>
          <w:tcPr>
            <w:tcW w:w="6558" w:type="dxa"/>
            <w:tcBorders>
              <w:tl2br w:val="nil"/>
              <w:tr2bl w:val="nil"/>
            </w:tcBorders>
            <w:shd w:val="clear" w:color="auto" w:fill="C7DAF1" w:themeFill="text2" w:themeFillTint="32"/>
            <w:vAlign w:val="center"/>
          </w:tcPr>
          <w:p w14:paraId="78CF4974">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预防措施</w:t>
            </w:r>
          </w:p>
        </w:tc>
      </w:tr>
      <w:tr w14:paraId="365834D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vAlign w:val="center"/>
          </w:tcPr>
          <w:p w14:paraId="6EAA7BAD">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644" w:type="dxa"/>
            <w:tcBorders>
              <w:tl2br w:val="nil"/>
              <w:tr2bl w:val="nil"/>
            </w:tcBorders>
            <w:vAlign w:val="center"/>
          </w:tcPr>
          <w:p w14:paraId="51F76C6F">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安装作业前未对设备进行全面检查</w:t>
            </w:r>
          </w:p>
        </w:tc>
        <w:tc>
          <w:tcPr>
            <w:tcW w:w="6558" w:type="dxa"/>
            <w:tcBorders>
              <w:tl2br w:val="nil"/>
              <w:tr2bl w:val="nil"/>
            </w:tcBorders>
            <w:vAlign w:val="center"/>
          </w:tcPr>
          <w:p w14:paraId="04C1AD5A">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在对整机进行安装作前，安装人员，尤其是安装队的负责人应对塔吊进行全面的检查，确保钢结构无裂纹及不可恢复的塑性变形，焊缝无开裂现象，各安全装置齐全、有效，如发现问题应及时的采取措施，以免在塔吊安装作过程中发生事故。</w:t>
            </w:r>
          </w:p>
        </w:tc>
      </w:tr>
      <w:tr w14:paraId="699436F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vAlign w:val="center"/>
          </w:tcPr>
          <w:p w14:paraId="2FA5E33B">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w:t>
            </w:r>
          </w:p>
        </w:tc>
        <w:tc>
          <w:tcPr>
            <w:tcW w:w="1644" w:type="dxa"/>
            <w:tcBorders>
              <w:tl2br w:val="nil"/>
              <w:tr2bl w:val="nil"/>
            </w:tcBorders>
            <w:vAlign w:val="center"/>
          </w:tcPr>
          <w:p w14:paraId="678D05CB">
            <w:pPr>
              <w:pStyle w:val="7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在顶程式标准前须对顶升系统进行全面检查</w:t>
            </w:r>
          </w:p>
        </w:tc>
        <w:tc>
          <w:tcPr>
            <w:tcW w:w="6558" w:type="dxa"/>
            <w:tcBorders>
              <w:tl2br w:val="nil"/>
              <w:tr2bl w:val="nil"/>
            </w:tcBorders>
            <w:vAlign w:val="center"/>
          </w:tcPr>
          <w:p w14:paraId="6D9749AF">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在顶升加节前，安装人员必须对顶升系统进行检查，防止在顶升时油箱油不足或油管漏油等现象，造成顶升时发生安全隐患。</w:t>
            </w:r>
          </w:p>
        </w:tc>
      </w:tr>
      <w:tr w14:paraId="100581B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vAlign w:val="center"/>
          </w:tcPr>
          <w:p w14:paraId="71218C11">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p>
        </w:tc>
        <w:tc>
          <w:tcPr>
            <w:tcW w:w="1644" w:type="dxa"/>
            <w:tcBorders>
              <w:tl2br w:val="nil"/>
              <w:tr2bl w:val="nil"/>
            </w:tcBorders>
            <w:vAlign w:val="center"/>
          </w:tcPr>
          <w:p w14:paraId="1B4E1308">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在顶升加节完成时必须检查回转与构与爬升架的连接肖轴是否安装完成</w:t>
            </w:r>
          </w:p>
        </w:tc>
        <w:tc>
          <w:tcPr>
            <w:tcW w:w="6558" w:type="dxa"/>
            <w:tcBorders>
              <w:tl2br w:val="nil"/>
              <w:tr2bl w:val="nil"/>
            </w:tcBorders>
            <w:vAlign w:val="center"/>
          </w:tcPr>
          <w:p w14:paraId="3562397D">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在顶升加节完成后，安装人员在使用回转或变幅机构时，必须要检查标准节与爬升架及爬升架与特殊节的连接肖轴是否安装完成，避免造成安全隐患。</w:t>
            </w:r>
          </w:p>
        </w:tc>
      </w:tr>
      <w:tr w14:paraId="5704574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vAlign w:val="center"/>
          </w:tcPr>
          <w:p w14:paraId="53478EBC">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w:t>
            </w:r>
          </w:p>
        </w:tc>
        <w:tc>
          <w:tcPr>
            <w:tcW w:w="1644" w:type="dxa"/>
            <w:tcBorders>
              <w:tl2br w:val="nil"/>
              <w:tr2bl w:val="nil"/>
            </w:tcBorders>
            <w:vAlign w:val="center"/>
          </w:tcPr>
          <w:p w14:paraId="36E8B81D">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在安装前对安装人员进行技术交底</w:t>
            </w:r>
          </w:p>
        </w:tc>
        <w:tc>
          <w:tcPr>
            <w:tcW w:w="6558" w:type="dxa"/>
            <w:tcBorders>
              <w:tl2br w:val="nil"/>
              <w:tr2bl w:val="nil"/>
            </w:tcBorders>
            <w:vAlign w:val="center"/>
          </w:tcPr>
          <w:p w14:paraId="1E57E2C8">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在安装塔吊前必须对安装人员进行技术交底，严格按照安装方案及说明书的要求去作业，在安装过程中发现问题及时停止作业，问题处理完成，再能进行后续施工。</w:t>
            </w:r>
          </w:p>
        </w:tc>
      </w:tr>
    </w:tbl>
    <w:p w14:paraId="256D783E">
      <w:pPr>
        <w:pStyle w:val="3"/>
        <w:rPr>
          <w:color w:val="auto"/>
          <w:highlight w:val="none"/>
        </w:rPr>
      </w:pPr>
      <w:bookmarkStart w:id="136" w:name="_Toc533345492"/>
      <w:bookmarkStart w:id="137" w:name="_Toc13635"/>
      <w:bookmarkStart w:id="138" w:name="_Toc22190"/>
      <w:bookmarkStart w:id="139" w:name="_Toc14944"/>
      <w:r>
        <w:rPr>
          <w:rFonts w:hint="eastAsia"/>
          <w:color w:val="auto"/>
          <w:highlight w:val="none"/>
        </w:rPr>
        <w:t>质量保证措施</w:t>
      </w:r>
      <w:bookmarkEnd w:id="136"/>
      <w:bookmarkEnd w:id="137"/>
      <w:bookmarkEnd w:id="138"/>
      <w:bookmarkEnd w:id="139"/>
    </w:p>
    <w:p w14:paraId="55BEE57F">
      <w:pPr>
        <w:pStyle w:val="50"/>
        <w:numPr>
          <w:ilvl w:val="0"/>
          <w:numId w:val="12"/>
        </w:numPr>
        <w:ind w:left="-480" w:leftChars="0" w:firstLineChars="0"/>
      </w:pPr>
      <w:r>
        <w:rPr>
          <w:rFonts w:hint="eastAsia"/>
        </w:rPr>
        <w:t>严格执行国家现行制作、安装施工验收规范和施工图设计要求及设备说明书提出的有关要求，项目部拟定相应质量计划并规范操作；</w:t>
      </w:r>
    </w:p>
    <w:p w14:paraId="63CE9142">
      <w:pPr>
        <w:pStyle w:val="50"/>
        <w:numPr>
          <w:ilvl w:val="0"/>
          <w:numId w:val="12"/>
        </w:numPr>
        <w:ind w:left="-480" w:leftChars="0" w:firstLineChars="0"/>
      </w:pPr>
      <w:r>
        <w:rPr>
          <w:rFonts w:hint="eastAsia"/>
        </w:rPr>
        <w:t>项目经理对工程质量管理工作负全面领导责任，项目工程师行使施工质量控制和管理职权。各施工队进行专检、工序检、复检确认，行使质量否决权。施工队兼职质量员进行现场施工质量监督控制，并负责本队自检、互检工作；</w:t>
      </w:r>
    </w:p>
    <w:p w14:paraId="1EFB8AFA">
      <w:pPr>
        <w:pStyle w:val="50"/>
        <w:numPr>
          <w:ilvl w:val="0"/>
          <w:numId w:val="12"/>
        </w:numPr>
        <w:ind w:left="-480" w:leftChars="0" w:firstLineChars="0"/>
      </w:pPr>
      <w:r>
        <w:rPr>
          <w:rFonts w:hint="eastAsia"/>
        </w:rPr>
        <w:t>实行施工全过程的质量控制。在工程开工前，确定关键工序停工检验点，一般工序实行工序交叉检，上道工序不合格，不得转入下道工序；</w:t>
      </w:r>
    </w:p>
    <w:p w14:paraId="1A7A92A4">
      <w:pPr>
        <w:pStyle w:val="50"/>
        <w:numPr>
          <w:ilvl w:val="0"/>
          <w:numId w:val="12"/>
        </w:numPr>
        <w:ind w:left="-480" w:leftChars="0" w:firstLineChars="0"/>
      </w:pPr>
      <w:r>
        <w:rPr>
          <w:rFonts w:hint="eastAsia"/>
        </w:rPr>
        <w:t>施工队详细填写质量验收检查表，以保证质量施工原始记录的及时、完整和准确；</w:t>
      </w:r>
    </w:p>
    <w:p w14:paraId="159730E8">
      <w:pPr>
        <w:pStyle w:val="50"/>
        <w:numPr>
          <w:ilvl w:val="0"/>
          <w:numId w:val="12"/>
        </w:numPr>
        <w:ind w:left="-480" w:leftChars="0" w:firstLineChars="0"/>
      </w:pPr>
      <w:r>
        <w:rPr>
          <w:rFonts w:hint="eastAsia"/>
        </w:rPr>
        <w:t>项目工程师要按使用单位提供图纸及实测数据，编制施工方案或技术措施，施工前向施工人员作详细的技术交底；</w:t>
      </w:r>
    </w:p>
    <w:p w14:paraId="6BB34A32">
      <w:pPr>
        <w:pStyle w:val="50"/>
        <w:numPr>
          <w:ilvl w:val="0"/>
          <w:numId w:val="12"/>
        </w:numPr>
        <w:ind w:left="-480" w:leftChars="0" w:firstLineChars="0"/>
      </w:pPr>
      <w:r>
        <w:rPr>
          <w:rFonts w:hint="eastAsia"/>
        </w:rPr>
        <w:t>施工使用的水准仪、经纬仪与盒尺等检验器具，必须严格按国家有关要求定期校验和核查，未经检验或过期、失准的计量器具严禁使用；</w:t>
      </w:r>
    </w:p>
    <w:p w14:paraId="7853ADB1">
      <w:pPr>
        <w:pStyle w:val="50"/>
        <w:numPr>
          <w:ilvl w:val="0"/>
          <w:numId w:val="12"/>
        </w:numPr>
        <w:ind w:left="-480" w:leftChars="0" w:firstLineChars="0"/>
        <w:rPr>
          <w:highlight w:val="none"/>
        </w:rPr>
      </w:pPr>
      <w:r>
        <w:rPr>
          <w:rFonts w:hint="eastAsia"/>
        </w:rPr>
        <w:t>各种设备的交接、验收、保管、存放应按有关要求进行。存放保管应按设备材料就按要求进行，认真核对名称、型号、规格、</w:t>
      </w:r>
      <w:r>
        <w:rPr>
          <w:rFonts w:hint="eastAsia"/>
          <w:highlight w:val="none"/>
        </w:rPr>
        <w:t>数量</w:t>
      </w:r>
      <w:r>
        <w:rPr>
          <w:rFonts w:hint="default"/>
          <w:highlight w:val="none"/>
          <w:lang w:val="en-US"/>
        </w:rPr>
        <w:t>.</w:t>
      </w:r>
    </w:p>
    <w:p w14:paraId="5829742C">
      <w:pPr>
        <w:rPr>
          <w:highlight w:val="none"/>
        </w:rPr>
      </w:pPr>
    </w:p>
    <w:p w14:paraId="4E503C36">
      <w:pPr>
        <w:pStyle w:val="3"/>
        <w:rPr>
          <w:color w:val="auto"/>
          <w:highlight w:val="none"/>
        </w:rPr>
      </w:pPr>
      <w:bookmarkStart w:id="140" w:name="_Toc31784"/>
      <w:bookmarkStart w:id="141" w:name="_Toc30509"/>
      <w:bookmarkStart w:id="142" w:name="_Toc533345493"/>
      <w:bookmarkStart w:id="143" w:name="_Toc8473"/>
      <w:r>
        <w:rPr>
          <w:rFonts w:hint="eastAsia"/>
          <w:color w:val="auto"/>
          <w:highlight w:val="none"/>
        </w:rPr>
        <w:t>作业过程中控制点的设置</w:t>
      </w:r>
      <w:bookmarkEnd w:id="140"/>
      <w:bookmarkEnd w:id="141"/>
      <w:bookmarkEnd w:id="142"/>
      <w:bookmarkEnd w:id="143"/>
    </w:p>
    <w:p w14:paraId="59DD472D">
      <w:pPr>
        <w:pStyle w:val="69"/>
        <w:ind w:firstLine="0" w:firstLineChars="0"/>
        <w:rPr>
          <w:color w:val="auto"/>
          <w:highlight w:val="none"/>
        </w:rPr>
      </w:pPr>
      <w:r>
        <w:rPr>
          <w:rFonts w:hint="eastAsia"/>
          <w:color w:val="auto"/>
          <w:highlight w:val="none"/>
        </w:rPr>
        <w:t>表</w:t>
      </w:r>
      <w:r>
        <w:rPr>
          <w:rFonts w:hint="eastAsia"/>
          <w:color w:val="auto"/>
          <w:highlight w:val="none"/>
          <w:lang w:val="en-US" w:eastAsia="zh-CN"/>
        </w:rPr>
        <w:t>5</w:t>
      </w:r>
      <w:r>
        <w:rPr>
          <w:color w:val="auto"/>
          <w:highlight w:val="none"/>
        </w:rPr>
        <w:t>.</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1</w:t>
      </w:r>
      <w:r>
        <w:rPr>
          <w:color w:val="auto"/>
          <w:highlight w:val="none"/>
        </w:rPr>
        <w:t xml:space="preserve"> </w:t>
      </w:r>
      <w:r>
        <w:rPr>
          <w:rFonts w:hint="eastAsia"/>
          <w:color w:val="auto"/>
          <w:highlight w:val="none"/>
        </w:rPr>
        <w:t>关键控制点</w:t>
      </w:r>
    </w:p>
    <w:p w14:paraId="598DB3F1">
      <w:pPr>
        <w:ind w:left="0" w:leftChars="0" w:firstLine="0" w:firstLineChars="0"/>
        <w:rPr>
          <w:color w:val="auto"/>
          <w:highlight w:val="none"/>
        </w:rPr>
      </w:pPr>
    </w:p>
    <w:tbl>
      <w:tblPr>
        <w:tblStyle w:val="26"/>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8"/>
        <w:gridCol w:w="669"/>
        <w:gridCol w:w="944"/>
        <w:gridCol w:w="1801"/>
        <w:gridCol w:w="803"/>
        <w:gridCol w:w="390"/>
        <w:gridCol w:w="356"/>
        <w:gridCol w:w="240"/>
        <w:gridCol w:w="198"/>
        <w:gridCol w:w="227"/>
        <w:gridCol w:w="303"/>
        <w:gridCol w:w="467"/>
        <w:gridCol w:w="738"/>
        <w:gridCol w:w="816"/>
      </w:tblGrid>
      <w:tr w14:paraId="2A5CC7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vMerge w:val="restart"/>
            <w:tcBorders>
              <w:tl2br w:val="nil"/>
              <w:tr2bl w:val="nil"/>
            </w:tcBorders>
            <w:shd w:val="clear" w:color="auto" w:fill="DAE3F3"/>
            <w:noWrap w:val="0"/>
            <w:tcMar>
              <w:top w:w="15" w:type="dxa"/>
              <w:left w:w="15" w:type="dxa"/>
              <w:right w:w="15" w:type="dxa"/>
            </w:tcMar>
            <w:vAlign w:val="center"/>
          </w:tcPr>
          <w:p w14:paraId="28005335">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序号</w:t>
            </w:r>
          </w:p>
        </w:tc>
        <w:tc>
          <w:tcPr>
            <w:tcW w:w="669" w:type="dxa"/>
            <w:vMerge w:val="restart"/>
            <w:tcBorders>
              <w:tl2br w:val="nil"/>
              <w:tr2bl w:val="nil"/>
            </w:tcBorders>
            <w:shd w:val="clear" w:color="auto" w:fill="DAE3F3"/>
            <w:noWrap w:val="0"/>
            <w:tcMar>
              <w:top w:w="15" w:type="dxa"/>
              <w:left w:w="15" w:type="dxa"/>
              <w:right w:w="15" w:type="dxa"/>
            </w:tcMar>
            <w:vAlign w:val="center"/>
          </w:tcPr>
          <w:p w14:paraId="3AAFA087">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作业活动单元</w:t>
            </w:r>
          </w:p>
        </w:tc>
        <w:tc>
          <w:tcPr>
            <w:tcW w:w="944" w:type="dxa"/>
            <w:vMerge w:val="restart"/>
            <w:tcBorders>
              <w:tl2br w:val="nil"/>
              <w:tr2bl w:val="nil"/>
            </w:tcBorders>
            <w:shd w:val="clear" w:color="auto" w:fill="DAE3F3"/>
            <w:noWrap w:val="0"/>
            <w:tcMar>
              <w:top w:w="15" w:type="dxa"/>
              <w:left w:w="15" w:type="dxa"/>
              <w:right w:w="15" w:type="dxa"/>
            </w:tcMar>
            <w:vAlign w:val="center"/>
          </w:tcPr>
          <w:p w14:paraId="0AE7F469">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活动的内容</w:t>
            </w:r>
          </w:p>
        </w:tc>
        <w:tc>
          <w:tcPr>
            <w:tcW w:w="1801" w:type="dxa"/>
            <w:vMerge w:val="restart"/>
            <w:tcBorders>
              <w:tl2br w:val="nil"/>
              <w:tr2bl w:val="nil"/>
            </w:tcBorders>
            <w:shd w:val="clear" w:color="auto" w:fill="DAE3F3"/>
            <w:noWrap w:val="0"/>
            <w:tcMar>
              <w:top w:w="15" w:type="dxa"/>
              <w:left w:w="15" w:type="dxa"/>
              <w:right w:w="15" w:type="dxa"/>
            </w:tcMar>
            <w:vAlign w:val="center"/>
          </w:tcPr>
          <w:p w14:paraId="2A04B0D5">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危害因素</w:t>
            </w:r>
          </w:p>
        </w:tc>
        <w:tc>
          <w:tcPr>
            <w:tcW w:w="803" w:type="dxa"/>
            <w:vMerge w:val="restart"/>
            <w:tcBorders>
              <w:tl2br w:val="nil"/>
              <w:tr2bl w:val="nil"/>
            </w:tcBorders>
            <w:shd w:val="clear" w:color="auto" w:fill="DAE3F3"/>
            <w:noWrap w:val="0"/>
            <w:tcMar>
              <w:top w:w="15" w:type="dxa"/>
              <w:left w:w="15" w:type="dxa"/>
              <w:right w:w="15" w:type="dxa"/>
            </w:tcMar>
            <w:vAlign w:val="center"/>
          </w:tcPr>
          <w:p w14:paraId="64A76ADB">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潜在事故类型</w:t>
            </w:r>
          </w:p>
        </w:tc>
        <w:tc>
          <w:tcPr>
            <w:tcW w:w="1714" w:type="dxa"/>
            <w:gridSpan w:val="6"/>
            <w:tcBorders>
              <w:tl2br w:val="nil"/>
              <w:tr2bl w:val="nil"/>
            </w:tcBorders>
            <w:shd w:val="clear" w:color="auto" w:fill="DAE3F3"/>
            <w:noWrap/>
            <w:tcMar>
              <w:top w:w="15" w:type="dxa"/>
              <w:left w:w="15" w:type="dxa"/>
              <w:right w:w="15" w:type="dxa"/>
            </w:tcMar>
            <w:vAlign w:val="center"/>
          </w:tcPr>
          <w:p w14:paraId="5F2323EC">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危险危害因素评价</w:t>
            </w:r>
          </w:p>
        </w:tc>
        <w:tc>
          <w:tcPr>
            <w:tcW w:w="467" w:type="dxa"/>
            <w:tcBorders>
              <w:tl2br w:val="nil"/>
              <w:tr2bl w:val="nil"/>
            </w:tcBorders>
            <w:shd w:val="clear" w:color="auto" w:fill="DAE3F3"/>
            <w:noWrap/>
            <w:tcMar>
              <w:top w:w="15" w:type="dxa"/>
              <w:left w:w="15" w:type="dxa"/>
              <w:right w:w="15" w:type="dxa"/>
            </w:tcMar>
            <w:vAlign w:val="center"/>
          </w:tcPr>
          <w:p w14:paraId="433B2E2D">
            <w:pPr>
              <w:widowControl/>
              <w:spacing w:line="240" w:lineRule="exact"/>
              <w:ind w:firstLine="0" w:firstLineChars="0"/>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　</w:t>
            </w:r>
          </w:p>
        </w:tc>
        <w:tc>
          <w:tcPr>
            <w:tcW w:w="738" w:type="dxa"/>
            <w:tcBorders>
              <w:tl2br w:val="nil"/>
              <w:tr2bl w:val="nil"/>
            </w:tcBorders>
            <w:shd w:val="clear" w:color="auto" w:fill="DAE3F3"/>
            <w:noWrap/>
            <w:tcMar>
              <w:top w:w="15" w:type="dxa"/>
              <w:left w:w="15" w:type="dxa"/>
              <w:right w:w="15" w:type="dxa"/>
            </w:tcMar>
            <w:vAlign w:val="center"/>
          </w:tcPr>
          <w:p w14:paraId="354D840C">
            <w:pPr>
              <w:widowControl/>
              <w:spacing w:line="240" w:lineRule="exact"/>
              <w:ind w:firstLine="0" w:firstLineChars="0"/>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　</w:t>
            </w:r>
          </w:p>
        </w:tc>
        <w:tc>
          <w:tcPr>
            <w:tcW w:w="816" w:type="dxa"/>
            <w:tcBorders>
              <w:tl2br w:val="nil"/>
              <w:tr2bl w:val="nil"/>
            </w:tcBorders>
            <w:shd w:val="clear" w:color="auto" w:fill="DAE3F3"/>
            <w:noWrap/>
            <w:tcMar>
              <w:top w:w="15" w:type="dxa"/>
              <w:left w:w="15" w:type="dxa"/>
              <w:right w:w="15" w:type="dxa"/>
            </w:tcMar>
            <w:vAlign w:val="center"/>
          </w:tcPr>
          <w:p w14:paraId="476E7909">
            <w:pPr>
              <w:widowControl/>
              <w:spacing w:line="240" w:lineRule="exact"/>
              <w:ind w:firstLine="0" w:firstLineChars="0"/>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　</w:t>
            </w:r>
          </w:p>
        </w:tc>
      </w:tr>
      <w:tr w14:paraId="79C996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vMerge w:val="continue"/>
            <w:tcBorders>
              <w:tl2br w:val="nil"/>
              <w:tr2bl w:val="nil"/>
            </w:tcBorders>
            <w:shd w:val="clear" w:color="auto" w:fill="DAE3F3"/>
            <w:noWrap w:val="0"/>
            <w:tcMar>
              <w:top w:w="15" w:type="dxa"/>
              <w:left w:w="15" w:type="dxa"/>
              <w:right w:w="15" w:type="dxa"/>
            </w:tcMar>
            <w:vAlign w:val="center"/>
          </w:tcPr>
          <w:p w14:paraId="75835003">
            <w:pPr>
              <w:widowControl/>
              <w:spacing w:line="240" w:lineRule="exact"/>
              <w:ind w:firstLine="0" w:firstLineChars="0"/>
              <w:jc w:val="center"/>
              <w:rPr>
                <w:rFonts w:ascii="宋体" w:hAnsi="宋体" w:cs="宋体"/>
                <w:color w:val="auto"/>
                <w:sz w:val="18"/>
                <w:szCs w:val="18"/>
                <w:highlight w:val="none"/>
              </w:rPr>
            </w:pPr>
          </w:p>
        </w:tc>
        <w:tc>
          <w:tcPr>
            <w:tcW w:w="669" w:type="dxa"/>
            <w:vMerge w:val="continue"/>
            <w:tcBorders>
              <w:tl2br w:val="nil"/>
              <w:tr2bl w:val="nil"/>
            </w:tcBorders>
            <w:shd w:val="clear" w:color="auto" w:fill="DAE3F3"/>
            <w:noWrap w:val="0"/>
            <w:tcMar>
              <w:top w:w="15" w:type="dxa"/>
              <w:left w:w="15" w:type="dxa"/>
              <w:right w:w="15" w:type="dxa"/>
            </w:tcMar>
            <w:vAlign w:val="center"/>
          </w:tcPr>
          <w:p w14:paraId="16109537">
            <w:pPr>
              <w:widowControl/>
              <w:spacing w:line="240" w:lineRule="exact"/>
              <w:ind w:firstLine="0" w:firstLineChars="0"/>
              <w:jc w:val="center"/>
              <w:rPr>
                <w:rFonts w:ascii="宋体" w:hAnsi="宋体" w:cs="宋体"/>
                <w:color w:val="auto"/>
                <w:sz w:val="18"/>
                <w:szCs w:val="18"/>
                <w:highlight w:val="none"/>
              </w:rPr>
            </w:pPr>
          </w:p>
        </w:tc>
        <w:tc>
          <w:tcPr>
            <w:tcW w:w="944" w:type="dxa"/>
            <w:vMerge w:val="continue"/>
            <w:tcBorders>
              <w:tl2br w:val="nil"/>
              <w:tr2bl w:val="nil"/>
            </w:tcBorders>
            <w:shd w:val="clear" w:color="auto" w:fill="DAE3F3"/>
            <w:noWrap w:val="0"/>
            <w:tcMar>
              <w:top w:w="15" w:type="dxa"/>
              <w:left w:w="15" w:type="dxa"/>
              <w:right w:w="15" w:type="dxa"/>
            </w:tcMar>
            <w:vAlign w:val="center"/>
          </w:tcPr>
          <w:p w14:paraId="1C0375CB">
            <w:pPr>
              <w:widowControl/>
              <w:spacing w:line="240" w:lineRule="exact"/>
              <w:ind w:firstLine="0" w:firstLineChars="0"/>
              <w:jc w:val="center"/>
              <w:rPr>
                <w:rFonts w:ascii="宋体" w:hAnsi="宋体" w:cs="宋体"/>
                <w:color w:val="auto"/>
                <w:sz w:val="18"/>
                <w:szCs w:val="18"/>
                <w:highlight w:val="none"/>
              </w:rPr>
            </w:pPr>
          </w:p>
        </w:tc>
        <w:tc>
          <w:tcPr>
            <w:tcW w:w="1801" w:type="dxa"/>
            <w:vMerge w:val="continue"/>
            <w:tcBorders>
              <w:tl2br w:val="nil"/>
              <w:tr2bl w:val="nil"/>
            </w:tcBorders>
            <w:shd w:val="clear" w:color="auto" w:fill="DAE3F3"/>
            <w:noWrap w:val="0"/>
            <w:tcMar>
              <w:top w:w="15" w:type="dxa"/>
              <w:left w:w="15" w:type="dxa"/>
              <w:right w:w="15" w:type="dxa"/>
            </w:tcMar>
            <w:vAlign w:val="center"/>
          </w:tcPr>
          <w:p w14:paraId="109CBEE4">
            <w:pPr>
              <w:widowControl/>
              <w:spacing w:line="240" w:lineRule="exact"/>
              <w:ind w:firstLine="0" w:firstLineChars="0"/>
              <w:jc w:val="center"/>
              <w:rPr>
                <w:rFonts w:ascii="宋体" w:hAnsi="宋体" w:cs="宋体"/>
                <w:color w:val="auto"/>
                <w:sz w:val="18"/>
                <w:szCs w:val="18"/>
                <w:highlight w:val="none"/>
              </w:rPr>
            </w:pPr>
          </w:p>
        </w:tc>
        <w:tc>
          <w:tcPr>
            <w:tcW w:w="803" w:type="dxa"/>
            <w:vMerge w:val="continue"/>
            <w:tcBorders>
              <w:tl2br w:val="nil"/>
              <w:tr2bl w:val="nil"/>
            </w:tcBorders>
            <w:shd w:val="clear" w:color="auto" w:fill="DAE3F3"/>
            <w:noWrap w:val="0"/>
            <w:tcMar>
              <w:top w:w="15" w:type="dxa"/>
              <w:left w:w="15" w:type="dxa"/>
              <w:right w:w="15" w:type="dxa"/>
            </w:tcMar>
            <w:vAlign w:val="center"/>
          </w:tcPr>
          <w:p w14:paraId="5BFAB022">
            <w:pPr>
              <w:widowControl/>
              <w:spacing w:line="240" w:lineRule="exact"/>
              <w:ind w:firstLine="0" w:firstLineChars="0"/>
              <w:jc w:val="center"/>
              <w:rPr>
                <w:rFonts w:ascii="宋体" w:hAnsi="宋体" w:cs="宋体"/>
                <w:color w:val="auto"/>
                <w:sz w:val="18"/>
                <w:szCs w:val="18"/>
                <w:highlight w:val="none"/>
              </w:rPr>
            </w:pPr>
          </w:p>
        </w:tc>
        <w:tc>
          <w:tcPr>
            <w:tcW w:w="746" w:type="dxa"/>
            <w:gridSpan w:val="2"/>
            <w:tcBorders>
              <w:tl2br w:val="nil"/>
              <w:tr2bl w:val="nil"/>
            </w:tcBorders>
            <w:shd w:val="clear" w:color="auto" w:fill="DAE3F3"/>
            <w:noWrap w:val="0"/>
            <w:tcMar>
              <w:top w:w="15" w:type="dxa"/>
              <w:left w:w="15" w:type="dxa"/>
              <w:right w:w="15" w:type="dxa"/>
            </w:tcMar>
            <w:vAlign w:val="center"/>
          </w:tcPr>
          <w:p w14:paraId="711FEA2D">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直接判断</w:t>
            </w:r>
          </w:p>
        </w:tc>
        <w:tc>
          <w:tcPr>
            <w:tcW w:w="968" w:type="dxa"/>
            <w:gridSpan w:val="4"/>
            <w:tcBorders>
              <w:tl2br w:val="nil"/>
              <w:tr2bl w:val="nil"/>
            </w:tcBorders>
            <w:shd w:val="clear" w:color="auto" w:fill="DAE3F3"/>
            <w:noWrap w:val="0"/>
            <w:tcMar>
              <w:top w:w="15" w:type="dxa"/>
              <w:left w:w="15" w:type="dxa"/>
              <w:right w:w="15" w:type="dxa"/>
            </w:tcMar>
            <w:vAlign w:val="center"/>
          </w:tcPr>
          <w:p w14:paraId="4CC15AB1">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D=LEC</w:t>
            </w:r>
          </w:p>
        </w:tc>
        <w:tc>
          <w:tcPr>
            <w:tcW w:w="467" w:type="dxa"/>
            <w:vMerge w:val="restart"/>
            <w:tcBorders>
              <w:tl2br w:val="nil"/>
              <w:tr2bl w:val="nil"/>
            </w:tcBorders>
            <w:shd w:val="clear" w:color="auto" w:fill="DAE3F3"/>
            <w:noWrap w:val="0"/>
            <w:tcMar>
              <w:top w:w="15" w:type="dxa"/>
              <w:left w:w="15" w:type="dxa"/>
              <w:right w:w="15" w:type="dxa"/>
            </w:tcMar>
            <w:vAlign w:val="center"/>
          </w:tcPr>
          <w:p w14:paraId="6D097D91">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危害级别</w:t>
            </w:r>
          </w:p>
        </w:tc>
        <w:tc>
          <w:tcPr>
            <w:tcW w:w="738" w:type="dxa"/>
            <w:vMerge w:val="restart"/>
            <w:tcBorders>
              <w:tl2br w:val="nil"/>
              <w:tr2bl w:val="nil"/>
            </w:tcBorders>
            <w:shd w:val="clear" w:color="auto" w:fill="DAE3F3"/>
            <w:noWrap w:val="0"/>
            <w:tcMar>
              <w:top w:w="15" w:type="dxa"/>
              <w:left w:w="15" w:type="dxa"/>
              <w:right w:w="15" w:type="dxa"/>
            </w:tcMar>
            <w:vAlign w:val="center"/>
          </w:tcPr>
          <w:p w14:paraId="1778EB5F">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现行法律法规</w:t>
            </w:r>
          </w:p>
        </w:tc>
        <w:tc>
          <w:tcPr>
            <w:tcW w:w="816" w:type="dxa"/>
            <w:vMerge w:val="restart"/>
            <w:tcBorders>
              <w:tl2br w:val="nil"/>
              <w:tr2bl w:val="nil"/>
            </w:tcBorders>
            <w:shd w:val="clear" w:color="auto" w:fill="DAE3F3"/>
            <w:noWrap w:val="0"/>
            <w:tcMar>
              <w:top w:w="15" w:type="dxa"/>
              <w:left w:w="15" w:type="dxa"/>
              <w:right w:w="15" w:type="dxa"/>
            </w:tcMar>
            <w:vAlign w:val="center"/>
          </w:tcPr>
          <w:p w14:paraId="72AF6479">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控制措施</w:t>
            </w:r>
          </w:p>
        </w:tc>
      </w:tr>
      <w:tr w14:paraId="1CE454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vMerge w:val="continue"/>
            <w:tcBorders>
              <w:tl2br w:val="nil"/>
              <w:tr2bl w:val="nil"/>
            </w:tcBorders>
            <w:shd w:val="clear" w:color="auto" w:fill="auto"/>
            <w:noWrap w:val="0"/>
            <w:tcMar>
              <w:top w:w="15" w:type="dxa"/>
              <w:left w:w="15" w:type="dxa"/>
              <w:right w:w="15" w:type="dxa"/>
            </w:tcMar>
            <w:vAlign w:val="center"/>
          </w:tcPr>
          <w:p w14:paraId="5428CC3F">
            <w:pPr>
              <w:widowControl/>
              <w:spacing w:line="240" w:lineRule="exact"/>
              <w:ind w:firstLine="0" w:firstLineChars="0"/>
              <w:jc w:val="center"/>
              <w:rPr>
                <w:rFonts w:ascii="宋体" w:hAnsi="宋体" w:cs="宋体"/>
                <w:color w:val="auto"/>
                <w:sz w:val="18"/>
                <w:szCs w:val="18"/>
              </w:rPr>
            </w:pPr>
          </w:p>
        </w:tc>
        <w:tc>
          <w:tcPr>
            <w:tcW w:w="669" w:type="dxa"/>
            <w:vMerge w:val="continue"/>
            <w:tcBorders>
              <w:tl2br w:val="nil"/>
              <w:tr2bl w:val="nil"/>
            </w:tcBorders>
            <w:shd w:val="clear" w:color="auto" w:fill="auto"/>
            <w:noWrap w:val="0"/>
            <w:tcMar>
              <w:top w:w="15" w:type="dxa"/>
              <w:left w:w="15" w:type="dxa"/>
              <w:right w:w="15" w:type="dxa"/>
            </w:tcMar>
            <w:vAlign w:val="center"/>
          </w:tcPr>
          <w:p w14:paraId="23618752">
            <w:pPr>
              <w:widowControl/>
              <w:spacing w:line="240" w:lineRule="exact"/>
              <w:ind w:firstLine="0" w:firstLineChars="0"/>
              <w:jc w:val="center"/>
              <w:rPr>
                <w:rFonts w:ascii="宋体" w:hAnsi="宋体" w:cs="宋体"/>
                <w:color w:val="auto"/>
                <w:sz w:val="18"/>
                <w:szCs w:val="18"/>
              </w:rPr>
            </w:pPr>
          </w:p>
        </w:tc>
        <w:tc>
          <w:tcPr>
            <w:tcW w:w="944" w:type="dxa"/>
            <w:vMerge w:val="continue"/>
            <w:tcBorders>
              <w:tl2br w:val="nil"/>
              <w:tr2bl w:val="nil"/>
            </w:tcBorders>
            <w:shd w:val="clear" w:color="auto" w:fill="auto"/>
            <w:noWrap w:val="0"/>
            <w:tcMar>
              <w:top w:w="15" w:type="dxa"/>
              <w:left w:w="15" w:type="dxa"/>
              <w:right w:w="15" w:type="dxa"/>
            </w:tcMar>
            <w:vAlign w:val="center"/>
          </w:tcPr>
          <w:p w14:paraId="1BCE7112">
            <w:pPr>
              <w:widowControl/>
              <w:spacing w:line="240" w:lineRule="exact"/>
              <w:ind w:firstLine="0" w:firstLineChars="0"/>
              <w:jc w:val="center"/>
              <w:rPr>
                <w:rFonts w:ascii="宋体" w:hAnsi="宋体" w:cs="宋体"/>
                <w:color w:val="auto"/>
                <w:sz w:val="18"/>
                <w:szCs w:val="18"/>
              </w:rPr>
            </w:pPr>
          </w:p>
        </w:tc>
        <w:tc>
          <w:tcPr>
            <w:tcW w:w="1801" w:type="dxa"/>
            <w:vMerge w:val="continue"/>
            <w:tcBorders>
              <w:tl2br w:val="nil"/>
              <w:tr2bl w:val="nil"/>
            </w:tcBorders>
            <w:shd w:val="clear" w:color="auto" w:fill="auto"/>
            <w:noWrap w:val="0"/>
            <w:tcMar>
              <w:top w:w="15" w:type="dxa"/>
              <w:left w:w="15" w:type="dxa"/>
              <w:right w:w="15" w:type="dxa"/>
            </w:tcMar>
            <w:vAlign w:val="center"/>
          </w:tcPr>
          <w:p w14:paraId="327E7851">
            <w:pPr>
              <w:widowControl/>
              <w:spacing w:line="240" w:lineRule="exact"/>
              <w:ind w:firstLine="0" w:firstLineChars="0"/>
              <w:jc w:val="center"/>
              <w:rPr>
                <w:rFonts w:ascii="宋体" w:hAnsi="宋体" w:cs="宋体"/>
                <w:color w:val="auto"/>
                <w:sz w:val="18"/>
                <w:szCs w:val="18"/>
              </w:rPr>
            </w:pPr>
          </w:p>
        </w:tc>
        <w:tc>
          <w:tcPr>
            <w:tcW w:w="803" w:type="dxa"/>
            <w:vMerge w:val="continue"/>
            <w:tcBorders>
              <w:tl2br w:val="nil"/>
              <w:tr2bl w:val="nil"/>
            </w:tcBorders>
            <w:shd w:val="clear" w:color="auto" w:fill="auto"/>
            <w:noWrap w:val="0"/>
            <w:tcMar>
              <w:top w:w="15" w:type="dxa"/>
              <w:left w:w="15" w:type="dxa"/>
              <w:right w:w="15" w:type="dxa"/>
            </w:tcMar>
            <w:vAlign w:val="center"/>
          </w:tcPr>
          <w:p w14:paraId="27C2C7D7">
            <w:pPr>
              <w:widowControl/>
              <w:spacing w:line="240" w:lineRule="exact"/>
              <w:ind w:firstLine="0" w:firstLineChars="0"/>
              <w:jc w:val="center"/>
              <w:rPr>
                <w:rFonts w:ascii="宋体" w:hAnsi="宋体" w:cs="宋体"/>
                <w:color w:val="auto"/>
                <w:sz w:val="18"/>
                <w:szCs w:val="18"/>
              </w:rPr>
            </w:pPr>
          </w:p>
        </w:tc>
        <w:tc>
          <w:tcPr>
            <w:tcW w:w="390" w:type="dxa"/>
            <w:tcBorders>
              <w:tl2br w:val="nil"/>
              <w:tr2bl w:val="nil"/>
            </w:tcBorders>
            <w:shd w:val="clear" w:color="auto" w:fill="DAE3F3"/>
            <w:noWrap w:val="0"/>
            <w:tcMar>
              <w:top w:w="15" w:type="dxa"/>
              <w:left w:w="15" w:type="dxa"/>
              <w:right w:w="15" w:type="dxa"/>
            </w:tcMar>
            <w:vAlign w:val="center"/>
          </w:tcPr>
          <w:p w14:paraId="402CCDD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是</w:t>
            </w:r>
          </w:p>
        </w:tc>
        <w:tc>
          <w:tcPr>
            <w:tcW w:w="356" w:type="dxa"/>
            <w:tcBorders>
              <w:tl2br w:val="nil"/>
              <w:tr2bl w:val="nil"/>
            </w:tcBorders>
            <w:shd w:val="clear" w:color="auto" w:fill="DAE3F3"/>
            <w:noWrap w:val="0"/>
            <w:tcMar>
              <w:top w:w="15" w:type="dxa"/>
              <w:left w:w="15" w:type="dxa"/>
              <w:right w:w="15" w:type="dxa"/>
            </w:tcMar>
            <w:vAlign w:val="center"/>
          </w:tcPr>
          <w:p w14:paraId="40146D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shd w:val="clear" w:color="auto" w:fill="DAE3F3"/>
            <w:noWrap w:val="0"/>
            <w:tcMar>
              <w:top w:w="15" w:type="dxa"/>
              <w:left w:w="15" w:type="dxa"/>
              <w:right w:w="15" w:type="dxa"/>
            </w:tcMar>
            <w:vAlign w:val="center"/>
          </w:tcPr>
          <w:p w14:paraId="61CCDB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L</w:t>
            </w:r>
          </w:p>
        </w:tc>
        <w:tc>
          <w:tcPr>
            <w:tcW w:w="198" w:type="dxa"/>
            <w:tcBorders>
              <w:tl2br w:val="nil"/>
              <w:tr2bl w:val="nil"/>
            </w:tcBorders>
            <w:shd w:val="clear" w:color="auto" w:fill="DAE3F3"/>
            <w:noWrap w:val="0"/>
            <w:tcMar>
              <w:top w:w="15" w:type="dxa"/>
              <w:left w:w="15" w:type="dxa"/>
              <w:right w:w="15" w:type="dxa"/>
            </w:tcMar>
            <w:vAlign w:val="center"/>
          </w:tcPr>
          <w:p w14:paraId="795B4FD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E</w:t>
            </w:r>
          </w:p>
        </w:tc>
        <w:tc>
          <w:tcPr>
            <w:tcW w:w="227" w:type="dxa"/>
            <w:tcBorders>
              <w:tl2br w:val="nil"/>
              <w:tr2bl w:val="nil"/>
            </w:tcBorders>
            <w:shd w:val="clear" w:color="auto" w:fill="DAE3F3"/>
            <w:noWrap w:val="0"/>
            <w:tcMar>
              <w:top w:w="15" w:type="dxa"/>
              <w:left w:w="15" w:type="dxa"/>
              <w:right w:w="15" w:type="dxa"/>
            </w:tcMar>
            <w:vAlign w:val="center"/>
          </w:tcPr>
          <w:p w14:paraId="1A5E17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C</w:t>
            </w:r>
          </w:p>
        </w:tc>
        <w:tc>
          <w:tcPr>
            <w:tcW w:w="303" w:type="dxa"/>
            <w:tcBorders>
              <w:tl2br w:val="nil"/>
              <w:tr2bl w:val="nil"/>
            </w:tcBorders>
            <w:shd w:val="clear" w:color="auto" w:fill="DAE3F3"/>
            <w:noWrap w:val="0"/>
            <w:tcMar>
              <w:top w:w="15" w:type="dxa"/>
              <w:left w:w="15" w:type="dxa"/>
              <w:right w:w="15" w:type="dxa"/>
            </w:tcMar>
            <w:vAlign w:val="center"/>
          </w:tcPr>
          <w:p w14:paraId="5CCB85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D</w:t>
            </w:r>
          </w:p>
        </w:tc>
        <w:tc>
          <w:tcPr>
            <w:tcW w:w="467" w:type="dxa"/>
            <w:vMerge w:val="continue"/>
            <w:tcBorders>
              <w:tl2br w:val="nil"/>
              <w:tr2bl w:val="nil"/>
            </w:tcBorders>
            <w:noWrap w:val="0"/>
            <w:tcMar>
              <w:top w:w="15" w:type="dxa"/>
              <w:left w:w="15" w:type="dxa"/>
              <w:right w:w="15" w:type="dxa"/>
            </w:tcMar>
            <w:vAlign w:val="center"/>
          </w:tcPr>
          <w:p w14:paraId="47A227D9">
            <w:pPr>
              <w:widowControl/>
              <w:spacing w:line="240" w:lineRule="exact"/>
              <w:ind w:firstLine="0" w:firstLineChars="0"/>
              <w:jc w:val="center"/>
              <w:rPr>
                <w:rFonts w:ascii="宋体" w:hAnsi="宋体" w:cs="宋体"/>
                <w:color w:val="auto"/>
                <w:sz w:val="18"/>
                <w:szCs w:val="18"/>
              </w:rPr>
            </w:pPr>
          </w:p>
        </w:tc>
        <w:tc>
          <w:tcPr>
            <w:tcW w:w="738" w:type="dxa"/>
            <w:vMerge w:val="continue"/>
            <w:tcBorders>
              <w:tl2br w:val="nil"/>
              <w:tr2bl w:val="nil"/>
            </w:tcBorders>
            <w:noWrap w:val="0"/>
            <w:tcMar>
              <w:top w:w="15" w:type="dxa"/>
              <w:left w:w="15" w:type="dxa"/>
              <w:right w:w="15" w:type="dxa"/>
            </w:tcMar>
            <w:vAlign w:val="center"/>
          </w:tcPr>
          <w:p w14:paraId="31D7BA9B">
            <w:pPr>
              <w:widowControl/>
              <w:spacing w:line="240" w:lineRule="exact"/>
              <w:ind w:firstLine="0" w:firstLineChars="0"/>
              <w:jc w:val="center"/>
              <w:rPr>
                <w:rFonts w:ascii="宋体" w:hAnsi="宋体" w:cs="宋体"/>
                <w:color w:val="auto"/>
                <w:sz w:val="18"/>
                <w:szCs w:val="18"/>
              </w:rPr>
            </w:pPr>
          </w:p>
        </w:tc>
        <w:tc>
          <w:tcPr>
            <w:tcW w:w="816" w:type="dxa"/>
            <w:vMerge w:val="continue"/>
            <w:tcBorders>
              <w:tl2br w:val="nil"/>
              <w:tr2bl w:val="nil"/>
            </w:tcBorders>
            <w:noWrap w:val="0"/>
            <w:tcMar>
              <w:top w:w="15" w:type="dxa"/>
              <w:left w:w="15" w:type="dxa"/>
              <w:right w:w="15" w:type="dxa"/>
            </w:tcMar>
            <w:vAlign w:val="center"/>
          </w:tcPr>
          <w:p w14:paraId="02DCB52E">
            <w:pPr>
              <w:widowControl/>
              <w:spacing w:line="240" w:lineRule="exact"/>
              <w:ind w:firstLine="0" w:firstLineChars="0"/>
              <w:jc w:val="center"/>
              <w:rPr>
                <w:rFonts w:ascii="宋体" w:hAnsi="宋体" w:cs="宋体"/>
                <w:color w:val="auto"/>
                <w:sz w:val="18"/>
                <w:szCs w:val="18"/>
              </w:rPr>
            </w:pPr>
          </w:p>
        </w:tc>
      </w:tr>
      <w:tr w14:paraId="0B885F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E5B896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669" w:type="dxa"/>
            <w:tcBorders>
              <w:tl2br w:val="nil"/>
              <w:tr2bl w:val="nil"/>
            </w:tcBorders>
            <w:noWrap w:val="0"/>
            <w:tcMar>
              <w:top w:w="15" w:type="dxa"/>
              <w:left w:w="15" w:type="dxa"/>
              <w:right w:w="15" w:type="dxa"/>
            </w:tcMar>
            <w:vAlign w:val="center"/>
          </w:tcPr>
          <w:p w14:paraId="4ADC3BE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698AC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0178DD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起重设备技术状况差，未验收检查即使用</w:t>
            </w:r>
          </w:p>
        </w:tc>
        <w:tc>
          <w:tcPr>
            <w:tcW w:w="803" w:type="dxa"/>
            <w:tcBorders>
              <w:tl2br w:val="nil"/>
              <w:tr2bl w:val="nil"/>
            </w:tcBorders>
            <w:noWrap w:val="0"/>
            <w:tcMar>
              <w:top w:w="15" w:type="dxa"/>
              <w:left w:w="15" w:type="dxa"/>
              <w:right w:w="15" w:type="dxa"/>
            </w:tcMar>
            <w:vAlign w:val="center"/>
          </w:tcPr>
          <w:p w14:paraId="6296049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3A0BC3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B561AA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41298F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3559AA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3DC6B2F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554F91C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667540E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2619EA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312B7F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04F91D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62C44B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669" w:type="dxa"/>
            <w:tcBorders>
              <w:tl2br w:val="nil"/>
              <w:tr2bl w:val="nil"/>
            </w:tcBorders>
            <w:noWrap w:val="0"/>
            <w:tcMar>
              <w:top w:w="15" w:type="dxa"/>
              <w:left w:w="15" w:type="dxa"/>
              <w:right w:w="15" w:type="dxa"/>
            </w:tcMar>
            <w:vAlign w:val="center"/>
          </w:tcPr>
          <w:p w14:paraId="60F3D2E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DF69D6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5B754C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机械设备基础的承载能力不足</w:t>
            </w:r>
          </w:p>
        </w:tc>
        <w:tc>
          <w:tcPr>
            <w:tcW w:w="803" w:type="dxa"/>
            <w:tcBorders>
              <w:tl2br w:val="nil"/>
              <w:tr2bl w:val="nil"/>
            </w:tcBorders>
            <w:noWrap w:val="0"/>
            <w:tcMar>
              <w:top w:w="15" w:type="dxa"/>
              <w:left w:w="15" w:type="dxa"/>
              <w:right w:w="15" w:type="dxa"/>
            </w:tcMar>
            <w:vAlign w:val="center"/>
          </w:tcPr>
          <w:p w14:paraId="4F680A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2E1B77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2E421B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8CD43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6CD5257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8B1E48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03DE40E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4D4948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BE558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2B6AB2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检查基础承载力</w:t>
            </w:r>
          </w:p>
        </w:tc>
      </w:tr>
      <w:tr w14:paraId="1F7E80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027643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669" w:type="dxa"/>
            <w:tcBorders>
              <w:tl2br w:val="nil"/>
              <w:tr2bl w:val="nil"/>
            </w:tcBorders>
            <w:noWrap w:val="0"/>
            <w:tcMar>
              <w:top w:w="15" w:type="dxa"/>
              <w:left w:w="15" w:type="dxa"/>
              <w:right w:w="15" w:type="dxa"/>
            </w:tcMar>
            <w:vAlign w:val="center"/>
          </w:tcPr>
          <w:p w14:paraId="2694048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25E1E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3BCFC15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操作人员无证操作</w:t>
            </w:r>
          </w:p>
        </w:tc>
        <w:tc>
          <w:tcPr>
            <w:tcW w:w="803" w:type="dxa"/>
            <w:tcBorders>
              <w:tl2br w:val="nil"/>
              <w:tr2bl w:val="nil"/>
            </w:tcBorders>
            <w:noWrap w:val="0"/>
            <w:tcMar>
              <w:top w:w="15" w:type="dxa"/>
              <w:left w:w="15" w:type="dxa"/>
              <w:right w:w="15" w:type="dxa"/>
            </w:tcMar>
            <w:vAlign w:val="center"/>
          </w:tcPr>
          <w:p w14:paraId="630BAAE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777976A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8EFB73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B14561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DDC30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60728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2BBB356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0C090B1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F2CEFF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7982A91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要求操作人员持证上岗</w:t>
            </w:r>
          </w:p>
        </w:tc>
      </w:tr>
      <w:tr w14:paraId="3239B4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F1D7C6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w:t>
            </w:r>
          </w:p>
        </w:tc>
        <w:tc>
          <w:tcPr>
            <w:tcW w:w="669" w:type="dxa"/>
            <w:tcBorders>
              <w:tl2br w:val="nil"/>
              <w:tr2bl w:val="nil"/>
            </w:tcBorders>
            <w:noWrap w:val="0"/>
            <w:tcMar>
              <w:top w:w="15" w:type="dxa"/>
              <w:left w:w="15" w:type="dxa"/>
              <w:right w:w="15" w:type="dxa"/>
            </w:tcMar>
            <w:vAlign w:val="center"/>
          </w:tcPr>
          <w:p w14:paraId="631E050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DCD577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5CFC9AD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操作司机误操作</w:t>
            </w:r>
          </w:p>
        </w:tc>
        <w:tc>
          <w:tcPr>
            <w:tcW w:w="803" w:type="dxa"/>
            <w:tcBorders>
              <w:tl2br w:val="nil"/>
              <w:tr2bl w:val="nil"/>
            </w:tcBorders>
            <w:noWrap w:val="0"/>
            <w:tcMar>
              <w:top w:w="15" w:type="dxa"/>
              <w:left w:w="15" w:type="dxa"/>
              <w:right w:w="15" w:type="dxa"/>
            </w:tcMar>
            <w:vAlign w:val="center"/>
          </w:tcPr>
          <w:p w14:paraId="43CC07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2E6A68B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B5EB9E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AC7984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273B72A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3265CC4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0420F8B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24FE33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9854BF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41E71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作业前进行教育</w:t>
            </w:r>
          </w:p>
        </w:tc>
      </w:tr>
      <w:tr w14:paraId="0D4667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AD8B0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5</w:t>
            </w:r>
          </w:p>
        </w:tc>
        <w:tc>
          <w:tcPr>
            <w:tcW w:w="669" w:type="dxa"/>
            <w:tcBorders>
              <w:tl2br w:val="nil"/>
              <w:tr2bl w:val="nil"/>
            </w:tcBorders>
            <w:noWrap w:val="0"/>
            <w:tcMar>
              <w:top w:w="15" w:type="dxa"/>
              <w:left w:w="15" w:type="dxa"/>
              <w:right w:w="15" w:type="dxa"/>
            </w:tcMar>
            <w:vAlign w:val="center"/>
          </w:tcPr>
          <w:p w14:paraId="3CCA6B3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D551BB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510E346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指挥人员无证指挥</w:t>
            </w:r>
          </w:p>
        </w:tc>
        <w:tc>
          <w:tcPr>
            <w:tcW w:w="803" w:type="dxa"/>
            <w:tcBorders>
              <w:tl2br w:val="nil"/>
              <w:tr2bl w:val="nil"/>
            </w:tcBorders>
            <w:noWrap w:val="0"/>
            <w:tcMar>
              <w:top w:w="15" w:type="dxa"/>
              <w:left w:w="15" w:type="dxa"/>
              <w:right w:w="15" w:type="dxa"/>
            </w:tcMar>
            <w:vAlign w:val="center"/>
          </w:tcPr>
          <w:p w14:paraId="4B952DA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653ED3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EE5B6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02BD06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153622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20E2AE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4D23A3E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4C46E39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6E265F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BE1A44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要求指挥人员持证上岗</w:t>
            </w:r>
          </w:p>
        </w:tc>
      </w:tr>
      <w:tr w14:paraId="37D8B4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01FF4A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w:t>
            </w:r>
          </w:p>
        </w:tc>
        <w:tc>
          <w:tcPr>
            <w:tcW w:w="669" w:type="dxa"/>
            <w:tcBorders>
              <w:tl2br w:val="nil"/>
              <w:tr2bl w:val="nil"/>
            </w:tcBorders>
            <w:noWrap w:val="0"/>
            <w:tcMar>
              <w:top w:w="15" w:type="dxa"/>
              <w:left w:w="15" w:type="dxa"/>
              <w:right w:w="15" w:type="dxa"/>
            </w:tcMar>
            <w:vAlign w:val="center"/>
          </w:tcPr>
          <w:p w14:paraId="5DAA16D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16CA5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52DE736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起重设备安全保护装置失效</w:t>
            </w:r>
          </w:p>
        </w:tc>
        <w:tc>
          <w:tcPr>
            <w:tcW w:w="803" w:type="dxa"/>
            <w:tcBorders>
              <w:tl2br w:val="nil"/>
              <w:tr2bl w:val="nil"/>
            </w:tcBorders>
            <w:noWrap w:val="0"/>
            <w:tcMar>
              <w:top w:w="15" w:type="dxa"/>
              <w:left w:w="15" w:type="dxa"/>
              <w:right w:w="15" w:type="dxa"/>
            </w:tcMar>
            <w:vAlign w:val="center"/>
          </w:tcPr>
          <w:p w14:paraId="1284028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72F4F8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CF8D6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3523EB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36E208D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E379A5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0DCE37C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39C38A8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74F387E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58BB21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设备使用前检查</w:t>
            </w:r>
          </w:p>
        </w:tc>
      </w:tr>
      <w:tr w14:paraId="0F2EFD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48344A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669" w:type="dxa"/>
            <w:tcBorders>
              <w:tl2br w:val="nil"/>
              <w:tr2bl w:val="nil"/>
            </w:tcBorders>
            <w:noWrap w:val="0"/>
            <w:tcMar>
              <w:top w:w="15" w:type="dxa"/>
              <w:left w:w="15" w:type="dxa"/>
              <w:right w:w="15" w:type="dxa"/>
            </w:tcMar>
            <w:vAlign w:val="center"/>
          </w:tcPr>
          <w:p w14:paraId="69DAD7E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F0FD9C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1B1F0EA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吊装绳不符合规范</w:t>
            </w:r>
          </w:p>
        </w:tc>
        <w:tc>
          <w:tcPr>
            <w:tcW w:w="803" w:type="dxa"/>
            <w:tcBorders>
              <w:tl2br w:val="nil"/>
              <w:tr2bl w:val="nil"/>
            </w:tcBorders>
            <w:noWrap w:val="0"/>
            <w:tcMar>
              <w:top w:w="15" w:type="dxa"/>
              <w:left w:w="15" w:type="dxa"/>
              <w:right w:w="15" w:type="dxa"/>
            </w:tcMar>
            <w:vAlign w:val="center"/>
          </w:tcPr>
          <w:p w14:paraId="2A45367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1F5B4B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0231D0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87D996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1E816D9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707E14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6C0C956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0B83D79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4D7016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41A2EB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使用前检查</w:t>
            </w:r>
          </w:p>
        </w:tc>
      </w:tr>
      <w:tr w14:paraId="5477A7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DD36F7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w:t>
            </w:r>
          </w:p>
        </w:tc>
        <w:tc>
          <w:tcPr>
            <w:tcW w:w="669" w:type="dxa"/>
            <w:tcBorders>
              <w:tl2br w:val="nil"/>
              <w:tr2bl w:val="nil"/>
            </w:tcBorders>
            <w:noWrap w:val="0"/>
            <w:tcMar>
              <w:top w:w="15" w:type="dxa"/>
              <w:left w:w="15" w:type="dxa"/>
              <w:right w:w="15" w:type="dxa"/>
            </w:tcMar>
            <w:vAlign w:val="center"/>
          </w:tcPr>
          <w:p w14:paraId="0192EA1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6112E4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3BB241B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吊装绳使用不当</w:t>
            </w:r>
          </w:p>
        </w:tc>
        <w:tc>
          <w:tcPr>
            <w:tcW w:w="803" w:type="dxa"/>
            <w:tcBorders>
              <w:tl2br w:val="nil"/>
              <w:tr2bl w:val="nil"/>
            </w:tcBorders>
            <w:noWrap w:val="0"/>
            <w:tcMar>
              <w:top w:w="15" w:type="dxa"/>
              <w:left w:w="15" w:type="dxa"/>
              <w:right w:w="15" w:type="dxa"/>
            </w:tcMar>
            <w:vAlign w:val="center"/>
          </w:tcPr>
          <w:p w14:paraId="12E42E4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1B45C7F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AA773F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B44E0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605514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12D364A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21D604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72E345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91B9E9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8E601D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现场监督规范使用</w:t>
            </w:r>
          </w:p>
        </w:tc>
      </w:tr>
      <w:tr w14:paraId="34ABA1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15AEB11">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9</w:t>
            </w:r>
          </w:p>
        </w:tc>
        <w:tc>
          <w:tcPr>
            <w:tcW w:w="669" w:type="dxa"/>
            <w:tcBorders>
              <w:tl2br w:val="nil"/>
              <w:tr2bl w:val="nil"/>
            </w:tcBorders>
            <w:noWrap w:val="0"/>
            <w:tcMar>
              <w:top w:w="15" w:type="dxa"/>
              <w:left w:w="15" w:type="dxa"/>
              <w:right w:w="15" w:type="dxa"/>
            </w:tcMar>
            <w:vAlign w:val="center"/>
          </w:tcPr>
          <w:p w14:paraId="1A5B563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5562F9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57BD64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安装、拆除资质不符合要求</w:t>
            </w:r>
          </w:p>
        </w:tc>
        <w:tc>
          <w:tcPr>
            <w:tcW w:w="803" w:type="dxa"/>
            <w:tcBorders>
              <w:tl2br w:val="nil"/>
              <w:tr2bl w:val="nil"/>
            </w:tcBorders>
            <w:noWrap w:val="0"/>
            <w:tcMar>
              <w:top w:w="15" w:type="dxa"/>
              <w:left w:w="15" w:type="dxa"/>
              <w:right w:w="15" w:type="dxa"/>
            </w:tcMar>
            <w:vAlign w:val="center"/>
          </w:tcPr>
          <w:p w14:paraId="269522E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3665D24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B7D7C5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DB105D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F2F32A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469484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303" w:type="dxa"/>
            <w:tcBorders>
              <w:tl2br w:val="nil"/>
              <w:tr2bl w:val="nil"/>
            </w:tcBorders>
            <w:noWrap w:val="0"/>
            <w:tcMar>
              <w:top w:w="15" w:type="dxa"/>
              <w:left w:w="15" w:type="dxa"/>
              <w:right w:w="15" w:type="dxa"/>
            </w:tcMar>
            <w:vAlign w:val="center"/>
          </w:tcPr>
          <w:p w14:paraId="254B82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w:t>
            </w:r>
          </w:p>
        </w:tc>
        <w:tc>
          <w:tcPr>
            <w:tcW w:w="467" w:type="dxa"/>
            <w:tcBorders>
              <w:tl2br w:val="nil"/>
              <w:tr2bl w:val="nil"/>
            </w:tcBorders>
            <w:noWrap w:val="0"/>
            <w:tcMar>
              <w:top w:w="15" w:type="dxa"/>
              <w:left w:w="15" w:type="dxa"/>
              <w:right w:w="15" w:type="dxa"/>
            </w:tcMar>
            <w:vAlign w:val="center"/>
          </w:tcPr>
          <w:p w14:paraId="15105E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738" w:type="dxa"/>
            <w:tcBorders>
              <w:tl2br w:val="nil"/>
              <w:tr2bl w:val="nil"/>
            </w:tcBorders>
            <w:noWrap w:val="0"/>
            <w:tcMar>
              <w:top w:w="15" w:type="dxa"/>
              <w:left w:w="15" w:type="dxa"/>
              <w:right w:w="15" w:type="dxa"/>
            </w:tcMar>
            <w:vAlign w:val="center"/>
          </w:tcPr>
          <w:p w14:paraId="634057E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7501A1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使用资质合格的单位施工</w:t>
            </w:r>
          </w:p>
        </w:tc>
      </w:tr>
      <w:tr w14:paraId="7C8970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730155D">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10</w:t>
            </w:r>
          </w:p>
        </w:tc>
        <w:tc>
          <w:tcPr>
            <w:tcW w:w="669" w:type="dxa"/>
            <w:tcBorders>
              <w:tl2br w:val="nil"/>
              <w:tr2bl w:val="nil"/>
            </w:tcBorders>
            <w:noWrap w:val="0"/>
            <w:tcMar>
              <w:top w:w="15" w:type="dxa"/>
              <w:left w:w="15" w:type="dxa"/>
              <w:right w:w="15" w:type="dxa"/>
            </w:tcMar>
            <w:vAlign w:val="center"/>
          </w:tcPr>
          <w:p w14:paraId="1A632F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56810E4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707561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特种作业人员无证上岗</w:t>
            </w:r>
          </w:p>
        </w:tc>
        <w:tc>
          <w:tcPr>
            <w:tcW w:w="803" w:type="dxa"/>
            <w:tcBorders>
              <w:tl2br w:val="nil"/>
              <w:tr2bl w:val="nil"/>
            </w:tcBorders>
            <w:noWrap w:val="0"/>
            <w:tcMar>
              <w:top w:w="15" w:type="dxa"/>
              <w:left w:w="15" w:type="dxa"/>
              <w:right w:w="15" w:type="dxa"/>
            </w:tcMar>
            <w:vAlign w:val="center"/>
          </w:tcPr>
          <w:p w14:paraId="1C97EBE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3612333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F4B0B0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AD9F95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10FA260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30EB478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366500A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04B32D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14329B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4D2D485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检查特种作业人员持证上岗</w:t>
            </w:r>
          </w:p>
        </w:tc>
      </w:tr>
      <w:tr w14:paraId="03C4D2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04F48B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11</w:t>
            </w:r>
          </w:p>
        </w:tc>
        <w:tc>
          <w:tcPr>
            <w:tcW w:w="669" w:type="dxa"/>
            <w:tcBorders>
              <w:tl2br w:val="nil"/>
              <w:tr2bl w:val="nil"/>
            </w:tcBorders>
            <w:noWrap w:val="0"/>
            <w:tcMar>
              <w:top w:w="15" w:type="dxa"/>
              <w:left w:w="15" w:type="dxa"/>
              <w:right w:w="15" w:type="dxa"/>
            </w:tcMar>
            <w:vAlign w:val="center"/>
          </w:tcPr>
          <w:p w14:paraId="1DF2881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5A878C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1819980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安装、拆除专项方案未经公司批准，不能指导作业，未按方案作业</w:t>
            </w:r>
          </w:p>
        </w:tc>
        <w:tc>
          <w:tcPr>
            <w:tcW w:w="803" w:type="dxa"/>
            <w:tcBorders>
              <w:tl2br w:val="nil"/>
              <w:tr2bl w:val="nil"/>
            </w:tcBorders>
            <w:noWrap w:val="0"/>
            <w:tcMar>
              <w:top w:w="15" w:type="dxa"/>
              <w:left w:w="15" w:type="dxa"/>
              <w:right w:w="15" w:type="dxa"/>
            </w:tcMar>
            <w:vAlign w:val="center"/>
          </w:tcPr>
          <w:p w14:paraId="167BB04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72EAD2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0F1B75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C60D9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BE483A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7070F4E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7B0555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4E5E48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5C51EE7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58CD54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方案审核完善</w:t>
            </w:r>
          </w:p>
        </w:tc>
      </w:tr>
      <w:tr w14:paraId="214076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48318F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12</w:t>
            </w:r>
          </w:p>
        </w:tc>
        <w:tc>
          <w:tcPr>
            <w:tcW w:w="669" w:type="dxa"/>
            <w:tcBorders>
              <w:tl2br w:val="nil"/>
              <w:tr2bl w:val="nil"/>
            </w:tcBorders>
            <w:noWrap w:val="0"/>
            <w:tcMar>
              <w:top w:w="15" w:type="dxa"/>
              <w:left w:w="15" w:type="dxa"/>
              <w:right w:w="15" w:type="dxa"/>
            </w:tcMar>
            <w:vAlign w:val="center"/>
          </w:tcPr>
          <w:p w14:paraId="68CEDFB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B2C482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6658D2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安装、拆除作业前未进行安全技术交底或交底内容不全面、详细</w:t>
            </w:r>
          </w:p>
        </w:tc>
        <w:tc>
          <w:tcPr>
            <w:tcW w:w="803" w:type="dxa"/>
            <w:tcBorders>
              <w:tl2br w:val="nil"/>
              <w:tr2bl w:val="nil"/>
            </w:tcBorders>
            <w:noWrap w:val="0"/>
            <w:tcMar>
              <w:top w:w="15" w:type="dxa"/>
              <w:left w:w="15" w:type="dxa"/>
              <w:right w:w="15" w:type="dxa"/>
            </w:tcMar>
            <w:vAlign w:val="center"/>
          </w:tcPr>
          <w:p w14:paraId="27D8290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31247D4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DCE8FD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41C1F5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C426F0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7449001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303" w:type="dxa"/>
            <w:tcBorders>
              <w:tl2br w:val="nil"/>
              <w:tr2bl w:val="nil"/>
            </w:tcBorders>
            <w:noWrap w:val="0"/>
            <w:tcMar>
              <w:top w:w="15" w:type="dxa"/>
              <w:left w:w="15" w:type="dxa"/>
              <w:right w:w="15" w:type="dxa"/>
            </w:tcMar>
            <w:vAlign w:val="center"/>
          </w:tcPr>
          <w:p w14:paraId="299662A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w:t>
            </w:r>
          </w:p>
        </w:tc>
        <w:tc>
          <w:tcPr>
            <w:tcW w:w="467" w:type="dxa"/>
            <w:tcBorders>
              <w:tl2br w:val="nil"/>
              <w:tr2bl w:val="nil"/>
            </w:tcBorders>
            <w:noWrap w:val="0"/>
            <w:tcMar>
              <w:top w:w="15" w:type="dxa"/>
              <w:left w:w="15" w:type="dxa"/>
              <w:right w:w="15" w:type="dxa"/>
            </w:tcMar>
            <w:vAlign w:val="center"/>
          </w:tcPr>
          <w:p w14:paraId="517DB9C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738" w:type="dxa"/>
            <w:tcBorders>
              <w:tl2br w:val="nil"/>
              <w:tr2bl w:val="nil"/>
            </w:tcBorders>
            <w:noWrap w:val="0"/>
            <w:tcMar>
              <w:top w:w="15" w:type="dxa"/>
              <w:left w:w="15" w:type="dxa"/>
              <w:right w:w="15" w:type="dxa"/>
            </w:tcMar>
            <w:vAlign w:val="center"/>
          </w:tcPr>
          <w:p w14:paraId="3D73A09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696E90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安全技术交底</w:t>
            </w:r>
          </w:p>
        </w:tc>
      </w:tr>
      <w:tr w14:paraId="169CCC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963E4A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13</w:t>
            </w:r>
          </w:p>
        </w:tc>
        <w:tc>
          <w:tcPr>
            <w:tcW w:w="669" w:type="dxa"/>
            <w:tcBorders>
              <w:tl2br w:val="nil"/>
              <w:tr2bl w:val="nil"/>
            </w:tcBorders>
            <w:noWrap w:val="0"/>
            <w:tcMar>
              <w:top w:w="15" w:type="dxa"/>
              <w:left w:w="15" w:type="dxa"/>
              <w:right w:w="15" w:type="dxa"/>
            </w:tcMar>
            <w:vAlign w:val="center"/>
          </w:tcPr>
          <w:p w14:paraId="4E4932C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2E0836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E30CF8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塔机基础不符合设计要求</w:t>
            </w:r>
          </w:p>
        </w:tc>
        <w:tc>
          <w:tcPr>
            <w:tcW w:w="803" w:type="dxa"/>
            <w:tcBorders>
              <w:tl2br w:val="nil"/>
              <w:tr2bl w:val="nil"/>
            </w:tcBorders>
            <w:noWrap w:val="0"/>
            <w:tcMar>
              <w:top w:w="15" w:type="dxa"/>
              <w:left w:w="15" w:type="dxa"/>
              <w:right w:w="15" w:type="dxa"/>
            </w:tcMar>
            <w:vAlign w:val="center"/>
          </w:tcPr>
          <w:p w14:paraId="3F1A854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40ECD53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CE19B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5DADF4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5CC002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5E48254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17AAB55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43F3543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6D92935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7EC0EC5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检查基础情况</w:t>
            </w:r>
          </w:p>
        </w:tc>
      </w:tr>
      <w:tr w14:paraId="5BCCA5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95C4C9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14</w:t>
            </w:r>
          </w:p>
        </w:tc>
        <w:tc>
          <w:tcPr>
            <w:tcW w:w="669" w:type="dxa"/>
            <w:tcBorders>
              <w:tl2br w:val="nil"/>
              <w:tr2bl w:val="nil"/>
            </w:tcBorders>
            <w:noWrap w:val="0"/>
            <w:tcMar>
              <w:top w:w="15" w:type="dxa"/>
              <w:left w:w="15" w:type="dxa"/>
              <w:right w:w="15" w:type="dxa"/>
            </w:tcMar>
            <w:vAlign w:val="center"/>
          </w:tcPr>
          <w:p w14:paraId="3CCC52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361959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C20765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安装、拆除作业前未对塔机各部件进行检查</w:t>
            </w:r>
          </w:p>
        </w:tc>
        <w:tc>
          <w:tcPr>
            <w:tcW w:w="803" w:type="dxa"/>
            <w:tcBorders>
              <w:tl2br w:val="nil"/>
              <w:tr2bl w:val="nil"/>
            </w:tcBorders>
            <w:noWrap w:val="0"/>
            <w:tcMar>
              <w:top w:w="15" w:type="dxa"/>
              <w:left w:w="15" w:type="dxa"/>
              <w:right w:w="15" w:type="dxa"/>
            </w:tcMar>
            <w:vAlign w:val="center"/>
          </w:tcPr>
          <w:p w14:paraId="371B9A3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7DFA8F6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4BE210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2B4724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BC5EEE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7246323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33DD222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40D941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20D7A37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A8D22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作业前检查</w:t>
            </w:r>
          </w:p>
        </w:tc>
      </w:tr>
      <w:tr w14:paraId="2AD746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B8A178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15</w:t>
            </w:r>
          </w:p>
        </w:tc>
        <w:tc>
          <w:tcPr>
            <w:tcW w:w="669" w:type="dxa"/>
            <w:tcBorders>
              <w:tl2br w:val="nil"/>
              <w:tr2bl w:val="nil"/>
            </w:tcBorders>
            <w:noWrap w:val="0"/>
            <w:tcMar>
              <w:top w:w="15" w:type="dxa"/>
              <w:left w:w="15" w:type="dxa"/>
              <w:right w:w="15" w:type="dxa"/>
            </w:tcMar>
            <w:vAlign w:val="center"/>
          </w:tcPr>
          <w:p w14:paraId="65258CE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71F0CB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BAFE96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工序转换时，未检查是否具备下一步施工的条件</w:t>
            </w:r>
          </w:p>
        </w:tc>
        <w:tc>
          <w:tcPr>
            <w:tcW w:w="803" w:type="dxa"/>
            <w:tcBorders>
              <w:tl2br w:val="nil"/>
              <w:tr2bl w:val="nil"/>
            </w:tcBorders>
            <w:noWrap w:val="0"/>
            <w:tcMar>
              <w:top w:w="15" w:type="dxa"/>
              <w:left w:w="15" w:type="dxa"/>
              <w:right w:w="15" w:type="dxa"/>
            </w:tcMar>
            <w:vAlign w:val="center"/>
          </w:tcPr>
          <w:p w14:paraId="0A37AC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51F8D5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536C14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5799E9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7FF6BAF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31D298F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28BA72A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102E667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31BBC02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7583F72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作业前检查</w:t>
            </w:r>
          </w:p>
        </w:tc>
      </w:tr>
      <w:tr w14:paraId="6F1BA02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0FDEF2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16</w:t>
            </w:r>
          </w:p>
        </w:tc>
        <w:tc>
          <w:tcPr>
            <w:tcW w:w="669" w:type="dxa"/>
            <w:tcBorders>
              <w:tl2br w:val="nil"/>
              <w:tr2bl w:val="nil"/>
            </w:tcBorders>
            <w:noWrap w:val="0"/>
            <w:tcMar>
              <w:top w:w="15" w:type="dxa"/>
              <w:left w:w="15" w:type="dxa"/>
              <w:right w:w="15" w:type="dxa"/>
            </w:tcMar>
            <w:vAlign w:val="center"/>
          </w:tcPr>
          <w:p w14:paraId="04CC67E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31E66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03FB2E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起重设备技术状况差，未验收检查即使用</w:t>
            </w:r>
          </w:p>
        </w:tc>
        <w:tc>
          <w:tcPr>
            <w:tcW w:w="803" w:type="dxa"/>
            <w:tcBorders>
              <w:tl2br w:val="nil"/>
              <w:tr2bl w:val="nil"/>
            </w:tcBorders>
            <w:noWrap w:val="0"/>
            <w:tcMar>
              <w:top w:w="15" w:type="dxa"/>
              <w:left w:w="15" w:type="dxa"/>
              <w:right w:w="15" w:type="dxa"/>
            </w:tcMar>
            <w:vAlign w:val="center"/>
          </w:tcPr>
          <w:p w14:paraId="4EB3D13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657A0B3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E10662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A4DDBB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277EB06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46D62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512E8F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4699EB5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BF207C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839FF4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2364E1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C27CF2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17</w:t>
            </w:r>
          </w:p>
        </w:tc>
        <w:tc>
          <w:tcPr>
            <w:tcW w:w="669" w:type="dxa"/>
            <w:tcBorders>
              <w:tl2br w:val="nil"/>
              <w:tr2bl w:val="nil"/>
            </w:tcBorders>
            <w:noWrap w:val="0"/>
            <w:tcMar>
              <w:top w:w="15" w:type="dxa"/>
              <w:left w:w="15" w:type="dxa"/>
              <w:right w:w="15" w:type="dxa"/>
            </w:tcMar>
            <w:vAlign w:val="center"/>
          </w:tcPr>
          <w:p w14:paraId="38E7702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AC44F8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A0B4F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安装、拆除起重臂、平衡臂未用系缆风绳</w:t>
            </w:r>
          </w:p>
        </w:tc>
        <w:tc>
          <w:tcPr>
            <w:tcW w:w="803" w:type="dxa"/>
            <w:tcBorders>
              <w:tl2br w:val="nil"/>
              <w:tr2bl w:val="nil"/>
            </w:tcBorders>
            <w:noWrap w:val="0"/>
            <w:tcMar>
              <w:top w:w="15" w:type="dxa"/>
              <w:left w:w="15" w:type="dxa"/>
              <w:right w:w="15" w:type="dxa"/>
            </w:tcMar>
            <w:vAlign w:val="center"/>
          </w:tcPr>
          <w:p w14:paraId="04B63F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6195C44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324FB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5B391E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2FF512D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9AEDB7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7DFAAE7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6B72C4B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0ABE64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B5FFD7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系好缆风绳</w:t>
            </w:r>
          </w:p>
        </w:tc>
      </w:tr>
      <w:tr w14:paraId="3A37DF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580C16A">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18</w:t>
            </w:r>
          </w:p>
        </w:tc>
        <w:tc>
          <w:tcPr>
            <w:tcW w:w="669" w:type="dxa"/>
            <w:tcBorders>
              <w:tl2br w:val="nil"/>
              <w:tr2bl w:val="nil"/>
            </w:tcBorders>
            <w:noWrap w:val="0"/>
            <w:tcMar>
              <w:top w:w="15" w:type="dxa"/>
              <w:left w:w="15" w:type="dxa"/>
              <w:right w:w="15" w:type="dxa"/>
            </w:tcMar>
            <w:vAlign w:val="center"/>
          </w:tcPr>
          <w:p w14:paraId="01FDB0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9A7147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C36FC5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安装、拆除起重臂前未（吊卸）吊装平衡重</w:t>
            </w:r>
          </w:p>
        </w:tc>
        <w:tc>
          <w:tcPr>
            <w:tcW w:w="803" w:type="dxa"/>
            <w:tcBorders>
              <w:tl2br w:val="nil"/>
              <w:tr2bl w:val="nil"/>
            </w:tcBorders>
            <w:noWrap w:val="0"/>
            <w:tcMar>
              <w:top w:w="15" w:type="dxa"/>
              <w:left w:w="15" w:type="dxa"/>
              <w:right w:w="15" w:type="dxa"/>
            </w:tcMar>
            <w:vAlign w:val="center"/>
          </w:tcPr>
          <w:p w14:paraId="7F1F778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3E5C2EF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161F8E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A35784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B67D2C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24BF2C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5B10DE6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760899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503D84E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6F4451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吊卸平衡重</w:t>
            </w:r>
          </w:p>
        </w:tc>
      </w:tr>
      <w:tr w14:paraId="053081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1DAB42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19</w:t>
            </w:r>
          </w:p>
        </w:tc>
        <w:tc>
          <w:tcPr>
            <w:tcW w:w="669" w:type="dxa"/>
            <w:tcBorders>
              <w:tl2br w:val="nil"/>
              <w:tr2bl w:val="nil"/>
            </w:tcBorders>
            <w:noWrap w:val="0"/>
            <w:tcMar>
              <w:top w:w="15" w:type="dxa"/>
              <w:left w:w="15" w:type="dxa"/>
              <w:right w:w="15" w:type="dxa"/>
            </w:tcMar>
            <w:vAlign w:val="center"/>
          </w:tcPr>
          <w:p w14:paraId="16467D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9A329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51FA42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加节顶升或者降节拆除时未配平或不符合要求</w:t>
            </w:r>
          </w:p>
        </w:tc>
        <w:tc>
          <w:tcPr>
            <w:tcW w:w="803" w:type="dxa"/>
            <w:tcBorders>
              <w:tl2br w:val="nil"/>
              <w:tr2bl w:val="nil"/>
            </w:tcBorders>
            <w:noWrap w:val="0"/>
            <w:tcMar>
              <w:top w:w="15" w:type="dxa"/>
              <w:left w:w="15" w:type="dxa"/>
              <w:right w:w="15" w:type="dxa"/>
            </w:tcMar>
            <w:vAlign w:val="center"/>
          </w:tcPr>
          <w:p w14:paraId="6B44175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7474CF3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D8DD6E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0F57D3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2275D9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40770BB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1E1C116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78D8C0F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32AA49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481F91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作业前进行配平</w:t>
            </w:r>
          </w:p>
        </w:tc>
      </w:tr>
      <w:tr w14:paraId="54ABBC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202D3ED">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20</w:t>
            </w:r>
          </w:p>
        </w:tc>
        <w:tc>
          <w:tcPr>
            <w:tcW w:w="669" w:type="dxa"/>
            <w:tcBorders>
              <w:tl2br w:val="nil"/>
              <w:tr2bl w:val="nil"/>
            </w:tcBorders>
            <w:noWrap w:val="0"/>
            <w:tcMar>
              <w:top w:w="15" w:type="dxa"/>
              <w:left w:w="15" w:type="dxa"/>
              <w:right w:w="15" w:type="dxa"/>
            </w:tcMar>
            <w:vAlign w:val="center"/>
          </w:tcPr>
          <w:p w14:paraId="1A4E46E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FFC26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33573E5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下支座与塔身螺栓没有连接好的情况下回转吊臂、小车变幅、吊装作业</w:t>
            </w:r>
          </w:p>
        </w:tc>
        <w:tc>
          <w:tcPr>
            <w:tcW w:w="803" w:type="dxa"/>
            <w:tcBorders>
              <w:tl2br w:val="nil"/>
              <w:tr2bl w:val="nil"/>
            </w:tcBorders>
            <w:noWrap w:val="0"/>
            <w:tcMar>
              <w:top w:w="15" w:type="dxa"/>
              <w:left w:w="15" w:type="dxa"/>
              <w:right w:w="15" w:type="dxa"/>
            </w:tcMar>
            <w:vAlign w:val="center"/>
          </w:tcPr>
          <w:p w14:paraId="491C347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14F8138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0DE7FE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9420C9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6996003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5FBF169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297EED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2AF149E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20E0DA0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7FAF4F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作业前进行检查确认</w:t>
            </w:r>
          </w:p>
        </w:tc>
      </w:tr>
      <w:tr w14:paraId="6F8AB28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F5DDC8D">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21</w:t>
            </w:r>
          </w:p>
        </w:tc>
        <w:tc>
          <w:tcPr>
            <w:tcW w:w="669" w:type="dxa"/>
            <w:tcBorders>
              <w:tl2br w:val="nil"/>
              <w:tr2bl w:val="nil"/>
            </w:tcBorders>
            <w:noWrap w:val="0"/>
            <w:tcMar>
              <w:top w:w="15" w:type="dxa"/>
              <w:left w:w="15" w:type="dxa"/>
              <w:right w:w="15" w:type="dxa"/>
            </w:tcMar>
            <w:vAlign w:val="center"/>
          </w:tcPr>
          <w:p w14:paraId="15759B3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B00CC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CF9DD5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顶升过程中液压系统出现故障</w:t>
            </w:r>
          </w:p>
        </w:tc>
        <w:tc>
          <w:tcPr>
            <w:tcW w:w="803" w:type="dxa"/>
            <w:tcBorders>
              <w:tl2br w:val="nil"/>
              <w:tr2bl w:val="nil"/>
            </w:tcBorders>
            <w:noWrap w:val="0"/>
            <w:tcMar>
              <w:top w:w="15" w:type="dxa"/>
              <w:left w:w="15" w:type="dxa"/>
              <w:right w:w="15" w:type="dxa"/>
            </w:tcMar>
            <w:vAlign w:val="center"/>
          </w:tcPr>
          <w:p w14:paraId="705C5F4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5C9899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AF57B3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A38F5C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B53309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6BAAC85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63C2C30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7FDAB3D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2D9A5BD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650FBE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作业前进行维修液压系统</w:t>
            </w:r>
          </w:p>
        </w:tc>
      </w:tr>
      <w:tr w14:paraId="4DD9D3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278462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22</w:t>
            </w:r>
          </w:p>
        </w:tc>
        <w:tc>
          <w:tcPr>
            <w:tcW w:w="669" w:type="dxa"/>
            <w:tcBorders>
              <w:tl2br w:val="nil"/>
              <w:tr2bl w:val="nil"/>
            </w:tcBorders>
            <w:noWrap w:val="0"/>
            <w:tcMar>
              <w:top w:w="15" w:type="dxa"/>
              <w:left w:w="15" w:type="dxa"/>
              <w:right w:w="15" w:type="dxa"/>
            </w:tcMar>
            <w:vAlign w:val="center"/>
          </w:tcPr>
          <w:p w14:paraId="773F607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FA53FF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9372E2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附着连接不符合要求，预埋件制作、埋设不符合要求</w:t>
            </w:r>
          </w:p>
        </w:tc>
        <w:tc>
          <w:tcPr>
            <w:tcW w:w="803" w:type="dxa"/>
            <w:tcBorders>
              <w:tl2br w:val="nil"/>
              <w:tr2bl w:val="nil"/>
            </w:tcBorders>
            <w:noWrap w:val="0"/>
            <w:tcMar>
              <w:top w:w="15" w:type="dxa"/>
              <w:left w:w="15" w:type="dxa"/>
              <w:right w:w="15" w:type="dxa"/>
            </w:tcMar>
            <w:vAlign w:val="center"/>
          </w:tcPr>
          <w:p w14:paraId="2F3575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1E0864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DF382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C7F69A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079BD2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2D5017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78BBA3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66C6A74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1EB8277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3DD99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专业技术员监督施工</w:t>
            </w:r>
          </w:p>
        </w:tc>
      </w:tr>
      <w:tr w14:paraId="6A4062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6B2BB15">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23</w:t>
            </w:r>
          </w:p>
        </w:tc>
        <w:tc>
          <w:tcPr>
            <w:tcW w:w="669" w:type="dxa"/>
            <w:tcBorders>
              <w:tl2br w:val="nil"/>
              <w:tr2bl w:val="nil"/>
            </w:tcBorders>
            <w:noWrap w:val="0"/>
            <w:tcMar>
              <w:top w:w="15" w:type="dxa"/>
              <w:left w:w="15" w:type="dxa"/>
              <w:right w:w="15" w:type="dxa"/>
            </w:tcMar>
            <w:vAlign w:val="center"/>
          </w:tcPr>
          <w:p w14:paraId="7554728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5322A51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50CF5A6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附着框架顶块未顶紧，连接螺栓未紧固、松动</w:t>
            </w:r>
          </w:p>
        </w:tc>
        <w:tc>
          <w:tcPr>
            <w:tcW w:w="803" w:type="dxa"/>
            <w:tcBorders>
              <w:tl2br w:val="nil"/>
              <w:tr2bl w:val="nil"/>
            </w:tcBorders>
            <w:noWrap w:val="0"/>
            <w:tcMar>
              <w:top w:w="15" w:type="dxa"/>
              <w:left w:w="15" w:type="dxa"/>
              <w:right w:w="15" w:type="dxa"/>
            </w:tcMar>
            <w:vAlign w:val="center"/>
          </w:tcPr>
          <w:p w14:paraId="2A7E6CA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4996D85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A87EDF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4A7925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7F13EA4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737F8BF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4189AF4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50F30FD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7C6137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04DA9C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施工前进行检查</w:t>
            </w:r>
          </w:p>
        </w:tc>
      </w:tr>
      <w:tr w14:paraId="2B3BF9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C757A0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24</w:t>
            </w:r>
          </w:p>
        </w:tc>
        <w:tc>
          <w:tcPr>
            <w:tcW w:w="669" w:type="dxa"/>
            <w:tcBorders>
              <w:tl2br w:val="nil"/>
              <w:tr2bl w:val="nil"/>
            </w:tcBorders>
            <w:noWrap w:val="0"/>
            <w:tcMar>
              <w:top w:w="15" w:type="dxa"/>
              <w:left w:w="15" w:type="dxa"/>
              <w:right w:w="15" w:type="dxa"/>
            </w:tcMar>
            <w:vAlign w:val="center"/>
          </w:tcPr>
          <w:p w14:paraId="3C10BAF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EE58CA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965C5D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起重设备技术状况差，未验收检查即使用</w:t>
            </w:r>
          </w:p>
        </w:tc>
        <w:tc>
          <w:tcPr>
            <w:tcW w:w="803" w:type="dxa"/>
            <w:tcBorders>
              <w:tl2br w:val="nil"/>
              <w:tr2bl w:val="nil"/>
            </w:tcBorders>
            <w:noWrap w:val="0"/>
            <w:tcMar>
              <w:top w:w="15" w:type="dxa"/>
              <w:left w:w="15" w:type="dxa"/>
              <w:right w:w="15" w:type="dxa"/>
            </w:tcMar>
            <w:vAlign w:val="center"/>
          </w:tcPr>
          <w:p w14:paraId="36F59D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79682B9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48567A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73FADA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023BD8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F7A3F4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5F6B967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2180A7F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D5B040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0C45C8A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74B1A2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0BFCBD8">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25</w:t>
            </w:r>
          </w:p>
        </w:tc>
        <w:tc>
          <w:tcPr>
            <w:tcW w:w="669" w:type="dxa"/>
            <w:tcBorders>
              <w:tl2br w:val="nil"/>
              <w:tr2bl w:val="nil"/>
            </w:tcBorders>
            <w:noWrap w:val="0"/>
            <w:tcMar>
              <w:top w:w="15" w:type="dxa"/>
              <w:left w:w="15" w:type="dxa"/>
              <w:right w:w="15" w:type="dxa"/>
            </w:tcMar>
            <w:vAlign w:val="center"/>
          </w:tcPr>
          <w:p w14:paraId="286CB4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6FA38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6D8504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安装、拆除作业中指挥人员无证指挥、信号不明</w:t>
            </w:r>
          </w:p>
        </w:tc>
        <w:tc>
          <w:tcPr>
            <w:tcW w:w="803" w:type="dxa"/>
            <w:tcBorders>
              <w:tl2br w:val="nil"/>
              <w:tr2bl w:val="nil"/>
            </w:tcBorders>
            <w:noWrap w:val="0"/>
            <w:tcMar>
              <w:top w:w="15" w:type="dxa"/>
              <w:left w:w="15" w:type="dxa"/>
              <w:right w:w="15" w:type="dxa"/>
            </w:tcMar>
            <w:vAlign w:val="center"/>
          </w:tcPr>
          <w:p w14:paraId="16C8C2F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2213BB7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969E4A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7E9376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1BCC122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18E23B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4609D17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7F37A20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9284C2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8F1521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专业指挥人员指挥</w:t>
            </w:r>
          </w:p>
        </w:tc>
      </w:tr>
      <w:tr w14:paraId="209D0B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E6113C1">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26</w:t>
            </w:r>
          </w:p>
        </w:tc>
        <w:tc>
          <w:tcPr>
            <w:tcW w:w="669" w:type="dxa"/>
            <w:tcBorders>
              <w:tl2br w:val="nil"/>
              <w:tr2bl w:val="nil"/>
            </w:tcBorders>
            <w:noWrap w:val="0"/>
            <w:tcMar>
              <w:top w:w="15" w:type="dxa"/>
              <w:left w:w="15" w:type="dxa"/>
              <w:right w:w="15" w:type="dxa"/>
            </w:tcMar>
            <w:vAlign w:val="center"/>
          </w:tcPr>
          <w:p w14:paraId="1FBCF7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572C48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17C6BF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操作司机误操作</w:t>
            </w:r>
          </w:p>
        </w:tc>
        <w:tc>
          <w:tcPr>
            <w:tcW w:w="803" w:type="dxa"/>
            <w:tcBorders>
              <w:tl2br w:val="nil"/>
              <w:tr2bl w:val="nil"/>
            </w:tcBorders>
            <w:noWrap w:val="0"/>
            <w:tcMar>
              <w:top w:w="15" w:type="dxa"/>
              <w:left w:w="15" w:type="dxa"/>
              <w:right w:w="15" w:type="dxa"/>
            </w:tcMar>
            <w:vAlign w:val="center"/>
          </w:tcPr>
          <w:p w14:paraId="353D844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6163AD8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343F28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65D7A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2FBC0C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27830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23808E0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44F6C57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93179C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1B092E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对操作人员进行教育培训</w:t>
            </w:r>
          </w:p>
        </w:tc>
      </w:tr>
      <w:tr w14:paraId="38732F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DCCF3B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sz w:val="18"/>
                <w:szCs w:val="18"/>
              </w:rPr>
              <w:t>27</w:t>
            </w:r>
          </w:p>
        </w:tc>
        <w:tc>
          <w:tcPr>
            <w:tcW w:w="669" w:type="dxa"/>
            <w:tcBorders>
              <w:tl2br w:val="nil"/>
              <w:tr2bl w:val="nil"/>
            </w:tcBorders>
            <w:noWrap w:val="0"/>
            <w:tcMar>
              <w:top w:w="15" w:type="dxa"/>
              <w:left w:w="15" w:type="dxa"/>
              <w:right w:w="15" w:type="dxa"/>
            </w:tcMar>
            <w:vAlign w:val="center"/>
          </w:tcPr>
          <w:p w14:paraId="081F021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B42CD4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5F6C90F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起重设备安全保护装置失效</w:t>
            </w:r>
          </w:p>
        </w:tc>
        <w:tc>
          <w:tcPr>
            <w:tcW w:w="803" w:type="dxa"/>
            <w:tcBorders>
              <w:tl2br w:val="nil"/>
              <w:tr2bl w:val="nil"/>
            </w:tcBorders>
            <w:noWrap w:val="0"/>
            <w:tcMar>
              <w:top w:w="15" w:type="dxa"/>
              <w:left w:w="15" w:type="dxa"/>
              <w:right w:w="15" w:type="dxa"/>
            </w:tcMar>
            <w:vAlign w:val="center"/>
          </w:tcPr>
          <w:p w14:paraId="391ADE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4169D35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EA29C1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CAB542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5B2C182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C5DF0E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162763A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49C804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6A38BB0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265979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4E2568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BF3F826">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28</w:t>
            </w:r>
          </w:p>
        </w:tc>
        <w:tc>
          <w:tcPr>
            <w:tcW w:w="669" w:type="dxa"/>
            <w:tcBorders>
              <w:tl2br w:val="nil"/>
              <w:tr2bl w:val="nil"/>
            </w:tcBorders>
            <w:noWrap w:val="0"/>
            <w:tcMar>
              <w:top w:w="15" w:type="dxa"/>
              <w:left w:w="15" w:type="dxa"/>
              <w:right w:w="15" w:type="dxa"/>
            </w:tcMar>
            <w:vAlign w:val="center"/>
          </w:tcPr>
          <w:p w14:paraId="4FFF3C1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50E0B3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E4534A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履带吊载重量不满足要求</w:t>
            </w:r>
          </w:p>
        </w:tc>
        <w:tc>
          <w:tcPr>
            <w:tcW w:w="803" w:type="dxa"/>
            <w:tcBorders>
              <w:tl2br w:val="nil"/>
              <w:tr2bl w:val="nil"/>
            </w:tcBorders>
            <w:noWrap w:val="0"/>
            <w:tcMar>
              <w:top w:w="15" w:type="dxa"/>
              <w:left w:w="15" w:type="dxa"/>
              <w:right w:w="15" w:type="dxa"/>
            </w:tcMar>
            <w:vAlign w:val="center"/>
          </w:tcPr>
          <w:p w14:paraId="710943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倾翻</w:t>
            </w:r>
          </w:p>
        </w:tc>
        <w:tc>
          <w:tcPr>
            <w:tcW w:w="390" w:type="dxa"/>
            <w:tcBorders>
              <w:tl2br w:val="nil"/>
              <w:tr2bl w:val="nil"/>
            </w:tcBorders>
            <w:noWrap w:val="0"/>
            <w:tcMar>
              <w:top w:w="15" w:type="dxa"/>
              <w:left w:w="15" w:type="dxa"/>
              <w:right w:w="15" w:type="dxa"/>
            </w:tcMar>
            <w:vAlign w:val="center"/>
          </w:tcPr>
          <w:p w14:paraId="78F0D1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3922F7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264C0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4143501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14FB87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64C3092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2A1B3B6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6871217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8CE19E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按要求配备履带吊</w:t>
            </w:r>
          </w:p>
        </w:tc>
      </w:tr>
      <w:tr w14:paraId="0289E85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C83105C">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29</w:t>
            </w:r>
          </w:p>
        </w:tc>
        <w:tc>
          <w:tcPr>
            <w:tcW w:w="669" w:type="dxa"/>
            <w:tcBorders>
              <w:tl2br w:val="nil"/>
              <w:tr2bl w:val="nil"/>
            </w:tcBorders>
            <w:noWrap w:val="0"/>
            <w:tcMar>
              <w:top w:w="15" w:type="dxa"/>
              <w:left w:w="15" w:type="dxa"/>
              <w:right w:w="15" w:type="dxa"/>
            </w:tcMar>
            <w:vAlign w:val="center"/>
          </w:tcPr>
          <w:p w14:paraId="22D3FC3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C7DC8A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E3D08E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吊装绳不符合规范</w:t>
            </w:r>
          </w:p>
        </w:tc>
        <w:tc>
          <w:tcPr>
            <w:tcW w:w="803" w:type="dxa"/>
            <w:tcBorders>
              <w:tl2br w:val="nil"/>
              <w:tr2bl w:val="nil"/>
            </w:tcBorders>
            <w:noWrap w:val="0"/>
            <w:tcMar>
              <w:top w:w="15" w:type="dxa"/>
              <w:left w:w="15" w:type="dxa"/>
              <w:right w:w="15" w:type="dxa"/>
            </w:tcMar>
            <w:vAlign w:val="center"/>
          </w:tcPr>
          <w:p w14:paraId="203F2D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1A4B473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C42C65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F2EF0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4ADEA79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895EB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5AAAE21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67722CE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260E7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860348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使用前检查</w:t>
            </w:r>
          </w:p>
        </w:tc>
      </w:tr>
      <w:tr w14:paraId="69D7FB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EE64837">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30</w:t>
            </w:r>
          </w:p>
        </w:tc>
        <w:tc>
          <w:tcPr>
            <w:tcW w:w="669" w:type="dxa"/>
            <w:tcBorders>
              <w:tl2br w:val="nil"/>
              <w:tr2bl w:val="nil"/>
            </w:tcBorders>
            <w:noWrap w:val="0"/>
            <w:tcMar>
              <w:top w:w="15" w:type="dxa"/>
              <w:left w:w="15" w:type="dxa"/>
              <w:right w:w="15" w:type="dxa"/>
            </w:tcMar>
            <w:vAlign w:val="center"/>
          </w:tcPr>
          <w:p w14:paraId="13EE968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0207B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3CD110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吊装绳使用不当</w:t>
            </w:r>
          </w:p>
        </w:tc>
        <w:tc>
          <w:tcPr>
            <w:tcW w:w="803" w:type="dxa"/>
            <w:tcBorders>
              <w:tl2br w:val="nil"/>
              <w:tr2bl w:val="nil"/>
            </w:tcBorders>
            <w:noWrap w:val="0"/>
            <w:tcMar>
              <w:top w:w="15" w:type="dxa"/>
              <w:left w:w="15" w:type="dxa"/>
              <w:right w:w="15" w:type="dxa"/>
            </w:tcMar>
            <w:vAlign w:val="center"/>
          </w:tcPr>
          <w:p w14:paraId="1377E4A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48B9EDC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FD1B21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BF76A9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048F3F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545A19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2A79417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3914014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FBACF7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3E218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现场监督规范使用</w:t>
            </w:r>
          </w:p>
        </w:tc>
      </w:tr>
      <w:tr w14:paraId="3F1BF6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27660E4">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31</w:t>
            </w:r>
          </w:p>
        </w:tc>
        <w:tc>
          <w:tcPr>
            <w:tcW w:w="669" w:type="dxa"/>
            <w:tcBorders>
              <w:tl2br w:val="nil"/>
              <w:tr2bl w:val="nil"/>
            </w:tcBorders>
            <w:noWrap w:val="0"/>
            <w:tcMar>
              <w:top w:w="15" w:type="dxa"/>
              <w:left w:w="15" w:type="dxa"/>
              <w:right w:w="15" w:type="dxa"/>
            </w:tcMar>
            <w:vAlign w:val="center"/>
          </w:tcPr>
          <w:p w14:paraId="7ED13FE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6577EC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5F1FB84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吊重时吊点选择不当，夹角不符合要求</w:t>
            </w:r>
          </w:p>
        </w:tc>
        <w:tc>
          <w:tcPr>
            <w:tcW w:w="803" w:type="dxa"/>
            <w:tcBorders>
              <w:tl2br w:val="nil"/>
              <w:tr2bl w:val="nil"/>
            </w:tcBorders>
            <w:noWrap w:val="0"/>
            <w:tcMar>
              <w:top w:w="15" w:type="dxa"/>
              <w:left w:w="15" w:type="dxa"/>
              <w:right w:w="15" w:type="dxa"/>
            </w:tcMar>
            <w:vAlign w:val="center"/>
          </w:tcPr>
          <w:p w14:paraId="3DB3613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149D2A0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59453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261A21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2BF943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D9F96E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52E1831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74A6741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B3E2A0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A0CEA5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正确选择吊点和夹角</w:t>
            </w:r>
          </w:p>
        </w:tc>
      </w:tr>
      <w:tr w14:paraId="5DE724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4ED27D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32</w:t>
            </w:r>
          </w:p>
        </w:tc>
        <w:tc>
          <w:tcPr>
            <w:tcW w:w="669" w:type="dxa"/>
            <w:tcBorders>
              <w:tl2br w:val="nil"/>
              <w:tr2bl w:val="nil"/>
            </w:tcBorders>
            <w:noWrap w:val="0"/>
            <w:tcMar>
              <w:top w:w="15" w:type="dxa"/>
              <w:left w:w="15" w:type="dxa"/>
              <w:right w:w="15" w:type="dxa"/>
            </w:tcMar>
            <w:vAlign w:val="center"/>
          </w:tcPr>
          <w:p w14:paraId="59B0EE7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5EE325B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28830E6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特种作业人员未正确使用安全防护用品</w:t>
            </w:r>
          </w:p>
        </w:tc>
        <w:tc>
          <w:tcPr>
            <w:tcW w:w="803" w:type="dxa"/>
            <w:tcBorders>
              <w:tl2br w:val="nil"/>
              <w:tr2bl w:val="nil"/>
            </w:tcBorders>
            <w:noWrap w:val="0"/>
            <w:tcMar>
              <w:top w:w="15" w:type="dxa"/>
              <w:left w:w="15" w:type="dxa"/>
              <w:right w:w="15" w:type="dxa"/>
            </w:tcMar>
            <w:vAlign w:val="center"/>
          </w:tcPr>
          <w:p w14:paraId="3DA68E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5913E24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985FC6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8B333A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60611A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1851D63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472C75C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3C65CD4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F29DC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03E27A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加强安全教育和检查</w:t>
            </w:r>
          </w:p>
        </w:tc>
      </w:tr>
      <w:tr w14:paraId="15CE0F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8E0893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33</w:t>
            </w:r>
          </w:p>
        </w:tc>
        <w:tc>
          <w:tcPr>
            <w:tcW w:w="669" w:type="dxa"/>
            <w:tcBorders>
              <w:tl2br w:val="nil"/>
              <w:tr2bl w:val="nil"/>
            </w:tcBorders>
            <w:noWrap w:val="0"/>
            <w:tcMar>
              <w:top w:w="15" w:type="dxa"/>
              <w:left w:w="15" w:type="dxa"/>
              <w:right w:w="15" w:type="dxa"/>
            </w:tcMar>
            <w:vAlign w:val="center"/>
          </w:tcPr>
          <w:p w14:paraId="0144DFE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1AF204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19355C6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安装、拆除作业人员注意力不集中，麻痹大意</w:t>
            </w:r>
          </w:p>
        </w:tc>
        <w:tc>
          <w:tcPr>
            <w:tcW w:w="803" w:type="dxa"/>
            <w:tcBorders>
              <w:tl2br w:val="nil"/>
              <w:tr2bl w:val="nil"/>
            </w:tcBorders>
            <w:noWrap w:val="0"/>
            <w:tcMar>
              <w:top w:w="15" w:type="dxa"/>
              <w:left w:w="15" w:type="dxa"/>
              <w:right w:w="15" w:type="dxa"/>
            </w:tcMar>
            <w:vAlign w:val="center"/>
          </w:tcPr>
          <w:p w14:paraId="63656C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2ABFB91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A3BD22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57C51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43D73B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9466E6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E520E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1CEB91C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6813D36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432084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加强安全教育</w:t>
            </w:r>
          </w:p>
        </w:tc>
      </w:tr>
      <w:tr w14:paraId="14AB85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9513950">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34</w:t>
            </w:r>
          </w:p>
        </w:tc>
        <w:tc>
          <w:tcPr>
            <w:tcW w:w="669" w:type="dxa"/>
            <w:tcBorders>
              <w:tl2br w:val="nil"/>
              <w:tr2bl w:val="nil"/>
            </w:tcBorders>
            <w:noWrap w:val="0"/>
            <w:tcMar>
              <w:top w:w="15" w:type="dxa"/>
              <w:left w:w="15" w:type="dxa"/>
              <w:right w:w="15" w:type="dxa"/>
            </w:tcMar>
            <w:vAlign w:val="center"/>
          </w:tcPr>
          <w:p w14:paraId="0496347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8A492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574B84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安装拆除作业时安全防护不到位</w:t>
            </w:r>
          </w:p>
        </w:tc>
        <w:tc>
          <w:tcPr>
            <w:tcW w:w="803" w:type="dxa"/>
            <w:tcBorders>
              <w:tl2br w:val="nil"/>
              <w:tr2bl w:val="nil"/>
            </w:tcBorders>
            <w:noWrap w:val="0"/>
            <w:tcMar>
              <w:top w:w="15" w:type="dxa"/>
              <w:left w:w="15" w:type="dxa"/>
              <w:right w:w="15" w:type="dxa"/>
            </w:tcMar>
            <w:vAlign w:val="center"/>
          </w:tcPr>
          <w:p w14:paraId="4D29EB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6F6155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46BEB4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47B98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6421E1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57163F5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4078E2F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7DFAEEC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4421A3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699D8F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加强安全教育和检查</w:t>
            </w:r>
          </w:p>
        </w:tc>
      </w:tr>
      <w:tr w14:paraId="7CB623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E78656F">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35</w:t>
            </w:r>
          </w:p>
        </w:tc>
        <w:tc>
          <w:tcPr>
            <w:tcW w:w="669" w:type="dxa"/>
            <w:tcBorders>
              <w:tl2br w:val="nil"/>
              <w:tr2bl w:val="nil"/>
            </w:tcBorders>
            <w:noWrap w:val="0"/>
            <w:tcMar>
              <w:top w:w="15" w:type="dxa"/>
              <w:left w:w="15" w:type="dxa"/>
              <w:right w:w="15" w:type="dxa"/>
            </w:tcMar>
            <w:vAlign w:val="center"/>
          </w:tcPr>
          <w:p w14:paraId="006475A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97C48E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CAC31F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上人爬梯无护圈或护圈不符合要求</w:t>
            </w:r>
          </w:p>
        </w:tc>
        <w:tc>
          <w:tcPr>
            <w:tcW w:w="803" w:type="dxa"/>
            <w:tcBorders>
              <w:tl2br w:val="nil"/>
              <w:tr2bl w:val="nil"/>
            </w:tcBorders>
            <w:noWrap w:val="0"/>
            <w:tcMar>
              <w:top w:w="15" w:type="dxa"/>
              <w:left w:w="15" w:type="dxa"/>
              <w:right w:w="15" w:type="dxa"/>
            </w:tcMar>
            <w:vAlign w:val="center"/>
          </w:tcPr>
          <w:p w14:paraId="19B7AA1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700B3A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CB66C7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D33902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19C0BA1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B27F59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82FD17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F47826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61CF6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A786D9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7B248C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F2EBEB8">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36</w:t>
            </w:r>
          </w:p>
        </w:tc>
        <w:tc>
          <w:tcPr>
            <w:tcW w:w="669" w:type="dxa"/>
            <w:tcBorders>
              <w:tl2br w:val="nil"/>
              <w:tr2bl w:val="nil"/>
            </w:tcBorders>
            <w:noWrap w:val="0"/>
            <w:tcMar>
              <w:top w:w="15" w:type="dxa"/>
              <w:left w:w="15" w:type="dxa"/>
              <w:right w:w="15" w:type="dxa"/>
            </w:tcMar>
            <w:vAlign w:val="center"/>
          </w:tcPr>
          <w:p w14:paraId="6380ED9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30AED1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4C70FE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上塔人行通道无防护栏或不符合要求</w:t>
            </w:r>
          </w:p>
        </w:tc>
        <w:tc>
          <w:tcPr>
            <w:tcW w:w="803" w:type="dxa"/>
            <w:tcBorders>
              <w:tl2br w:val="nil"/>
              <w:tr2bl w:val="nil"/>
            </w:tcBorders>
            <w:noWrap w:val="0"/>
            <w:tcMar>
              <w:top w:w="15" w:type="dxa"/>
              <w:left w:w="15" w:type="dxa"/>
              <w:right w:w="15" w:type="dxa"/>
            </w:tcMar>
            <w:vAlign w:val="center"/>
          </w:tcPr>
          <w:p w14:paraId="33B0E64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181C22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9D04E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529A48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49B368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A3566B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38A26E9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6ECC14E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666C435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B4B417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5852E9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C6EA62C">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37</w:t>
            </w:r>
          </w:p>
        </w:tc>
        <w:tc>
          <w:tcPr>
            <w:tcW w:w="669" w:type="dxa"/>
            <w:tcBorders>
              <w:tl2br w:val="nil"/>
              <w:tr2bl w:val="nil"/>
            </w:tcBorders>
            <w:noWrap w:val="0"/>
            <w:tcMar>
              <w:top w:w="15" w:type="dxa"/>
              <w:left w:w="15" w:type="dxa"/>
              <w:right w:w="15" w:type="dxa"/>
            </w:tcMar>
            <w:vAlign w:val="center"/>
          </w:tcPr>
          <w:p w14:paraId="3A89B9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0A05DD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24A79F2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施工作业中缺少防暑降温措施</w:t>
            </w:r>
          </w:p>
        </w:tc>
        <w:tc>
          <w:tcPr>
            <w:tcW w:w="803" w:type="dxa"/>
            <w:tcBorders>
              <w:tl2br w:val="nil"/>
              <w:tr2bl w:val="nil"/>
            </w:tcBorders>
            <w:noWrap w:val="0"/>
            <w:tcMar>
              <w:top w:w="15" w:type="dxa"/>
              <w:left w:w="15" w:type="dxa"/>
              <w:right w:w="15" w:type="dxa"/>
            </w:tcMar>
            <w:vAlign w:val="center"/>
          </w:tcPr>
          <w:p w14:paraId="09BC5F7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4016003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C7654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1A92C6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A6D3DB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72F333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506E726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24576DF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04103B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07D4AF9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配备药品</w:t>
            </w:r>
          </w:p>
        </w:tc>
      </w:tr>
      <w:tr w14:paraId="307C512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7FCF411">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sz w:val="18"/>
                <w:szCs w:val="18"/>
              </w:rPr>
              <w:t>38</w:t>
            </w:r>
          </w:p>
        </w:tc>
        <w:tc>
          <w:tcPr>
            <w:tcW w:w="669" w:type="dxa"/>
            <w:tcBorders>
              <w:tl2br w:val="nil"/>
              <w:tr2bl w:val="nil"/>
            </w:tcBorders>
            <w:noWrap w:val="0"/>
            <w:tcMar>
              <w:top w:w="15" w:type="dxa"/>
              <w:left w:w="15" w:type="dxa"/>
              <w:right w:w="15" w:type="dxa"/>
            </w:tcMar>
            <w:vAlign w:val="center"/>
          </w:tcPr>
          <w:p w14:paraId="3166ACA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B851C8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C8FC47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夜间作业照明不足</w:t>
            </w:r>
          </w:p>
        </w:tc>
        <w:tc>
          <w:tcPr>
            <w:tcW w:w="803" w:type="dxa"/>
            <w:tcBorders>
              <w:tl2br w:val="nil"/>
              <w:tr2bl w:val="nil"/>
            </w:tcBorders>
            <w:noWrap w:val="0"/>
            <w:tcMar>
              <w:top w:w="15" w:type="dxa"/>
              <w:left w:w="15" w:type="dxa"/>
              <w:right w:w="15" w:type="dxa"/>
            </w:tcMar>
            <w:vAlign w:val="center"/>
          </w:tcPr>
          <w:p w14:paraId="119910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66725B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DF2B2A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0600D2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6CA7AA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29F3CD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C8F5BE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22D044D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4F33B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BFF142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专人监管</w:t>
            </w:r>
          </w:p>
        </w:tc>
      </w:tr>
      <w:tr w14:paraId="7B9808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15CFA7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39</w:t>
            </w:r>
          </w:p>
        </w:tc>
        <w:tc>
          <w:tcPr>
            <w:tcW w:w="669" w:type="dxa"/>
            <w:tcBorders>
              <w:tl2br w:val="nil"/>
              <w:tr2bl w:val="nil"/>
            </w:tcBorders>
            <w:noWrap w:val="0"/>
            <w:tcMar>
              <w:top w:w="15" w:type="dxa"/>
              <w:left w:w="15" w:type="dxa"/>
              <w:right w:w="15" w:type="dxa"/>
            </w:tcMar>
            <w:vAlign w:val="center"/>
          </w:tcPr>
          <w:p w14:paraId="6A7200F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CFE0B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D478AA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安装、拆除作业区和四周未布置警戒线、挂醒目安全示警牌</w:t>
            </w:r>
          </w:p>
        </w:tc>
        <w:tc>
          <w:tcPr>
            <w:tcW w:w="803" w:type="dxa"/>
            <w:tcBorders>
              <w:tl2br w:val="nil"/>
              <w:tr2bl w:val="nil"/>
            </w:tcBorders>
            <w:noWrap w:val="0"/>
            <w:tcMar>
              <w:top w:w="15" w:type="dxa"/>
              <w:left w:w="15" w:type="dxa"/>
              <w:right w:w="15" w:type="dxa"/>
            </w:tcMar>
            <w:vAlign w:val="center"/>
          </w:tcPr>
          <w:p w14:paraId="7DAB2C1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10A1EA9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C2CAE8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35D48E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16FF00A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3A4D5F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1B5956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7F80A8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42ED13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5ACFDC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专人监管</w:t>
            </w:r>
          </w:p>
        </w:tc>
      </w:tr>
      <w:tr w14:paraId="30B5A1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CA71604">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40</w:t>
            </w:r>
          </w:p>
        </w:tc>
        <w:tc>
          <w:tcPr>
            <w:tcW w:w="669" w:type="dxa"/>
            <w:tcBorders>
              <w:tl2br w:val="nil"/>
              <w:tr2bl w:val="nil"/>
            </w:tcBorders>
            <w:noWrap w:val="0"/>
            <w:tcMar>
              <w:top w:w="15" w:type="dxa"/>
              <w:left w:w="15" w:type="dxa"/>
              <w:right w:w="15" w:type="dxa"/>
            </w:tcMar>
            <w:vAlign w:val="center"/>
          </w:tcPr>
          <w:p w14:paraId="61B0601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B54481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1D5C24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安装、拆除作业现场未及时清除障碍物</w:t>
            </w:r>
          </w:p>
        </w:tc>
        <w:tc>
          <w:tcPr>
            <w:tcW w:w="803" w:type="dxa"/>
            <w:tcBorders>
              <w:tl2br w:val="nil"/>
              <w:tr2bl w:val="nil"/>
            </w:tcBorders>
            <w:noWrap w:val="0"/>
            <w:tcMar>
              <w:top w:w="15" w:type="dxa"/>
              <w:left w:w="15" w:type="dxa"/>
              <w:right w:w="15" w:type="dxa"/>
            </w:tcMar>
            <w:vAlign w:val="center"/>
          </w:tcPr>
          <w:p w14:paraId="61D1996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731702D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C99E36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140536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23F2BD2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11B748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3FECA4C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157AD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BB9BB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0F9615E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施工前检查</w:t>
            </w:r>
          </w:p>
        </w:tc>
      </w:tr>
      <w:tr w14:paraId="417E12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7A23F4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41</w:t>
            </w:r>
          </w:p>
        </w:tc>
        <w:tc>
          <w:tcPr>
            <w:tcW w:w="669" w:type="dxa"/>
            <w:tcBorders>
              <w:tl2br w:val="nil"/>
              <w:tr2bl w:val="nil"/>
            </w:tcBorders>
            <w:noWrap w:val="0"/>
            <w:tcMar>
              <w:top w:w="15" w:type="dxa"/>
              <w:left w:w="15" w:type="dxa"/>
              <w:right w:w="15" w:type="dxa"/>
            </w:tcMar>
            <w:vAlign w:val="center"/>
          </w:tcPr>
          <w:p w14:paraId="027D02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BA3E6A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w:t>
            </w:r>
          </w:p>
        </w:tc>
        <w:tc>
          <w:tcPr>
            <w:tcW w:w="1801" w:type="dxa"/>
            <w:tcBorders>
              <w:tl2br w:val="nil"/>
              <w:tr2bl w:val="nil"/>
            </w:tcBorders>
            <w:noWrap w:val="0"/>
            <w:tcMar>
              <w:top w:w="15" w:type="dxa"/>
              <w:left w:w="15" w:type="dxa"/>
              <w:right w:w="15" w:type="dxa"/>
            </w:tcMar>
            <w:vAlign w:val="center"/>
          </w:tcPr>
          <w:p w14:paraId="4FD9D64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运行机构制动未调试好</w:t>
            </w:r>
          </w:p>
        </w:tc>
        <w:tc>
          <w:tcPr>
            <w:tcW w:w="803" w:type="dxa"/>
            <w:tcBorders>
              <w:tl2br w:val="nil"/>
              <w:tr2bl w:val="nil"/>
            </w:tcBorders>
            <w:noWrap w:val="0"/>
            <w:tcMar>
              <w:top w:w="15" w:type="dxa"/>
              <w:left w:w="15" w:type="dxa"/>
              <w:right w:w="15" w:type="dxa"/>
            </w:tcMar>
            <w:vAlign w:val="center"/>
          </w:tcPr>
          <w:p w14:paraId="3C94552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069FF14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A558B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C4BE8B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EC5ECA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B3664D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7907D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33094D9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164101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75EC7A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调试前严格检查</w:t>
            </w:r>
          </w:p>
        </w:tc>
      </w:tr>
      <w:tr w14:paraId="3C3E4C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97204EA">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42</w:t>
            </w:r>
          </w:p>
        </w:tc>
        <w:tc>
          <w:tcPr>
            <w:tcW w:w="669" w:type="dxa"/>
            <w:tcBorders>
              <w:tl2br w:val="nil"/>
              <w:tr2bl w:val="nil"/>
            </w:tcBorders>
            <w:noWrap w:val="0"/>
            <w:tcMar>
              <w:top w:w="15" w:type="dxa"/>
              <w:left w:w="15" w:type="dxa"/>
              <w:right w:w="15" w:type="dxa"/>
            </w:tcMar>
            <w:vAlign w:val="center"/>
          </w:tcPr>
          <w:p w14:paraId="4A1ED09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31411A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w:t>
            </w:r>
          </w:p>
        </w:tc>
        <w:tc>
          <w:tcPr>
            <w:tcW w:w="1801" w:type="dxa"/>
            <w:tcBorders>
              <w:tl2br w:val="nil"/>
              <w:tr2bl w:val="nil"/>
            </w:tcBorders>
            <w:noWrap w:val="0"/>
            <w:tcMar>
              <w:top w:w="15" w:type="dxa"/>
              <w:left w:w="15" w:type="dxa"/>
              <w:right w:w="15" w:type="dxa"/>
            </w:tcMar>
            <w:vAlign w:val="center"/>
          </w:tcPr>
          <w:p w14:paraId="424D800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无人指挥进行操作</w:t>
            </w:r>
          </w:p>
        </w:tc>
        <w:tc>
          <w:tcPr>
            <w:tcW w:w="803" w:type="dxa"/>
            <w:tcBorders>
              <w:tl2br w:val="nil"/>
              <w:tr2bl w:val="nil"/>
            </w:tcBorders>
            <w:noWrap w:val="0"/>
            <w:tcMar>
              <w:top w:w="15" w:type="dxa"/>
              <w:left w:w="15" w:type="dxa"/>
              <w:right w:w="15" w:type="dxa"/>
            </w:tcMar>
            <w:vAlign w:val="center"/>
          </w:tcPr>
          <w:p w14:paraId="43A9B2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60931B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087163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E96BD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3D1C4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7E79D4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1155EF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1861461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F68304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738A335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派专人指挥</w:t>
            </w:r>
          </w:p>
        </w:tc>
      </w:tr>
      <w:tr w14:paraId="5746FA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6A7BD3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43</w:t>
            </w:r>
          </w:p>
        </w:tc>
        <w:tc>
          <w:tcPr>
            <w:tcW w:w="669" w:type="dxa"/>
            <w:tcBorders>
              <w:tl2br w:val="nil"/>
              <w:tr2bl w:val="nil"/>
            </w:tcBorders>
            <w:noWrap w:val="0"/>
            <w:tcMar>
              <w:top w:w="15" w:type="dxa"/>
              <w:left w:w="15" w:type="dxa"/>
              <w:right w:w="15" w:type="dxa"/>
            </w:tcMar>
            <w:vAlign w:val="center"/>
          </w:tcPr>
          <w:p w14:paraId="7B2B527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8A648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w:t>
            </w:r>
          </w:p>
        </w:tc>
        <w:tc>
          <w:tcPr>
            <w:tcW w:w="1801" w:type="dxa"/>
            <w:tcBorders>
              <w:tl2br w:val="nil"/>
              <w:tr2bl w:val="nil"/>
            </w:tcBorders>
            <w:noWrap w:val="0"/>
            <w:tcMar>
              <w:top w:w="15" w:type="dxa"/>
              <w:left w:w="15" w:type="dxa"/>
              <w:right w:w="15" w:type="dxa"/>
            </w:tcMar>
            <w:vAlign w:val="center"/>
          </w:tcPr>
          <w:p w14:paraId="57E03A9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安全保护装置失效</w:t>
            </w:r>
          </w:p>
        </w:tc>
        <w:tc>
          <w:tcPr>
            <w:tcW w:w="803" w:type="dxa"/>
            <w:tcBorders>
              <w:tl2br w:val="nil"/>
              <w:tr2bl w:val="nil"/>
            </w:tcBorders>
            <w:noWrap w:val="0"/>
            <w:tcMar>
              <w:top w:w="15" w:type="dxa"/>
              <w:left w:w="15" w:type="dxa"/>
              <w:right w:w="15" w:type="dxa"/>
            </w:tcMar>
            <w:vAlign w:val="center"/>
          </w:tcPr>
          <w:p w14:paraId="4097B60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526DB6D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415158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B58E95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818FBF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2401D2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4CF0569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46EE95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90CC5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75A122F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调试前严格检查</w:t>
            </w:r>
          </w:p>
        </w:tc>
      </w:tr>
      <w:tr w14:paraId="6C1167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75E3925">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44</w:t>
            </w:r>
          </w:p>
        </w:tc>
        <w:tc>
          <w:tcPr>
            <w:tcW w:w="669" w:type="dxa"/>
            <w:tcBorders>
              <w:tl2br w:val="nil"/>
              <w:tr2bl w:val="nil"/>
            </w:tcBorders>
            <w:noWrap w:val="0"/>
            <w:tcMar>
              <w:top w:w="15" w:type="dxa"/>
              <w:left w:w="15" w:type="dxa"/>
              <w:right w:w="15" w:type="dxa"/>
            </w:tcMar>
            <w:vAlign w:val="center"/>
          </w:tcPr>
          <w:p w14:paraId="2D07986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C528C2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现场焊接加工、割除</w:t>
            </w:r>
          </w:p>
        </w:tc>
        <w:tc>
          <w:tcPr>
            <w:tcW w:w="1801" w:type="dxa"/>
            <w:tcBorders>
              <w:tl2br w:val="nil"/>
              <w:tr2bl w:val="nil"/>
            </w:tcBorders>
            <w:noWrap w:val="0"/>
            <w:tcMar>
              <w:top w:w="15" w:type="dxa"/>
              <w:left w:w="15" w:type="dxa"/>
              <w:right w:w="15" w:type="dxa"/>
            </w:tcMar>
            <w:vAlign w:val="center"/>
          </w:tcPr>
          <w:p w14:paraId="0416DB4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无专用电箱，或者专用电箱电器配置不符合要求</w:t>
            </w:r>
          </w:p>
        </w:tc>
        <w:tc>
          <w:tcPr>
            <w:tcW w:w="803" w:type="dxa"/>
            <w:tcBorders>
              <w:tl2br w:val="nil"/>
              <w:tr2bl w:val="nil"/>
            </w:tcBorders>
            <w:noWrap w:val="0"/>
            <w:tcMar>
              <w:top w:w="15" w:type="dxa"/>
              <w:left w:w="15" w:type="dxa"/>
              <w:right w:w="15" w:type="dxa"/>
            </w:tcMar>
            <w:vAlign w:val="center"/>
          </w:tcPr>
          <w:p w14:paraId="59F1CDB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64CBE4A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5FC49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E3028B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621553C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AB2421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2AF4E48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3067AE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AA53D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08EA68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配置符合要求的电箱</w:t>
            </w:r>
          </w:p>
        </w:tc>
      </w:tr>
      <w:tr w14:paraId="649B03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E73E121">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45</w:t>
            </w:r>
          </w:p>
        </w:tc>
        <w:tc>
          <w:tcPr>
            <w:tcW w:w="669" w:type="dxa"/>
            <w:tcBorders>
              <w:tl2br w:val="nil"/>
              <w:tr2bl w:val="nil"/>
            </w:tcBorders>
            <w:noWrap w:val="0"/>
            <w:tcMar>
              <w:top w:w="15" w:type="dxa"/>
              <w:left w:w="15" w:type="dxa"/>
              <w:right w:w="15" w:type="dxa"/>
            </w:tcMar>
            <w:vAlign w:val="center"/>
          </w:tcPr>
          <w:p w14:paraId="68B139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1A80F0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现场焊接加工、割除</w:t>
            </w:r>
          </w:p>
        </w:tc>
        <w:tc>
          <w:tcPr>
            <w:tcW w:w="1801" w:type="dxa"/>
            <w:tcBorders>
              <w:tl2br w:val="nil"/>
              <w:tr2bl w:val="nil"/>
            </w:tcBorders>
            <w:noWrap w:val="0"/>
            <w:tcMar>
              <w:top w:w="15" w:type="dxa"/>
              <w:left w:w="15" w:type="dxa"/>
              <w:right w:w="15" w:type="dxa"/>
            </w:tcMar>
            <w:vAlign w:val="center"/>
          </w:tcPr>
          <w:p w14:paraId="292DAD2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违反“一机、一闸、一漏、一箱”</w:t>
            </w:r>
          </w:p>
        </w:tc>
        <w:tc>
          <w:tcPr>
            <w:tcW w:w="803" w:type="dxa"/>
            <w:tcBorders>
              <w:tl2br w:val="nil"/>
              <w:tr2bl w:val="nil"/>
            </w:tcBorders>
            <w:noWrap w:val="0"/>
            <w:tcMar>
              <w:top w:w="15" w:type="dxa"/>
              <w:left w:w="15" w:type="dxa"/>
              <w:right w:w="15" w:type="dxa"/>
            </w:tcMar>
            <w:vAlign w:val="center"/>
          </w:tcPr>
          <w:p w14:paraId="6BB1BC7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101C632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BE2655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06F89A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4AFD6B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12114C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644AD8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7D25AC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211437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B2D6E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7E98C52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B2B44B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46</w:t>
            </w:r>
          </w:p>
        </w:tc>
        <w:tc>
          <w:tcPr>
            <w:tcW w:w="669" w:type="dxa"/>
            <w:tcBorders>
              <w:tl2br w:val="nil"/>
              <w:tr2bl w:val="nil"/>
            </w:tcBorders>
            <w:noWrap w:val="0"/>
            <w:tcMar>
              <w:top w:w="15" w:type="dxa"/>
              <w:left w:w="15" w:type="dxa"/>
              <w:right w:w="15" w:type="dxa"/>
            </w:tcMar>
            <w:vAlign w:val="center"/>
          </w:tcPr>
          <w:p w14:paraId="29907F4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A54E9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0F52A30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不符合“三级配电二级保护”要求导致防护不足</w:t>
            </w:r>
          </w:p>
        </w:tc>
        <w:tc>
          <w:tcPr>
            <w:tcW w:w="803" w:type="dxa"/>
            <w:tcBorders>
              <w:tl2br w:val="nil"/>
              <w:tr2bl w:val="nil"/>
            </w:tcBorders>
            <w:noWrap w:val="0"/>
            <w:tcMar>
              <w:top w:w="15" w:type="dxa"/>
              <w:left w:w="15" w:type="dxa"/>
              <w:right w:w="15" w:type="dxa"/>
            </w:tcMar>
            <w:vAlign w:val="center"/>
          </w:tcPr>
          <w:p w14:paraId="7AB8300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6B2495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945818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E94E1B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5A6CF9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9A9688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303C0A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46C44FF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6508C46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0328E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严格检查，完善保护装置</w:t>
            </w:r>
          </w:p>
        </w:tc>
      </w:tr>
      <w:tr w14:paraId="3D2B6E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2CC2C96">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47</w:t>
            </w:r>
          </w:p>
        </w:tc>
        <w:tc>
          <w:tcPr>
            <w:tcW w:w="669" w:type="dxa"/>
            <w:tcBorders>
              <w:tl2br w:val="nil"/>
              <w:tr2bl w:val="nil"/>
            </w:tcBorders>
            <w:noWrap w:val="0"/>
            <w:tcMar>
              <w:top w:w="15" w:type="dxa"/>
              <w:left w:w="15" w:type="dxa"/>
              <w:right w:w="15" w:type="dxa"/>
            </w:tcMar>
            <w:vAlign w:val="center"/>
          </w:tcPr>
          <w:p w14:paraId="6561473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B2C2F1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4ECDFDD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电气设施金属外壳末接地</w:t>
            </w:r>
          </w:p>
        </w:tc>
        <w:tc>
          <w:tcPr>
            <w:tcW w:w="803" w:type="dxa"/>
            <w:tcBorders>
              <w:tl2br w:val="nil"/>
              <w:tr2bl w:val="nil"/>
            </w:tcBorders>
            <w:noWrap w:val="0"/>
            <w:tcMar>
              <w:top w:w="15" w:type="dxa"/>
              <w:left w:w="15" w:type="dxa"/>
              <w:right w:w="15" w:type="dxa"/>
            </w:tcMar>
            <w:vAlign w:val="center"/>
          </w:tcPr>
          <w:p w14:paraId="4A41A5F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359239C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720745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D8B6F9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87F53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1A6CD54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0F0E6EC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26E4700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66DBA68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6A2660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34C865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39775F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48</w:t>
            </w:r>
          </w:p>
        </w:tc>
        <w:tc>
          <w:tcPr>
            <w:tcW w:w="669" w:type="dxa"/>
            <w:tcBorders>
              <w:tl2br w:val="nil"/>
              <w:tr2bl w:val="nil"/>
            </w:tcBorders>
            <w:noWrap w:val="0"/>
            <w:tcMar>
              <w:top w:w="15" w:type="dxa"/>
              <w:left w:w="15" w:type="dxa"/>
              <w:right w:w="15" w:type="dxa"/>
            </w:tcMar>
            <w:vAlign w:val="center"/>
          </w:tcPr>
          <w:p w14:paraId="5CA39EE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5540E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0795D1D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潮湿环境作业漏电保护器参数过大或不灵敏</w:t>
            </w:r>
          </w:p>
        </w:tc>
        <w:tc>
          <w:tcPr>
            <w:tcW w:w="803" w:type="dxa"/>
            <w:tcBorders>
              <w:tl2br w:val="nil"/>
              <w:tr2bl w:val="nil"/>
            </w:tcBorders>
            <w:noWrap w:val="0"/>
            <w:tcMar>
              <w:top w:w="15" w:type="dxa"/>
              <w:left w:w="15" w:type="dxa"/>
              <w:right w:w="15" w:type="dxa"/>
            </w:tcMar>
            <w:vAlign w:val="center"/>
          </w:tcPr>
          <w:p w14:paraId="1B00047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100041B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09500B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7E7D4C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D6CCA0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0DA475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186C254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3BE1BDE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7488B3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D42969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2E5AE1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B77B13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49</w:t>
            </w:r>
          </w:p>
        </w:tc>
        <w:tc>
          <w:tcPr>
            <w:tcW w:w="669" w:type="dxa"/>
            <w:tcBorders>
              <w:tl2br w:val="nil"/>
              <w:tr2bl w:val="nil"/>
            </w:tcBorders>
            <w:noWrap w:val="0"/>
            <w:tcMar>
              <w:top w:w="15" w:type="dxa"/>
              <w:left w:w="15" w:type="dxa"/>
              <w:right w:w="15" w:type="dxa"/>
            </w:tcMar>
            <w:vAlign w:val="center"/>
          </w:tcPr>
          <w:p w14:paraId="1B71981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CB4BE7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42FD1BE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气瓶的使用与管理不符合要求</w:t>
            </w:r>
          </w:p>
        </w:tc>
        <w:tc>
          <w:tcPr>
            <w:tcW w:w="803" w:type="dxa"/>
            <w:tcBorders>
              <w:tl2br w:val="nil"/>
              <w:tr2bl w:val="nil"/>
            </w:tcBorders>
            <w:noWrap w:val="0"/>
            <w:tcMar>
              <w:top w:w="15" w:type="dxa"/>
              <w:left w:w="15" w:type="dxa"/>
              <w:right w:w="15" w:type="dxa"/>
            </w:tcMar>
            <w:vAlign w:val="center"/>
          </w:tcPr>
          <w:p w14:paraId="09B6969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爆炸</w:t>
            </w:r>
          </w:p>
        </w:tc>
        <w:tc>
          <w:tcPr>
            <w:tcW w:w="390" w:type="dxa"/>
            <w:tcBorders>
              <w:tl2br w:val="nil"/>
              <w:tr2bl w:val="nil"/>
            </w:tcBorders>
            <w:noWrap w:val="0"/>
            <w:tcMar>
              <w:top w:w="15" w:type="dxa"/>
              <w:left w:w="15" w:type="dxa"/>
              <w:right w:w="15" w:type="dxa"/>
            </w:tcMar>
            <w:vAlign w:val="center"/>
          </w:tcPr>
          <w:p w14:paraId="019703A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DA7470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19D6C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4F423E1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D9AF3F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123A78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7CBC390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63977C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6E898D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严格检查，规范使用</w:t>
            </w:r>
          </w:p>
        </w:tc>
      </w:tr>
    </w:tbl>
    <w:p w14:paraId="704C87BD">
      <w:pPr>
        <w:rPr>
          <w:color w:val="auto"/>
        </w:rPr>
      </w:pPr>
      <w:r>
        <w:rPr>
          <w:rFonts w:hint="eastAsia"/>
          <w:color w:val="auto"/>
        </w:rPr>
        <w:br w:type="page"/>
      </w:r>
    </w:p>
    <w:p w14:paraId="424D2236">
      <w:pPr>
        <w:pStyle w:val="2"/>
        <w:spacing w:before="156" w:after="156"/>
        <w:rPr>
          <w:color w:val="auto"/>
        </w:rPr>
      </w:pPr>
      <w:bookmarkStart w:id="144" w:name="_Toc8898"/>
      <w:r>
        <w:rPr>
          <w:rFonts w:hint="eastAsia"/>
          <w:color w:val="auto"/>
        </w:rPr>
        <w:t>施工危险源辨识及安全保证措施</w:t>
      </w:r>
      <w:bookmarkEnd w:id="135"/>
      <w:bookmarkEnd w:id="144"/>
    </w:p>
    <w:p w14:paraId="203BDCE9">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145" w:name="_Toc20921"/>
      <w:bookmarkStart w:id="146" w:name="_Toc4915"/>
      <w:r>
        <w:rPr>
          <w:rFonts w:hint="eastAsia"/>
          <w:color w:val="auto"/>
        </w:rPr>
        <w:t>危险源辨识及分析</w:t>
      </w:r>
      <w:bookmarkEnd w:id="145"/>
      <w:bookmarkEnd w:id="146"/>
      <w:bookmarkStart w:id="147" w:name="_Toc903"/>
      <w:bookmarkStart w:id="148" w:name="_Toc1775"/>
    </w:p>
    <w:p w14:paraId="2C77281F">
      <w:pPr>
        <w:pStyle w:val="4"/>
        <w:spacing w:before="10" w:after="10" w:line="360" w:lineRule="auto"/>
        <w:rPr>
          <w:color w:val="auto"/>
        </w:rPr>
      </w:pPr>
      <w:bookmarkStart w:id="149" w:name="_Toc12784"/>
      <w:r>
        <w:rPr>
          <w:rFonts w:hint="eastAsia" w:ascii="宋体" w:hAnsi="宋体" w:cs="宋体"/>
          <w:bCs w:val="0"/>
          <w:color w:val="auto"/>
          <w:sz w:val="24"/>
          <w:szCs w:val="24"/>
        </w:rPr>
        <w:t>危险因素辨识及评价</w:t>
      </w:r>
      <w:bookmarkEnd w:id="149"/>
    </w:p>
    <w:p w14:paraId="0D3E68AC">
      <w:pPr>
        <w:numPr>
          <w:ilvl w:val="0"/>
          <w:numId w:val="13"/>
        </w:numPr>
        <w:spacing w:line="336" w:lineRule="auto"/>
        <w:ind w:firstLine="480" w:firstLineChars="200"/>
        <w:rPr>
          <w:rFonts w:hint="eastAsia"/>
          <w:color w:val="auto"/>
          <w:sz w:val="24"/>
          <w:szCs w:val="28"/>
        </w:rPr>
      </w:pPr>
      <w:r>
        <w:rPr>
          <w:rFonts w:hint="eastAsia"/>
          <w:color w:val="auto"/>
          <w:sz w:val="24"/>
          <w:szCs w:val="28"/>
        </w:rPr>
        <w:t>危险源评价方法</w:t>
      </w:r>
    </w:p>
    <w:p w14:paraId="7FD4EDEA">
      <w:pP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按照《中交二航局生产过程危险有害因素辨识及评价管理办法》，结合本项目实际情况参照《中交二航局有害因素辨识及评价一览表（202</w:t>
      </w:r>
      <w:r>
        <w:rPr>
          <w:rFonts w:ascii="宋体" w:hAnsi="宋体" w:cs="宋体"/>
          <w:color w:val="auto"/>
          <w:kern w:val="0"/>
          <w:sz w:val="24"/>
        </w:rPr>
        <w:t>2</w:t>
      </w:r>
      <w:r>
        <w:rPr>
          <w:rFonts w:hint="eastAsia" w:ascii="宋体" w:hAnsi="宋体" w:cs="宋体"/>
          <w:color w:val="auto"/>
          <w:kern w:val="0"/>
          <w:sz w:val="24"/>
        </w:rPr>
        <w:t>指导版）》进行辨识评价。作业条件评价法危险性等级划分标准详下表：</w:t>
      </w:r>
    </w:p>
    <w:p w14:paraId="56C3EA0D">
      <w:pPr>
        <w:spacing w:line="320" w:lineRule="exact"/>
        <w:jc w:val="center"/>
        <w:rPr>
          <w:rFonts w:hint="eastAsia" w:ascii="宋体" w:hAnsi="宋体"/>
          <w:color w:val="auto"/>
          <w:szCs w:val="21"/>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.1-1作业条件评价法危险性等级划分标准</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3"/>
        <w:gridCol w:w="3047"/>
        <w:gridCol w:w="3047"/>
      </w:tblGrid>
      <w:tr w14:paraId="3BBD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1E369EEA">
            <w:pPr>
              <w:pStyle w:val="10"/>
              <w:ind w:firstLine="0" w:firstLineChars="0"/>
              <w:jc w:val="center"/>
              <w:rPr>
                <w:rFonts w:hint="eastAsia" w:ascii="宋体" w:hAnsi="宋体" w:cs="宋体"/>
                <w:color w:val="auto"/>
              </w:rPr>
            </w:pPr>
            <w:r>
              <w:rPr>
                <w:rFonts w:hint="eastAsia" w:ascii="宋体" w:hAnsi="宋体" w:cs="宋体"/>
                <w:color w:val="auto"/>
              </w:rPr>
              <w:t>D值区间</w:t>
            </w:r>
          </w:p>
        </w:tc>
        <w:tc>
          <w:tcPr>
            <w:tcW w:w="4740" w:type="dxa"/>
            <w:noWrap w:val="0"/>
            <w:vAlign w:val="top"/>
          </w:tcPr>
          <w:p w14:paraId="50491100">
            <w:pPr>
              <w:pStyle w:val="10"/>
              <w:ind w:firstLine="0" w:firstLineChars="0"/>
              <w:jc w:val="center"/>
              <w:rPr>
                <w:rFonts w:hint="eastAsia" w:ascii="宋体" w:hAnsi="宋体" w:cs="宋体"/>
                <w:color w:val="auto"/>
              </w:rPr>
            </w:pPr>
            <w:r>
              <w:rPr>
                <w:rFonts w:hint="eastAsia" w:ascii="宋体" w:hAnsi="宋体" w:cs="宋体"/>
                <w:color w:val="auto"/>
              </w:rPr>
              <w:t>风险等级</w:t>
            </w:r>
          </w:p>
        </w:tc>
        <w:tc>
          <w:tcPr>
            <w:tcW w:w="4740" w:type="dxa"/>
            <w:noWrap w:val="0"/>
            <w:vAlign w:val="top"/>
          </w:tcPr>
          <w:p w14:paraId="695805C1">
            <w:pPr>
              <w:pStyle w:val="10"/>
              <w:ind w:firstLine="0" w:firstLineChars="0"/>
              <w:jc w:val="center"/>
              <w:rPr>
                <w:rFonts w:hint="eastAsia" w:ascii="宋体" w:hAnsi="宋体" w:cs="宋体"/>
                <w:color w:val="auto"/>
              </w:rPr>
            </w:pPr>
            <w:r>
              <w:rPr>
                <w:rFonts w:hint="eastAsia" w:ascii="宋体" w:hAnsi="宋体" w:cs="宋体"/>
                <w:color w:val="auto"/>
              </w:rPr>
              <w:t>色标</w:t>
            </w:r>
          </w:p>
        </w:tc>
      </w:tr>
      <w:tr w14:paraId="0C8A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067BC7A9">
            <w:pPr>
              <w:pStyle w:val="10"/>
              <w:ind w:firstLine="0" w:firstLineChars="0"/>
              <w:jc w:val="center"/>
              <w:rPr>
                <w:rFonts w:hint="eastAsia" w:ascii="宋体" w:hAnsi="宋体" w:cs="宋体"/>
                <w:color w:val="auto"/>
              </w:rPr>
            </w:pPr>
            <w:r>
              <w:rPr>
                <w:rFonts w:hint="eastAsia" w:ascii="宋体" w:hAnsi="宋体" w:cs="宋体"/>
                <w:color w:val="auto"/>
              </w:rPr>
              <w:t>D&gt;320</w:t>
            </w:r>
          </w:p>
        </w:tc>
        <w:tc>
          <w:tcPr>
            <w:tcW w:w="4740" w:type="dxa"/>
            <w:shd w:val="clear" w:color="auto" w:fill="auto"/>
            <w:noWrap w:val="0"/>
            <w:vAlign w:val="top"/>
          </w:tcPr>
          <w:p w14:paraId="5184D76A">
            <w:pPr>
              <w:pStyle w:val="10"/>
              <w:ind w:firstLine="0" w:firstLineChars="0"/>
              <w:jc w:val="center"/>
              <w:rPr>
                <w:rFonts w:hint="eastAsia" w:ascii="宋体" w:hAnsi="宋体" w:cs="宋体"/>
                <w:color w:val="auto"/>
              </w:rPr>
            </w:pPr>
            <w:r>
              <w:rPr>
                <w:rFonts w:hint="eastAsia" w:ascii="宋体" w:hAnsi="宋体" w:cs="宋体"/>
                <w:color w:val="auto"/>
              </w:rPr>
              <w:t>重大风险</w:t>
            </w:r>
          </w:p>
        </w:tc>
        <w:tc>
          <w:tcPr>
            <w:tcW w:w="4740" w:type="dxa"/>
            <w:shd w:val="clear" w:color="auto" w:fill="FF0000"/>
            <w:noWrap w:val="0"/>
            <w:vAlign w:val="top"/>
          </w:tcPr>
          <w:p w14:paraId="7461F106">
            <w:pPr>
              <w:pStyle w:val="10"/>
              <w:ind w:firstLine="0" w:firstLineChars="0"/>
              <w:jc w:val="center"/>
              <w:rPr>
                <w:rFonts w:hint="eastAsia" w:ascii="宋体" w:hAnsi="宋体" w:cs="宋体"/>
                <w:color w:val="auto"/>
              </w:rPr>
            </w:pPr>
          </w:p>
        </w:tc>
      </w:tr>
      <w:tr w14:paraId="65D7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7A5FA99C">
            <w:pPr>
              <w:pStyle w:val="10"/>
              <w:ind w:firstLine="0" w:firstLineChars="0"/>
              <w:jc w:val="center"/>
              <w:rPr>
                <w:rFonts w:hint="eastAsia" w:ascii="宋体" w:hAnsi="宋体" w:cs="宋体"/>
                <w:color w:val="auto"/>
              </w:rPr>
            </w:pPr>
            <w:r>
              <w:rPr>
                <w:rFonts w:hint="eastAsia" w:ascii="宋体" w:hAnsi="宋体" w:cs="宋体"/>
                <w:color w:val="auto"/>
              </w:rPr>
              <w:t>320≥D&gt;160</w:t>
            </w:r>
          </w:p>
        </w:tc>
        <w:tc>
          <w:tcPr>
            <w:tcW w:w="4740" w:type="dxa"/>
            <w:shd w:val="clear" w:color="auto" w:fill="auto"/>
            <w:noWrap w:val="0"/>
            <w:vAlign w:val="top"/>
          </w:tcPr>
          <w:p w14:paraId="355BEB37">
            <w:pPr>
              <w:pStyle w:val="10"/>
              <w:ind w:firstLine="0" w:firstLineChars="0"/>
              <w:jc w:val="center"/>
              <w:rPr>
                <w:rFonts w:hint="eastAsia" w:ascii="宋体" w:hAnsi="宋体" w:cs="宋体"/>
                <w:color w:val="auto"/>
              </w:rPr>
            </w:pPr>
            <w:r>
              <w:rPr>
                <w:rFonts w:hint="eastAsia" w:ascii="宋体" w:hAnsi="宋体" w:cs="宋体"/>
                <w:color w:val="auto"/>
              </w:rPr>
              <w:t>较大风险</w:t>
            </w:r>
          </w:p>
        </w:tc>
        <w:tc>
          <w:tcPr>
            <w:tcW w:w="4740" w:type="dxa"/>
            <w:shd w:val="clear" w:color="auto" w:fill="FFC000"/>
            <w:noWrap w:val="0"/>
            <w:vAlign w:val="top"/>
          </w:tcPr>
          <w:p w14:paraId="72FB9D7D">
            <w:pPr>
              <w:pStyle w:val="10"/>
              <w:ind w:firstLine="0" w:firstLineChars="0"/>
              <w:jc w:val="center"/>
              <w:rPr>
                <w:rFonts w:hint="eastAsia" w:ascii="宋体" w:hAnsi="宋体" w:cs="宋体"/>
                <w:color w:val="auto"/>
              </w:rPr>
            </w:pPr>
          </w:p>
        </w:tc>
      </w:tr>
      <w:tr w14:paraId="5D00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41C17C8E">
            <w:pPr>
              <w:pStyle w:val="10"/>
              <w:ind w:firstLine="0" w:firstLineChars="0"/>
              <w:jc w:val="center"/>
              <w:rPr>
                <w:rFonts w:hint="eastAsia" w:ascii="宋体" w:hAnsi="宋体" w:cs="宋体"/>
                <w:color w:val="auto"/>
              </w:rPr>
            </w:pPr>
            <w:r>
              <w:rPr>
                <w:rFonts w:hint="eastAsia" w:ascii="宋体" w:hAnsi="宋体" w:cs="宋体"/>
                <w:color w:val="auto"/>
              </w:rPr>
              <w:t>160≥D&gt;70</w:t>
            </w:r>
          </w:p>
        </w:tc>
        <w:tc>
          <w:tcPr>
            <w:tcW w:w="4740" w:type="dxa"/>
            <w:shd w:val="clear" w:color="auto" w:fill="auto"/>
            <w:noWrap w:val="0"/>
            <w:vAlign w:val="top"/>
          </w:tcPr>
          <w:p w14:paraId="2DA94712">
            <w:pPr>
              <w:pStyle w:val="10"/>
              <w:ind w:firstLine="0" w:firstLineChars="0"/>
              <w:jc w:val="center"/>
              <w:rPr>
                <w:rFonts w:hint="eastAsia" w:ascii="宋体" w:hAnsi="宋体" w:cs="宋体"/>
                <w:color w:val="auto"/>
              </w:rPr>
            </w:pPr>
            <w:r>
              <w:rPr>
                <w:rFonts w:hint="eastAsia" w:ascii="宋体" w:hAnsi="宋体" w:cs="宋体"/>
                <w:color w:val="auto"/>
              </w:rPr>
              <w:t>一般风险</w:t>
            </w:r>
          </w:p>
        </w:tc>
        <w:tc>
          <w:tcPr>
            <w:tcW w:w="4740" w:type="dxa"/>
            <w:shd w:val="clear" w:color="auto" w:fill="FFFF00"/>
            <w:noWrap w:val="0"/>
            <w:vAlign w:val="top"/>
          </w:tcPr>
          <w:p w14:paraId="6406A199">
            <w:pPr>
              <w:pStyle w:val="10"/>
              <w:ind w:firstLine="0" w:firstLineChars="0"/>
              <w:jc w:val="center"/>
              <w:rPr>
                <w:rFonts w:hint="eastAsia" w:ascii="宋体" w:hAnsi="宋体" w:cs="宋体"/>
                <w:color w:val="auto"/>
              </w:rPr>
            </w:pPr>
          </w:p>
        </w:tc>
      </w:tr>
      <w:tr w14:paraId="59D1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548F1A22">
            <w:pPr>
              <w:pStyle w:val="10"/>
              <w:ind w:firstLine="0" w:firstLineChars="0"/>
              <w:jc w:val="center"/>
              <w:rPr>
                <w:rFonts w:hint="eastAsia" w:ascii="宋体" w:hAnsi="宋体" w:cs="宋体"/>
                <w:color w:val="auto"/>
              </w:rPr>
            </w:pPr>
            <w:r>
              <w:rPr>
                <w:rFonts w:hint="eastAsia" w:ascii="宋体" w:hAnsi="宋体" w:cs="宋体"/>
                <w:color w:val="auto"/>
              </w:rPr>
              <w:t>D≤70</w:t>
            </w:r>
          </w:p>
        </w:tc>
        <w:tc>
          <w:tcPr>
            <w:tcW w:w="4740" w:type="dxa"/>
            <w:shd w:val="clear" w:color="auto" w:fill="auto"/>
            <w:noWrap w:val="0"/>
            <w:vAlign w:val="top"/>
          </w:tcPr>
          <w:p w14:paraId="4D50CED0">
            <w:pPr>
              <w:pStyle w:val="10"/>
              <w:ind w:firstLine="0" w:firstLineChars="0"/>
              <w:jc w:val="center"/>
              <w:rPr>
                <w:rFonts w:hint="eastAsia" w:ascii="宋体" w:hAnsi="宋体" w:cs="宋体"/>
                <w:color w:val="auto"/>
              </w:rPr>
            </w:pPr>
            <w:r>
              <w:rPr>
                <w:rFonts w:hint="eastAsia" w:ascii="宋体" w:hAnsi="宋体" w:cs="宋体"/>
                <w:color w:val="auto"/>
              </w:rPr>
              <w:t>较小风险</w:t>
            </w:r>
          </w:p>
        </w:tc>
        <w:tc>
          <w:tcPr>
            <w:tcW w:w="4740" w:type="dxa"/>
            <w:shd w:val="clear" w:color="auto" w:fill="00B050"/>
            <w:noWrap w:val="0"/>
            <w:vAlign w:val="top"/>
          </w:tcPr>
          <w:p w14:paraId="4BE549A0">
            <w:pPr>
              <w:pStyle w:val="10"/>
              <w:ind w:firstLine="0" w:firstLineChars="0"/>
              <w:jc w:val="center"/>
              <w:rPr>
                <w:rFonts w:hint="eastAsia" w:ascii="宋体" w:hAnsi="宋体" w:cs="宋体"/>
                <w:color w:val="auto"/>
              </w:rPr>
            </w:pPr>
          </w:p>
        </w:tc>
      </w:tr>
    </w:tbl>
    <w:p w14:paraId="335158CA">
      <w:pPr>
        <w:autoSpaceDE w:val="0"/>
        <w:autoSpaceDN w:val="0"/>
        <w:adjustRightIn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重大风险由公司组织分子公司、项目部共同管控，公司重点监督检查；较大风险分子公司组织项目部共同管控，分子公司重点监督检查；一般风险由项目部管控；较小风险由班组管控。</w:t>
      </w:r>
    </w:p>
    <w:p w14:paraId="6A347822">
      <w:pPr>
        <w:numPr>
          <w:ilvl w:val="0"/>
          <w:numId w:val="13"/>
        </w:numPr>
        <w:spacing w:line="336" w:lineRule="auto"/>
        <w:ind w:firstLine="480" w:firstLineChars="200"/>
        <w:rPr>
          <w:rFonts w:hint="eastAsia"/>
          <w:color w:val="auto"/>
          <w:sz w:val="24"/>
          <w:szCs w:val="28"/>
        </w:rPr>
      </w:pPr>
      <w:r>
        <w:rPr>
          <w:rFonts w:hint="eastAsia"/>
          <w:color w:val="auto"/>
          <w:sz w:val="24"/>
          <w:szCs w:val="28"/>
        </w:rPr>
        <w:t>危险源辨识与评价</w:t>
      </w:r>
    </w:p>
    <w:p w14:paraId="4B3D0C3A">
      <w:pPr>
        <w:pStyle w:val="57"/>
        <w:rPr>
          <w:color w:val="auto"/>
        </w:rPr>
        <w:sectPr>
          <w:headerReference r:id="rId14" w:type="default"/>
          <w:footerReference r:id="rId15" w:type="default"/>
          <w:pgSz w:w="11906" w:h="16838"/>
          <w:pgMar w:top="1418" w:right="1134" w:bottom="1418" w:left="1701" w:header="851" w:footer="851" w:gutter="0"/>
          <w:pgBorders>
            <w:top w:val="none" w:sz="0" w:space="0"/>
            <w:left w:val="none" w:sz="0" w:space="0"/>
            <w:bottom w:val="none" w:sz="0" w:space="0"/>
            <w:right w:val="none" w:sz="0" w:space="0"/>
          </w:pgBorders>
          <w:pgNumType w:fmt="decimal"/>
          <w:cols w:space="425" w:num="1"/>
          <w:docGrid w:type="linesAndChars" w:linePitch="326" w:charSpace="0"/>
        </w:sectPr>
      </w:pPr>
    </w:p>
    <w:p w14:paraId="3B7BED84">
      <w:pPr>
        <w:pStyle w:val="48"/>
        <w:keepNext w:val="0"/>
        <w:keepLines w:val="0"/>
        <w:pageBreakBefore w:val="0"/>
        <w:widowControl/>
        <w:kinsoku/>
        <w:wordWrap/>
        <w:overflowPunct/>
        <w:topLinePunct w:val="0"/>
        <w:autoSpaceDE/>
        <w:autoSpaceDN/>
        <w:bidi w:val="0"/>
        <w:adjustRightInd w:val="0"/>
        <w:snapToGrid w:val="0"/>
        <w:ind w:left="0" w:leftChars="0" w:firstLine="480" w:firstLineChars="200"/>
        <w:jc w:val="center"/>
        <w:textAlignment w:val="auto"/>
        <w:outlineLvl w:val="9"/>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表6.1-2 中交二航局建筑公司危险有害因素辨识及评价表</w:t>
      </w:r>
    </w:p>
    <w:tbl>
      <w:tblPr>
        <w:tblStyle w:val="2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0"/>
        <w:gridCol w:w="472"/>
        <w:gridCol w:w="3"/>
        <w:gridCol w:w="5243"/>
        <w:gridCol w:w="1204"/>
        <w:gridCol w:w="316"/>
        <w:gridCol w:w="286"/>
        <w:gridCol w:w="481"/>
        <w:gridCol w:w="406"/>
        <w:gridCol w:w="481"/>
        <w:gridCol w:w="587"/>
        <w:gridCol w:w="391"/>
        <w:gridCol w:w="1036"/>
        <w:gridCol w:w="1342"/>
        <w:gridCol w:w="1288"/>
      </w:tblGrid>
      <w:tr w14:paraId="038B1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1212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作业活动单元</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2B7A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活动</w:t>
            </w:r>
          </w:p>
          <w:p w14:paraId="474461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内容</w:t>
            </w:r>
          </w:p>
        </w:tc>
        <w:tc>
          <w:tcPr>
            <w:tcW w:w="18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B0D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可能存在的隐患</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1610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潜在事故</w:t>
            </w:r>
          </w:p>
          <w:p w14:paraId="78531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类型</w:t>
            </w:r>
          </w:p>
        </w:tc>
        <w:tc>
          <w:tcPr>
            <w:tcW w:w="9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BF4B3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危险、有害因素评价</w:t>
            </w:r>
          </w:p>
        </w:tc>
        <w:tc>
          <w:tcPr>
            <w:tcW w:w="1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DF87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危害</w:t>
            </w:r>
          </w:p>
          <w:p w14:paraId="651C8A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级别</w:t>
            </w:r>
          </w:p>
        </w:tc>
        <w:tc>
          <w:tcPr>
            <w:tcW w:w="364" w:type="pct"/>
            <w:vMerge w:val="restart"/>
            <w:tcBorders>
              <w:top w:val="single" w:color="000000" w:sz="4" w:space="0"/>
              <w:left w:val="single" w:color="000000" w:sz="4" w:space="0"/>
              <w:right w:val="single" w:color="000000" w:sz="4" w:space="0"/>
            </w:tcBorders>
            <w:shd w:val="clear" w:color="auto" w:fill="auto"/>
            <w:vAlign w:val="center"/>
          </w:tcPr>
          <w:p w14:paraId="26D1CF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风险等级类别及色标</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03CE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现行法律法规</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360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控制方法</w:t>
            </w:r>
          </w:p>
        </w:tc>
      </w:tr>
      <w:tr w14:paraId="3FB0F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84A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986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C1E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37D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2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1C9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直接</w:t>
            </w:r>
          </w:p>
          <w:p w14:paraId="16CE0C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判断</w:t>
            </w:r>
          </w:p>
        </w:tc>
        <w:tc>
          <w:tcPr>
            <w:tcW w:w="68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BE1E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D=LEC</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F10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right w:val="single" w:color="000000" w:sz="4" w:space="0"/>
            </w:tcBorders>
            <w:shd w:val="clear" w:color="auto" w:fill="auto"/>
            <w:vAlign w:val="center"/>
          </w:tcPr>
          <w:p w14:paraId="41E630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BBB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EAC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3ED1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4A8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08D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C16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0F5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FA3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是</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47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非</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282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L</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D81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E</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ACB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C</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019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F63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bottom w:val="single" w:color="000000" w:sz="4" w:space="0"/>
              <w:right w:val="single" w:color="000000" w:sz="4" w:space="0"/>
            </w:tcBorders>
            <w:shd w:val="clear" w:color="auto" w:fill="auto"/>
            <w:vAlign w:val="center"/>
          </w:tcPr>
          <w:p w14:paraId="244788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078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533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F30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8566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01EE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A67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07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711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007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767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BF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86A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13F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6A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09ABB2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9FF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0EF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DC3F1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82F9F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57EA49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1A574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126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F1E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626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转移工地重新安装的垂直运输机械，在交付使用前，未按有关标准进行试验、检验并对各安全装置的可靠度及灵敏度进行测试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D0C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FF0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43D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D39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8AA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01E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FC6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0A1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5B33B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631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009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DF32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649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0D0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170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996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1F0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49E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BB9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7A7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DA1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729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E08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482E7A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564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C57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4561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F74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54B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68B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用不允许载人的施工升降机提升和降落过程中载人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2A7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981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6ED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629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AAD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ECA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C8B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944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C9A29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E95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AEE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05C4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FF1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C20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28E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起重机司机及信号指挥人员未经专业培训、考核合格未取得有关部门颁发的操作证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AB9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78B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A0E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B09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542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511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62B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A19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3D54F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DAE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D3E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597C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4A2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693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80D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每班作业前，起重机司机未对制动器、钢丝绳及安全装置进行检查，各机构进行空载运转，发现不正常时，排除未及时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21D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667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D3E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5C6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1E5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900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0DA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B98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4D018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008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D4B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4DA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D2F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F64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DC0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起重机司机开机前，未鸣铃示警</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823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FAA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749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011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D2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DB9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99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848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B0160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07A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9E6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D41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8C3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904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BED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未按照垂直运输机械出厂说明书规定的技术性能、使用条件正确操作，超载作业或扩大使用范围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6AC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9FA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670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16C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A6A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74D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A15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2CD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6EFFF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2FB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63A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A534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80F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28E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997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起重机处于工作状态时，进行保养、维修及人工润滑作业。当需进行维修作业时，未在醒目位置挂警示牌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B9C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1FA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2F8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7A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6E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0A6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015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A88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934A2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B85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CC5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82FF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9D0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C17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32B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作业中起重机司机擅自离开岗位或交给非本机的司机操作。工作结束后未将所有控制手柄扳至零位，断开主电源，锁好电箱</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085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E24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B03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4B0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A4A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2AB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99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597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CBA5A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F69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AA6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2B0F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085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89C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6C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维修更换零部件与原垂直运输机械零部件的材料、性能不同；外购件无材质、性能说明；材料代用降低原设计规定的要求；维修后，未按相关标准要求试验合格；机械维修资料未纳入该机设备档案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3CD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580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EEC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720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41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430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B02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FC0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979E7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604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CC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429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CC47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D726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2C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FB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C2C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289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5E6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A5F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781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481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DF2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3C171F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5857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C20B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119B37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2D1AC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5B11D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6670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416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385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972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安装及拆卸作业前，未认真研究作业方案，未按照架设程序分工负责，统一指挥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0EF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638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556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754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A8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E93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4E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525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7769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6AB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F19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D5CD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429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75E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253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安装塔式起重机未保证安装过程中各种状态下的稳定性，未使用专用螺栓，随意代用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DA0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01D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176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03E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086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C8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F37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E5B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3E123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885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F14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F319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E4C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550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3DB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旋转塔身方法进行整体安装及拆卸时，未保证自身的稳定性。未详细规定架设程序与安全措施，未对主、副地锚的埋设位置、受力性能以及钢丝绳穿绕、起升机构制动等应进行检查，未排除塔式起重机旋转过程中障碍，塔式起重机旋转中途停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665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6A8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2C3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982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1B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D9F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CBC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57B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7EF08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5B4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B6E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80A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87F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321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5F9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CB9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A51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B98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793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87F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68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9D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E45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37BEB9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A0B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43E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F9D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EDD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7B4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4F6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作业时未遵守下列规定：即液压系统应空载运转，并检查和排净系统内的空气；应按说明书规定调整顶升套架滚轮与塔身标准节的间隙，使起重臂力矩与平衡臂力矩保持平衡符合说明书要求，并将回转机构制动住；顶升作业应随时监视液压系统压力及套架与标准节间的滚轮间隙。顶升过程中严禁起重机回转和其他作业；顶升作业应在白天进行，风力在四级及以上时必须立即停止，并应紧固上、下塔身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180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CB8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6D3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C3A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60E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C10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3D7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A54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lang w:val="en-US"/>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90553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FD3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8CE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7358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814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492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60A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塔机安装前没有进行全面的检查，并确认合格。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8C2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3A5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46F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4B4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B10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BCA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7B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CC9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lang w:val="en-US" w:eastAsia="zh-CN"/>
              </w:rPr>
            </w:pPr>
            <w:r>
              <w:rPr>
                <w:rFonts w:hint="eastAsia" w:ascii="宋体" w:hAnsi="宋体" w:eastAsia="宋体" w:cs="宋体"/>
                <w:b w:val="0"/>
                <w:bCs w:val="0"/>
                <w:i w:val="0"/>
                <w:iCs w:val="0"/>
                <w:color w:val="auto"/>
                <w:sz w:val="18"/>
                <w:szCs w:val="18"/>
                <w:u w:val="none"/>
                <w:lang w:val="en-US" w:eastAsia="zh-CN"/>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6BCF7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DC9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AAB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296F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D20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9BA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A68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安装前没有对基础进行验收。基础周围没有排水设施。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32B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901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BF1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343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5A3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21F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0CB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291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A580F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657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5BD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74FB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2BA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86E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0F7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行走式塔式起重机的轨道及基础没有按使用说明书的要求进行设置。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1AE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580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C15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2A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FDD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C2D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CB6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D4B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8476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9DB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843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71CA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717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E66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ED0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没有对内爬式塔机的建筑承载结构进行验算。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105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856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4C5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3DD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1DF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38D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D86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89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D444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4F9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815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748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947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274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1D7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附着装置的设置和自由端高度不符合使用说明书的规定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B52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8BA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511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BBA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2C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564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A75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93F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41C6A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4B1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C40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B7A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E1B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0DD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3CB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当附着水平距离、附着间距等不满足使用说明书的要求时，没有进行设计计算、绘制制作图、编写相关说明。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43E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9EF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6FB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E7C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0F6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F69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EC7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C4A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F3443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BD7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D3A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D527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C88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38F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BE3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附着装置的构件和预埋件不是由原制造厂家或具有相应能力的企业制造。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F11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68F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BDF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8C0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13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3D0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73C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6DF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20DBC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259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F55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B55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773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47D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4D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附着装置设计时，没有对支承处的建筑主体结构进行验算。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AE9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E53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880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D43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F5D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DD7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3F6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0EA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873DD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669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DEC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E23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61B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40B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729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F1B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85F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D11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D63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257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02F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E03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336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8A32F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18B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16E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D139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909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3A6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36E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安装作业未按照专项方案要求实施。安装前未对安装作业人员进行安全技术交底。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192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A0D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74C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7E9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019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F0C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C88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3FA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7C70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10E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81C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57B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4CA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EA4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676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5B1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060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E43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E7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F1F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08D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045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1B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EAF4F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5D7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9F3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1313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893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52A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D42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46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B8D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497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AA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483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585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915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44E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68875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B04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075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42C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B6B3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ADD8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3A3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雨雪、浓雾天气没有停止安装作业。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841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DFB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542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6D9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EC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15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22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86C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3BF08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42C8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A534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F4ECB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81B1B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AE030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1F7A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CD9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128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897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E96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308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042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C43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CDB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B70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EF5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696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FD809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825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4F4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98C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AEF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536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B5F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当需要在夜间进行</w:t>
            </w:r>
            <w:r>
              <w:rPr>
                <w:rFonts w:hint="eastAsia" w:ascii="宋体" w:hAnsi="宋体" w:cs="宋体"/>
                <w:b w:val="0"/>
                <w:bCs w:val="0"/>
                <w:i w:val="0"/>
                <w:iCs w:val="0"/>
                <w:color w:val="auto"/>
                <w:kern w:val="0"/>
                <w:sz w:val="18"/>
                <w:szCs w:val="18"/>
                <w:u w:val="none"/>
                <w:lang w:val="en-US" w:eastAsia="zh-CN" w:bidi="ar"/>
              </w:rPr>
              <w:t>安装</w:t>
            </w:r>
            <w:r>
              <w:rPr>
                <w:rFonts w:hint="eastAsia" w:ascii="宋体" w:hAnsi="宋体" w:eastAsia="宋体" w:cs="宋体"/>
                <w:b w:val="0"/>
                <w:bCs w:val="0"/>
                <w:i w:val="0"/>
                <w:iCs w:val="0"/>
                <w:color w:val="auto"/>
                <w:kern w:val="0"/>
                <w:sz w:val="18"/>
                <w:szCs w:val="18"/>
                <w:u w:val="none"/>
                <w:lang w:val="en-US" w:eastAsia="zh-CN" w:bidi="ar"/>
              </w:rPr>
              <w:t>作业时，没有保证提供足够的照明。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CE6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FF2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EE3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29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920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032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ADD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934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577B2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08F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A8E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0215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64B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73D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CD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当遇特殊情况安装作业不能连续进行时，没有将已安装的部位固定牢靠并达到安全状态。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E88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30E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037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44D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C5C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060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E67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DFC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C009C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B81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59E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156F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F87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1D1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6FD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塔机的安全装置不齐全，没有按程序进行调试合格。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E43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7A8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6B3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881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4E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2EA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9C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154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A7C2F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85B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F2D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6FF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A4E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DFD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407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C49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64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F81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E4E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2FF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F4E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D42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FF1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251F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1A2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177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1FC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472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6D8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05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连接件及防松脱件没有用扭力扳手或专用工具紧固连接螺栓。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39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C39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C96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336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0C1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820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A6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15F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CBF3C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AE2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9B0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D96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BCB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B13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01D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安装单位自检合格后，没有委托有资质的检验检测机构检测合格。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E97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791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219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6FC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68E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CB7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04F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C68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A9014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77B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A8B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6440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848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9DC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4FF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经自检、检测合格后，没有由总承包单位组织出租、安装、使用、监理等单位验收合格。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F09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D8B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FF9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901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905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959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A23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2E4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9B802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F31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6D7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743C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DCB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ABC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02E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塔机停用6个月以上的，没有重新进行验收。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4D2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F98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B29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FFE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B55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076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64D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27A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5A772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1DE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631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9069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954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DDC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1DF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当遇特殊情况拆卸作业不能继续时，没有采取措施保证塔机处于安全状态。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C7F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5FE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F03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2B9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142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FF6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9F5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614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52E81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F15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61F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547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031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544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82A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当用于拆卸作业的辅助设备设置在建筑物上时，没有对辅助起重设备的安全性及建筑物的承载能力等进行验算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578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6ED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7C1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7E2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D2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A11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5A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072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39DE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5AD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6E6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7A1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EFA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8AE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F6D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拆除作业未按照专项方案要求实施。拆除前未对安装作业人员进行安全技术交底。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F18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DE2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168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1A4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636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F65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56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D23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CE426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615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398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33F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34F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ABF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C7B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439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65D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6AF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DCF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983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410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2AB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D18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72759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533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74F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463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924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5DC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C59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雨雪、浓雾天气没有停止拆除作业。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69C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C32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BEC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EAE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B6D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00F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1D1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479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FDD86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4F1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69E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ABA4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AF1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141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E0D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544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746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B89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DEC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10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ED8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7EC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35C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8DE41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4CD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158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CAC8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C36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CAC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565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当遇特殊情况拆除作业不能连续进行时，没有将已安装的部位固定牢靠并达到安全状态。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36A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71F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CB0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837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D91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43E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1D3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FB5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3A683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0DA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1B9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EAC3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61B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1F8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EE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附着式塔机没有明确附着装置的拆卸顺序和方法。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837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408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9AC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78D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EC3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924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55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B8A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580FF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1EC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E78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A64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C3F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1D8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762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自升式塔机每次降节前，没有检查顶升系统和附着装置的连接等。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D4F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F2C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18D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8EF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8A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325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113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2FB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DE0E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7BE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B80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728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253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74B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EC3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拆卸时没有按照先降节，后拆除附着装置的顺序施工。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438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CFF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3B5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306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D52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8B0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71D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BDE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1D2AD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6E9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714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142A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851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73F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AFB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塔式起重机未按照现行国家标准《塔式起重机安全规程》GB5144及说明书规定，安装起重力矩限制器、起重量限制器、幅度限制器、起升高度限制器、回转限制器、行走限位开关及夹轨器等安全装置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078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043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627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790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4D4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D46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1AE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BC9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78E9B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175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F63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7F56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6B5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525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E8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塔式起重机作业前，应检查轨道及清理障碍物；检查金属结构、连接螺栓及钢丝绳磨损情况；送电前，各控制器手柄应在零位，空载运转，试验各机构及安全装置并确认正常。</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343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F81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0FD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F01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81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154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FFF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62D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BE6B8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C80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173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07AF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874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0EC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3E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塔式起重机作业时超载、斜拉和起吊埋在地下等不明重量的物件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35D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8F9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204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97F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64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79F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F3E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DB3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6D7EC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1B1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205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18B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6D9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298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E49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吊运散装物件时，未制作专用吊笼或容器。吊笼或容器在使用前未按允许承载能力的两倍荷载进行试验，使用中未定期进行检查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510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A9E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8CC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461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E48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849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D93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2DF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93ED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9C1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27F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F95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F5E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99B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F6E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吊运多根钢管、钢筋等细长材料时，未确认吊索绑扎牢靠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0A4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F70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50A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27B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1DC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9C7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4D7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CA0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27002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B1A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234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C08F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600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509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4E6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两台及两台以上塔式起重机之间的（包括吊物）的距离小于2m。当不能满足要求时，未采取调整相临塔式起重机的工作高度、加设行程限位、回转限位装置等措施，未制定交叉作业的操作规程；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295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CA5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3BC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7B3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EA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472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14E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900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D1C56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5A4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25D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BC82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895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EE1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6FF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塔式起重机在弯道上进行吊装作业或吊物行走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7E2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FE0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A52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DF6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D5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374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CDD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E7A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EDA7F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5E0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D3E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FEF1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B5E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F18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1C1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轨道式塔式起重机的供电电缆拖地行走；沿塔身垂直悬挂的电缆，未使用不被电缆自重拉伤和磨损的可靠装置悬挂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6C5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1F5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842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6AA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DAF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3B7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C50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F53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3FFCA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189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F06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EADE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2B9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7B0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2B4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作业完毕，塔式起重机未停放在轨道中间位置，起重臂未转到顺风方向，未松开回转制动器，起重小车及平衡重未置于非工作状态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43B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50A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BBE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99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07B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77D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EFF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23A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83F42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BFD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B4A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16CA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624A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5C4A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EDE9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参加起重吊装作业人员,包括司机、起重工、信号指挥、电焊工等未经专业培训考核取得合格证、未经体检进行高空作业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55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802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D68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7C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9EB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9BE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188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153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03399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E542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8904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707B9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7B10E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6DBA4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5ED5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636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124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2360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0F8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88D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130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45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B6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AC8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64F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FF8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AD9B4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8D3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A2C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60F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B13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970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CF46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起重机械进入现场后未经检查验收，重新组装的起重机械未按规定进行试运转，未对各种安全装置进行灵敏度可靠度的测试。扒杆按方案组装后未经试吊检验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D93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7B8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986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FD2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737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839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695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EA4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38A2D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7A4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B42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689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AE6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44A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1830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汽车式起重机未按规定进行定期的维修保养，未每年定期进行运转试验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BF6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EDE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5AC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E67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405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909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533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2DA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267C7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9AF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8AD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A5B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43A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F5F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53A1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起重吊装索具吊具使用前未按施工方案设计要求进行逐件检查验收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791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36A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9A5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88A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5D5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D8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F0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CF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07269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F94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970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20EB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F9F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F7D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88E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起重机运行道路未进行检查，达不到地耐力要求时未采用路基箱等铺垫措施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4D3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89A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0E5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05A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D66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5B5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593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F7A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9A27C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1BA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381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831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ABB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CAB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5094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起重吊装各种防护措施用料、脚手架的搭设以及危险作业区的围圈等准备工作不符合方案要求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B50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3C8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36F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CC5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8D9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39B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AEE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669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13E40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A39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CB4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D47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6A2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39D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3D9E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E11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585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FB0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F09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5A1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D28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23D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14D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85995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0D7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953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99C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2A1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8EE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CEBF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当进行高处吊装作业或司机不能清楚地看到作业地点或信号时，未设置信号传递人员。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912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D28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75F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8B4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552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89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1C3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0BD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D833C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5D3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DC9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3A4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2A9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6D8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C4A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起重吊装高处作业人员未佩带工具袋，随意抛掷物品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8C8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7E3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48F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CBC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B0D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7A7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060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194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49E7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8EE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06D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5E69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4ED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2BF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1BAE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起重吊装钢丝绳允许拉力安全系数不符合规范要求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92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F3D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C6A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DB4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C10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308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F14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1B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3C86F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347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B31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E3DE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0898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248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索具设备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9DA1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钢丝绳的连接强度小于其破断拉力的80%；当采用绳卡连接时，未按照钢丝绳直径选用绳卡规格及数量，绳卡压板未在钢丝绳长头一边，当采用编结连接时，编结长度小于钢丝绳直径的15倍，小于300mm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F0D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ED7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F55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78D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AF5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FB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B48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7B6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3C23E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8D78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5548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71925E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19CFB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61F232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0264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C4D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3EC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77C1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钢丝绳出现磨损断丝时，未减载使用，当磨损断丝达到报废标准时，未及时更换合格钢丝绳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A86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073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88C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658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7C9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4E0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84B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24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D39C0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4FC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9AE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1519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FE7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95B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7A2D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未根据构件的重量、长度及吊点合理制作吊索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A8A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0EE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FFD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091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87A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88E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F17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EA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B35BC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C96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BB8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28FA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F61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CD0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BB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吊具（铁扁担）的设计制作无足够的强度及刚度，吊索受力不均匀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A65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FDC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DBE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BFB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7D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EC1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2E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502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62BEE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74F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F16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5C3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0C2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F13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49A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未正确使用吊钩，使用焊接钩、钢筋钩，当吊钩挂绳断面处磨损超过高度10%时未及时报废。</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042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5C2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5B8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CA1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5E6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407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98A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BF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170C3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831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B21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3E7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DE4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DE0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F3FB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未按照钢丝绳直径及工作类型选用滑车，滑车直径与钢丝绳直径比值小于15</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EBE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074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754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358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FF8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9C1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7E4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FA1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11663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E16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083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A89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EAE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51E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231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千斤顶底部未放平，未在底部及顶部加垫木板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5FF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1F2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248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9E5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E8A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22A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184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274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F7673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EF9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02A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0E93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182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8B0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A8A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千斤顶超负荷使用，顶升高度超过活塞的标志线或活塞总高度的3/4</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F4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5AC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172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A5D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43D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13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A23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15C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9DA4D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967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6BD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6CC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040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887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332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多台千斤顶联合使用时，未采用同一型号千斤顶，各千斤顶不同步，有的千斤顶的起升能力小于计算承载力的1.2倍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A18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B56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0C7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740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130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9BD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7D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8C4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8E6C3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1AC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C55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621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D8B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F6B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3069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顶升过程中未随构件的升高及时用枕木垫牢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E12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A12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24C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BA8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FDC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24D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C84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CAD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ECC30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F80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EA1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2D9C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FAD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C25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3B08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用手拉葫芦前未空载检查，挂上重物后未慢慢拉动进行负荷检查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A42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3EE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5F4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AF2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95D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B70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6B2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48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ECF8F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00E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6D0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8603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0D0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5AE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A4D9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手拉葫芦拉链方向与链轮不一致，拉动速度不均匀，拉不动时未查明原因采取增加人数强拉的方法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751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7D2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E5E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D57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3B4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F19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B6C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88F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1FCB1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B5E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79C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022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890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6E6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A5B7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手拉葫芦起重中途停止时间较长时，未将手拉小链拴在链轮的大链上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8CA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148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50F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28B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D74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254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D6A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8D9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D0800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694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73F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518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FF1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EC4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1A7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手搬葫芦钢丝绳未选用钢芯钢丝绳，有扭结、接头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ADA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A77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CCF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3D0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71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120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48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DF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2F897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24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F63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1F8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D93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6B8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946A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采用加长搬把手柄的方法操作</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AE0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BFD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2AA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543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1D5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17E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E91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2C9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1F1C7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5C1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BB8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5B8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E0D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B57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53C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当使用牵拉重物的手搬葫芦用于载人的吊篮时，其载重能力未降为额载荷的1/3，未加装自锁夹钳装置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8E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D7B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2D3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FF0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39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F95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807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99C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332D4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9EE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37B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DF2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1A3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E4A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2BD9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绞磨未与地锚连接牢固，受力后倾斜和悬空，起重钢丝绳在卷筒上缠绕少于4圈，工作时，未设专人拉紧卷筒后面绳头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296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42E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032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52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35F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01E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471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CD5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D1E04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AEB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5D9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C458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904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7FD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136E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绞磨未装设制动器，当绞磨暂时停止转动时未用制动器锁住，推杠人员随意离开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501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5CE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FAE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5F2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E75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71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F0F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ECC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4F9E4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B5E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BE8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069D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0BA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E52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034F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松弛起重绳时，为采用推杠反方向旋转控制，采用松后尾拉绳的方法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FD8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C18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D23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2C8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BF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E9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68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3F1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F512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60E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6CB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1C3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CBE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3E5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66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地锚埋设的地面被水浸泡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976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C37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CAA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A2B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D14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780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852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E10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0342E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2B9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B8A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969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688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61B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E01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木质地锚未选用落叶松、杉木等坚实木料，使用质脆或腐朽木料。埋设前未涂刷防腐油，未在钢丝绳捆绑处加钢管和角钢保护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4EB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78A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D02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289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03E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C65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2E0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055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BCA5C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EE0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E1A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601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85E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D27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1257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重要地锚或旧有地锚使用前未经试拉确认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6A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8BE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5BE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FA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7A5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E16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E7B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F4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A9DFC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D89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E7C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00F8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9E8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78E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起重机吊装作业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B62D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当采用一个吊点起吊时，吊点未选择在构件重心以上，未使吊点与构件重心的连线和构件的横截面呈垂直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D0B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B13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AA1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BE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256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345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1A8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7E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48ED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813A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28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B9210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D0144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608E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7EA7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555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700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3FBF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当采用多个吊点起吊时，未使各吊点吊索拉力的合力作用点置于构件的重心以上，未使各吊索的汇交点（起重机的吊钩位置）与构件重心的连线和构件的支座面垂直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0E3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78F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1CD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5E3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0D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F66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C2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CBD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9D47E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918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DD4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9818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9B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4F8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D9D1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未根据建筑工程结构的跨度、吊装高度、构件重量以及作业条件和现有起重机类型、起重机的起重量、起升高度、工作半径、起重臂长度等工作参数选择起重机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DFB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20B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116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B04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780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9F7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08B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3DD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B8977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ACF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7D0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365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882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B9D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3AD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履带式起重机运到现场组装起重臂杆时，未将臂杆放置在枕木架上进行螺栓连接和穿绕钢丝绳作业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D5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6B7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75C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24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60E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843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181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34A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C253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7FD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AFF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E60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6C4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812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9D0D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履带式起重机未按照现行国家标准《起重机械安全规程》GB6067和该机说明书的规定安装幅度指示器、超高限位器、力矩限制器等安全装置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97D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DEE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C9C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90F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D7A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9DE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45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343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6EFC5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FBF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148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EAC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5F9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BC1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EFED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履带式起重机工作前未先空载运行检查，未检查各安全装置的灵敏可靠性。起吊进行试吊检验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A1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D02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D1C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4F3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149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301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A24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9D7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00D7D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7C8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7FD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2530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79F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937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5488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当履带式起重机接近满负荷作业时，起重臂杆与履带呈垂直方位；当起重机吊物做短距离行走时，吊重超过额定起重量的70%，吊物没有位于行车的正前方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003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57A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027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542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AF1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43B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84A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C1C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90B99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CB1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C52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3818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EDC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E83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5CA8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履带式起重机采用双机抬吊作业时，未选用起重性能相似的起重机进行，单机的起吊载荷超过额定载荷的80%。两机吊索在作业中未保持竖直，未同步吊起载荷和同步落位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55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8CE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D68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D61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A13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65A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955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140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39ECB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722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B63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1AB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DE0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C3A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240A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汽车、轮胎式起重机作业前未全部伸出支腿，未采用方木或铁板垫实，未调整水平度，未锁牢定位销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7FD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579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EC8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08D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389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0F6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1F1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4CB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23AB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54F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48C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A591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24F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3A0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05EB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汽车、轮胎式起重机吊装作业时，汽车驾驶室内有人，重物超越驾驶室上方，在车前区吊装</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42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C74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CBF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6A7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A4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354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2A6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439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2B038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104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DB5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EC6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B43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848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977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汽车、轮胎式起重机作业时，重物未垂直起吊，进行侧拉，臂杆吊物回转时动作过快</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75C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DCB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529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B2A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F32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7A1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249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7FB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B6D62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94E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F42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B4E3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BCE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B18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09E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汽车、轮胎式起重机吊物下降时为采用动力控制，下降停止前未减速，采用紧急制动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D96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A99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19E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541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EE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546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8A1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33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7A0A6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D3C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4D1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FCA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01C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02E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0D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当采用汽车、轮胎式起重臂杆的付杆作业时，付杆由原来叠放位置转向调直后，为确认付杆与主杆之间的连接定位销是否锁牢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84A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37B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42B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960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539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47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283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03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8C70B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562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0C7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76D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897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534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F75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汽车、轮胎式起重机的安全装置未按规定装设力矩限制器、超高限位器等安全装置，未装设偏斜调整和显示装置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EB1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E91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4BE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169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AD1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0C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328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B9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379E0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5F7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288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DAB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6C7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56C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075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汽车、轮胎式起重机行驶时，人员在底盘走台上站立或蹲坐，随意堆放物件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E4D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交通事故、物体打击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86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FEB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F75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B8E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214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642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E75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7A69E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45B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C76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9893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470F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施工机具</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0DD3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671F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电焊机露天放置无防雨设施。每台电焊机无专用开关箱，未使用断路器控制，一次侧未装设漏电保护器，二次侧未装设空载降压装置。焊机外壳未与PE线相连接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8A4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B64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154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221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CA8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E04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D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4AF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CE98C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1F8A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《建筑机械使用安全技术规程》《建筑工程安全技术规范》《建筑施工高处作业安全技术规范》《建设工程施工现场消防安全技术规范》《施工现场临时用电安全技术规范》《重大危险源辨识》等。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413E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765D4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9CCAF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F6579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2C89C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FDF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B83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98CB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电焊机二次侧进行接地（接零）时，未将二次线圈与工件相接的一端接地（接零），而是将二次线圈与焊钳相接的一端接地（接零）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F0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102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6CC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510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39A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BF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8EC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F3F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3C727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232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717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CF8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668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55E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6791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一次侧电源线长度超过5m，拖地，与焊机接线柱连接牢固，接线柱上部无防护罩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E0A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0B5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85E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AF1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981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6B6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2F8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DD2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5ADAC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D41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8C0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3C1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656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CDB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F585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焊接电缆未使用防水橡皮护套多股铜芯软电缆，有接头，电缆经过通道和易受损伤场所时未采取保护措施。使用脚手架、金属栏杆、钢筋等金属物搭接代替导线使用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FEA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A84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0EB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44C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9E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5F5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00F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0FC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61F9C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665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BC6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DA2F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4C0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EE0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F08A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焊钳未采用合格产品，手柄无良好的绝缘和隔热性能，与电缆连接不牢靠。使用自制简易焊钳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E93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F0D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943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69C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682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72A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18A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07C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C1ECF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EC8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B1F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C4EE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1A2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39E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5D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焊工必须未培训合格持证操作，未按规定穿工作服、绝缘鞋、戴手套及面罩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9CA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072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C9C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6D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48C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5F4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46F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2BD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EFE4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6F3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8D4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66B9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9A3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CDC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0C31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焊接场所通风不好，有易燃、易爆物，未采取防护措施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5C4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DB7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B08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653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4A5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4E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6E5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4D0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ECDF7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D89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43D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278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707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4E8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B281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焊修其它机电设备时未首先分断该机电设备的电源，未暂时拆除该机电设备的PE线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8F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C03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25A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826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397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2AD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C29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AE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D060B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6D2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CFA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1976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10F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200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DA4F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下列作业情况未先分断电源：即改变焊机接头；更换焊件、改接二次回路；焊机转移作业地点；焊机检修；暂停工作或下班时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B20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DB8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623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425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475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FF9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E02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DDE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75D27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9A4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B78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6D7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100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3EE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C97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氧气瓶无防护圈和安全帽，瓶阀粘有油脂。场内搬运未采用专门抬架或小推车，采用肩扛、高处滑下、地面滚动等方法搬运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828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CF1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BC3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4AC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05A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83E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672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E49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CDF71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5D9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7B5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83F5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831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B9C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3E25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氧气瓶和其它可燃气瓶（如乙炔、液化石油等）同车运输和在一起存放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45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08B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A77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DF7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9CF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4B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EDB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4F1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C0C08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572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165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FC8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B6D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A70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C4F6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氧气瓶距明火小于10m，瓶内气体全部用尽，未留有0.1Mpa以上的余压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1A9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036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AD5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8F2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5D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063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D4E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BAB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B1787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B23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587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25D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0D3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4ED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36A2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夏季无防止爆晒，冬季当瓶阀、减压器、回火防止器发生冻结时用火焰烘烤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09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873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F04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E4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BB2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D63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1E9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B2C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A6B8F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BD3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369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901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1BD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EF1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D17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气焊作业未使用乙炔瓶，使用浮筒式乙炔罐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53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FC3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B4F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8C8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63C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BD9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A6C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7A7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12755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258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3AF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D4E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F8C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4A5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9F9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乙炔瓶存放和使用卧放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6AF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1A3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BCA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A91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9C0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482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18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C7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02F0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339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3C3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D753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B7D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EE0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1B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乙炔瓶的环境温度超过40℃，夏季未防止爆晒，冬季发生冻结时，未采用温水解冻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DD4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C25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A6A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8F5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2DA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C5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63C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8DC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60660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E45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862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A06D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307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878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D9DF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气焊、气割未使用专用胶管，通入其它气体和液体，两根胶管得混用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E07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657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0E6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CF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77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2F3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A7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A04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07503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C28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B76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5E2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AB6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C4F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804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胶管两端未卡紧，有漏气，出现折裂未及时更换，胶管接触油脂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8D8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718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40F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87C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16F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8D5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6D0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E08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F3A88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E55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6CC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0D4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5E6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0A9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DBB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操作中发生胶管燃烧时，未首先确定哪根胶管，然后折叠、断气通路、关闭阀门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821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239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484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ED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46B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98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E30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D0E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52D6F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9A8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10A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F9B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0CA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11B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650D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氧气瓶和乙炔瓶未装减压器，使用前未进行检查，有松动、漏气、油污等。工作结束时未先关闭瓶阀，放掉余气，表针回零位，卸表妥善保管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635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1D4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87F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4D3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6E8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CA3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E63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E4B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B50C8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8F0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4CF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3DC3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7D2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1A3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D064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乙炔瓶未安装回火防止器。当使用水封式回火防止器时，未经常检查水位，每天更换清水，检查泄压装置保持灵活完好；当使用干式回火防止器时，未经常检查灭火管具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29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28E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1B0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63E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D36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51D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653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1DF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09A60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E00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8C6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298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20E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510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1545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设备在容器、管道的焊补工作不符合下列规定：即凡可以拆卸的，应进行拆卸，移到安全区域作业；设备管道停工后，应用盲板截断与其相连接的其它出入管道；动火前，容器、管道必须彻底置换清洗；采用置换清洗时，应不断地从设备管道内外的不同地点采取空气样品检验，对置换后的结果，必须以化学分析报告为准；动火焊补时，应打开设备管道所有人孔、清扫孔等孔盖；进入设备管道内采用气焊作业时，点燃和熄灭焊枪均应在设备外部进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786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91C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25E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87B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9FE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6C6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E05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64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5E4D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F32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09A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D51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88DB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74B9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2571A1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A73E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焊接和切割区域未设置警告标志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03D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238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EBD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23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471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BB6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569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C7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C231D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5CF9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728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E0A2E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7E792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327E7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28A8B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E53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0FF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81FC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焊接和切割未采用不可燃或耐火屏板(或屏罩)加以隔离保护（防止作业人员或邻近区域的其它人员受到）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A24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606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505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0CD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148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C03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B1B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393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C053F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4F4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F53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2CFB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43C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7F0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0510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作业人员在观察电弧时，未使用带有滤光镜的头罩或手持面罩，或佩戴安全镜、护目镜或其它合适的眼镜。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24F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B5B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BD7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17C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062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1A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13C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D7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8C9DA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090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2D2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7837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255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F52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BA97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焊工和切割工没有佩戴耐火的防护手套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147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DF3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7CB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B87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5F6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B47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33A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E95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9173E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00B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D89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A09C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08A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82D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C114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焊接、切割作业场所通风条件不良。</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9A3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中毒和窒息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04E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C09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DD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3BF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AEE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722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7BB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F416E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F2C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DB7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9BB5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00E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C63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D9FD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焊接、切割作业场所未配备灭火器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CD2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BF6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0E8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EE6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E8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4C2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D44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DE3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541FF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A5F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FBA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F3A4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FF5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034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AC60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47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88F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DC3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59E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F7E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4B1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8D8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83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0B3E3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F7B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C92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04B1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C9F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7A2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908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焊接或切割装有易燃物的容器时，没有经检查批准就进行作业。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E7C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FF4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260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F3E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E14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117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02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6C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A367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504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7F5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06FA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125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336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534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6A3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中毒或窒息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96F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CCD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039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54B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26A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8EE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BDD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5A6AF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5C3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E30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8CB9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D3F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D45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F2CA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氧气瓶、气瓶阀、接头、减压阀、软管及设备没有与油、脂及其它可燃物或爆炸物相隔离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E13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6CF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C8E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107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C96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7F4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A0D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7F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9C954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755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435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DAA4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3F5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F90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843B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存在用氧气代替压缩空气使用的现象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CFE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E3E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588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291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F57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633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CC8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CD5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75D0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762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147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1B5B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352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EFC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FC0A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软管存在泄漏、烧坏、磨损、老化或有其它缺陷。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6E6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71C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6A5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833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382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AC1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1C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B3C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43C6A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369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F6C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AB7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EE5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45E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28E8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气瓶仪表损坏（减压阀、回火阀等）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09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F33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9E0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FB0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320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E41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150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99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B501C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C89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1C4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2CA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D9E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1C5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1E62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气瓶瓶帽、手轮、防震胶圈等损坏</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673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0DC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AB5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C7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590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162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349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49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17339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C8B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32A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0789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695D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9A0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5CEA0D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13BA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高温时，气瓶无防暴晒措施。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F87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8C8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D82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D1E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C7F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29A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691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720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6AC21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739D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504F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71597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55854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628E66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2EE1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51F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A80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B5CA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气瓶距离明火距离小于10m。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CBD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94C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4D9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5E2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0A9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A5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BF6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1A9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B2719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1D9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C54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D647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EE7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221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173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15A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1EC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DEF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EB2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36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A8E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E3E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748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3934B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929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FC7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C6F9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791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639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A566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气瓶作为滚动支架或支撑重物的托架。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257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F40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715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CE0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7B1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B58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6FD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F39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12B8E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80A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758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3615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DED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210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587C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气瓶在使用后放空，没有留有不小于98～196kPa表压的余气。</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363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17B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F1E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C5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CCD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214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758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D42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1F7E5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160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863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BBE2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E77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5F8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BAE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当气瓶冻住时，在阀门或阀门保护帽下面用撬杠撬动气瓶松动，没有使用40℃以下温水解冻。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917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29C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786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41A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F1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EA3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EED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601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CA46E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C8E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EE7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B4F5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4A4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A3C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5542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79E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02D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1E4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A8C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7E0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9B0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305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952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846B2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844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171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7269102">
        <w:tblPrEx>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8FD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0F3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A9F3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F98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EEA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6C3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108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B00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F0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F96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952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1E65ED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E2D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68B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56A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CB6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B4B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146C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CFF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9CD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771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BF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1CC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AE0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C6F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3AA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22FB4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3C7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EC5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2AC3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F66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6CB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CA8A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06E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B37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B3A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502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11C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9D2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117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F1F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22EF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315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44A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68F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CFB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72B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13E6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氧气瓶、乙炔瓶间距不足5m以上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403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71E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B7E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987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46C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C67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B3F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108</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DAE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A2C4C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476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302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bl>
    <w:p w14:paraId="484312A6">
      <w:pPr>
        <w:bidi w:val="0"/>
        <w:outlineLvl w:val="2"/>
        <w:rPr>
          <w:rFonts w:hint="eastAsia" w:ascii="宋体" w:hAnsi="宋体" w:eastAsia="宋体" w:cs="宋体"/>
          <w:b/>
          <w:bCs/>
          <w:color w:val="auto"/>
          <w:sz w:val="24"/>
          <w:szCs w:val="24"/>
          <w:lang w:val="en-US" w:eastAsia="zh-CN"/>
        </w:rPr>
      </w:pPr>
      <w:bookmarkStart w:id="150" w:name="_Toc7455"/>
      <w:r>
        <w:rPr>
          <w:rFonts w:hint="eastAsia" w:ascii="宋体" w:hAnsi="宋体" w:eastAsia="宋体" w:cs="宋体"/>
          <w:b/>
          <w:bCs/>
          <w:color w:val="auto"/>
          <w:sz w:val="24"/>
          <w:szCs w:val="24"/>
          <w:lang w:val="en-US" w:eastAsia="zh-CN"/>
        </w:rPr>
        <w:t>6.1.2针对较大风险和重大分险编制施工安全风险控制措施</w:t>
      </w:r>
      <w:bookmarkEnd w:id="150"/>
    </w:p>
    <w:p w14:paraId="4EC2B8A3">
      <w:pPr>
        <w:ind w:firstLine="480"/>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表6.1-3旋挖及吊装</w:t>
      </w:r>
      <w:r>
        <w:rPr>
          <w:rFonts w:hint="eastAsia" w:ascii="宋体" w:hAnsi="宋体" w:eastAsia="宋体" w:cs="宋体"/>
          <w:b/>
          <w:color w:val="auto"/>
          <w:sz w:val="24"/>
        </w:rPr>
        <w:t>作业活动安全风险控制</w:t>
      </w:r>
      <w:r>
        <w:rPr>
          <w:rFonts w:hint="eastAsia" w:ascii="宋体" w:hAnsi="宋体" w:eastAsia="宋体" w:cs="宋体"/>
          <w:b/>
          <w:color w:val="auto"/>
          <w:sz w:val="24"/>
          <w:lang w:val="en-US" w:eastAsia="zh-CN"/>
        </w:rPr>
        <w:t>措施</w:t>
      </w:r>
      <w:r>
        <w:rPr>
          <w:rFonts w:hint="eastAsia" w:ascii="宋体" w:hAnsi="宋体" w:eastAsia="宋体" w:cs="宋体"/>
          <w:b/>
          <w:color w:val="auto"/>
          <w:sz w:val="24"/>
        </w:rPr>
        <w:t>表</w:t>
      </w:r>
    </w:p>
    <w:tbl>
      <w:tblPr>
        <w:tblStyle w:val="26"/>
        <w:tblpPr w:leftFromText="181" w:rightFromText="181" w:vertAnchor="text" w:horzAnchor="page" w:tblpX="1401" w:tblpY="114"/>
        <w:tblOverlap w:val="never"/>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
        <w:gridCol w:w="728"/>
        <w:gridCol w:w="876"/>
        <w:gridCol w:w="5818"/>
        <w:gridCol w:w="1186"/>
        <w:gridCol w:w="2551"/>
        <w:gridCol w:w="1615"/>
        <w:gridCol w:w="1018"/>
      </w:tblGrid>
      <w:tr w14:paraId="78D4B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 w:type="pct"/>
            <w:tcBorders>
              <w:top w:val="single" w:color="000000" w:sz="4" w:space="0"/>
              <w:left w:val="single" w:color="000000" w:sz="4" w:space="0"/>
              <w:bottom w:val="single" w:color="000000" w:sz="4" w:space="0"/>
              <w:right w:val="single" w:color="000000" w:sz="4" w:space="0"/>
            </w:tcBorders>
            <w:noWrap w:val="0"/>
            <w:vAlign w:val="center"/>
          </w:tcPr>
          <w:p w14:paraId="0908E1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序号</w:t>
            </w:r>
          </w:p>
        </w:tc>
        <w:tc>
          <w:tcPr>
            <w:tcW w:w="256" w:type="pct"/>
            <w:tcBorders>
              <w:top w:val="single" w:color="000000" w:sz="4" w:space="0"/>
              <w:left w:val="single" w:color="000000" w:sz="4" w:space="0"/>
              <w:bottom w:val="single" w:color="000000" w:sz="4" w:space="0"/>
              <w:right w:val="single" w:color="000000" w:sz="4" w:space="0"/>
            </w:tcBorders>
            <w:noWrap w:val="0"/>
            <w:vAlign w:val="center"/>
          </w:tcPr>
          <w:p w14:paraId="2139B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风险类别</w:t>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5ECA61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风险名称</w:t>
            </w:r>
          </w:p>
        </w:tc>
        <w:tc>
          <w:tcPr>
            <w:tcW w:w="2046" w:type="pct"/>
            <w:tcBorders>
              <w:top w:val="single" w:color="000000" w:sz="4" w:space="0"/>
              <w:left w:val="single" w:color="000000" w:sz="4" w:space="0"/>
              <w:bottom w:val="single" w:color="000000" w:sz="4" w:space="0"/>
              <w:right w:val="single" w:color="000000" w:sz="4" w:space="0"/>
            </w:tcBorders>
            <w:noWrap w:val="0"/>
            <w:vAlign w:val="center"/>
          </w:tcPr>
          <w:p w14:paraId="1724B6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可能存在的隐患</w:t>
            </w:r>
          </w:p>
        </w:tc>
        <w:tc>
          <w:tcPr>
            <w:tcW w:w="417" w:type="pct"/>
            <w:tcBorders>
              <w:top w:val="single" w:color="000000" w:sz="4" w:space="0"/>
              <w:left w:val="single" w:color="000000" w:sz="4" w:space="0"/>
              <w:bottom w:val="single" w:color="000000" w:sz="4" w:space="0"/>
              <w:right w:val="single" w:color="000000" w:sz="4" w:space="0"/>
            </w:tcBorders>
            <w:noWrap w:val="0"/>
            <w:vAlign w:val="center"/>
          </w:tcPr>
          <w:p w14:paraId="2081DC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风险等级</w:t>
            </w:r>
          </w:p>
        </w:tc>
        <w:tc>
          <w:tcPr>
            <w:tcW w:w="897" w:type="pct"/>
            <w:tcBorders>
              <w:top w:val="single" w:color="000000" w:sz="4" w:space="0"/>
              <w:left w:val="single" w:color="000000" w:sz="4" w:space="0"/>
              <w:bottom w:val="single" w:color="000000" w:sz="4" w:space="0"/>
              <w:right w:val="single" w:color="000000" w:sz="4" w:space="0"/>
            </w:tcBorders>
            <w:noWrap w:val="0"/>
            <w:vAlign w:val="center"/>
          </w:tcPr>
          <w:p w14:paraId="33B95F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拟采用的安全管控措施</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76D1E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实施人员</w:t>
            </w:r>
          </w:p>
        </w:tc>
        <w:tc>
          <w:tcPr>
            <w:tcW w:w="358" w:type="pct"/>
            <w:tcBorders>
              <w:top w:val="single" w:color="000000" w:sz="4" w:space="0"/>
              <w:left w:val="single" w:color="000000" w:sz="4" w:space="0"/>
              <w:bottom w:val="single" w:color="000000" w:sz="4" w:space="0"/>
              <w:right w:val="single" w:color="000000" w:sz="4" w:space="0"/>
            </w:tcBorders>
            <w:noWrap w:val="0"/>
            <w:vAlign w:val="center"/>
          </w:tcPr>
          <w:p w14:paraId="74843D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实施结果</w:t>
            </w:r>
          </w:p>
        </w:tc>
      </w:tr>
      <w:tr w14:paraId="1332A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 w:type="pct"/>
            <w:vMerge w:val="restart"/>
            <w:tcBorders>
              <w:top w:val="single" w:color="000000" w:sz="4" w:space="0"/>
              <w:left w:val="single" w:color="000000" w:sz="4" w:space="0"/>
              <w:right w:val="single" w:color="000000" w:sz="4" w:space="0"/>
            </w:tcBorders>
            <w:shd w:val="clear" w:color="auto" w:fill="auto"/>
            <w:noWrap w:val="0"/>
            <w:vAlign w:val="center"/>
          </w:tcPr>
          <w:p w14:paraId="479468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1</w:t>
            </w:r>
          </w:p>
        </w:tc>
        <w:tc>
          <w:tcPr>
            <w:tcW w:w="256" w:type="pct"/>
            <w:vMerge w:val="restart"/>
            <w:tcBorders>
              <w:top w:val="single" w:color="000000" w:sz="4" w:space="0"/>
              <w:left w:val="single" w:color="000000" w:sz="4" w:space="0"/>
              <w:right w:val="single" w:color="000000" w:sz="4" w:space="0"/>
            </w:tcBorders>
            <w:shd w:val="clear" w:color="auto" w:fill="auto"/>
            <w:noWrap w:val="0"/>
            <w:vAlign w:val="center"/>
          </w:tcPr>
          <w:p w14:paraId="4DE67B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施工作业</w:t>
            </w:r>
          </w:p>
          <w:p w14:paraId="0BE421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308" w:type="pct"/>
            <w:vMerge w:val="restart"/>
            <w:tcBorders>
              <w:top w:val="single" w:color="000000" w:sz="4" w:space="0"/>
              <w:left w:val="single" w:color="000000" w:sz="4" w:space="0"/>
              <w:right w:val="single" w:color="000000" w:sz="4" w:space="0"/>
            </w:tcBorders>
            <w:shd w:val="clear" w:color="auto" w:fill="auto"/>
            <w:noWrap w:val="0"/>
            <w:vAlign w:val="center"/>
          </w:tcPr>
          <w:p w14:paraId="12DB4F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起重伤害</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A00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起重机的基础不能承受工作状态的和非工作状态下的最大载荷，不满足起重机稳定性的要求。</w:t>
            </w:r>
          </w:p>
        </w:tc>
        <w:tc>
          <w:tcPr>
            <w:tcW w:w="417"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46C959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sz w:val="18"/>
                <w:szCs w:val="18"/>
                <w:u w:val="none"/>
                <w:lang w:val="en-US" w:eastAsia="zh-CN"/>
              </w:rPr>
            </w:pPr>
          </w:p>
        </w:tc>
        <w:tc>
          <w:tcPr>
            <w:tcW w:w="897" w:type="pct"/>
            <w:tcBorders>
              <w:top w:val="single" w:color="000000" w:sz="4" w:space="0"/>
              <w:left w:val="single" w:color="000000" w:sz="4" w:space="0"/>
              <w:right w:val="single" w:color="000000" w:sz="4" w:space="0"/>
            </w:tcBorders>
            <w:noWrap w:val="0"/>
            <w:vAlign w:val="center"/>
          </w:tcPr>
          <w:p w14:paraId="372387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C 、d、f,塔式起重机</w:t>
            </w:r>
            <w:r>
              <w:rPr>
                <w:rFonts w:hint="eastAsia" w:ascii="宋体" w:hAnsi="宋体" w:eastAsia="宋体" w:cs="宋体"/>
                <w:b w:val="0"/>
                <w:bCs w:val="0"/>
                <w:color w:val="auto"/>
                <w:sz w:val="18"/>
                <w:szCs w:val="18"/>
                <w:highlight w:val="none"/>
                <w:lang w:val="en-US" w:eastAsia="zh-CN"/>
              </w:rPr>
              <w:t>基础持力须进行地耐力验证，利用工程桩须报请设计院复核。</w:t>
            </w:r>
          </w:p>
        </w:tc>
        <w:tc>
          <w:tcPr>
            <w:tcW w:w="568" w:type="pct"/>
            <w:tcBorders>
              <w:top w:val="single" w:color="000000" w:sz="4" w:space="0"/>
              <w:left w:val="single" w:color="000000" w:sz="4" w:space="0"/>
              <w:right w:val="single" w:color="000000" w:sz="4" w:space="0"/>
            </w:tcBorders>
            <w:noWrap w:val="0"/>
            <w:vAlign w:val="center"/>
          </w:tcPr>
          <w:p w14:paraId="0A492F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公司视频检查/项目部专职安全员</w:t>
            </w:r>
          </w:p>
        </w:tc>
        <w:tc>
          <w:tcPr>
            <w:tcW w:w="358" w:type="pct"/>
            <w:tcBorders>
              <w:left w:val="single" w:color="000000" w:sz="4" w:space="0"/>
              <w:bottom w:val="single" w:color="auto" w:sz="4" w:space="0"/>
              <w:right w:val="single" w:color="000000" w:sz="4" w:space="0"/>
            </w:tcBorders>
            <w:noWrap w:val="0"/>
            <w:vAlign w:val="center"/>
          </w:tcPr>
          <w:p w14:paraId="3D2EC5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2B82A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146" w:type="pct"/>
            <w:vMerge w:val="continue"/>
            <w:tcBorders>
              <w:left w:val="single" w:color="000000" w:sz="4" w:space="0"/>
              <w:right w:val="single" w:color="000000" w:sz="4" w:space="0"/>
            </w:tcBorders>
            <w:shd w:val="clear" w:color="auto" w:fill="auto"/>
            <w:noWrap w:val="0"/>
            <w:vAlign w:val="center"/>
          </w:tcPr>
          <w:p w14:paraId="597A1D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lang w:val="en-US" w:eastAsia="zh-CN"/>
              </w:rPr>
            </w:pPr>
          </w:p>
        </w:tc>
        <w:tc>
          <w:tcPr>
            <w:tcW w:w="256" w:type="pct"/>
            <w:vMerge w:val="continue"/>
            <w:tcBorders>
              <w:left w:val="single" w:color="000000" w:sz="4" w:space="0"/>
              <w:right w:val="single" w:color="000000" w:sz="4" w:space="0"/>
            </w:tcBorders>
            <w:shd w:val="clear" w:color="auto" w:fill="auto"/>
            <w:noWrap w:val="0"/>
            <w:vAlign w:val="center"/>
          </w:tcPr>
          <w:p w14:paraId="3F7158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308" w:type="pct"/>
            <w:vMerge w:val="continue"/>
            <w:tcBorders>
              <w:left w:val="single" w:color="000000" w:sz="4" w:space="0"/>
              <w:bottom w:val="single" w:color="000000" w:sz="4" w:space="0"/>
              <w:right w:val="single" w:color="000000" w:sz="4" w:space="0"/>
            </w:tcBorders>
            <w:shd w:val="clear" w:color="auto" w:fill="auto"/>
            <w:noWrap w:val="0"/>
            <w:vAlign w:val="center"/>
          </w:tcPr>
          <w:p w14:paraId="10C390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18"/>
                <w:szCs w:val="18"/>
                <w:u w:val="none"/>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6FC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17"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615D91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897" w:type="pct"/>
            <w:tcBorders>
              <w:top w:val="single" w:color="000000" w:sz="4" w:space="0"/>
              <w:left w:val="single" w:color="000000" w:sz="4" w:space="0"/>
              <w:bottom w:val="single" w:color="auto" w:sz="4" w:space="0"/>
              <w:right w:val="single" w:color="000000" w:sz="4" w:space="0"/>
            </w:tcBorders>
            <w:noWrap w:val="0"/>
            <w:vAlign w:val="center"/>
          </w:tcPr>
          <w:p w14:paraId="667838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、d、f,公司集采，到场核验出厂合格证、随机维保台账和日常检查台账是否正常。</w:t>
            </w:r>
          </w:p>
        </w:tc>
        <w:tc>
          <w:tcPr>
            <w:tcW w:w="568" w:type="pct"/>
            <w:tcBorders>
              <w:top w:val="single" w:color="000000" w:sz="4" w:space="0"/>
              <w:left w:val="single" w:color="000000" w:sz="4" w:space="0"/>
              <w:bottom w:val="single" w:color="auto" w:sz="4" w:space="0"/>
              <w:right w:val="single" w:color="000000" w:sz="4" w:space="0"/>
            </w:tcBorders>
            <w:noWrap w:val="0"/>
            <w:vAlign w:val="center"/>
          </w:tcPr>
          <w:p w14:paraId="3B3162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05C720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5A043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5F7A8A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105472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bottom w:val="single" w:color="auto" w:sz="4" w:space="0"/>
              <w:right w:val="single" w:color="000000" w:sz="4" w:space="0"/>
            </w:tcBorders>
            <w:shd w:val="clear" w:color="auto" w:fill="auto"/>
            <w:noWrap w:val="0"/>
            <w:vAlign w:val="center"/>
          </w:tcPr>
          <w:p w14:paraId="78E2FC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EA62A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17"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66B162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45848E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、d、f,严格</w:t>
            </w:r>
            <w:r>
              <w:rPr>
                <w:rFonts w:hint="eastAsia" w:ascii="宋体" w:hAnsi="宋体" w:cs="宋体"/>
                <w:i w:val="0"/>
                <w:iCs w:val="0"/>
                <w:color w:val="auto"/>
                <w:sz w:val="18"/>
                <w:szCs w:val="18"/>
                <w:u w:val="none"/>
                <w:lang w:val="en-US" w:eastAsia="zh-CN"/>
              </w:rPr>
              <w:t>安装</w:t>
            </w:r>
            <w:r>
              <w:rPr>
                <w:rFonts w:hint="eastAsia" w:ascii="宋体" w:hAnsi="宋体" w:eastAsia="宋体" w:cs="宋体"/>
                <w:i w:val="0"/>
                <w:iCs w:val="0"/>
                <w:color w:val="auto"/>
                <w:sz w:val="18"/>
                <w:szCs w:val="18"/>
                <w:u w:val="none"/>
                <w:lang w:val="en-US" w:eastAsia="zh-CN"/>
              </w:rPr>
              <w:t>方案报审，严格按方案实施，严格按方案验收，未验收合格不得使用，并挂牌公示。</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3C363D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85A59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63010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43F529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2AE59F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restart"/>
            <w:tcBorders>
              <w:top w:val="single" w:color="auto" w:sz="4" w:space="0"/>
              <w:left w:val="single" w:color="000000" w:sz="4" w:space="0"/>
              <w:right w:val="single" w:color="000000" w:sz="4" w:space="0"/>
            </w:tcBorders>
            <w:shd w:val="clear" w:color="auto" w:fill="auto"/>
            <w:noWrap w:val="0"/>
            <w:vAlign w:val="center"/>
          </w:tcPr>
          <w:p w14:paraId="0BBDCD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起重伤害</w:t>
            </w:r>
          </w:p>
        </w:tc>
        <w:tc>
          <w:tcPr>
            <w:tcW w:w="2046" w:type="pct"/>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2CB662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8D63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21DB8A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5480CB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0D390F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4F9C2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trPr>
        <w:tc>
          <w:tcPr>
            <w:tcW w:w="146" w:type="pct"/>
            <w:vMerge w:val="continue"/>
            <w:tcBorders>
              <w:left w:val="single" w:color="000000" w:sz="4" w:space="0"/>
              <w:right w:val="single" w:color="000000" w:sz="4" w:space="0"/>
            </w:tcBorders>
            <w:shd w:val="clear" w:color="auto" w:fill="auto"/>
            <w:noWrap w:val="0"/>
            <w:vAlign w:val="center"/>
          </w:tcPr>
          <w:p w14:paraId="5F937D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0B556F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right w:val="single" w:color="000000" w:sz="4" w:space="0"/>
            </w:tcBorders>
            <w:shd w:val="clear" w:color="auto" w:fill="auto"/>
            <w:noWrap w:val="0"/>
            <w:vAlign w:val="center"/>
          </w:tcPr>
          <w:p w14:paraId="72F74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210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EBCDD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74DF2B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39D072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4B3F15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250EC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1FB5F2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3C50DD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right w:val="single" w:color="000000" w:sz="4" w:space="0"/>
            </w:tcBorders>
            <w:shd w:val="clear" w:color="auto" w:fill="auto"/>
            <w:noWrap w:val="0"/>
            <w:vAlign w:val="center"/>
          </w:tcPr>
          <w:p w14:paraId="146746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60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11C8B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6CC62A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229F84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25D98C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66D11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restart"/>
            <w:tcBorders>
              <w:left w:val="single" w:color="000000" w:sz="4" w:space="0"/>
              <w:right w:val="single" w:color="000000" w:sz="4" w:space="0"/>
            </w:tcBorders>
            <w:shd w:val="clear" w:color="auto" w:fill="auto"/>
            <w:noWrap w:val="0"/>
            <w:vAlign w:val="center"/>
          </w:tcPr>
          <w:p w14:paraId="09371A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restart"/>
            <w:tcBorders>
              <w:left w:val="single" w:color="000000" w:sz="4" w:space="0"/>
              <w:right w:val="single" w:color="000000" w:sz="4" w:space="0"/>
            </w:tcBorders>
            <w:shd w:val="clear" w:color="auto" w:fill="auto"/>
            <w:noWrap w:val="0"/>
            <w:vAlign w:val="center"/>
          </w:tcPr>
          <w:p w14:paraId="7A5556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bottom w:val="single" w:color="000000" w:sz="4" w:space="0"/>
              <w:right w:val="single" w:color="000000" w:sz="4" w:space="0"/>
            </w:tcBorders>
            <w:shd w:val="clear" w:color="auto" w:fill="auto"/>
            <w:noWrap w:val="0"/>
            <w:vAlign w:val="center"/>
          </w:tcPr>
          <w:p w14:paraId="5BF5FE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20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430CD4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70385A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0503D2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11F02A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58C35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6122AD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5E65DF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F13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起重伤害等</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6A5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连接件及防松脱件用其它代用品代用。</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19082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5FCF05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5DC77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C902A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1DFE3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trPr>
        <w:tc>
          <w:tcPr>
            <w:tcW w:w="146" w:type="pct"/>
            <w:vMerge w:val="continue"/>
            <w:tcBorders>
              <w:left w:val="single" w:color="000000" w:sz="4" w:space="0"/>
              <w:right w:val="single" w:color="000000" w:sz="4" w:space="0"/>
            </w:tcBorders>
            <w:shd w:val="clear" w:color="auto" w:fill="auto"/>
            <w:noWrap w:val="0"/>
            <w:vAlign w:val="center"/>
          </w:tcPr>
          <w:p w14:paraId="0745BC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19F34A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tcBorders>
              <w:top w:val="single" w:color="000000" w:sz="4" w:space="0"/>
              <w:left w:val="single" w:color="000000" w:sz="4" w:space="0"/>
              <w:right w:val="single" w:color="000000" w:sz="4" w:space="0"/>
            </w:tcBorders>
            <w:shd w:val="clear" w:color="auto" w:fill="auto"/>
            <w:noWrap w:val="0"/>
            <w:vAlign w:val="center"/>
          </w:tcPr>
          <w:p w14:paraId="02AA96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火灾等</w:t>
            </w:r>
          </w:p>
        </w:tc>
        <w:tc>
          <w:tcPr>
            <w:tcW w:w="2046" w:type="pct"/>
            <w:tcBorders>
              <w:top w:val="single" w:color="000000" w:sz="4" w:space="0"/>
              <w:left w:val="single" w:color="000000" w:sz="4" w:space="0"/>
              <w:right w:val="single" w:color="000000" w:sz="4" w:space="0"/>
            </w:tcBorders>
            <w:shd w:val="clear" w:color="auto" w:fill="auto"/>
            <w:noWrap w:val="0"/>
            <w:vAlign w:val="center"/>
          </w:tcPr>
          <w:p w14:paraId="4A0D59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建筑结构或材料中的易燃物距焊接或切割作业点10米以内时，未设置火灾警戒人员。</w:t>
            </w:r>
          </w:p>
        </w:tc>
        <w:tc>
          <w:tcPr>
            <w:tcW w:w="417" w:type="pct"/>
            <w:tcBorders>
              <w:top w:val="single" w:color="000000" w:sz="4" w:space="0"/>
              <w:left w:val="single" w:color="000000" w:sz="4" w:space="0"/>
              <w:right w:val="single" w:color="000000" w:sz="4" w:space="0"/>
            </w:tcBorders>
            <w:shd w:val="clear" w:color="auto" w:fill="FFC000"/>
            <w:noWrap w:val="0"/>
            <w:vAlign w:val="center"/>
          </w:tcPr>
          <w:p w14:paraId="4DCDE5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5B7424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305842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right w:val="single" w:color="000000" w:sz="4" w:space="0"/>
            </w:tcBorders>
            <w:noWrap w:val="0"/>
            <w:vAlign w:val="center"/>
          </w:tcPr>
          <w:p w14:paraId="118FA1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46DC3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bottom w:val="single" w:color="auto" w:sz="4" w:space="0"/>
              <w:right w:val="single" w:color="000000" w:sz="4" w:space="0"/>
            </w:tcBorders>
            <w:shd w:val="clear" w:color="auto" w:fill="auto"/>
            <w:noWrap w:val="0"/>
            <w:vAlign w:val="center"/>
          </w:tcPr>
          <w:p w14:paraId="4895EB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bottom w:val="single" w:color="auto" w:sz="4" w:space="0"/>
              <w:right w:val="single" w:color="000000" w:sz="4" w:space="0"/>
            </w:tcBorders>
            <w:shd w:val="clear" w:color="auto" w:fill="auto"/>
            <w:noWrap w:val="0"/>
            <w:vAlign w:val="center"/>
          </w:tcPr>
          <w:p w14:paraId="4557B2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7A56F6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中毒或窒息</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C43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封闭空间内焊接切割作业没有通风，没有进行有害气体含量检测。</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71892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6AF5FC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5AC85A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2210F6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7BD29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E814C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FBA2A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危险物品</w:t>
            </w:r>
          </w:p>
        </w:tc>
        <w:tc>
          <w:tcPr>
            <w:tcW w:w="308"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2951F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容器爆炸</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D4B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气瓶未进行定期检查。</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84AA0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154CD5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、d、f,建立台账，定期检查</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62AF90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7566C9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5D9B9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8848E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AA911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B89D4BB">
            <w:pPr>
              <w:keepNext w:val="0"/>
              <w:keepLines w:val="0"/>
              <w:pageBreakBefore w:val="0"/>
              <w:kinsoku/>
              <w:wordWrap/>
              <w:overflowPunct/>
              <w:topLinePunct w:val="0"/>
              <w:autoSpaceDE/>
              <w:autoSpaceDN/>
              <w:bidi w:val="0"/>
              <w:adjustRightInd/>
              <w:snapToGrid/>
              <w:spacing w:line="240" w:lineRule="auto"/>
              <w:ind w:firstLine="0" w:firstLineChars="0"/>
              <w:jc w:val="both"/>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C558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89AFE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restart"/>
            <w:tcBorders>
              <w:top w:val="single" w:color="auto" w:sz="4" w:space="0"/>
              <w:left w:val="single" w:color="000000" w:sz="4" w:space="0"/>
              <w:bottom w:val="single" w:color="auto" w:sz="4" w:space="0"/>
              <w:right w:val="single" w:color="000000" w:sz="4" w:space="0"/>
            </w:tcBorders>
            <w:noWrap w:val="0"/>
            <w:vAlign w:val="center"/>
          </w:tcPr>
          <w:p w14:paraId="53C1C8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、d、f,建立专项检查台账，定期检查，每日巡查</w:t>
            </w:r>
          </w:p>
        </w:tc>
        <w:tc>
          <w:tcPr>
            <w:tcW w:w="568" w:type="pct"/>
            <w:vMerge w:val="restart"/>
            <w:tcBorders>
              <w:top w:val="single" w:color="auto" w:sz="4" w:space="0"/>
              <w:left w:val="single" w:color="000000" w:sz="4" w:space="0"/>
              <w:bottom w:val="single" w:color="auto" w:sz="4" w:space="0"/>
              <w:right w:val="single" w:color="000000" w:sz="4" w:space="0"/>
            </w:tcBorders>
            <w:noWrap w:val="0"/>
            <w:vAlign w:val="center"/>
          </w:tcPr>
          <w:p w14:paraId="4DE93A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54DF72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00BB2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87F7B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CB6B2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453DF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火灾</w:t>
            </w:r>
          </w:p>
          <w:p w14:paraId="4173A5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B70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氧气瓶、乙炔瓶未分开存放</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AF57E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5B44BA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22CA3A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7BFA9D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3507B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51834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98EFC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48FCC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DB29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氧气瓶、乙炔瓶存放处无禁火标志，未配备消防器材。</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96295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77C8F7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4678FD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036C0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06730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637E0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94F47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E2C4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24E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满瓶、空瓶未分开放置</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1308F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1F613E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2D3A37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60331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536F8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3B542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080D0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7938D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691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B1777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59F23C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3DA9B0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083BE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bl>
    <w:p w14:paraId="4593BB19">
      <w:pPr>
        <w:ind w:left="0" w:leftChars="0" w:firstLine="0" w:firstLineChars="0"/>
        <w:rPr>
          <w:rFonts w:hint="eastAsia" w:ascii="宋体" w:hAnsi="宋体" w:eastAsia="宋体" w:cs="宋体"/>
          <w:color w:val="auto"/>
          <w:kern w:val="2"/>
          <w:sz w:val="24"/>
          <w:szCs w:val="24"/>
        </w:rPr>
      </w:pPr>
      <w:r>
        <w:rPr>
          <w:rFonts w:hint="eastAsia"/>
          <w:color w:val="auto"/>
          <w:lang w:val="en-US" w:eastAsia="zh-CN"/>
        </w:rPr>
        <w:t>注：管控措施：a-消除、替代措施；b-工程技术措施；c-管理措施；d-警告或标识措施；e-个体防护措施；f-应急处理措施；g-其他措施</w:t>
      </w:r>
    </w:p>
    <w:p w14:paraId="79FC2C9A">
      <w:pPr>
        <w:pStyle w:val="30"/>
        <w:rPr>
          <w:color w:val="auto"/>
        </w:rPr>
        <w:sectPr>
          <w:pgSz w:w="16838" w:h="11906" w:orient="landscape"/>
          <w:pgMar w:top="1701" w:right="1418" w:bottom="1134" w:left="1418" w:header="851" w:footer="851" w:gutter="0"/>
          <w:pgBorders>
            <w:top w:val="none" w:sz="0" w:space="0"/>
            <w:left w:val="none" w:sz="0" w:space="0"/>
            <w:bottom w:val="none" w:sz="0" w:space="0"/>
            <w:right w:val="none" w:sz="0" w:space="0"/>
          </w:pgBorders>
          <w:pgNumType w:fmt="decimal"/>
          <w:cols w:space="425" w:num="1"/>
          <w:docGrid w:type="linesAndChars" w:linePitch="326" w:charSpace="0"/>
        </w:sectPr>
      </w:pPr>
    </w:p>
    <w:bookmarkEnd w:id="147"/>
    <w:bookmarkEnd w:id="148"/>
    <w:p w14:paraId="0F279130">
      <w:pPr>
        <w:pStyle w:val="3"/>
        <w:spacing w:line="240" w:lineRule="auto"/>
        <w:rPr>
          <w:rFonts w:hint="eastAsia" w:ascii="宋体" w:hAnsi="宋体" w:eastAsia="宋体" w:cs="宋体"/>
          <w:color w:val="auto"/>
          <w:kern w:val="0"/>
          <w:szCs w:val="28"/>
        </w:rPr>
      </w:pPr>
      <w:bookmarkStart w:id="151" w:name="_Toc121569420"/>
      <w:bookmarkStart w:id="152" w:name="_Toc16351"/>
      <w:bookmarkStart w:id="153" w:name="_Toc2026"/>
      <w:bookmarkStart w:id="154" w:name="_Toc23989"/>
      <w:bookmarkStart w:id="155" w:name="_Toc23646"/>
      <w:bookmarkStart w:id="156" w:name="_Toc24240"/>
      <w:bookmarkStart w:id="157" w:name="_Toc5520"/>
      <w:bookmarkStart w:id="158" w:name="_Toc11379"/>
      <w:bookmarkStart w:id="159" w:name="_Toc17347"/>
      <w:bookmarkStart w:id="160" w:name="_Toc14971"/>
      <w:bookmarkStart w:id="161" w:name="_Toc6917"/>
      <w:bookmarkStart w:id="162" w:name="_Toc5668"/>
      <w:bookmarkStart w:id="163" w:name="_Toc40778445"/>
      <w:r>
        <w:rPr>
          <w:rFonts w:hint="eastAsia" w:ascii="宋体" w:hAnsi="宋体" w:eastAsia="宋体" w:cs="宋体"/>
          <w:color w:val="auto"/>
          <w:kern w:val="0"/>
          <w:szCs w:val="28"/>
        </w:rPr>
        <w:t>组织保障措施</w:t>
      </w:r>
      <w:bookmarkEnd w:id="151"/>
      <w:bookmarkEnd w:id="152"/>
      <w:bookmarkEnd w:id="153"/>
      <w:bookmarkEnd w:id="154"/>
      <w:bookmarkEnd w:id="155"/>
      <w:bookmarkEnd w:id="156"/>
      <w:bookmarkEnd w:id="157"/>
    </w:p>
    <w:p w14:paraId="3FD30DDD">
      <w:pPr>
        <w:pStyle w:val="4"/>
        <w:spacing w:before="0" w:after="0"/>
        <w:rPr>
          <w:rFonts w:hint="eastAsia"/>
          <w:color w:val="auto"/>
          <w:sz w:val="28"/>
          <w:szCs w:val="28"/>
        </w:rPr>
      </w:pPr>
      <w:bookmarkStart w:id="164" w:name="_Toc13738"/>
      <w:bookmarkStart w:id="165" w:name="_Toc3510"/>
      <w:bookmarkStart w:id="166" w:name="_Toc8340"/>
      <w:r>
        <w:rPr>
          <w:rFonts w:hint="eastAsia"/>
          <w:color w:val="auto"/>
          <w:sz w:val="28"/>
          <w:szCs w:val="28"/>
        </w:rPr>
        <w:t>安全组织机构</w:t>
      </w:r>
      <w:bookmarkEnd w:id="164"/>
      <w:bookmarkEnd w:id="165"/>
      <w:bookmarkEnd w:id="166"/>
    </w:p>
    <w:p w14:paraId="3AB54F9F">
      <w:pPr>
        <w:widowControl/>
        <w:ind w:left="0" w:leftChars="0" w:firstLine="0" w:firstLineChars="0"/>
        <w:rPr>
          <w:color w:val="auto"/>
        </w:rPr>
      </w:pPr>
      <w:r>
        <w:rPr>
          <w:color w:val="auto"/>
        </w:rPr>
        <w:drawing>
          <wp:inline distT="0" distB="0" distL="114300" distR="114300">
            <wp:extent cx="5638800" cy="4620895"/>
            <wp:effectExtent l="0" t="0" r="0" b="8255"/>
            <wp:docPr id="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pic:cNvPicPr>
                      <a:picLocks noChangeAspect="1"/>
                    </pic:cNvPicPr>
                  </pic:nvPicPr>
                  <pic:blipFill>
                    <a:blip r:embed="rId34"/>
                    <a:stretch>
                      <a:fillRect/>
                    </a:stretch>
                  </pic:blipFill>
                  <pic:spPr>
                    <a:xfrm>
                      <a:off x="0" y="0"/>
                      <a:ext cx="5638800" cy="4620895"/>
                    </a:xfrm>
                    <a:prstGeom prst="rect">
                      <a:avLst/>
                    </a:prstGeom>
                    <a:noFill/>
                    <a:ln>
                      <a:noFill/>
                    </a:ln>
                  </pic:spPr>
                </pic:pic>
              </a:graphicData>
            </a:graphic>
          </wp:inline>
        </w:drawing>
      </w:r>
    </w:p>
    <w:p w14:paraId="51D23FF8">
      <w:pPr>
        <w:ind w:firstLine="420"/>
        <w:jc w:val="center"/>
        <w:rPr>
          <w:rFonts w:hint="eastAsia"/>
          <w:color w:val="auto"/>
        </w:rPr>
      </w:pPr>
      <w:r>
        <w:rPr>
          <w:rFonts w:hint="eastAsia" w:ascii="宋体" w:hAnsi="宋体" w:cs="宋体"/>
          <w:b/>
          <w:bCs/>
          <w:color w:val="auto"/>
        </w:rPr>
        <w:t>图</w:t>
      </w:r>
      <w:r>
        <w:rPr>
          <w:rFonts w:hint="eastAsia" w:ascii="宋体" w:hAnsi="宋体" w:cs="宋体"/>
          <w:b/>
          <w:bCs/>
          <w:color w:val="auto"/>
          <w:lang w:val="en-US" w:eastAsia="zh-CN"/>
        </w:rPr>
        <w:t>6</w:t>
      </w:r>
      <w:r>
        <w:rPr>
          <w:rFonts w:hint="eastAsia" w:ascii="宋体" w:hAnsi="宋体" w:cs="宋体"/>
          <w:b/>
          <w:bCs/>
          <w:color w:val="auto"/>
        </w:rPr>
        <w:t>.2-1安全管理组织机构图</w:t>
      </w:r>
    </w:p>
    <w:p w14:paraId="39B282F7">
      <w:pPr>
        <w:pStyle w:val="4"/>
        <w:spacing w:before="0" w:after="0"/>
        <w:rPr>
          <w:rFonts w:hint="eastAsia"/>
          <w:color w:val="auto"/>
          <w:sz w:val="28"/>
          <w:szCs w:val="28"/>
        </w:rPr>
      </w:pPr>
      <w:bookmarkStart w:id="167" w:name="_Toc25198"/>
      <w:bookmarkStart w:id="168" w:name="_Toc4745"/>
      <w:bookmarkStart w:id="169" w:name="_Toc11636"/>
      <w:r>
        <w:rPr>
          <w:rFonts w:hint="eastAsia"/>
          <w:color w:val="auto"/>
          <w:sz w:val="28"/>
          <w:szCs w:val="28"/>
        </w:rPr>
        <w:t>安全保证体系</w:t>
      </w:r>
      <w:bookmarkEnd w:id="167"/>
      <w:bookmarkEnd w:id="168"/>
      <w:bookmarkEnd w:id="169"/>
    </w:p>
    <w:p w14:paraId="0BFEDC56">
      <w:pPr>
        <w:pStyle w:val="47"/>
        <w:rPr>
          <w:color w:val="auto"/>
        </w:rPr>
      </w:pPr>
      <w:r>
        <w:rPr>
          <w:color w:val="auto"/>
        </w:rPr>
        <w:drawing>
          <wp:inline distT="0" distB="0" distL="114300" distR="114300">
            <wp:extent cx="5322570" cy="7065645"/>
            <wp:effectExtent l="0" t="0" r="11430" b="1905"/>
            <wp:docPr id="97" name="图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47"/>
                    <pic:cNvPicPr>
                      <a:picLocks noChangeAspect="1"/>
                    </pic:cNvPicPr>
                  </pic:nvPicPr>
                  <pic:blipFill>
                    <a:blip r:embed="rId35"/>
                    <a:stretch>
                      <a:fillRect/>
                    </a:stretch>
                  </pic:blipFill>
                  <pic:spPr>
                    <a:xfrm>
                      <a:off x="0" y="0"/>
                      <a:ext cx="5322570" cy="7065645"/>
                    </a:xfrm>
                    <a:prstGeom prst="rect">
                      <a:avLst/>
                    </a:prstGeom>
                    <a:noFill/>
                    <a:ln>
                      <a:noFill/>
                    </a:ln>
                  </pic:spPr>
                </pic:pic>
              </a:graphicData>
            </a:graphic>
          </wp:inline>
        </w:drawing>
      </w:r>
    </w:p>
    <w:p w14:paraId="3A839E7B">
      <w:pPr>
        <w:ind w:firstLine="422"/>
        <w:jc w:val="center"/>
        <w:rPr>
          <w:color w:val="auto"/>
        </w:rPr>
      </w:pPr>
      <w:r>
        <w:rPr>
          <w:rFonts w:hint="eastAsia" w:ascii="宋体" w:hAnsi="宋体" w:cs="宋体"/>
          <w:b/>
          <w:bCs/>
          <w:color w:val="auto"/>
        </w:rPr>
        <w:t>图</w:t>
      </w:r>
      <w:r>
        <w:rPr>
          <w:rFonts w:hint="eastAsia" w:ascii="宋体" w:hAnsi="宋体" w:cs="宋体"/>
          <w:b/>
          <w:bCs/>
          <w:color w:val="auto"/>
          <w:lang w:val="en-US" w:eastAsia="zh-CN"/>
        </w:rPr>
        <w:t>6</w:t>
      </w:r>
      <w:r>
        <w:rPr>
          <w:rFonts w:hint="eastAsia" w:ascii="宋体" w:hAnsi="宋体" w:cs="宋体"/>
          <w:b/>
          <w:bCs/>
          <w:color w:val="auto"/>
        </w:rPr>
        <w:t>.2-2安全保证体系图</w:t>
      </w:r>
    </w:p>
    <w:p w14:paraId="69681FB1">
      <w:pPr>
        <w:pStyle w:val="4"/>
        <w:spacing w:before="0" w:after="0"/>
        <w:rPr>
          <w:rFonts w:ascii="宋体" w:hAnsi="宋体" w:cs="宋体"/>
          <w:b/>
          <w:bCs/>
          <w:color w:val="auto"/>
          <w:sz w:val="24"/>
        </w:rPr>
      </w:pPr>
      <w:bookmarkStart w:id="170" w:name="_Toc18221"/>
      <w:bookmarkStart w:id="171" w:name="_Toc10525"/>
      <w:bookmarkStart w:id="172" w:name="_Toc25413"/>
      <w:r>
        <w:rPr>
          <w:rFonts w:hint="eastAsia"/>
          <w:color w:val="auto"/>
          <w:sz w:val="28"/>
          <w:szCs w:val="28"/>
        </w:rPr>
        <w:t>安全生产职责</w:t>
      </w:r>
      <w:bookmarkEnd w:id="170"/>
      <w:bookmarkEnd w:id="171"/>
      <w:bookmarkEnd w:id="172"/>
    </w:p>
    <w:p w14:paraId="7F156FB9">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.2-1安全生产职责表</w:t>
      </w:r>
    </w:p>
    <w:tbl>
      <w:tblPr>
        <w:tblStyle w:val="26"/>
        <w:tblpPr w:leftFromText="180" w:rightFromText="180" w:vertAnchor="text" w:horzAnchor="page" w:tblpX="1423" w:tblpY="285"/>
        <w:tblOverlap w:val="never"/>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067"/>
        <w:gridCol w:w="7530"/>
      </w:tblGrid>
      <w:tr w14:paraId="6CC2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4F81BD"/>
            <w:noWrap w:val="0"/>
            <w:vAlign w:val="center"/>
          </w:tcPr>
          <w:p w14:paraId="7C83F36C">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1067" w:type="dxa"/>
            <w:shd w:val="clear" w:color="auto" w:fill="4F81BD"/>
            <w:noWrap w:val="0"/>
            <w:vAlign w:val="center"/>
          </w:tcPr>
          <w:p w14:paraId="107E7818">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岗位/部门</w:t>
            </w:r>
          </w:p>
        </w:tc>
        <w:tc>
          <w:tcPr>
            <w:tcW w:w="7530" w:type="dxa"/>
            <w:shd w:val="clear" w:color="auto" w:fill="4F81BD"/>
            <w:noWrap w:val="0"/>
            <w:vAlign w:val="center"/>
          </w:tcPr>
          <w:p w14:paraId="6B9D78D6">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b/>
                <w:bCs/>
                <w:color w:val="auto"/>
                <w:sz w:val="18"/>
                <w:szCs w:val="18"/>
              </w:rPr>
            </w:pPr>
            <w:r>
              <w:rPr>
                <w:rFonts w:hint="eastAsia" w:ascii="宋体" w:hAnsi="宋体" w:eastAsia="宋体" w:cs="宋体"/>
                <w:b/>
                <w:bCs/>
                <w:color w:val="auto"/>
              </w:rPr>
              <w:t>职业健康安全生产职责</w:t>
            </w:r>
          </w:p>
        </w:tc>
      </w:tr>
      <w:tr w14:paraId="315F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3C6BBB18">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067" w:type="dxa"/>
            <w:noWrap w:val="0"/>
            <w:vAlign w:val="center"/>
          </w:tcPr>
          <w:p w14:paraId="210FD31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各项目职能部门通用</w:t>
            </w:r>
          </w:p>
        </w:tc>
        <w:tc>
          <w:tcPr>
            <w:tcW w:w="7530" w:type="dxa"/>
            <w:noWrap w:val="0"/>
            <w:vAlign w:val="center"/>
          </w:tcPr>
          <w:p w14:paraId="562D597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（1）各部门主要负责人是本部门职业健康安全生产第一责任人，负责建立健全本部门员工的岗位职业健康安全生产职责，做到责任到岗，措施到位，落实到人。</w:t>
            </w:r>
          </w:p>
          <w:p w14:paraId="08DED10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（2）部门各岗位按照“谁主管谁负责”，“谁审批谁负责”，“谁签字谁负责”，“谁并表谁负责”的原则，对各自职责范围内的职业健康安全生产工作负责。</w:t>
            </w:r>
          </w:p>
          <w:p w14:paraId="44B2801E">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（3）认真贯彻执行国家有关职业健康安全生产的方针、政策、法律法规、标准规范及公司、项目部职业健康安全生产管理制度。</w:t>
            </w:r>
          </w:p>
          <w:p w14:paraId="50343C39">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（4）配合做好项目职业健康安全生产规章制度制定、修订与发布等相关工作及本部门人员日常的安全教育。</w:t>
            </w:r>
          </w:p>
          <w:p w14:paraId="58962027">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（5）参与全面安全风险辨识评价，充分辨识本部门职能及管理范围涉及到的安全风险，做好风险管控及隐患排查治理。</w:t>
            </w:r>
          </w:p>
          <w:p w14:paraId="322BD4E8">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（6）组织本部门培训将职业健康安全生产的知识纳入培训内容。</w:t>
            </w:r>
          </w:p>
          <w:p w14:paraId="25159A85">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（7）负责本部门业务范围内安全生产费用的预算编制、执行。</w:t>
            </w:r>
          </w:p>
          <w:p w14:paraId="5EFFB986">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（8）负责部门职责范围内的其他职业健康安全生产相关工作。</w:t>
            </w:r>
          </w:p>
        </w:tc>
      </w:tr>
      <w:tr w14:paraId="52C8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04AC21F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067" w:type="dxa"/>
            <w:noWrap w:val="0"/>
            <w:vAlign w:val="center"/>
          </w:tcPr>
          <w:p w14:paraId="55EDB5F4">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项目经理</w:t>
            </w:r>
          </w:p>
        </w:tc>
        <w:tc>
          <w:tcPr>
            <w:tcW w:w="7530" w:type="dxa"/>
            <w:noWrap w:val="0"/>
            <w:vAlign w:val="center"/>
          </w:tcPr>
          <w:p w14:paraId="16F299E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（1）项目经理为项目部主要负责人，按照国家有关职业健康安全的法律、法规的规定履行项目主要负责人的职责，包括：</w:t>
            </w:r>
          </w:p>
          <w:p w14:paraId="7FC3631C">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1 \* GB3 \* MERGEFORMAT </w:instrText>
            </w:r>
            <w:r>
              <w:rPr>
                <w:rFonts w:hint="eastAsia" w:ascii="宋体" w:hAnsi="宋体" w:cs="宋体"/>
                <w:color w:val="auto"/>
                <w:sz w:val="18"/>
                <w:szCs w:val="18"/>
              </w:rPr>
              <w:fldChar w:fldCharType="separate"/>
            </w:r>
            <w:r>
              <w:rPr>
                <w:rFonts w:hint="eastAsia" w:ascii="宋体" w:hAnsi="宋体" w:cs="宋体"/>
                <w:color w:val="auto"/>
              </w:rPr>
              <w:t>①</w:t>
            </w:r>
            <w:r>
              <w:rPr>
                <w:rFonts w:hint="eastAsia" w:ascii="宋体" w:hAnsi="宋体" w:cs="宋体"/>
                <w:color w:val="auto"/>
                <w:sz w:val="18"/>
                <w:szCs w:val="18"/>
              </w:rPr>
              <w:fldChar w:fldCharType="end"/>
            </w:r>
            <w:r>
              <w:rPr>
                <w:rFonts w:hint="eastAsia" w:ascii="宋体" w:hAnsi="宋体" w:cs="宋体"/>
                <w:color w:val="auto"/>
                <w:sz w:val="18"/>
                <w:szCs w:val="18"/>
              </w:rPr>
              <w:t>.建立健全并落实项目全员职业健康安全责任制，加强职业健康安全生产标准化建设。</w:t>
            </w:r>
          </w:p>
          <w:p w14:paraId="6CD1C53A">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2 \* GB3 \* MERGEFORMAT </w:instrText>
            </w:r>
            <w:r>
              <w:rPr>
                <w:rFonts w:hint="eastAsia" w:ascii="宋体" w:hAnsi="宋体" w:cs="宋体"/>
                <w:color w:val="auto"/>
                <w:sz w:val="18"/>
                <w:szCs w:val="18"/>
              </w:rPr>
              <w:fldChar w:fldCharType="separate"/>
            </w:r>
            <w:r>
              <w:rPr>
                <w:rFonts w:hint="eastAsia" w:ascii="宋体" w:hAnsi="宋体" w:cs="宋体"/>
                <w:color w:val="auto"/>
              </w:rPr>
              <w:t>②</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.组织制定并实施项目职业健康安全规章制度和操作规程。</w:t>
            </w:r>
          </w:p>
          <w:p w14:paraId="1C52A8F9">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3 \* GB3 \* MERGEFORMAT </w:instrText>
            </w:r>
            <w:r>
              <w:rPr>
                <w:rFonts w:hint="eastAsia" w:ascii="宋体" w:hAnsi="宋体" w:cs="宋体"/>
                <w:color w:val="auto"/>
                <w:sz w:val="18"/>
                <w:szCs w:val="18"/>
              </w:rPr>
              <w:fldChar w:fldCharType="separate"/>
            </w:r>
            <w:r>
              <w:rPr>
                <w:rFonts w:hint="eastAsia" w:ascii="宋体" w:hAnsi="宋体" w:cs="宋体"/>
                <w:color w:val="auto"/>
              </w:rPr>
              <w:t>③</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.组织制定并实施项目职业健康安全教育和培训计划。</w:t>
            </w:r>
          </w:p>
          <w:p w14:paraId="56340FC5">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4 \* GB3 \* MERGEFORMAT </w:instrText>
            </w:r>
            <w:r>
              <w:rPr>
                <w:rFonts w:hint="eastAsia" w:ascii="宋体" w:hAnsi="宋体" w:cs="宋体"/>
                <w:color w:val="auto"/>
                <w:sz w:val="18"/>
                <w:szCs w:val="18"/>
              </w:rPr>
              <w:fldChar w:fldCharType="separate"/>
            </w:r>
            <w:r>
              <w:rPr>
                <w:rFonts w:hint="eastAsia" w:ascii="宋体" w:hAnsi="宋体" w:cs="宋体"/>
                <w:color w:val="auto"/>
              </w:rPr>
              <w:t>④</w:t>
            </w:r>
            <w:r>
              <w:rPr>
                <w:rFonts w:hint="eastAsia" w:ascii="宋体" w:hAnsi="宋体" w:cs="宋体"/>
                <w:color w:val="auto"/>
                <w:sz w:val="18"/>
                <w:szCs w:val="18"/>
              </w:rPr>
              <w:fldChar w:fldCharType="end"/>
            </w:r>
            <w:r>
              <w:rPr>
                <w:rFonts w:hint="eastAsia" w:ascii="宋体" w:hAnsi="宋体" w:cs="宋体"/>
                <w:color w:val="auto"/>
                <w:sz w:val="18"/>
                <w:szCs w:val="18"/>
              </w:rPr>
              <w:t>.保证项目职业健康安全生产投入的有效实施。</w:t>
            </w:r>
          </w:p>
          <w:p w14:paraId="24DAE246">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5 \* GB3 \* MERGEFORMAT </w:instrText>
            </w:r>
            <w:r>
              <w:rPr>
                <w:rFonts w:hint="eastAsia" w:ascii="宋体" w:hAnsi="宋体" w:cs="宋体"/>
                <w:color w:val="auto"/>
                <w:sz w:val="18"/>
                <w:szCs w:val="18"/>
              </w:rPr>
              <w:fldChar w:fldCharType="separate"/>
            </w:r>
            <w:r>
              <w:rPr>
                <w:rFonts w:hint="eastAsia" w:ascii="宋体" w:hAnsi="宋体" w:cs="宋体"/>
                <w:color w:val="auto"/>
              </w:rPr>
              <w:t>⑤</w:t>
            </w:r>
            <w:r>
              <w:rPr>
                <w:rFonts w:hint="eastAsia" w:ascii="宋体" w:hAnsi="宋体" w:cs="宋体"/>
                <w:color w:val="auto"/>
                <w:sz w:val="18"/>
                <w:szCs w:val="18"/>
              </w:rPr>
              <w:fldChar w:fldCharType="end"/>
            </w:r>
            <w:r>
              <w:rPr>
                <w:rFonts w:hint="eastAsia" w:ascii="宋体" w:hAnsi="宋体" w:cs="宋体"/>
                <w:color w:val="auto"/>
                <w:sz w:val="18"/>
                <w:szCs w:val="18"/>
              </w:rPr>
              <w:t>.组织建立并落实安全风险分级管控和隐患排查治理双重预防工作机制，督促、检查项目的职业健康安全工作，及时消除生产安全事故隐患。</w:t>
            </w:r>
          </w:p>
          <w:p w14:paraId="57375FC7">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6 \* GB3 \* MERGEFORMAT </w:instrText>
            </w:r>
            <w:r>
              <w:rPr>
                <w:rFonts w:hint="eastAsia" w:ascii="宋体" w:hAnsi="宋体" w:cs="宋体"/>
                <w:color w:val="auto"/>
                <w:sz w:val="18"/>
                <w:szCs w:val="18"/>
              </w:rPr>
              <w:fldChar w:fldCharType="separate"/>
            </w:r>
            <w:r>
              <w:rPr>
                <w:rFonts w:hint="eastAsia" w:ascii="宋体" w:hAnsi="宋体" w:cs="宋体"/>
                <w:color w:val="auto"/>
              </w:rPr>
              <w:t>⑥</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.组织制定并实施项目的生产安全事故应急救援预案。</w:t>
            </w:r>
          </w:p>
          <w:p w14:paraId="685F84EA">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7 \* GB3 \* MERGEFORMAT </w:instrText>
            </w:r>
            <w:r>
              <w:rPr>
                <w:rFonts w:hint="eastAsia" w:ascii="宋体" w:hAnsi="宋体" w:cs="宋体"/>
                <w:color w:val="auto"/>
                <w:sz w:val="18"/>
                <w:szCs w:val="18"/>
              </w:rPr>
              <w:fldChar w:fldCharType="separate"/>
            </w:r>
            <w:r>
              <w:rPr>
                <w:rFonts w:hint="eastAsia" w:ascii="宋体" w:hAnsi="宋体" w:cs="宋体"/>
                <w:color w:val="auto"/>
              </w:rPr>
              <w:t>⑦</w:t>
            </w:r>
            <w:r>
              <w:rPr>
                <w:rFonts w:hint="eastAsia" w:ascii="宋体" w:hAnsi="宋体" w:cs="宋体"/>
                <w:color w:val="auto"/>
                <w:sz w:val="18"/>
                <w:szCs w:val="18"/>
              </w:rPr>
              <w:fldChar w:fldCharType="end"/>
            </w:r>
            <w:r>
              <w:rPr>
                <w:rFonts w:hint="eastAsia" w:ascii="宋体" w:hAnsi="宋体" w:cs="宋体"/>
                <w:color w:val="auto"/>
                <w:sz w:val="18"/>
                <w:szCs w:val="18"/>
              </w:rPr>
              <w:t>.及时、如实报告职业健康生产安全事故。</w:t>
            </w:r>
          </w:p>
          <w:p w14:paraId="492F2A7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（2）建立健全安全生产管理机构，并足额配备合格的安全管理人员。</w:t>
            </w:r>
          </w:p>
          <w:p w14:paraId="44F20DC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（3）在计划、布置、检查、总结、评比生产时，同时计划、布置、检查、总结、评比安全生产工作。</w:t>
            </w:r>
          </w:p>
          <w:p w14:paraId="76BA6DA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（4）组织编制项目班子成员带班值班计划，并按计划进行带班值班。</w:t>
            </w:r>
          </w:p>
          <w:p w14:paraId="4924D73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（5）加强分包管理，确保进场的分包单位及设备设施等符合法规及公司有关要求。</w:t>
            </w:r>
          </w:p>
          <w:p w14:paraId="536BE4C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（6）组织进行项目风险评估，制定重大风险（隐患）控制措施。</w:t>
            </w:r>
          </w:p>
          <w:p w14:paraId="3884DD41">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（7）自觉接受行业主管部门和公司组织的职业健康安全生产教育，并取得项目负责人安全生产考核合格证书。</w:t>
            </w:r>
          </w:p>
        </w:tc>
      </w:tr>
      <w:tr w14:paraId="2144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0453C847">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3</w:t>
            </w:r>
          </w:p>
        </w:tc>
        <w:tc>
          <w:tcPr>
            <w:tcW w:w="1067" w:type="dxa"/>
            <w:noWrap w:val="0"/>
            <w:vAlign w:val="center"/>
          </w:tcPr>
          <w:p w14:paraId="5D58A2A0">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项目书记</w:t>
            </w:r>
          </w:p>
        </w:tc>
        <w:tc>
          <w:tcPr>
            <w:tcW w:w="7530" w:type="dxa"/>
            <w:noWrap w:val="0"/>
            <w:vAlign w:val="center"/>
          </w:tcPr>
          <w:p w14:paraId="7094A12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（1）项目书记按照“党政同责”的要求履行项目主要负责人安全生产职责。包括：</w:t>
            </w:r>
          </w:p>
          <w:p w14:paraId="73B984BF">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1 \* GB3 \* MERGEFORMAT </w:instrText>
            </w:r>
            <w:r>
              <w:rPr>
                <w:rFonts w:hint="eastAsia" w:ascii="宋体" w:hAnsi="宋体" w:cs="宋体"/>
                <w:color w:val="auto"/>
                <w:sz w:val="18"/>
                <w:szCs w:val="18"/>
              </w:rPr>
              <w:fldChar w:fldCharType="separate"/>
            </w:r>
            <w:r>
              <w:rPr>
                <w:rFonts w:hint="eastAsia" w:ascii="宋体" w:hAnsi="宋体" w:cs="宋体"/>
                <w:color w:val="auto"/>
              </w:rPr>
              <w:t>①</w:t>
            </w:r>
            <w:r>
              <w:rPr>
                <w:rFonts w:hint="eastAsia" w:ascii="宋体" w:hAnsi="宋体" w:cs="宋体"/>
                <w:color w:val="auto"/>
                <w:sz w:val="18"/>
                <w:szCs w:val="18"/>
              </w:rPr>
              <w:fldChar w:fldCharType="end"/>
            </w:r>
            <w:r>
              <w:rPr>
                <w:rFonts w:hint="eastAsia" w:ascii="宋体" w:hAnsi="宋体" w:cs="宋体"/>
                <w:color w:val="auto"/>
                <w:sz w:val="18"/>
                <w:szCs w:val="18"/>
              </w:rPr>
              <w:t>.建立健全并落实项目全员职业健康安全责任制，加强职业健康安全生产标准化建设。</w:t>
            </w:r>
          </w:p>
          <w:p w14:paraId="19F22BD1">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2 \* GB3 \* MERGEFORMAT </w:instrText>
            </w:r>
            <w:r>
              <w:rPr>
                <w:rFonts w:hint="eastAsia" w:ascii="宋体" w:hAnsi="宋体" w:cs="宋体"/>
                <w:color w:val="auto"/>
                <w:sz w:val="18"/>
                <w:szCs w:val="18"/>
              </w:rPr>
              <w:fldChar w:fldCharType="separate"/>
            </w:r>
            <w:r>
              <w:rPr>
                <w:rFonts w:hint="eastAsia" w:ascii="宋体" w:hAnsi="宋体" w:cs="宋体"/>
                <w:color w:val="auto"/>
              </w:rPr>
              <w:t>②</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.组织制定并实施项目职业健康安全规章制度和操作规程。</w:t>
            </w:r>
          </w:p>
          <w:p w14:paraId="6A59CF76">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3 \* GB3 \* MERGEFORMAT </w:instrText>
            </w:r>
            <w:r>
              <w:rPr>
                <w:rFonts w:hint="eastAsia" w:ascii="宋体" w:hAnsi="宋体" w:cs="宋体"/>
                <w:color w:val="auto"/>
                <w:sz w:val="18"/>
                <w:szCs w:val="18"/>
              </w:rPr>
              <w:fldChar w:fldCharType="separate"/>
            </w:r>
            <w:r>
              <w:rPr>
                <w:rFonts w:hint="eastAsia" w:ascii="宋体" w:hAnsi="宋体" w:cs="宋体"/>
                <w:color w:val="auto"/>
              </w:rPr>
              <w:t>③</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.组织制定并实施项目职业健康安全教育和培训计划。</w:t>
            </w:r>
          </w:p>
          <w:p w14:paraId="492A269D">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4 \* GB3 \* MERGEFORMAT </w:instrText>
            </w:r>
            <w:r>
              <w:rPr>
                <w:rFonts w:hint="eastAsia" w:ascii="宋体" w:hAnsi="宋体" w:cs="宋体"/>
                <w:color w:val="auto"/>
                <w:sz w:val="18"/>
                <w:szCs w:val="18"/>
              </w:rPr>
              <w:fldChar w:fldCharType="separate"/>
            </w:r>
            <w:r>
              <w:rPr>
                <w:rFonts w:hint="eastAsia" w:ascii="宋体" w:hAnsi="宋体" w:cs="宋体"/>
                <w:color w:val="auto"/>
              </w:rPr>
              <w:t>④</w:t>
            </w:r>
            <w:r>
              <w:rPr>
                <w:rFonts w:hint="eastAsia" w:ascii="宋体" w:hAnsi="宋体" w:cs="宋体"/>
                <w:color w:val="auto"/>
                <w:sz w:val="18"/>
                <w:szCs w:val="18"/>
              </w:rPr>
              <w:fldChar w:fldCharType="end"/>
            </w:r>
            <w:r>
              <w:rPr>
                <w:rFonts w:hint="eastAsia" w:ascii="宋体" w:hAnsi="宋体" w:cs="宋体"/>
                <w:color w:val="auto"/>
                <w:sz w:val="18"/>
                <w:szCs w:val="18"/>
              </w:rPr>
              <w:t>.保证项目职业健康安全生产投入的有效实施。</w:t>
            </w:r>
          </w:p>
          <w:p w14:paraId="739E7FAF">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5 \* GB3 \* MERGEFORMAT </w:instrText>
            </w:r>
            <w:r>
              <w:rPr>
                <w:rFonts w:hint="eastAsia" w:ascii="宋体" w:hAnsi="宋体" w:cs="宋体"/>
                <w:color w:val="auto"/>
                <w:sz w:val="18"/>
                <w:szCs w:val="18"/>
              </w:rPr>
              <w:fldChar w:fldCharType="separate"/>
            </w:r>
            <w:r>
              <w:rPr>
                <w:rFonts w:hint="eastAsia" w:ascii="宋体" w:hAnsi="宋体" w:cs="宋体"/>
                <w:color w:val="auto"/>
              </w:rPr>
              <w:t>⑤</w:t>
            </w:r>
            <w:r>
              <w:rPr>
                <w:rFonts w:hint="eastAsia" w:ascii="宋体" w:hAnsi="宋体" w:cs="宋体"/>
                <w:color w:val="auto"/>
                <w:sz w:val="18"/>
                <w:szCs w:val="18"/>
              </w:rPr>
              <w:fldChar w:fldCharType="end"/>
            </w:r>
            <w:r>
              <w:rPr>
                <w:rFonts w:hint="eastAsia" w:ascii="宋体" w:hAnsi="宋体" w:cs="宋体"/>
                <w:color w:val="auto"/>
                <w:sz w:val="18"/>
                <w:szCs w:val="18"/>
              </w:rPr>
              <w:t>.组织建立并落实安全风险分级管控和隐患排查治理双重预防工作机制，督促、检查项目的职业健康安全工作，及时消除生产安全事故隐患。</w:t>
            </w:r>
          </w:p>
          <w:p w14:paraId="53E61EFD">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6 \* GB3 \* MERGEFORMAT </w:instrText>
            </w:r>
            <w:r>
              <w:rPr>
                <w:rFonts w:hint="eastAsia" w:ascii="宋体" w:hAnsi="宋体" w:cs="宋体"/>
                <w:color w:val="auto"/>
                <w:sz w:val="18"/>
                <w:szCs w:val="18"/>
              </w:rPr>
              <w:fldChar w:fldCharType="separate"/>
            </w:r>
            <w:r>
              <w:rPr>
                <w:rFonts w:hint="eastAsia" w:ascii="宋体" w:hAnsi="宋体" w:cs="宋体"/>
                <w:color w:val="auto"/>
              </w:rPr>
              <w:t>⑥</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.组织制定并实施项目的生产安全事故应急救援预案。</w:t>
            </w:r>
          </w:p>
          <w:p w14:paraId="1334865A">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7 \* GB3 \* MERGEFORMAT </w:instrText>
            </w:r>
            <w:r>
              <w:rPr>
                <w:rFonts w:hint="eastAsia" w:ascii="宋体" w:hAnsi="宋体" w:cs="宋体"/>
                <w:color w:val="auto"/>
                <w:sz w:val="18"/>
                <w:szCs w:val="18"/>
              </w:rPr>
              <w:fldChar w:fldCharType="separate"/>
            </w:r>
            <w:r>
              <w:rPr>
                <w:rFonts w:hint="eastAsia" w:ascii="宋体" w:hAnsi="宋体" w:cs="宋体"/>
                <w:color w:val="auto"/>
              </w:rPr>
              <w:t>⑦</w:t>
            </w:r>
            <w:r>
              <w:rPr>
                <w:rFonts w:hint="eastAsia" w:ascii="宋体" w:hAnsi="宋体" w:cs="宋体"/>
                <w:color w:val="auto"/>
                <w:sz w:val="18"/>
                <w:szCs w:val="18"/>
              </w:rPr>
              <w:fldChar w:fldCharType="end"/>
            </w:r>
            <w:r>
              <w:rPr>
                <w:rFonts w:hint="eastAsia" w:ascii="宋体" w:hAnsi="宋体" w:cs="宋体"/>
                <w:color w:val="auto"/>
                <w:sz w:val="18"/>
                <w:szCs w:val="18"/>
              </w:rPr>
              <w:t>.及时、如实报告职业健康生产安全事故。</w:t>
            </w:r>
          </w:p>
          <w:p w14:paraId="6853C43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（2）将安全生产方针政策和法律法规纳入党支部或党总支学习内容和干部培训内容。</w:t>
            </w:r>
          </w:p>
          <w:p w14:paraId="2352453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（3）将安全生产工作列入党支部或党总支的重要议事日程，及时组织研究解决安全生产重大问题。</w:t>
            </w:r>
          </w:p>
          <w:p w14:paraId="05801F8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（4）结合安全生产工作开展党建活动，加强安全生产考核。</w:t>
            </w:r>
          </w:p>
          <w:p w14:paraId="2E6E611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（5）加强后勤管理，将产业工人住宿、食堂、交通车辆纳入统一管理，统筹开展食品安全、消防安全、交通安全隐患检查。</w:t>
            </w:r>
          </w:p>
          <w:p w14:paraId="3B9632C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（6）负责项目综合治理工作。</w:t>
            </w:r>
          </w:p>
        </w:tc>
      </w:tr>
      <w:tr w14:paraId="3A36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48C46AD4">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4</w:t>
            </w:r>
          </w:p>
        </w:tc>
        <w:tc>
          <w:tcPr>
            <w:tcW w:w="1067" w:type="dxa"/>
            <w:noWrap w:val="0"/>
            <w:vAlign w:val="center"/>
          </w:tcPr>
          <w:p w14:paraId="78066358">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项目总工</w:t>
            </w:r>
          </w:p>
        </w:tc>
        <w:tc>
          <w:tcPr>
            <w:tcW w:w="7530" w:type="dxa"/>
            <w:noWrap w:val="0"/>
            <w:vAlign w:val="center"/>
          </w:tcPr>
          <w:p w14:paraId="6E9EEC3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（1）组织编制施工组织设计、危险性较大分部分项工程专项施工方案，一般方案，审查一般方案，对安全技术措施、防护设施进行技术把关。督促技术部门按规定完成专项方案的报审、专家论证流程。</w:t>
            </w:r>
          </w:p>
          <w:p w14:paraId="06B8234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（2）协助项目经理按规定要求开展实施项目的安全风险评估工作。</w:t>
            </w:r>
          </w:p>
          <w:p w14:paraId="334093C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（3）对照图纸及设计说明的有关要求，组织对项目周围环境、地质条件、地下管线等因素进行调查复核。</w:t>
            </w:r>
          </w:p>
          <w:p w14:paraId="4FB6945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（4）督促技术部门牵头对分部分项工程施工进行技术交底。</w:t>
            </w:r>
          </w:p>
          <w:p w14:paraId="591467D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（5）动态关注危险性较大分部分项工程实施过程中施工边界条件的变化，经评估适时调整专项施工方案。</w:t>
            </w:r>
          </w:p>
          <w:p w14:paraId="650C449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（6）针对项目应用的新材料、新工艺、新技术、新设备，组织编制并督促按安全技术规程实施。</w:t>
            </w:r>
          </w:p>
          <w:p w14:paraId="0387AE1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（7）负责对项目自行设计的临时设施进行计算、复核。</w:t>
            </w:r>
          </w:p>
          <w:p w14:paraId="1AACF9B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（8）组织临时结构、方案落实等情况的专项隐患排查，必要时组织制定工程技术隐患治理方案。</w:t>
            </w:r>
          </w:p>
          <w:p w14:paraId="2242007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（9）分管试验检测工作，对试验检测的安全管理工作负技术领导责任。</w:t>
            </w:r>
          </w:p>
          <w:p w14:paraId="2F31D4D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（10）分管测量工作，对测量的安全管理工作负技术领导责任。</w:t>
            </w:r>
          </w:p>
          <w:p w14:paraId="1F5C899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ascii="宋体" w:hAnsi="宋体" w:cs="宋体"/>
                <w:color w:val="auto"/>
                <w:sz w:val="18"/>
                <w:szCs w:val="18"/>
              </w:rPr>
              <w:t>11</w:t>
            </w:r>
            <w:r>
              <w:rPr>
                <w:rFonts w:hint="eastAsia" w:ascii="宋体" w:hAnsi="宋体" w:cs="宋体"/>
                <w:color w:val="auto"/>
                <w:sz w:val="18"/>
                <w:szCs w:val="18"/>
              </w:rPr>
              <w:t>）参加生产安全事故（重大隐患）的调查处理。</w:t>
            </w:r>
          </w:p>
          <w:p w14:paraId="3A3F4D2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（12）自觉接受行业主管部门和公司组织的职业健康安全生产教育，并取得项目负责人安全生产考核合格证书。</w:t>
            </w:r>
          </w:p>
        </w:tc>
      </w:tr>
      <w:tr w14:paraId="6157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3A0BD0EE">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5</w:t>
            </w:r>
          </w:p>
        </w:tc>
        <w:tc>
          <w:tcPr>
            <w:tcW w:w="1067" w:type="dxa"/>
            <w:noWrap w:val="0"/>
            <w:vAlign w:val="center"/>
          </w:tcPr>
          <w:p w14:paraId="2525BFD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项目生产副经理</w:t>
            </w:r>
          </w:p>
        </w:tc>
        <w:tc>
          <w:tcPr>
            <w:tcW w:w="7530" w:type="dxa"/>
            <w:noWrap w:val="0"/>
            <w:vAlign w:val="center"/>
          </w:tcPr>
          <w:p w14:paraId="764E7BC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（1）在计划、布置、检查、总结、评比生产工作的同时，计划、布置、检查、总结、评比安全生产工作。</w:t>
            </w:r>
          </w:p>
          <w:p w14:paraId="75E1026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（2）督促生产管理部门严格按照批复的方案组织施工，合理安排安全生产，及时落实防护措施。</w:t>
            </w:r>
          </w:p>
          <w:p w14:paraId="16BF25C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（3）组织开展危险作业施工许可验收。</w:t>
            </w:r>
          </w:p>
          <w:p w14:paraId="1078DDC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（4）负责划分作业班组，明确班组长以及跟班管理人员，明确各班组作业任务和作业地点，核实班前喊话内容，参与班前喊话点评。</w:t>
            </w:r>
          </w:p>
          <w:p w14:paraId="6834987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（5）牵头组织对项目大、小临设施及施工现场临时设施（结构）投入使用前的验收。</w:t>
            </w:r>
          </w:p>
          <w:p w14:paraId="1D6799E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（6）处理好进度与安全生产的关系，不违章指挥，不强令冒险作业。发现或接到险情报告，应立即组织停工并撤离人员。</w:t>
            </w:r>
          </w:p>
          <w:p w14:paraId="0639E2F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（7）组织或参加月度安全生产大检查、安全专项检查等活动。</w:t>
            </w:r>
          </w:p>
          <w:p w14:paraId="0B947B4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（8）组织落实重大安全生产风险应急预控措施。</w:t>
            </w:r>
          </w:p>
          <w:p w14:paraId="0B16FE9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（9）督促生产管理部门制定作业人员培训、学习计划，并监督实施。</w:t>
            </w:r>
          </w:p>
          <w:p w14:paraId="568C8F5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（10）组织分包商评价时，把分包商的安全绩效纳入重点评价指标。</w:t>
            </w:r>
          </w:p>
          <w:p w14:paraId="06CB9AC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ascii="宋体" w:hAnsi="宋体" w:cs="宋体"/>
                <w:color w:val="auto"/>
                <w:sz w:val="18"/>
                <w:szCs w:val="18"/>
              </w:rPr>
              <w:t>11</w:t>
            </w:r>
            <w:r>
              <w:rPr>
                <w:rFonts w:hint="eastAsia" w:ascii="宋体" w:hAnsi="宋体" w:cs="宋体"/>
                <w:color w:val="auto"/>
                <w:sz w:val="18"/>
                <w:szCs w:val="18"/>
              </w:rPr>
              <w:t>）负责施工现场的文明施工工作。</w:t>
            </w:r>
          </w:p>
          <w:p w14:paraId="5AB4100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（12）协助项目经理做好应急救援工作。</w:t>
            </w:r>
          </w:p>
          <w:p w14:paraId="5B8B9D1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（13）参与生产安全事故（重大隐患）的调查处理。</w:t>
            </w:r>
          </w:p>
          <w:p w14:paraId="30C124D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（14）自觉接受行业主管部门和公司组织的职业健康安全生产教育，并取得项目负责人安全生产考核合格证书。</w:t>
            </w:r>
          </w:p>
        </w:tc>
      </w:tr>
      <w:tr w14:paraId="4F58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6B9E89C">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6</w:t>
            </w:r>
          </w:p>
        </w:tc>
        <w:tc>
          <w:tcPr>
            <w:tcW w:w="1067" w:type="dxa"/>
            <w:noWrap w:val="0"/>
            <w:vAlign w:val="center"/>
          </w:tcPr>
          <w:p w14:paraId="29F4D96A">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安全总监</w:t>
            </w:r>
          </w:p>
        </w:tc>
        <w:tc>
          <w:tcPr>
            <w:tcW w:w="7530" w:type="dxa"/>
            <w:noWrap w:val="0"/>
            <w:vAlign w:val="center"/>
          </w:tcPr>
          <w:p w14:paraId="136FE89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（1）协助项目生产副经理落实施工组织设计、专项施工方案等的安全管控措施。</w:t>
            </w:r>
          </w:p>
          <w:p w14:paraId="5BAF034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（2）内容负责项目工段（工区、架子队）施工现场管理工作。</w:t>
            </w:r>
          </w:p>
          <w:p w14:paraId="4CDBB8F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（3）配合组织调配现场人员、材料、设备时，应对其职业健康安全生产教育培训情况、验收合格情况进行严格把关。</w:t>
            </w:r>
          </w:p>
          <w:p w14:paraId="3DA7AD6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（3）负责项目工段（工区、架子队）施工班组和分包队伍的管理，组织施工班组和分包队伍按施工工序和施工计划完成施工任务。</w:t>
            </w:r>
          </w:p>
          <w:p w14:paraId="7C24C93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（4）掌握各施工班组专业工种的特点、能力、素质，组织好各工序的衔接，确保施工生产安全有序进行；</w:t>
            </w:r>
          </w:p>
          <w:p w14:paraId="60BF800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（5）负责监督劳务工人的考勤管理，组织班组班前会，督促施工班组按本专业操作规程进行施工生产</w:t>
            </w:r>
          </w:p>
          <w:p w14:paraId="279C22C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（6）及时掌握施工现场情况，主动安全部门沟通，协商解决施工生产中发现的问题，督促整改落实现场隐患。</w:t>
            </w:r>
          </w:p>
          <w:p w14:paraId="796E005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（7）及时如果报告职业健康生产安全事故，按要求开展现场处置。</w:t>
            </w:r>
          </w:p>
          <w:p w14:paraId="03B498F1">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p>
        </w:tc>
      </w:tr>
      <w:tr w14:paraId="557B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6E1C57D1">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7</w:t>
            </w:r>
          </w:p>
        </w:tc>
        <w:tc>
          <w:tcPr>
            <w:tcW w:w="1067" w:type="dxa"/>
            <w:noWrap w:val="0"/>
            <w:vAlign w:val="center"/>
          </w:tcPr>
          <w:p w14:paraId="47723F95">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工程管理部</w:t>
            </w:r>
          </w:p>
        </w:tc>
        <w:tc>
          <w:tcPr>
            <w:tcW w:w="7530" w:type="dxa"/>
            <w:noWrap w:val="0"/>
            <w:vAlign w:val="center"/>
          </w:tcPr>
          <w:p w14:paraId="2A8F7EB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技术口：</w:t>
            </w:r>
          </w:p>
          <w:p w14:paraId="5DD1510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（1）牵头建立项目危险性较大分部分项工程清单，参与编制危险性较大分部分项工程专项施工方案及一般方案，并按要求及时完成方案报批、论证工作。</w:t>
            </w:r>
          </w:p>
          <w:p w14:paraId="1756745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（2）组织分部分项工程的二级技术交底。</w:t>
            </w:r>
          </w:p>
          <w:p w14:paraId="65C1CF5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（3）对危险性较大分部分项工程专项施工方案在现场的实施情况进行检查和技术指导。</w:t>
            </w:r>
          </w:p>
          <w:p w14:paraId="6986891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(4)新技术、新工艺、新材料、新设备投入使用前，负责编制、审核技术方案的安全可行性，并组织对实施新技术、新工艺的操作人员进行技术培训和指导。</w:t>
            </w:r>
          </w:p>
          <w:p w14:paraId="01A07C3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(5)组织制定安全生产重大隐患治理技术方案。</w:t>
            </w:r>
          </w:p>
          <w:p w14:paraId="494F2FD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(6)参与现场相关临时设施的验收。</w:t>
            </w:r>
          </w:p>
          <w:p w14:paraId="26C01CD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(7)参与协助班组长组织开展班前喊话，参与班前喊话点评及考核。</w:t>
            </w:r>
          </w:p>
          <w:p w14:paraId="5977C55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(8)参与安全生产检查，查找安全技术隐患。</w:t>
            </w:r>
          </w:p>
          <w:p w14:paraId="14BA133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(9)参与事故（重大隐患）的调查处理。</w:t>
            </w:r>
          </w:p>
          <w:p w14:paraId="035A7F9E">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生产口：</w:t>
            </w:r>
          </w:p>
          <w:p w14:paraId="032E2E7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（1）应合理编制、下达生产计划，当计划超出正常功效及能力时，应组织编制落实安全保障措施。</w:t>
            </w:r>
          </w:p>
          <w:p w14:paraId="16DAB4C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（2）严格按照批复的危险性较大分部分项工程组织施工，落实安全技术措施。</w:t>
            </w:r>
          </w:p>
          <w:p w14:paraId="0913DE7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（3）落实危险作业施工许可，对投入生产的人员进场教育情况、设备物资进场验收情况进行核验，不得使用未经过进场教育的人员、未经进场验收的设备、物资。</w:t>
            </w:r>
          </w:p>
          <w:p w14:paraId="0498E51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（4）合理设置现场生产过程的人行通道、作业平台、临边洞口防护，组织相关简易设计验算及使用前验收。</w:t>
            </w:r>
          </w:p>
          <w:p w14:paraId="457715D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（5）按事故隐患整改要求组织责任范围内的整改工作。参加隐患排查治理，从生产组织上分析原因，提出改进措施。</w:t>
            </w:r>
          </w:p>
          <w:p w14:paraId="116FB92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（6）根据生产安排制定劳务人员进场计划，对进场劳务人员进行动态管理，合理划分作业班组。</w:t>
            </w:r>
          </w:p>
          <w:p w14:paraId="5F9CDA9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（7）统筹协助班组长组织开展班前喊话，组织班前喊话点评，参与班前喊话考核。</w:t>
            </w:r>
          </w:p>
          <w:p w14:paraId="6CC07F8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（8）发现或接到险情报告，应立即向领导报告，并视情况组织人员撤离。</w:t>
            </w:r>
          </w:p>
          <w:p w14:paraId="0AEDE08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（9）每月定期收集分包队伍退场人员信息，协助综合办公室对进（退）场劳务人员进行登记造册。</w:t>
            </w:r>
          </w:p>
          <w:p w14:paraId="6ABE525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（10）组织施工工序第三级技术交底及安全技术交底工作。</w:t>
            </w:r>
          </w:p>
          <w:p w14:paraId="3E944B7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（5.5）参与事故（重大隐患）的调查处理。</w:t>
            </w:r>
          </w:p>
          <w:p w14:paraId="2FE09DCB">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测量口：</w:t>
            </w:r>
          </w:p>
          <w:p w14:paraId="494010B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（1）定期对测量部门员工进行安全教育。</w:t>
            </w:r>
          </w:p>
          <w:p w14:paraId="7B76481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（2）按照监控量测方案的要求，做好监控量测工作，并及时向生产、技术、安全等管理部门及相关领导反馈真实的测量数据。</w:t>
            </w:r>
          </w:p>
          <w:p w14:paraId="7ECF80E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（3）按照标准、规范规定为委托部门提供真实测量放样数据。</w:t>
            </w:r>
          </w:p>
        </w:tc>
      </w:tr>
      <w:tr w14:paraId="1D5C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473ED383">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8</w:t>
            </w:r>
          </w:p>
        </w:tc>
        <w:tc>
          <w:tcPr>
            <w:tcW w:w="1067" w:type="dxa"/>
            <w:noWrap w:val="0"/>
            <w:vAlign w:val="center"/>
          </w:tcPr>
          <w:p w14:paraId="776F82AA">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安全监督部</w:t>
            </w:r>
          </w:p>
        </w:tc>
        <w:tc>
          <w:tcPr>
            <w:tcW w:w="7530" w:type="dxa"/>
            <w:noWrap w:val="0"/>
            <w:vAlign w:val="center"/>
          </w:tcPr>
          <w:p w14:paraId="433D6A6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（1）及时获取、识别适用于本项目的职业健康安全生产法律法规及标准规范，并及时对从业人员进行宣贯培训。</w:t>
            </w:r>
          </w:p>
          <w:p w14:paraId="2AE0C96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（2）协助项目经理及分管领导制定以责任制为核心的职业健康安全生产规章制度、安全操作规程，并督促落实。</w:t>
            </w:r>
          </w:p>
          <w:p w14:paraId="38AF573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（3）牵头编制安全生产保证计划、年（季）度安全生产工作计划，并定期检查计划实施情况。</w:t>
            </w:r>
          </w:p>
          <w:p w14:paraId="060F84C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（4）组织编制项目应急预案，组织应急预案培训、交底，适时开展应急演练。</w:t>
            </w:r>
          </w:p>
          <w:p w14:paraId="51BBAE4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（5）参与编制、会审专项施工方案。参与危险作业施工许可验收及施工现场安全设施、临时设施的验收、检查、维护工作。</w:t>
            </w:r>
          </w:p>
          <w:p w14:paraId="2E58855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（6）根据需求编制年度安全教育培训计划，组织对新进场人员的“三级安全教育”、进场教育等教育培训，参与新工艺、新设备、新技术、新材料使用的教育培训。</w:t>
            </w:r>
          </w:p>
          <w:p w14:paraId="78EC240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（7）参与分部分项工程安全技术交底，组织或参与特种作业人员的安全操作规程交底和培训。</w:t>
            </w:r>
          </w:p>
          <w:p w14:paraId="6BAAE97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（8）通过交底或培训，书面告知作业人员项目存在的危险因素、防范措施及事故应急措施。</w:t>
            </w:r>
          </w:p>
          <w:p w14:paraId="2776D54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建立安全风险分级管控和隐患排查治理双重预防工作机制，组织开展风险源辨识和评估，统筹组织本项目安全生产风险清单的建立、维护，督促落实本项目一般及以上安全风险的管控措施，重点监督重大事故隐患清单和危险性较大分部分项工程专项施工方案安全管控措施的落实情况。</w:t>
            </w:r>
          </w:p>
          <w:p w14:paraId="1475204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（10）组织开展日常安全生产检查及消防、安全防护设施专项检查，参与月度安全生产大检查。监督事故隐患的整改落实情况，对查出的重大隐患登记建档，督促制定重大隐患治理方案，并报相关部门备案。</w:t>
            </w:r>
          </w:p>
          <w:p w14:paraId="6CA041B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hint="eastAsia" w:ascii="宋体" w:hAnsi="宋体" w:cs="宋体"/>
                <w:color w:val="auto"/>
                <w:sz w:val="18"/>
                <w:szCs w:val="18"/>
                <w:lang w:val="en-US" w:eastAsia="zh-CN"/>
              </w:rPr>
              <w:t>11</w:t>
            </w:r>
            <w:r>
              <w:rPr>
                <w:rFonts w:hint="eastAsia" w:ascii="宋体" w:hAnsi="宋体" w:cs="宋体"/>
                <w:color w:val="auto"/>
                <w:sz w:val="18"/>
                <w:szCs w:val="18"/>
              </w:rPr>
              <w:t>）组织开展“安全生产月”、“隐患排查治理”、各类安全专项整治等活动，活动有方案，有记录、有总结。</w:t>
            </w:r>
          </w:p>
          <w:p w14:paraId="6BB5BB9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（12）牵头编制项目安全生产费用使用总计划、年度计划及月度计划，统计安全生产费用投入情况，配合合同管理部门向业主计量安全生产费用。</w:t>
            </w:r>
          </w:p>
          <w:p w14:paraId="5490152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（13）监督班组长开展班前喊话，参与班前喊话点评及考核。</w:t>
            </w:r>
          </w:p>
          <w:p w14:paraId="2AC6CF2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（14）建立特种作业人员花名册，并动态更新。</w:t>
            </w:r>
          </w:p>
          <w:p w14:paraId="73EB71D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（15）对行业主管部门或上级单位的安全投诉及时处理。针对业主、监理及上级主管部门在检查中提出的隐患整改意见，督促相关部门、责任人落实整改闭合。。</w:t>
            </w:r>
          </w:p>
          <w:p w14:paraId="3AA28C3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（16）及时参与事故现场处置，及时向有关部门报告。配合事故调查处理，及时落实整改措施。</w:t>
            </w:r>
          </w:p>
          <w:p w14:paraId="4E41D93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（17）协助上级安全管理部门落实国家注册安全工程师、国家要求取证的安全生产管理人员的继续教育、取证换证工作，严格执行有关人员持证上岗的规定。</w:t>
            </w:r>
          </w:p>
          <w:p w14:paraId="2AAEC84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自觉接受行业主管部门和公司组织的职业健康安全生产教育，并取得专职安全管理人员安全生产考核合格证书。</w:t>
            </w:r>
          </w:p>
        </w:tc>
      </w:tr>
      <w:tr w14:paraId="122C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06B327BC">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9</w:t>
            </w:r>
          </w:p>
        </w:tc>
        <w:tc>
          <w:tcPr>
            <w:tcW w:w="1067" w:type="dxa"/>
            <w:noWrap w:val="0"/>
            <w:vAlign w:val="center"/>
          </w:tcPr>
          <w:p w14:paraId="0994C281">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技术质量部</w:t>
            </w:r>
          </w:p>
        </w:tc>
        <w:tc>
          <w:tcPr>
            <w:tcW w:w="7530" w:type="dxa"/>
            <w:noWrap w:val="0"/>
            <w:vAlign w:val="center"/>
          </w:tcPr>
          <w:p w14:paraId="673D442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（1）检查质量时，应同时检查项目部制作加工的安全设施的质量，并监督责任单位及时整改可能导致生产安全事故的质量隐患。</w:t>
            </w:r>
          </w:p>
          <w:p w14:paraId="5C31FD5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（2）参与安全设施材料的进场验收，负责材料的抽样检测和不合格材料处理。</w:t>
            </w:r>
          </w:p>
          <w:p w14:paraId="6069B10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（3）参与对施工现场的基坑支护、脚手架搭拆，施工用电、搅拌站安拆、模板支撑、洞口临边防护等的验收。</w:t>
            </w:r>
          </w:p>
          <w:p w14:paraId="21EB0A7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（3）参与安全生产检查和隐患排查治理，从质量问题方面查找安全技术隐患，提出整改建议。</w:t>
            </w:r>
          </w:p>
          <w:p w14:paraId="50A0B06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（4）参与协助班组长组织开展班前喊话，参与班前喊话点评及考核。</w:t>
            </w:r>
          </w:p>
          <w:p w14:paraId="3E23D65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（5）参与事故（重大隐患）的调查处理。</w:t>
            </w:r>
          </w:p>
          <w:p w14:paraId="1F2DD1EE">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试验口：</w:t>
            </w:r>
          </w:p>
          <w:p w14:paraId="49A0CA1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（1）建立健全试验室管理制度及主要试验检测设备操作规程，并贯彻落实。</w:t>
            </w:r>
          </w:p>
          <w:p w14:paraId="43D9838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（2）定期对试验室员工进行安全教育。</w:t>
            </w:r>
          </w:p>
          <w:p w14:paraId="4958156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（3）依法合规开展试验检测工作，为生产、质量等委托部门出具数据真实的书面试验检测报告。</w:t>
            </w:r>
          </w:p>
          <w:p w14:paraId="526B0A7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（4）配合做好安全设施材料的抽样检测工作。</w:t>
            </w:r>
          </w:p>
          <w:p w14:paraId="553A2BC7">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（5）负责检验检测设备检定/校准工作，做好检验检测设备的安全防护。</w:t>
            </w:r>
          </w:p>
        </w:tc>
      </w:tr>
      <w:tr w14:paraId="0458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0327797E">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w:t>
            </w:r>
          </w:p>
        </w:tc>
        <w:tc>
          <w:tcPr>
            <w:tcW w:w="1067" w:type="dxa"/>
            <w:noWrap w:val="0"/>
            <w:vAlign w:val="center"/>
          </w:tcPr>
          <w:p w14:paraId="6CD683D3">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物资设备部</w:t>
            </w:r>
          </w:p>
        </w:tc>
        <w:tc>
          <w:tcPr>
            <w:tcW w:w="7530" w:type="dxa"/>
            <w:noWrap w:val="0"/>
            <w:vAlign w:val="center"/>
          </w:tcPr>
          <w:p w14:paraId="6274B31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设备口：</w:t>
            </w:r>
          </w:p>
          <w:p w14:paraId="481BD7A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（1）履行设备管理职责，检查设备管理制度、特种设备操作规程执行落实情况。</w:t>
            </w:r>
          </w:p>
          <w:p w14:paraId="6C0E81C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（2）根据项目实际情况编制、完善设备操作规程。</w:t>
            </w:r>
          </w:p>
          <w:p w14:paraId="3A3A432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（3）组织对进场船机设备进行验收。</w:t>
            </w:r>
          </w:p>
          <w:p w14:paraId="70369F3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（4）负责船机设备的日常维护保养、检查及隐患整改。</w:t>
            </w:r>
          </w:p>
          <w:p w14:paraId="3319F65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（5）——船机设备管理台账准确、账物相符，维修保养记录齐全、规范，安全技术档案资料完善，法定安全准用手续齐全、有效。</w:t>
            </w:r>
          </w:p>
          <w:p w14:paraId="4A516AB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（6）参与特种设备</w:t>
            </w:r>
            <w:r>
              <w:rPr>
                <w:rFonts w:hint="eastAsia" w:ascii="宋体" w:hAnsi="宋体" w:cs="宋体"/>
                <w:color w:val="auto"/>
                <w:sz w:val="18"/>
                <w:szCs w:val="18"/>
                <w:lang w:eastAsia="zh-CN"/>
              </w:rPr>
              <w:t>安装</w:t>
            </w:r>
            <w:r>
              <w:rPr>
                <w:rFonts w:hint="eastAsia" w:ascii="宋体" w:hAnsi="宋体" w:cs="宋体"/>
                <w:color w:val="auto"/>
                <w:sz w:val="18"/>
                <w:szCs w:val="18"/>
              </w:rPr>
              <w:t>作业、起重吊装作业的安全技术交底，协助生产管理部门按照批复的方案组织实施特种设备</w:t>
            </w:r>
            <w:r>
              <w:rPr>
                <w:rFonts w:hint="eastAsia" w:ascii="宋体" w:hAnsi="宋体" w:cs="宋体"/>
                <w:color w:val="auto"/>
                <w:sz w:val="18"/>
                <w:szCs w:val="18"/>
                <w:lang w:eastAsia="zh-CN"/>
              </w:rPr>
              <w:t>安装</w:t>
            </w:r>
            <w:r>
              <w:rPr>
                <w:rFonts w:hint="eastAsia" w:ascii="宋体" w:hAnsi="宋体" w:cs="宋体"/>
                <w:color w:val="auto"/>
                <w:sz w:val="18"/>
                <w:szCs w:val="18"/>
              </w:rPr>
              <w:t>作业。</w:t>
            </w:r>
          </w:p>
          <w:p w14:paraId="225A5F0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（7）严格管理外租及分包单位自带设备,特种设备严格执行一体化管理。</w:t>
            </w:r>
          </w:p>
          <w:p w14:paraId="3331808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（8）参与协助班组长组织开展班前喊话，参与班前喊话点评及考核。</w:t>
            </w:r>
          </w:p>
          <w:p w14:paraId="223819F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（9）组织编制施工现场临时用电方案，并组织对电工进行技术交底。</w:t>
            </w:r>
          </w:p>
          <w:p w14:paraId="7C447D2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（10）负责临时用电管理，组织对施工用电设施的检查与验收。确保电工巡检、维修记录完整，定期进行接地电阻、绝缘电阻检测。</w:t>
            </w:r>
          </w:p>
          <w:p w14:paraId="4DFD17E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ascii="宋体" w:hAnsi="宋体" w:cs="宋体"/>
                <w:color w:val="auto"/>
                <w:sz w:val="18"/>
                <w:szCs w:val="18"/>
              </w:rPr>
              <w:t>11</w:t>
            </w:r>
            <w:r>
              <w:rPr>
                <w:rFonts w:hint="eastAsia" w:ascii="宋体" w:hAnsi="宋体" w:cs="宋体"/>
                <w:color w:val="auto"/>
                <w:sz w:val="18"/>
                <w:szCs w:val="18"/>
              </w:rPr>
              <w:t>）设备管理部门应建立特种设备作业人员、船员、电工及大型设备司操人员台账，并实行动态管理。组织特种设备及大型设备司操人员、船员、电工及大型设备司操人员的教育和培训。</w:t>
            </w:r>
          </w:p>
          <w:p w14:paraId="2338B30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组织突发情况下的设备应急处置，及时落实设备防风抗滑等措施。</w:t>
            </w:r>
          </w:p>
          <w:p w14:paraId="3BEE5C9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（12）组织临时用电、船机设备专项检查，参与安全生产检查，查找临电、设备使用过程中存在的事故隐患，并及时整改。</w:t>
            </w:r>
          </w:p>
          <w:p w14:paraId="197E103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（13）参与事故（重大隐患）的调查处理。</w:t>
            </w:r>
          </w:p>
          <w:p w14:paraId="2BF361A4">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物资口：</w:t>
            </w:r>
          </w:p>
          <w:p w14:paraId="011CEFD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（1）确保采购的各类物资材料检验合格，对分包单位自带的物资材料，涉及到结构和使用安全的，应按照规范要求进行抽检，确保符合国家、行业主管部门颁布的安全质量标准。</w:t>
            </w:r>
          </w:p>
          <w:p w14:paraId="31F61B5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（2）严格执行国家及地方关于易燃易爆、有毒有害等危险物品的运输、储存、保管、收发等管理方法，严格各环节的管理。</w:t>
            </w:r>
          </w:p>
          <w:p w14:paraId="7068C5B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（3）组织对采购的安全防护设施材料、劳动防护用品、消防器材等物资进行进场验收。做好验收、发放、报废等记录。</w:t>
            </w:r>
          </w:p>
          <w:p w14:paraId="2540B40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（4）对在用的安全带、安全帽、救生衣、救生筏、救生圈及消防设施等按规定定期进行检验。</w:t>
            </w:r>
          </w:p>
          <w:p w14:paraId="7E2889D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（5）及时提供安全技术措施计划所需材料及项目应急救援所需的物资、设备配件。</w:t>
            </w:r>
          </w:p>
          <w:p w14:paraId="7097C97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（6）在组织石料等物资运输时，应选择符合国家规定、持有有效证书的车辆或船舶。</w:t>
            </w:r>
          </w:p>
          <w:p w14:paraId="50A0508C">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做好易燃易爆危化品仓库、油库、库房等物资存储场所的防火、防爆、防盗等安全管控。</w:t>
            </w:r>
          </w:p>
        </w:tc>
      </w:tr>
      <w:tr w14:paraId="1335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18B3F6BC">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p>
        </w:tc>
        <w:tc>
          <w:tcPr>
            <w:tcW w:w="1067" w:type="dxa"/>
            <w:noWrap w:val="0"/>
            <w:vAlign w:val="center"/>
          </w:tcPr>
          <w:p w14:paraId="20720F11">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商务合约部</w:t>
            </w:r>
          </w:p>
        </w:tc>
        <w:tc>
          <w:tcPr>
            <w:tcW w:w="7530" w:type="dxa"/>
            <w:noWrap w:val="0"/>
            <w:vAlign w:val="center"/>
          </w:tcPr>
          <w:p w14:paraId="485DCF7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（1）组织分包招议标及合同审查，确保分包单位具有独立法人资格和相应的资质等级资格。</w:t>
            </w:r>
          </w:p>
          <w:p w14:paraId="035E4A1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（2）在签订有效的分包合同时，必须同时签订安全生产协议书。</w:t>
            </w:r>
          </w:p>
          <w:p w14:paraId="1A1BA4F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（3）协助生产管理部门、安全管理部门做好分包队伍安全管理。</w:t>
            </w:r>
          </w:p>
          <w:p w14:paraId="0F762B2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（4）做好安全生产费用的计量。</w:t>
            </w:r>
          </w:p>
          <w:p w14:paraId="0A9CEE0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（5）使用、管理好本企业安全生产方面的资质证书。</w:t>
            </w:r>
          </w:p>
          <w:p w14:paraId="77D67F5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（6）协助综合办公室对进（退）场劳务人员进行登记造册。</w:t>
            </w:r>
          </w:p>
        </w:tc>
      </w:tr>
      <w:tr w14:paraId="6A5D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30391A77">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w:t>
            </w:r>
          </w:p>
        </w:tc>
        <w:tc>
          <w:tcPr>
            <w:tcW w:w="1067" w:type="dxa"/>
            <w:noWrap w:val="0"/>
            <w:vAlign w:val="center"/>
          </w:tcPr>
          <w:p w14:paraId="6C31DF5C">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财务部</w:t>
            </w:r>
          </w:p>
        </w:tc>
        <w:tc>
          <w:tcPr>
            <w:tcW w:w="7530" w:type="dxa"/>
            <w:noWrap w:val="0"/>
            <w:vAlign w:val="center"/>
          </w:tcPr>
          <w:p w14:paraId="130028B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（1）按规定计提安全生产费用，列入年度计划，按时提供资金，并监督专款专用，建立专项台帐。</w:t>
            </w:r>
          </w:p>
          <w:p w14:paraId="6AF8F35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（2）按规定核算各项安全生产费用，与安全管理部门、合同管理部门定期核对安全生产费用的使用及计量情况。</w:t>
            </w:r>
          </w:p>
          <w:p w14:paraId="1FB9CBA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（3）负责办理项目安责险等安全生产相关保险工作，根据安全部门需求计划，组织确定保险方案，转移相关风险损失</w:t>
            </w:r>
          </w:p>
          <w:p w14:paraId="581599B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（4）协助安全管理部门按规定收取罚款和扣、发安全奖金及其它款项。</w:t>
            </w:r>
          </w:p>
        </w:tc>
      </w:tr>
      <w:tr w14:paraId="2A25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5640E489">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1</w:t>
            </w:r>
            <w:r>
              <w:rPr>
                <w:rFonts w:hint="eastAsia" w:ascii="宋体" w:hAnsi="宋体" w:eastAsia="宋体" w:cs="宋体"/>
                <w:color w:val="auto"/>
                <w:sz w:val="18"/>
                <w:szCs w:val="18"/>
                <w:lang w:val="en-US" w:eastAsia="zh-CN"/>
              </w:rPr>
              <w:t>2</w:t>
            </w:r>
          </w:p>
        </w:tc>
        <w:tc>
          <w:tcPr>
            <w:tcW w:w="1067" w:type="dxa"/>
            <w:noWrap w:val="0"/>
            <w:vAlign w:val="center"/>
          </w:tcPr>
          <w:p w14:paraId="2BAD3B03">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综合办公室</w:t>
            </w:r>
          </w:p>
        </w:tc>
        <w:tc>
          <w:tcPr>
            <w:tcW w:w="7530" w:type="dxa"/>
            <w:noWrap w:val="0"/>
            <w:vAlign w:val="center"/>
          </w:tcPr>
          <w:p w14:paraId="0C59E6D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（1）协助分管领导做好项目的综合治理、维稳工作。</w:t>
            </w:r>
          </w:p>
          <w:p w14:paraId="4E76E9F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（2）统筹协调国家注册安全工程师、国家要求取证的安全生产管理人员、特种作业人员的再教育、取证换证工作，严格执行有关人员持证上岗的规定。</w:t>
            </w:r>
          </w:p>
          <w:p w14:paraId="7CF0A0E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（3）定期对全体职工及从事有毒有害和特种作业人员进行体检，对患有职业禁忌病、症的职工，要调换适当工作，保护职工身体健康。</w:t>
            </w:r>
          </w:p>
          <w:p w14:paraId="2521002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（4）负责办理食堂卫生许可证，食堂工作人员持有健康证；定期对卫生间、浴室及员工宿舍进行消毒；按规定处理生活区的生活垃圾及固体废弃物。将协作单位生活区、食堂等区域纳入统一管理。</w:t>
            </w:r>
          </w:p>
          <w:p w14:paraId="4FC2B9F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（5）加强食堂管理，饮食物品按规定留样，防止发生集体食物中毒事件；租用合格的天然气瓶，督促食堂工作人员规范使用气瓶。</w:t>
            </w:r>
          </w:p>
          <w:p w14:paraId="4A5AB47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（6）负责生活区、办公区的日常消防、用电及卫生防疫检查及整改。</w:t>
            </w:r>
          </w:p>
          <w:p w14:paraId="172D1A6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（7）加强人力资源管理，严格控制加班加点，保障职工的休息，做到劳逸结合。</w:t>
            </w:r>
          </w:p>
          <w:p w14:paraId="3CCFAC3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（8）把安全生产教育培训纳入全员培训计划，督促安全管理部门落实培训计划。</w:t>
            </w:r>
          </w:p>
          <w:p w14:paraId="18AF8F3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（9）负责公务车辆及驾驶员的管理及驾驶员的日常交通安全学习工作。</w:t>
            </w:r>
          </w:p>
          <w:p w14:paraId="7500FD1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（10）负责工伤鉴定，申报工伤保险。参与工伤事故的调查及善后处理。</w:t>
            </w:r>
          </w:p>
        </w:tc>
      </w:tr>
      <w:tr w14:paraId="6B8A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56384785">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w:t>
            </w:r>
          </w:p>
        </w:tc>
        <w:tc>
          <w:tcPr>
            <w:tcW w:w="1067" w:type="dxa"/>
            <w:noWrap w:val="0"/>
            <w:vAlign w:val="center"/>
          </w:tcPr>
          <w:p w14:paraId="316F4D34">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班组长</w:t>
            </w:r>
          </w:p>
        </w:tc>
        <w:tc>
          <w:tcPr>
            <w:tcW w:w="7530" w:type="dxa"/>
            <w:noWrap w:val="0"/>
            <w:vAlign w:val="center"/>
          </w:tcPr>
          <w:p w14:paraId="3EC1914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班组长是本班组职业健康安全生产的第一责任人，全面落实本班组的各项职业健康安全生产管理工作，其职责如下：</w:t>
            </w:r>
          </w:p>
          <w:p w14:paraId="1E6B6C0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（1）根据国家安全生产相关法律法规、标准规范及公司、项目部各项规章制度，自觉履行班组长职业健康安全生产管理职责应尽的义务和权利，确保安全生产。</w:t>
            </w:r>
          </w:p>
          <w:p w14:paraId="325FA3A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（2）组织本班组参加安全教育培训、安全技术交底。</w:t>
            </w:r>
          </w:p>
          <w:p w14:paraId="61E1F7F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（3）负责完善和维护施工现场安全防护设施，报告并消除现场发现的事故隐患。对项目检查发现的问题严格按要求整改落实到位。</w:t>
            </w:r>
          </w:p>
          <w:p w14:paraId="7FA7A74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（4）按规定组织开展班前喊话及积分制管理活动。</w:t>
            </w:r>
          </w:p>
          <w:p w14:paraId="4D9CE41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（5）督促指导班组人员正确佩戴和使用劳动防护用品，遵守操作规程。</w:t>
            </w:r>
          </w:p>
          <w:p w14:paraId="7472A63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（6）服从项目部职业健康安全生产管理，按方案、交底组织班组人员作业，不违章指挥、不强令冒险作业。</w:t>
            </w:r>
          </w:p>
          <w:p w14:paraId="673DAE1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（7）及时如实报告生产安全事故，按要求做好应急处置工作。</w:t>
            </w:r>
          </w:p>
        </w:tc>
      </w:tr>
      <w:tr w14:paraId="2D7C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46BE2C3">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1</w:t>
            </w:r>
            <w:r>
              <w:rPr>
                <w:rFonts w:hint="eastAsia" w:ascii="宋体" w:hAnsi="宋体" w:eastAsia="宋体" w:cs="宋体"/>
                <w:color w:val="auto"/>
                <w:sz w:val="18"/>
                <w:szCs w:val="18"/>
                <w:lang w:val="en-US" w:eastAsia="zh-CN"/>
              </w:rPr>
              <w:t>4</w:t>
            </w:r>
          </w:p>
        </w:tc>
        <w:tc>
          <w:tcPr>
            <w:tcW w:w="1067" w:type="dxa"/>
            <w:noWrap w:val="0"/>
            <w:vAlign w:val="center"/>
          </w:tcPr>
          <w:p w14:paraId="76BBA11E">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全体参建者</w:t>
            </w:r>
          </w:p>
        </w:tc>
        <w:tc>
          <w:tcPr>
            <w:tcW w:w="7530" w:type="dxa"/>
            <w:noWrap w:val="0"/>
            <w:vAlign w:val="center"/>
          </w:tcPr>
          <w:p w14:paraId="0D4DE26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牢记“安全第一、预防为主、综合治理”方针，树立“管行业必须管安全、管业务必须管安全、管生产经营必须管安全”意识，有依法获得职业健康安全生产保障的权利，有依法履行职业健康安全生产职责的义务，对自身职责范围内的职业健康安全生产工作负责。</w:t>
            </w:r>
          </w:p>
          <w:p w14:paraId="01759BA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（2）自觉接受公司组织的各类职业健康安全生产教育培训，认真学习职业健康安全生产法律、法规、规章和公司制度，积极参加职业健康安全活动，提高自我保护意识与能力。</w:t>
            </w:r>
          </w:p>
          <w:p w14:paraId="0C339E1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（3）遵章守纪，服从分配，坚守岗位，听从领导和安全生产管理人员的指挥，认真履行岗位职责，不违章指挥、不违章操作、不违反劳动纪律，特种作业人员持证上岗。</w:t>
            </w:r>
          </w:p>
          <w:p w14:paraId="2539D8F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（4）正确使用个人劳动防护用品、用具，维护职业健康安全生产设施和防护装置，爱护安全标志。</w:t>
            </w:r>
          </w:p>
          <w:p w14:paraId="4EBA1C3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（5）发现职业健康安全生产隐患，应立即向上级领导报告，在确保自身安全的前提下，采取有效措施、消除隐患。</w:t>
            </w:r>
          </w:p>
          <w:p w14:paraId="69C6DF9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（6）发生事故后，应立即上报，在确保自身安全的前提下，积极抢救人员和财产，减少事故损失。</w:t>
            </w:r>
          </w:p>
          <w:p w14:paraId="59CD270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（7）积极向有关部门或领导提出职业健康安全生产合理化建议，有权越级反映有关职业健康安全生产的隐患和问题。</w:t>
            </w:r>
          </w:p>
          <w:p w14:paraId="73B1CCB8">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（8）有权拒绝违章作业，有责任劝阻、纠正和制止他人违章作业。</w:t>
            </w:r>
          </w:p>
        </w:tc>
      </w:tr>
    </w:tbl>
    <w:p w14:paraId="40400B23">
      <w:pPr>
        <w:rPr>
          <w:rFonts w:hint="eastAsia" w:ascii="宋体" w:hAnsi="宋体" w:cs="宋体"/>
          <w:b/>
          <w:bCs/>
          <w:color w:val="auto"/>
          <w:sz w:val="24"/>
        </w:rPr>
      </w:pPr>
    </w:p>
    <w:p w14:paraId="4EA161B8">
      <w:pPr>
        <w:outlineLvl w:val="2"/>
        <w:rPr>
          <w:rFonts w:hint="eastAsia" w:ascii="宋体" w:hAnsi="宋体" w:cs="宋体"/>
          <w:b/>
          <w:bCs/>
          <w:color w:val="auto"/>
          <w:sz w:val="24"/>
        </w:rPr>
      </w:pPr>
      <w:bookmarkStart w:id="173" w:name="_Toc32534"/>
      <w:r>
        <w:rPr>
          <w:rFonts w:hint="eastAsia" w:ascii="宋体" w:hAnsi="宋体" w:cs="宋体"/>
          <w:b/>
          <w:bCs/>
          <w:color w:val="auto"/>
          <w:sz w:val="24"/>
          <w:lang w:val="en-US" w:eastAsia="zh-CN"/>
        </w:rPr>
        <w:t>6</w:t>
      </w:r>
      <w:r>
        <w:rPr>
          <w:rFonts w:hint="eastAsia" w:ascii="宋体" w:hAnsi="宋体" w:cs="宋体"/>
          <w:b/>
          <w:bCs/>
          <w:color w:val="auto"/>
          <w:sz w:val="24"/>
        </w:rPr>
        <w:t>.2.4制度保证措施</w:t>
      </w:r>
      <w:bookmarkEnd w:id="173"/>
    </w:p>
    <w:p w14:paraId="71DDA8D8">
      <w:pPr>
        <w:pStyle w:val="23"/>
        <w:keepNext w:val="0"/>
        <w:keepLines w:val="0"/>
        <w:pageBreakBefore w:val="0"/>
        <w:widowControl w:val="0"/>
        <w:kinsoku/>
        <w:wordWrap/>
        <w:overflowPunct/>
        <w:topLinePunct w:val="0"/>
        <w:autoSpaceDE/>
        <w:autoSpaceDN/>
        <w:bidi w:val="0"/>
        <w:adjustRightInd/>
        <w:snapToGrid/>
        <w:spacing w:before="72"/>
        <w:ind w:right="34" w:firstLine="482" w:firstLineChars="200"/>
        <w:textAlignment w:val="auto"/>
        <w:outlineLvl w:val="3"/>
        <w:rPr>
          <w:rFonts w:ascii="宋体" w:hAnsi="宋体" w:cs="宋体"/>
          <w:b/>
          <w:bCs/>
          <w:color w:val="auto"/>
          <w:szCs w:val="24"/>
        </w:rPr>
      </w:pPr>
      <w:r>
        <w:rPr>
          <w:rFonts w:hint="eastAsia" w:ascii="宋体" w:hAnsi="宋体" w:cs="宋体"/>
          <w:b/>
          <w:bCs/>
          <w:color w:val="auto"/>
          <w:szCs w:val="24"/>
          <w:lang w:val="en-US" w:eastAsia="zh-CN"/>
        </w:rPr>
        <w:t>6</w:t>
      </w:r>
      <w:r>
        <w:rPr>
          <w:rFonts w:hint="eastAsia" w:ascii="宋体" w:hAnsi="宋体" w:cs="宋体"/>
          <w:b/>
          <w:bCs/>
          <w:color w:val="auto"/>
          <w:szCs w:val="24"/>
        </w:rPr>
        <w:t>.2.4.1安全文明施工管理制度</w:t>
      </w:r>
    </w:p>
    <w:p w14:paraId="5AED5DE4">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w:t>
      </w:r>
      <w:r>
        <w:rPr>
          <w:rFonts w:ascii="宋体" w:hAnsi="宋体" w:cs="宋体"/>
          <w:b/>
          <w:bCs/>
          <w:color w:val="auto"/>
          <w:sz w:val="24"/>
        </w:rPr>
        <w:t>2</w:t>
      </w:r>
      <w:r>
        <w:rPr>
          <w:rFonts w:hint="eastAsia" w:ascii="宋体" w:hAnsi="宋体" w:cs="宋体"/>
          <w:b/>
          <w:bCs/>
          <w:color w:val="auto"/>
          <w:sz w:val="24"/>
        </w:rPr>
        <w:t>安全文明施工管理制度</w:t>
      </w:r>
    </w:p>
    <w:tbl>
      <w:tblPr>
        <w:tblStyle w:val="2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19"/>
        <w:gridCol w:w="1963"/>
        <w:gridCol w:w="6605"/>
      </w:tblGrid>
      <w:tr w14:paraId="1D36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1945413">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序号</w:t>
            </w:r>
          </w:p>
        </w:tc>
        <w:tc>
          <w:tcPr>
            <w:tcW w:w="1963" w:type="dxa"/>
            <w:noWrap w:val="0"/>
            <w:vAlign w:val="center"/>
          </w:tcPr>
          <w:p w14:paraId="7EFCBB06">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制度名称</w:t>
            </w:r>
          </w:p>
        </w:tc>
        <w:tc>
          <w:tcPr>
            <w:tcW w:w="6605" w:type="dxa"/>
            <w:noWrap w:val="0"/>
            <w:vAlign w:val="center"/>
          </w:tcPr>
          <w:p w14:paraId="27C56194">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制度内容</w:t>
            </w:r>
          </w:p>
        </w:tc>
      </w:tr>
      <w:tr w14:paraId="62BD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0343331">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w:t>
            </w:r>
          </w:p>
        </w:tc>
        <w:tc>
          <w:tcPr>
            <w:tcW w:w="1963" w:type="dxa"/>
            <w:noWrap w:val="0"/>
            <w:vAlign w:val="center"/>
          </w:tcPr>
          <w:p w14:paraId="783FEF39">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安全生产责任制</w:t>
            </w:r>
          </w:p>
        </w:tc>
        <w:tc>
          <w:tcPr>
            <w:tcW w:w="6605" w:type="dxa"/>
            <w:noWrap w:val="0"/>
            <w:vAlign w:val="center"/>
          </w:tcPr>
          <w:p w14:paraId="68015530">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明确各级人员的安全责任，各级职能部门、人员在各自的业务范围内，对实现安全生产要求负责，做到安全生产工作责任横向到边，层层负责；竖向到底，一环不漏。</w:t>
            </w:r>
          </w:p>
        </w:tc>
      </w:tr>
      <w:tr w14:paraId="6D28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3792614">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2</w:t>
            </w:r>
          </w:p>
        </w:tc>
        <w:tc>
          <w:tcPr>
            <w:tcW w:w="1963" w:type="dxa"/>
            <w:noWrap w:val="0"/>
            <w:vAlign w:val="center"/>
          </w:tcPr>
          <w:p w14:paraId="0ED163CA">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安全专项方案编制及审查制</w:t>
            </w:r>
          </w:p>
        </w:tc>
        <w:tc>
          <w:tcPr>
            <w:tcW w:w="6605" w:type="dxa"/>
            <w:noWrap w:val="0"/>
            <w:vAlign w:val="center"/>
          </w:tcPr>
          <w:p w14:paraId="45268CCD">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根据建设部《危险性较大工程安全专项施工方案编制及专家论证审查办法》及单位技术手册的规定，编写相关专项安全施工方案，并报相关部门论证、审批；做到使编写的方案具有可操作性、可指导性。</w:t>
            </w:r>
          </w:p>
        </w:tc>
      </w:tr>
      <w:tr w14:paraId="0356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5D26764">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3</w:t>
            </w:r>
          </w:p>
        </w:tc>
        <w:tc>
          <w:tcPr>
            <w:tcW w:w="1963" w:type="dxa"/>
            <w:noWrap w:val="0"/>
            <w:vAlign w:val="center"/>
          </w:tcPr>
          <w:p w14:paraId="4050D4E0">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安全专项资金保障制度</w:t>
            </w:r>
          </w:p>
        </w:tc>
        <w:tc>
          <w:tcPr>
            <w:tcW w:w="6605" w:type="dxa"/>
            <w:noWrap w:val="0"/>
            <w:vAlign w:val="center"/>
          </w:tcPr>
          <w:p w14:paraId="6B19ABB7">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项目经理部落实安全劳保用品资金、安全教育培训专项资金以及保障安全生产的技术措施资金。</w:t>
            </w:r>
          </w:p>
        </w:tc>
      </w:tr>
      <w:tr w14:paraId="7017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72F9E882">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4</w:t>
            </w:r>
          </w:p>
        </w:tc>
        <w:tc>
          <w:tcPr>
            <w:tcW w:w="1963" w:type="dxa"/>
            <w:noWrap w:val="0"/>
            <w:vAlign w:val="center"/>
          </w:tcPr>
          <w:p w14:paraId="7A238E0E">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安全技术交底制</w:t>
            </w:r>
          </w:p>
        </w:tc>
        <w:tc>
          <w:tcPr>
            <w:tcW w:w="6605" w:type="dxa"/>
            <w:noWrap w:val="0"/>
            <w:vAlign w:val="center"/>
          </w:tcPr>
          <w:p w14:paraId="50F64EC5">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根据安全技术方案要求和现场实际情况，各级管理人员需逐级进行书面交底，并在施工过程中进行指导，检查技术交底的实施情况。</w:t>
            </w:r>
          </w:p>
        </w:tc>
      </w:tr>
      <w:tr w14:paraId="5BFA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66832CA">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5</w:t>
            </w:r>
          </w:p>
        </w:tc>
        <w:tc>
          <w:tcPr>
            <w:tcW w:w="1963" w:type="dxa"/>
            <w:noWrap w:val="0"/>
            <w:vAlign w:val="center"/>
          </w:tcPr>
          <w:p w14:paraId="7B2AA215">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安全活动制</w:t>
            </w:r>
          </w:p>
        </w:tc>
        <w:tc>
          <w:tcPr>
            <w:tcW w:w="6605" w:type="dxa"/>
            <w:noWrap w:val="0"/>
            <w:vAlign w:val="center"/>
          </w:tcPr>
          <w:p w14:paraId="1288A2AB">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安全及文明施工管理部每周组织全体工人进行安全教育，对上一周安全方面存在的问题进行总结，对本周的安全重点和注意事项作必要的交底。安全责任工程师每天督促与检查作业班组班前是否落实安全防护措施。</w:t>
            </w:r>
          </w:p>
        </w:tc>
      </w:tr>
      <w:tr w14:paraId="2BD6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66A77061">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6</w:t>
            </w:r>
          </w:p>
        </w:tc>
        <w:tc>
          <w:tcPr>
            <w:tcW w:w="1963" w:type="dxa"/>
            <w:noWrap w:val="0"/>
            <w:vAlign w:val="center"/>
          </w:tcPr>
          <w:p w14:paraId="0E4837CE">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定期检查与隐患整改制</w:t>
            </w:r>
          </w:p>
        </w:tc>
        <w:tc>
          <w:tcPr>
            <w:tcW w:w="6605" w:type="dxa"/>
            <w:noWrap w:val="0"/>
            <w:vAlign w:val="center"/>
          </w:tcPr>
          <w:p w14:paraId="32C97B3D">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安全及文明施工管理部每周组织一次由各施工配属队伍安全生产责任人共同参加的安全生产联合检查，对查出的安全隐患必须定措施、定时间、定人员整改，并作好隐患整改及消项记录。</w:t>
            </w:r>
          </w:p>
        </w:tc>
      </w:tr>
      <w:tr w14:paraId="5E0E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F514723">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7</w:t>
            </w:r>
          </w:p>
        </w:tc>
        <w:tc>
          <w:tcPr>
            <w:tcW w:w="1963" w:type="dxa"/>
            <w:noWrap w:val="0"/>
            <w:vAlign w:val="center"/>
          </w:tcPr>
          <w:p w14:paraId="5763E877">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机械设备安装验收制</w:t>
            </w:r>
          </w:p>
        </w:tc>
        <w:tc>
          <w:tcPr>
            <w:tcW w:w="6605" w:type="dxa"/>
            <w:noWrap w:val="0"/>
            <w:vAlign w:val="center"/>
          </w:tcPr>
          <w:p w14:paraId="1213966F">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塔吊等大中型机械设备安装实行验收制，凡未经验收的一律不得投入使用。</w:t>
            </w:r>
          </w:p>
        </w:tc>
      </w:tr>
      <w:tr w14:paraId="56B4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D89A83E">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8</w:t>
            </w:r>
          </w:p>
        </w:tc>
        <w:tc>
          <w:tcPr>
            <w:tcW w:w="1963" w:type="dxa"/>
            <w:noWrap w:val="0"/>
            <w:vAlign w:val="center"/>
          </w:tcPr>
          <w:p w14:paraId="01545273">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持证上岗制</w:t>
            </w:r>
          </w:p>
        </w:tc>
        <w:tc>
          <w:tcPr>
            <w:tcW w:w="6605" w:type="dxa"/>
            <w:noWrap w:val="0"/>
            <w:vAlign w:val="center"/>
          </w:tcPr>
          <w:p w14:paraId="163795DE">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进场工人和调换工种的职工，必须按规定进行安全教育和技术培训，特殊工种必需持有上岗操作证，严禁无证操作。</w:t>
            </w:r>
          </w:p>
        </w:tc>
      </w:tr>
      <w:tr w14:paraId="5EE5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2AD15CA">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9</w:t>
            </w:r>
          </w:p>
        </w:tc>
        <w:tc>
          <w:tcPr>
            <w:tcW w:w="1963" w:type="dxa"/>
            <w:noWrap w:val="0"/>
            <w:vAlign w:val="center"/>
          </w:tcPr>
          <w:p w14:paraId="4EB2BBFB">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特殊工种证书年审制</w:t>
            </w:r>
          </w:p>
        </w:tc>
        <w:tc>
          <w:tcPr>
            <w:tcW w:w="6605" w:type="dxa"/>
            <w:noWrap w:val="0"/>
            <w:vAlign w:val="center"/>
          </w:tcPr>
          <w:p w14:paraId="782EF896">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每年由单位统一组织进行，加强施工管理人员的安全考核，增强安全意识，避免违章指挥、违章作业。</w:t>
            </w:r>
          </w:p>
        </w:tc>
      </w:tr>
      <w:tr w14:paraId="3B47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9D545A1">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10</w:t>
            </w:r>
          </w:p>
        </w:tc>
        <w:tc>
          <w:tcPr>
            <w:tcW w:w="1963" w:type="dxa"/>
            <w:noWrap w:val="0"/>
            <w:vAlign w:val="center"/>
          </w:tcPr>
          <w:p w14:paraId="6A40DF47">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安全生产奖罚制与事故报告制</w:t>
            </w:r>
          </w:p>
        </w:tc>
        <w:tc>
          <w:tcPr>
            <w:tcW w:w="6605" w:type="dxa"/>
            <w:noWrap w:val="0"/>
            <w:vAlign w:val="center"/>
          </w:tcPr>
          <w:p w14:paraId="73A0262D">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对施工生产中安全工作做得好的单位进行奖励，对施工过程中，不按安全生产管理制度、方案措施执行的将进行处罚，以督促整改，对事故将按程序及时进行通报。</w:t>
            </w:r>
          </w:p>
        </w:tc>
      </w:tr>
      <w:tr w14:paraId="4A00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2AD318E">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11</w:t>
            </w:r>
          </w:p>
        </w:tc>
        <w:tc>
          <w:tcPr>
            <w:tcW w:w="1963" w:type="dxa"/>
            <w:noWrap w:val="0"/>
            <w:vAlign w:val="center"/>
          </w:tcPr>
          <w:p w14:paraId="4B620D79">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危急情况停工制</w:t>
            </w:r>
          </w:p>
        </w:tc>
        <w:tc>
          <w:tcPr>
            <w:tcW w:w="6605" w:type="dxa"/>
            <w:noWrap w:val="0"/>
            <w:vAlign w:val="center"/>
          </w:tcPr>
          <w:p w14:paraId="7728F051">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一旦出现危及职工生命财产安全险情，要立即停工，及时采取措施排除险情，同时即刻报告单位、业主及监理。</w:t>
            </w:r>
          </w:p>
        </w:tc>
      </w:tr>
      <w:tr w14:paraId="228D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504A758">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12</w:t>
            </w:r>
          </w:p>
        </w:tc>
        <w:tc>
          <w:tcPr>
            <w:tcW w:w="1963" w:type="dxa"/>
            <w:noWrap w:val="0"/>
            <w:vAlign w:val="center"/>
          </w:tcPr>
          <w:p w14:paraId="69E77739">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责任领导值班制</w:t>
            </w:r>
          </w:p>
        </w:tc>
        <w:tc>
          <w:tcPr>
            <w:tcW w:w="6605" w:type="dxa"/>
            <w:noWrap w:val="0"/>
            <w:vAlign w:val="center"/>
          </w:tcPr>
          <w:p w14:paraId="140168A1">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组织施工过程中，必须保证有本单位施工人员施工作业，有领导在现场值班，不得空岗、失控。</w:t>
            </w:r>
          </w:p>
        </w:tc>
      </w:tr>
    </w:tbl>
    <w:p w14:paraId="6E80364D">
      <w:pPr>
        <w:pStyle w:val="23"/>
        <w:keepNext w:val="0"/>
        <w:keepLines w:val="0"/>
        <w:pageBreakBefore w:val="0"/>
        <w:widowControl w:val="0"/>
        <w:kinsoku/>
        <w:wordWrap/>
        <w:overflowPunct/>
        <w:topLinePunct w:val="0"/>
        <w:autoSpaceDE/>
        <w:autoSpaceDN/>
        <w:bidi w:val="0"/>
        <w:adjustRightInd/>
        <w:snapToGrid/>
        <w:spacing w:before="72"/>
        <w:ind w:right="34" w:firstLine="482" w:firstLineChars="200"/>
        <w:textAlignment w:val="auto"/>
        <w:outlineLvl w:val="3"/>
        <w:rPr>
          <w:rFonts w:hint="eastAsia" w:ascii="宋体" w:hAnsi="宋体" w:eastAsia="宋体" w:cs="宋体"/>
          <w:b/>
          <w:bCs/>
          <w:color w:val="auto"/>
          <w:szCs w:val="24"/>
          <w:lang w:val="en-US" w:eastAsia="zh-CN"/>
        </w:rPr>
      </w:pPr>
      <w:r>
        <w:rPr>
          <w:rFonts w:hint="eastAsia" w:ascii="宋体" w:hAnsi="宋体" w:eastAsia="宋体" w:cs="宋体"/>
          <w:b/>
          <w:bCs/>
          <w:color w:val="auto"/>
          <w:szCs w:val="24"/>
          <w:lang w:val="en-US" w:eastAsia="zh-CN"/>
        </w:rPr>
        <w:t>6.2.4.2消防管理制度</w:t>
      </w:r>
    </w:p>
    <w:p w14:paraId="42DECE9E">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w:t>
      </w:r>
      <w:r>
        <w:rPr>
          <w:rFonts w:ascii="宋体" w:hAnsi="宋体" w:cs="宋体"/>
          <w:b/>
          <w:bCs/>
          <w:color w:val="auto"/>
          <w:sz w:val="24"/>
        </w:rPr>
        <w:t>3</w:t>
      </w:r>
      <w:r>
        <w:rPr>
          <w:rFonts w:hint="eastAsia" w:ascii="宋体" w:hAnsi="宋体" w:cs="宋体"/>
          <w:b/>
          <w:bCs/>
          <w:color w:val="auto"/>
          <w:sz w:val="24"/>
        </w:rPr>
        <w:t>消防管理制度</w:t>
      </w:r>
    </w:p>
    <w:tbl>
      <w:tblPr>
        <w:tblStyle w:val="2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19"/>
        <w:gridCol w:w="8568"/>
      </w:tblGrid>
      <w:tr w14:paraId="2ACA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46C242F8">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序号</w:t>
            </w:r>
          </w:p>
        </w:tc>
        <w:tc>
          <w:tcPr>
            <w:tcW w:w="8568" w:type="dxa"/>
            <w:noWrap w:val="0"/>
            <w:vAlign w:val="center"/>
          </w:tcPr>
          <w:p w14:paraId="351C566B">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消防管理制度</w:t>
            </w:r>
          </w:p>
        </w:tc>
      </w:tr>
      <w:tr w14:paraId="4E93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38AE9D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w:t>
            </w:r>
          </w:p>
        </w:tc>
        <w:tc>
          <w:tcPr>
            <w:tcW w:w="8568" w:type="dxa"/>
            <w:noWrap w:val="0"/>
            <w:vAlign w:val="center"/>
          </w:tcPr>
          <w:p w14:paraId="7DA4EE16">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编制消防管理方案和消防预案，坚持消防安全交底制度。</w:t>
            </w:r>
          </w:p>
        </w:tc>
      </w:tr>
      <w:tr w14:paraId="3DC9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34DE322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2</w:t>
            </w:r>
          </w:p>
        </w:tc>
        <w:tc>
          <w:tcPr>
            <w:tcW w:w="8568" w:type="dxa"/>
            <w:noWrap w:val="0"/>
            <w:vAlign w:val="center"/>
          </w:tcPr>
          <w:p w14:paraId="4CD66035">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建立消防保卫机构，组建义务消防队，开展消防演习，确保项目处理火灾的应急能力。</w:t>
            </w:r>
          </w:p>
        </w:tc>
      </w:tr>
      <w:tr w14:paraId="01CA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355E17CC">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3</w:t>
            </w:r>
          </w:p>
        </w:tc>
        <w:tc>
          <w:tcPr>
            <w:tcW w:w="8568" w:type="dxa"/>
            <w:noWrap w:val="0"/>
            <w:vAlign w:val="center"/>
          </w:tcPr>
          <w:p w14:paraId="52E5F0D6">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现场消防道路畅通，禁止在临时消防车道上堆物、堆料或挤占消防车道。</w:t>
            </w:r>
          </w:p>
        </w:tc>
      </w:tr>
      <w:tr w14:paraId="3DC5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23226C8">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4</w:t>
            </w:r>
          </w:p>
        </w:tc>
        <w:tc>
          <w:tcPr>
            <w:tcW w:w="8568" w:type="dxa"/>
            <w:noWrap w:val="0"/>
            <w:vAlign w:val="center"/>
          </w:tcPr>
          <w:p w14:paraId="040CA809">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消防设施、器材齐全、有效，并全面覆盖现场。消防设施、器材做明显标识，除发生火灾和检修、更新消防设施、器材，任何情况下不得动用消防设施、器材。</w:t>
            </w:r>
          </w:p>
        </w:tc>
      </w:tr>
      <w:tr w14:paraId="5D0D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85235A4">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5</w:t>
            </w:r>
          </w:p>
        </w:tc>
        <w:tc>
          <w:tcPr>
            <w:tcW w:w="8568" w:type="dxa"/>
            <w:noWrap w:val="0"/>
            <w:vAlign w:val="center"/>
          </w:tcPr>
          <w:p w14:paraId="6E4EB978">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消防泵配专用配电线路。消防供水保证足够水源和水压，楼层安装临时消防竖管。严禁消防竖管作为施工用水管线。</w:t>
            </w:r>
          </w:p>
        </w:tc>
      </w:tr>
      <w:tr w14:paraId="4C7C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772367F">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6</w:t>
            </w:r>
          </w:p>
        </w:tc>
        <w:tc>
          <w:tcPr>
            <w:tcW w:w="8568" w:type="dxa"/>
            <w:noWrap w:val="0"/>
            <w:vAlign w:val="center"/>
          </w:tcPr>
          <w:p w14:paraId="16B73CEA">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设立从作业楼层通往室外地面的紧急疏散通道，配备应急电源。</w:t>
            </w:r>
          </w:p>
        </w:tc>
      </w:tr>
      <w:tr w14:paraId="089A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D7CC550">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7</w:t>
            </w:r>
          </w:p>
        </w:tc>
        <w:tc>
          <w:tcPr>
            <w:tcW w:w="8568" w:type="dxa"/>
            <w:noWrap w:val="0"/>
            <w:vAlign w:val="center"/>
          </w:tcPr>
          <w:p w14:paraId="32D0278B">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施工现场使用的各类安全网、保温材料，必须符合消防安全规定，不得使用易燃、可燃材料。</w:t>
            </w:r>
          </w:p>
        </w:tc>
      </w:tr>
      <w:tr w14:paraId="3491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382D66DB">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8</w:t>
            </w:r>
          </w:p>
        </w:tc>
        <w:tc>
          <w:tcPr>
            <w:tcW w:w="8568" w:type="dxa"/>
            <w:noWrap w:val="0"/>
            <w:vAlign w:val="center"/>
          </w:tcPr>
          <w:p w14:paraId="55CB0CEF">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施工材料分类存放，做好防火措施；易燃易爆物品专库分类单独存放，保持通风，严格执行领退料手续。</w:t>
            </w:r>
          </w:p>
        </w:tc>
      </w:tr>
      <w:tr w14:paraId="28D3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5F3B716">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9</w:t>
            </w:r>
          </w:p>
        </w:tc>
        <w:tc>
          <w:tcPr>
            <w:tcW w:w="8568" w:type="dxa"/>
            <w:noWrap w:val="0"/>
            <w:vAlign w:val="center"/>
          </w:tcPr>
          <w:p w14:paraId="7773BA36">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使用电气设备和易燃易爆物品，指定防火负责人，配备灭火器材，确保施工安全。</w:t>
            </w:r>
          </w:p>
        </w:tc>
      </w:tr>
      <w:tr w14:paraId="1582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781C396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10</w:t>
            </w:r>
          </w:p>
        </w:tc>
        <w:tc>
          <w:tcPr>
            <w:tcW w:w="8568" w:type="dxa"/>
            <w:noWrap w:val="0"/>
            <w:vAlign w:val="center"/>
          </w:tcPr>
          <w:p w14:paraId="7518966B">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电气焊操作工人必须持特种作业操作证，明火作业要办理动火手续，办理动火证，动火证当日有效，安排专人看火，并配灭火器。</w:t>
            </w:r>
          </w:p>
        </w:tc>
      </w:tr>
      <w:tr w14:paraId="16F2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AADEF39">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11</w:t>
            </w:r>
          </w:p>
        </w:tc>
        <w:tc>
          <w:tcPr>
            <w:tcW w:w="8568" w:type="dxa"/>
            <w:noWrap w:val="0"/>
            <w:vAlign w:val="center"/>
          </w:tcPr>
          <w:p w14:paraId="1C6786A9">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施工现场禁止吸烟。</w:t>
            </w:r>
          </w:p>
        </w:tc>
      </w:tr>
    </w:tbl>
    <w:p w14:paraId="59E52E5A">
      <w:pPr>
        <w:pStyle w:val="23"/>
        <w:keepNext w:val="0"/>
        <w:keepLines w:val="0"/>
        <w:pageBreakBefore w:val="0"/>
        <w:widowControl w:val="0"/>
        <w:kinsoku/>
        <w:wordWrap/>
        <w:overflowPunct/>
        <w:topLinePunct w:val="0"/>
        <w:autoSpaceDE/>
        <w:autoSpaceDN/>
        <w:bidi w:val="0"/>
        <w:adjustRightInd/>
        <w:snapToGrid/>
        <w:spacing w:before="72"/>
        <w:ind w:right="34" w:firstLine="482" w:firstLineChars="200"/>
        <w:textAlignment w:val="auto"/>
        <w:outlineLvl w:val="3"/>
        <w:rPr>
          <w:rFonts w:hint="eastAsia" w:ascii="宋体" w:hAnsi="宋体" w:eastAsia="宋体" w:cs="宋体"/>
          <w:b/>
          <w:bCs/>
          <w:color w:val="auto"/>
          <w:szCs w:val="24"/>
          <w:lang w:val="en-US" w:eastAsia="zh-CN"/>
        </w:rPr>
      </w:pPr>
      <w:r>
        <w:rPr>
          <w:rFonts w:hint="eastAsia" w:ascii="宋体" w:hAnsi="宋体" w:eastAsia="宋体" w:cs="宋体"/>
          <w:b/>
          <w:bCs/>
          <w:color w:val="auto"/>
          <w:szCs w:val="24"/>
          <w:lang w:val="en-US" w:eastAsia="zh-CN"/>
        </w:rPr>
        <w:t>6.2.4.3环境管理制度</w:t>
      </w:r>
    </w:p>
    <w:p w14:paraId="733A93A6">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w:t>
      </w:r>
      <w:r>
        <w:rPr>
          <w:rFonts w:ascii="宋体" w:hAnsi="宋体" w:cs="宋体"/>
          <w:b/>
          <w:bCs/>
          <w:color w:val="auto"/>
          <w:sz w:val="24"/>
        </w:rPr>
        <w:t>4</w:t>
      </w:r>
      <w:r>
        <w:rPr>
          <w:rFonts w:hint="eastAsia" w:ascii="宋体" w:hAnsi="宋体" w:cs="宋体"/>
          <w:b/>
          <w:bCs/>
          <w:color w:val="auto"/>
          <w:sz w:val="24"/>
        </w:rPr>
        <w:t>环境管理制度</w:t>
      </w:r>
    </w:p>
    <w:tbl>
      <w:tblPr>
        <w:tblStyle w:val="2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76"/>
        <w:gridCol w:w="8611"/>
      </w:tblGrid>
      <w:tr w14:paraId="698B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40422397">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序号</w:t>
            </w:r>
          </w:p>
        </w:tc>
        <w:tc>
          <w:tcPr>
            <w:tcW w:w="8611" w:type="dxa"/>
            <w:noWrap w:val="0"/>
            <w:vAlign w:val="center"/>
          </w:tcPr>
          <w:p w14:paraId="4BF66EAE">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环境保护管理制度主要内容</w:t>
            </w:r>
          </w:p>
        </w:tc>
      </w:tr>
      <w:tr w14:paraId="5CC0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2C77778D">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w:t>
            </w:r>
          </w:p>
        </w:tc>
        <w:tc>
          <w:tcPr>
            <w:tcW w:w="8611" w:type="dxa"/>
            <w:noWrap w:val="0"/>
            <w:vAlign w:val="center"/>
          </w:tcPr>
          <w:p w14:paraId="1D0C7727">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建立环境保护管理体系，对从开工准备到完工期间所有的施工过程、运作和管理过程中可能产生的环境因素进行充分的识别和评估，并制订针对性的预防和改进措施，落实到人、实施到位。</w:t>
            </w:r>
          </w:p>
        </w:tc>
      </w:tr>
      <w:tr w14:paraId="6345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16CF029F">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2</w:t>
            </w:r>
          </w:p>
        </w:tc>
        <w:tc>
          <w:tcPr>
            <w:tcW w:w="8611" w:type="dxa"/>
            <w:noWrap w:val="0"/>
            <w:vAlign w:val="center"/>
          </w:tcPr>
          <w:p w14:paraId="6B4718D9">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采取多种形式的环保宣传、教育活动，不断提高职工的环保意识和法制观念。</w:t>
            </w:r>
          </w:p>
        </w:tc>
      </w:tr>
      <w:tr w14:paraId="4038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65C8720B">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3</w:t>
            </w:r>
          </w:p>
        </w:tc>
        <w:tc>
          <w:tcPr>
            <w:tcW w:w="8611" w:type="dxa"/>
            <w:noWrap w:val="0"/>
            <w:vAlign w:val="center"/>
          </w:tcPr>
          <w:p w14:paraId="33CB26D4">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施工过程中针对扬尘、遗撒、噪音、污水等环境因素开展自检活动，发现问题即使采取措施进行整改。</w:t>
            </w:r>
          </w:p>
        </w:tc>
      </w:tr>
      <w:tr w14:paraId="2F7ED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74D52C88">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4</w:t>
            </w:r>
          </w:p>
        </w:tc>
        <w:tc>
          <w:tcPr>
            <w:tcW w:w="8611" w:type="dxa"/>
            <w:noWrap w:val="0"/>
            <w:vAlign w:val="center"/>
          </w:tcPr>
          <w:p w14:paraId="24B87803">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现场使用商品混凝土，减少噪音、污水等。</w:t>
            </w:r>
          </w:p>
        </w:tc>
      </w:tr>
      <w:tr w14:paraId="5D1C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25DF846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5</w:t>
            </w:r>
          </w:p>
        </w:tc>
        <w:tc>
          <w:tcPr>
            <w:tcW w:w="8611" w:type="dxa"/>
            <w:noWrap w:val="0"/>
            <w:vAlign w:val="center"/>
          </w:tcPr>
          <w:p w14:paraId="0A25CBBD">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施工垃圾和生活垃圾分类封闭存放，一日一清，将现场废料、垃圾控制在最少范围内。</w:t>
            </w:r>
          </w:p>
        </w:tc>
      </w:tr>
      <w:tr w14:paraId="667F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3B4A87B4">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6</w:t>
            </w:r>
          </w:p>
        </w:tc>
        <w:tc>
          <w:tcPr>
            <w:tcW w:w="8611" w:type="dxa"/>
            <w:noWrap w:val="0"/>
            <w:vAlign w:val="center"/>
          </w:tcPr>
          <w:p w14:paraId="6A4FDCE2">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施工现场进行硬化处理，周边设置排水沟，经分级沉淀，检查合格后，排入市政管网。</w:t>
            </w:r>
          </w:p>
        </w:tc>
      </w:tr>
      <w:tr w14:paraId="5E21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2EB87B7F">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7</w:t>
            </w:r>
          </w:p>
        </w:tc>
        <w:tc>
          <w:tcPr>
            <w:tcW w:w="8611" w:type="dxa"/>
            <w:noWrap w:val="0"/>
            <w:vAlign w:val="center"/>
          </w:tcPr>
          <w:p w14:paraId="221F6E1E">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各类油料专库存放，并对库房进行防渗漏处理，严格执行领退料制度，按需领料，并采取措施防止油料跑、冒、滴、楼，污染水体和大地。</w:t>
            </w:r>
          </w:p>
        </w:tc>
      </w:tr>
      <w:tr w14:paraId="09BC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55BFA84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8</w:t>
            </w:r>
          </w:p>
        </w:tc>
        <w:tc>
          <w:tcPr>
            <w:tcW w:w="8611" w:type="dxa"/>
            <w:noWrap w:val="0"/>
            <w:vAlign w:val="center"/>
          </w:tcPr>
          <w:p w14:paraId="4E5C0BDD">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使用环保材料，尽最大可能减少钢材、木材、水资源、燃料资源消耗。</w:t>
            </w:r>
          </w:p>
        </w:tc>
      </w:tr>
    </w:tbl>
    <w:p w14:paraId="7D74BA46">
      <w:pPr>
        <w:pStyle w:val="3"/>
        <w:outlineLvl w:val="1"/>
        <w:rPr>
          <w:color w:val="auto"/>
        </w:rPr>
      </w:pPr>
      <w:bookmarkStart w:id="174" w:name="_Toc2344"/>
      <w:bookmarkStart w:id="175" w:name="_Toc14410"/>
      <w:r>
        <w:rPr>
          <w:rFonts w:hint="eastAsia"/>
          <w:color w:val="auto"/>
        </w:rPr>
        <w:t>监管措施</w:t>
      </w:r>
      <w:bookmarkEnd w:id="174"/>
    </w:p>
    <w:p w14:paraId="5C7A9464">
      <w:pPr>
        <w:pStyle w:val="48"/>
        <w:ind w:firstLine="480"/>
        <w:rPr>
          <w:rFonts w:ascii="Times New Roman" w:hAnsi="Times New Roman"/>
          <w:color w:val="auto"/>
        </w:rPr>
      </w:pPr>
      <w:r>
        <w:rPr>
          <w:rFonts w:hint="eastAsia" w:ascii="Times New Roman" w:hAnsi="Times New Roman"/>
          <w:color w:val="auto"/>
        </w:rPr>
        <w:t>为落实塔式起重机安装安全管理工作，项目部采取以下监控措施：</w:t>
      </w:r>
    </w:p>
    <w:p w14:paraId="6A7968DE">
      <w:pPr>
        <w:pStyle w:val="48"/>
        <w:ind w:left="480" w:leftChars="200" w:firstLine="0" w:firstLineChars="0"/>
        <w:rPr>
          <w:color w:val="auto"/>
        </w:rPr>
      </w:pPr>
      <w:r>
        <w:rPr>
          <w:rFonts w:hint="eastAsia"/>
          <w:color w:val="auto"/>
        </w:rPr>
        <w:t>1）现场安全、技术管理人员必须参与作业施工方案的编制，熟悉方案。</w:t>
      </w:r>
    </w:p>
    <w:p w14:paraId="0AA2C0D4">
      <w:pPr>
        <w:pStyle w:val="48"/>
        <w:keepNext w:val="0"/>
        <w:keepLines w:val="0"/>
        <w:pageBreakBefore w:val="0"/>
        <w:widowControl/>
        <w:kinsoku/>
        <w:wordWrap/>
        <w:overflowPunct/>
        <w:topLinePunct w:val="0"/>
        <w:autoSpaceDE/>
        <w:autoSpaceDN/>
        <w:bidi w:val="0"/>
        <w:adjustRightInd w:val="0"/>
        <w:snapToGrid w:val="0"/>
        <w:ind w:left="0" w:firstLine="480" w:firstLineChars="200"/>
        <w:textAlignment w:val="auto"/>
        <w:rPr>
          <w:rFonts w:hint="eastAsia"/>
          <w:color w:val="auto"/>
        </w:rPr>
      </w:pPr>
      <w:r>
        <w:rPr>
          <w:rFonts w:hint="eastAsia"/>
          <w:color w:val="auto"/>
        </w:rPr>
        <w:t>2）安装作业时必须按施工组织设备要求配置相关人员。现场安全员监督操作人员是否按施工方案几安全操作规程进行操作，并督促操作人员按规定正确使用安全防护用品。</w:t>
      </w:r>
    </w:p>
    <w:p w14:paraId="51F468BC">
      <w:pPr>
        <w:pStyle w:val="48"/>
        <w:ind w:left="480" w:firstLine="0" w:firstLineChars="0"/>
        <w:rPr>
          <w:color w:val="auto"/>
        </w:rPr>
      </w:pPr>
      <w:r>
        <w:rPr>
          <w:rFonts w:hint="eastAsia"/>
          <w:color w:val="auto"/>
        </w:rPr>
        <w:t>3）专职安全人员对操作人员的操作实施全程监控，发现不良行为及时制</w:t>
      </w:r>
    </w:p>
    <w:p w14:paraId="784A1229">
      <w:pPr>
        <w:pStyle w:val="48"/>
        <w:ind w:firstLine="0" w:firstLineChars="0"/>
        <w:rPr>
          <w:color w:val="auto"/>
        </w:rPr>
      </w:pPr>
      <w:r>
        <w:rPr>
          <w:rFonts w:hint="eastAsia"/>
          <w:color w:val="auto"/>
        </w:rPr>
        <w:t>止纠正。</w:t>
      </w:r>
    </w:p>
    <w:p w14:paraId="1F437C55">
      <w:pPr>
        <w:pStyle w:val="48"/>
        <w:ind w:left="480" w:leftChars="200" w:firstLine="0" w:firstLineChars="0"/>
        <w:rPr>
          <w:color w:val="auto"/>
        </w:rPr>
      </w:pPr>
      <w:r>
        <w:rPr>
          <w:rFonts w:hint="eastAsia"/>
          <w:color w:val="auto"/>
        </w:rPr>
        <w:t>4）现场管理人员必须留存影像、图片、纸质资料并建立每日汇报机制。</w:t>
      </w:r>
    </w:p>
    <w:p w14:paraId="2077428B">
      <w:pPr>
        <w:pStyle w:val="48"/>
        <w:ind w:left="480" w:leftChars="200" w:firstLine="0" w:firstLineChars="0"/>
        <w:rPr>
          <w:color w:val="auto"/>
        </w:rPr>
      </w:pPr>
      <w:r>
        <w:rPr>
          <w:rFonts w:hint="eastAsia"/>
          <w:color w:val="auto"/>
        </w:rPr>
        <w:t>5）带班领导随机抽查现场落实情况。</w:t>
      </w:r>
    </w:p>
    <w:p w14:paraId="7CAD757A">
      <w:pPr>
        <w:pStyle w:val="48"/>
        <w:ind w:left="480" w:leftChars="200" w:firstLine="0" w:firstLineChars="0"/>
        <w:rPr>
          <w:color w:val="auto"/>
        </w:rPr>
      </w:pPr>
      <w:r>
        <w:rPr>
          <w:rFonts w:hint="eastAsia"/>
          <w:color w:val="auto"/>
        </w:rPr>
        <w:t>6）每项工作完成后必须进行验收后方可开展下道工序。</w:t>
      </w:r>
    </w:p>
    <w:p w14:paraId="3FFFFAC0">
      <w:pPr>
        <w:pStyle w:val="3"/>
        <w:spacing w:before="156" w:after="156"/>
        <w:ind w:left="480" w:leftChars="0" w:firstLineChars="0"/>
        <w:rPr>
          <w:color w:val="auto"/>
        </w:rPr>
      </w:pPr>
      <w:bookmarkStart w:id="176" w:name="_Toc30932"/>
      <w:r>
        <w:rPr>
          <w:rFonts w:hint="eastAsia"/>
          <w:color w:val="auto"/>
          <w:lang w:val="en-US" w:eastAsia="zh-CN"/>
        </w:rPr>
        <w:t>施工安全控制</w:t>
      </w:r>
      <w:r>
        <w:rPr>
          <w:rFonts w:hint="eastAsia"/>
          <w:color w:val="auto"/>
        </w:rPr>
        <w:t>措施</w:t>
      </w:r>
      <w:bookmarkEnd w:id="175"/>
      <w:bookmarkEnd w:id="176"/>
    </w:p>
    <w:p w14:paraId="7B2626AF">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rFonts w:hint="eastAsia"/>
          <w:color w:val="auto"/>
          <w:lang w:val="en-US" w:eastAsia="zh-CN"/>
        </w:rPr>
        <w:t>6</w:t>
      </w:r>
      <w:r>
        <w:rPr>
          <w:rFonts w:hint="eastAsia"/>
          <w:color w:val="auto"/>
        </w:rPr>
        <w:t>.4.1安全方针及基本要求</w:t>
      </w:r>
    </w:p>
    <w:p w14:paraId="0D2FE13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1）认真贯彻执行、落实国家“安全第一、预防为主、综合治理”的方针，严格执行国家、地方及企业安全技术规范、规章、制度，牢固树立“安全第一”的思想，坚持预防为主的方针，落实安全生产责任制。</w:t>
      </w:r>
    </w:p>
    <w:p w14:paraId="0DDD8CA8">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2）建立落实安全技术交底制度，各级交底必须履行签字手续。认真做好安全检查，做到有制度，有记录。</w:t>
      </w:r>
    </w:p>
    <w:p w14:paraId="5FAD79B4">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3）安装作业人员必须持证上岗。</w:t>
      </w:r>
    </w:p>
    <w:p w14:paraId="0111FCC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4）安装施工区域必须有安全距离，并设安全警示标志，专人负责危险区域警戒告示。</w:t>
      </w:r>
    </w:p>
    <w:p w14:paraId="1345CC0E">
      <w:pPr>
        <w:tabs>
          <w:tab w:val="right" w:pos="8312"/>
        </w:tabs>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5）确保文明施工，实行统一领导，分工责任，做到现场文明施工。</w:t>
      </w:r>
    </w:p>
    <w:p w14:paraId="533C3ED7">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77" w:name="_Toc530055690"/>
      <w:r>
        <w:rPr>
          <w:rFonts w:hint="eastAsia" w:ascii="宋体" w:hAnsi="宋体" w:eastAsia="宋体" w:cs="Times New Roman"/>
          <w:color w:val="auto"/>
          <w:lang w:val="en-US" w:eastAsia="zh-CN"/>
        </w:rPr>
        <w:t>6.4.2作业安全规定</w:t>
      </w:r>
    </w:p>
    <w:bookmarkEnd w:id="177"/>
    <w:p w14:paraId="0D9C017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1）患高血压、心脏病、贫血病、癫痫病以及其它不适于高空作业的不得从事高空作业；</w:t>
      </w:r>
    </w:p>
    <w:p w14:paraId="0327050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2）高空作业衣着要灵便，禁止穿硬底和带钉易滑的鞋。衣服袖口、裤脚口要扎紧。</w:t>
      </w:r>
    </w:p>
    <w:p w14:paraId="767C43AC">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3）在2m以上登高作业时，应使用安全带栓牢在固定物上，使用安全带前必须仔细检查绳带是否够力，带环是否牢固。</w:t>
      </w:r>
    </w:p>
    <w:p w14:paraId="510BC459">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4）登高作业注意力要集中，不得开玩笑，不得快跑急跳，以防失足，从高空中滑落。</w:t>
      </w:r>
    </w:p>
    <w:p w14:paraId="43975B85">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5）有雷雨、暴雨和风速超过10.8-13.8m/s（6级风）时，不允许进行安装工作。</w:t>
      </w:r>
    </w:p>
    <w:p w14:paraId="161C7A5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6）高空作业用材料要堆放平稳，工具应随手放入工具袋内，同时用细绳联接工具与作业人员，上下递物件禁止抛掷。螺栓等各种小件物品放入小铁桶。</w:t>
      </w:r>
    </w:p>
    <w:p w14:paraId="5405B4EB">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78" w:name="_Toc530055691"/>
      <w:r>
        <w:rPr>
          <w:rFonts w:hint="eastAsia" w:ascii="宋体" w:hAnsi="宋体" w:eastAsia="宋体" w:cs="Times New Roman"/>
          <w:color w:val="auto"/>
          <w:lang w:val="en-US" w:eastAsia="zh-CN"/>
        </w:rPr>
        <w:t>6.4.3安全防护措施</w:t>
      </w:r>
    </w:p>
    <w:bookmarkEnd w:id="178"/>
    <w:p w14:paraId="4ECB48B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1）吊装工作区内禁止非工作人员进入，起重臂下严禁站人；</w:t>
      </w:r>
    </w:p>
    <w:p w14:paraId="152099AC">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2）身体不适的工人不能进行高空作业，作业前全体作业人员必须明确重点措施方法，按既定的施工方案进行作业；</w:t>
      </w:r>
    </w:p>
    <w:p w14:paraId="27DE940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3）安装起重机大臂、套架、平衡臂、回转总成及电器系统时，高空作业人员必须带好安全带；</w:t>
      </w:r>
    </w:p>
    <w:p w14:paraId="6E66D0EA">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4）不准超负荷吊装，吊装人员必须戴安全帽，穿防滑鞋，带工具袋，不能在工作中嬉闹，必须认真作业；</w:t>
      </w:r>
    </w:p>
    <w:p w14:paraId="5830B150">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5）严禁工人站在被吊运的构件上，构件上也不能摆放零星物件；</w:t>
      </w:r>
    </w:p>
    <w:p w14:paraId="761C3EB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6）吊运时，绑扎方法要可靠，以防止中途落下伤人和起重机因失重而倾翻；</w:t>
      </w:r>
    </w:p>
    <w:p w14:paraId="767AA445">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7）吊装过程应由专人负责指挥，信号要求准确、明确到位；</w:t>
      </w:r>
    </w:p>
    <w:p w14:paraId="708BDFE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8）电工须穿绝缘鞋，戴好绝缘手套，不违章操作；</w:t>
      </w:r>
    </w:p>
    <w:p w14:paraId="58BFB68C">
      <w:pPr>
        <w:spacing w:line="360" w:lineRule="auto"/>
        <w:ind w:firstLine="480"/>
        <w:rPr>
          <w:rFonts w:ascii="宋体" w:hAnsi="宋体" w:eastAsia="宋体" w:cs="宋体"/>
          <w:color w:val="auto"/>
          <w:sz w:val="24"/>
          <w:szCs w:val="24"/>
        </w:rPr>
      </w:pPr>
      <w:bookmarkStart w:id="179" w:name="_Toc3803_WPSOffice_Level2"/>
      <w:r>
        <w:rPr>
          <w:rFonts w:hint="eastAsia" w:ascii="宋体" w:hAnsi="宋体" w:eastAsia="宋体" w:cs="宋体"/>
          <w:color w:val="auto"/>
          <w:sz w:val="24"/>
          <w:szCs w:val="24"/>
        </w:rPr>
        <w:t>9）构件吊装到位后要</w:t>
      </w:r>
      <w:bookmarkEnd w:id="179"/>
      <w:r>
        <w:rPr>
          <w:rFonts w:hint="eastAsia" w:ascii="宋体" w:hAnsi="宋体" w:eastAsia="宋体" w:cs="宋体"/>
          <w:color w:val="auto"/>
          <w:sz w:val="24"/>
          <w:szCs w:val="24"/>
        </w:rPr>
        <w:t>求固定可靠，再进入下一步操作，严禁将构件浮放在某一处，以免落下发生意外。</w:t>
      </w:r>
    </w:p>
    <w:p w14:paraId="6C832A5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10）设备工具摆放整齐、合理，做到安全、有序；</w:t>
      </w:r>
    </w:p>
    <w:p w14:paraId="08C09F5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11）安装作业中，应严格按安装顺序进行，作业时严禁抛掷物件。</w:t>
      </w:r>
    </w:p>
    <w:p w14:paraId="2CF8A4AF">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80" w:name="_Toc170739310"/>
      <w:bookmarkStart w:id="181" w:name="_Toc14333"/>
      <w:bookmarkStart w:id="182" w:name="_Toc17383806"/>
      <w:r>
        <w:rPr>
          <w:rFonts w:hint="eastAsia" w:ascii="宋体" w:hAnsi="宋体" w:eastAsia="宋体" w:cs="Times New Roman"/>
          <w:color w:val="auto"/>
          <w:lang w:val="en-US" w:eastAsia="zh-CN"/>
        </w:rPr>
        <w:t>6.4.4</w:t>
      </w:r>
      <w:r>
        <w:rPr>
          <w:rFonts w:hint="eastAsia" w:cs="Times New Roman"/>
          <w:color w:val="auto"/>
          <w:lang w:val="en-US" w:eastAsia="zh-CN"/>
        </w:rPr>
        <w:t>安装</w:t>
      </w:r>
      <w:r>
        <w:rPr>
          <w:rFonts w:hint="eastAsia" w:ascii="宋体" w:hAnsi="宋体" w:eastAsia="宋体" w:cs="Times New Roman"/>
          <w:color w:val="auto"/>
          <w:lang w:val="en-US" w:eastAsia="zh-CN"/>
        </w:rPr>
        <w:t>安全警戒措施</w:t>
      </w:r>
      <w:bookmarkEnd w:id="180"/>
      <w:bookmarkEnd w:id="181"/>
    </w:p>
    <w:p w14:paraId="457A71C4">
      <w:pPr>
        <w:rPr>
          <w:color w:val="auto"/>
        </w:rPr>
      </w:pPr>
      <w:r>
        <w:rPr>
          <w:rFonts w:hint="eastAsia"/>
          <w:color w:val="auto"/>
        </w:rPr>
        <w:t>（1）在整个施工区域内，设置围挡，进行封闭施工。</w:t>
      </w:r>
    </w:p>
    <w:p w14:paraId="47F9DD1C">
      <w:pPr>
        <w:rPr>
          <w:color w:val="auto"/>
        </w:rPr>
      </w:pPr>
      <w:r>
        <w:rPr>
          <w:rFonts w:hint="eastAsia"/>
          <w:color w:val="auto"/>
        </w:rPr>
        <w:t>（</w:t>
      </w:r>
      <w:r>
        <w:rPr>
          <w:rFonts w:hint="eastAsia"/>
          <w:color w:val="auto"/>
          <w:lang w:val="en-US" w:eastAsia="zh-CN"/>
        </w:rPr>
        <w:t>2</w:t>
      </w:r>
      <w:r>
        <w:rPr>
          <w:rFonts w:hint="eastAsia"/>
          <w:color w:val="auto"/>
        </w:rPr>
        <w:t>）在施工区域，设置警戒人员进行</w:t>
      </w:r>
      <w:r>
        <w:rPr>
          <w:color w:val="auto"/>
        </w:rPr>
        <w:t>24</w:t>
      </w:r>
      <w:r>
        <w:rPr>
          <w:rFonts w:hint="eastAsia"/>
          <w:color w:val="auto"/>
        </w:rPr>
        <w:t>小时巡检，如发现非施工作业人员进入施工现场，则要求其立即离开施工区域，对不听劝导则，立即通知当地派出所进行协调。</w:t>
      </w:r>
    </w:p>
    <w:p w14:paraId="244E108B">
      <w:pPr>
        <w:rPr>
          <w:color w:val="auto"/>
        </w:rPr>
      </w:pPr>
      <w:r>
        <w:rPr>
          <w:rFonts w:hint="eastAsia"/>
          <w:color w:val="auto"/>
        </w:rPr>
        <w:t>（</w:t>
      </w:r>
      <w:r>
        <w:rPr>
          <w:rFonts w:hint="eastAsia"/>
          <w:color w:val="auto"/>
          <w:lang w:val="en-US" w:eastAsia="zh-CN"/>
        </w:rPr>
        <w:t>3</w:t>
      </w:r>
      <w:r>
        <w:rPr>
          <w:rFonts w:hint="eastAsia"/>
          <w:color w:val="auto"/>
        </w:rPr>
        <w:t>）在施工区域四周，设置安全警示标语、标牌，告诫行人及车辆不要闯入施工区域。</w:t>
      </w:r>
    </w:p>
    <w:p w14:paraId="45FF7907">
      <w:pPr>
        <w:rPr>
          <w:color w:val="auto"/>
        </w:rPr>
      </w:pPr>
      <w:r>
        <w:rPr>
          <w:rFonts w:hint="eastAsia"/>
          <w:color w:val="auto"/>
        </w:rPr>
        <w:t>（</w:t>
      </w:r>
      <w:r>
        <w:rPr>
          <w:rFonts w:hint="eastAsia"/>
          <w:color w:val="auto"/>
          <w:lang w:val="en-US" w:eastAsia="zh-CN"/>
        </w:rPr>
        <w:t>4</w:t>
      </w:r>
      <w:r>
        <w:rPr>
          <w:rFonts w:hint="eastAsia"/>
          <w:color w:val="auto"/>
        </w:rPr>
        <w:t>）现场夜间增加照明设施，防止他人进入施工区域。</w:t>
      </w:r>
    </w:p>
    <w:p w14:paraId="0DF85546">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83" w:name="_Toc577430778"/>
      <w:bookmarkStart w:id="184" w:name="_Toc14631"/>
      <w:r>
        <w:rPr>
          <w:rFonts w:hint="eastAsia" w:ascii="宋体" w:hAnsi="宋体" w:eastAsia="宋体" w:cs="Times New Roman"/>
          <w:color w:val="auto"/>
          <w:lang w:val="en-US" w:eastAsia="zh-CN"/>
        </w:rPr>
        <w:t>6.4.5雨雪天气安全措施</w:t>
      </w:r>
      <w:bookmarkEnd w:id="183"/>
      <w:bookmarkEnd w:id="184"/>
    </w:p>
    <w:p w14:paraId="397AEB90">
      <w:pPr>
        <w:rPr>
          <w:color w:val="auto"/>
        </w:rPr>
      </w:pPr>
      <w:r>
        <w:rPr>
          <w:rFonts w:hint="eastAsia"/>
          <w:color w:val="auto"/>
        </w:rPr>
        <w:t>在</w:t>
      </w:r>
      <w:r>
        <w:rPr>
          <w:rFonts w:hint="eastAsia"/>
          <w:color w:val="auto"/>
          <w:lang w:val="en-US" w:eastAsia="zh-CN"/>
        </w:rPr>
        <w:t>冬</w:t>
      </w:r>
      <w:r>
        <w:rPr>
          <w:rFonts w:hint="eastAsia"/>
          <w:color w:val="auto"/>
        </w:rPr>
        <w:t>季雨</w:t>
      </w:r>
      <w:r>
        <w:rPr>
          <w:rFonts w:hint="eastAsia"/>
          <w:color w:val="auto"/>
          <w:lang w:val="en-US" w:eastAsia="zh-CN"/>
        </w:rPr>
        <w:t>雪</w:t>
      </w:r>
      <w:r>
        <w:rPr>
          <w:rFonts w:hint="eastAsia"/>
          <w:color w:val="auto"/>
        </w:rPr>
        <w:t>天多发时期，项目经理部办公室、安</w:t>
      </w:r>
      <w:r>
        <w:rPr>
          <w:rFonts w:hint="eastAsia"/>
          <w:color w:val="auto"/>
          <w:lang w:val="en-US" w:eastAsia="zh-CN"/>
        </w:rPr>
        <w:t>全</w:t>
      </w:r>
      <w:r>
        <w:rPr>
          <w:rFonts w:hint="eastAsia"/>
          <w:color w:val="auto"/>
        </w:rPr>
        <w:t>部应做到：</w:t>
      </w:r>
    </w:p>
    <w:p w14:paraId="32038E73">
      <w:pPr>
        <w:rPr>
          <w:rFonts w:hint="eastAsia" w:eastAsia="宋体"/>
          <w:color w:val="auto"/>
          <w:lang w:eastAsia="zh-CN"/>
        </w:rPr>
      </w:pPr>
      <w:r>
        <w:rPr>
          <w:rFonts w:hint="eastAsia"/>
          <w:color w:val="auto"/>
        </w:rPr>
        <w:t>（</w:t>
      </w:r>
      <w:r>
        <w:rPr>
          <w:rFonts w:hint="eastAsia"/>
          <w:color w:val="auto"/>
          <w:lang w:val="en-US" w:eastAsia="zh-CN"/>
        </w:rPr>
        <w:t>1</w:t>
      </w:r>
      <w:r>
        <w:rPr>
          <w:rFonts w:hint="eastAsia"/>
          <w:color w:val="auto"/>
        </w:rPr>
        <w:t>）加强与气象部门的联系，随时掌握天气的变化情况，及时向施工现场发布雷雨消息</w:t>
      </w:r>
      <w:r>
        <w:rPr>
          <w:rFonts w:hint="eastAsia"/>
          <w:color w:val="auto"/>
          <w:lang w:eastAsia="zh-CN"/>
        </w:rPr>
        <w:t>。</w:t>
      </w:r>
    </w:p>
    <w:p w14:paraId="3FFB1FBC">
      <w:pPr>
        <w:rPr>
          <w:rFonts w:hint="eastAsia" w:eastAsia="宋体"/>
          <w:color w:val="auto"/>
          <w:lang w:eastAsia="zh-CN"/>
        </w:rPr>
      </w:pPr>
      <w:r>
        <w:rPr>
          <w:rFonts w:hint="eastAsia"/>
          <w:color w:val="auto"/>
        </w:rPr>
        <w:t>（</w:t>
      </w:r>
      <w:r>
        <w:rPr>
          <w:rFonts w:hint="eastAsia"/>
          <w:color w:val="auto"/>
          <w:lang w:val="en-US" w:eastAsia="zh-CN"/>
        </w:rPr>
        <w:t>2</w:t>
      </w:r>
      <w:r>
        <w:rPr>
          <w:rFonts w:hint="eastAsia"/>
          <w:color w:val="auto"/>
        </w:rPr>
        <w:t>）做好防雷电的监督、检查和指导工作；随时注意各工段的施工情况，遇异常情况及时向安全领导小组汇报</w:t>
      </w:r>
      <w:r>
        <w:rPr>
          <w:rFonts w:hint="eastAsia"/>
          <w:color w:val="auto"/>
          <w:lang w:eastAsia="zh-CN"/>
        </w:rPr>
        <w:t>。</w:t>
      </w:r>
    </w:p>
    <w:p w14:paraId="2A8F5F5D">
      <w:pPr>
        <w:rPr>
          <w:rFonts w:hint="eastAsia" w:eastAsia="宋体"/>
          <w:color w:val="auto"/>
          <w:lang w:eastAsia="zh-CN"/>
        </w:rPr>
      </w:pPr>
      <w:r>
        <w:rPr>
          <w:rFonts w:hint="eastAsia"/>
          <w:color w:val="auto"/>
        </w:rPr>
        <w:t>（</w:t>
      </w:r>
      <w:r>
        <w:rPr>
          <w:rFonts w:hint="eastAsia"/>
          <w:color w:val="auto"/>
          <w:lang w:val="en-US" w:eastAsia="zh-CN"/>
        </w:rPr>
        <w:t>3</w:t>
      </w:r>
      <w:r>
        <w:rPr>
          <w:rFonts w:hint="eastAsia"/>
          <w:color w:val="auto"/>
        </w:rPr>
        <w:t>）在此期间应注重组织人员对火灾急救的演习</w:t>
      </w:r>
      <w:r>
        <w:rPr>
          <w:rFonts w:hint="eastAsia"/>
          <w:color w:val="auto"/>
          <w:lang w:eastAsia="zh-CN"/>
        </w:rPr>
        <w:t>。</w:t>
      </w:r>
    </w:p>
    <w:p w14:paraId="5BBE1B78">
      <w:pPr>
        <w:rPr>
          <w:rFonts w:hint="eastAsia" w:eastAsia="宋体"/>
          <w:color w:val="auto"/>
          <w:lang w:eastAsia="zh-CN"/>
        </w:rPr>
      </w:pPr>
      <w:r>
        <w:rPr>
          <w:rFonts w:hint="eastAsia"/>
          <w:color w:val="auto"/>
        </w:rPr>
        <w:t>（</w:t>
      </w:r>
      <w:r>
        <w:rPr>
          <w:rFonts w:hint="eastAsia"/>
          <w:color w:val="auto"/>
          <w:lang w:val="en-US" w:eastAsia="zh-CN"/>
        </w:rPr>
        <w:t>4</w:t>
      </w:r>
      <w:r>
        <w:rPr>
          <w:rFonts w:hint="eastAsia"/>
          <w:color w:val="auto"/>
        </w:rPr>
        <w:t>）雷电雨中避免高空作业、带电作业</w:t>
      </w:r>
      <w:r>
        <w:rPr>
          <w:rFonts w:hint="eastAsia"/>
          <w:color w:val="auto"/>
          <w:lang w:eastAsia="zh-CN"/>
        </w:rPr>
        <w:t>。</w:t>
      </w:r>
    </w:p>
    <w:p w14:paraId="382061C1">
      <w:pPr>
        <w:rPr>
          <w:color w:val="auto"/>
        </w:rPr>
      </w:pPr>
      <w:r>
        <w:rPr>
          <w:rFonts w:hint="eastAsia"/>
          <w:color w:val="auto"/>
        </w:rPr>
        <w:t>（</w:t>
      </w:r>
      <w:r>
        <w:rPr>
          <w:rFonts w:hint="eastAsia"/>
          <w:color w:val="auto"/>
          <w:lang w:val="en-US" w:eastAsia="zh-CN"/>
        </w:rPr>
        <w:t>5</w:t>
      </w:r>
      <w:r>
        <w:rPr>
          <w:rFonts w:hint="eastAsia"/>
          <w:color w:val="auto"/>
        </w:rPr>
        <w:t>）当气候十分恶劣时，应根据施工情况及时向安全小组请求停止施工，做好设施的防护工作。注意天气变化，当天气好转后及时向安全小组汇报，请求恢复施工。</w:t>
      </w:r>
    </w:p>
    <w:p w14:paraId="6DEEA8A5">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85" w:name="_Toc400485053"/>
      <w:bookmarkStart w:id="186" w:name="_Toc30424"/>
      <w:r>
        <w:rPr>
          <w:rFonts w:hint="eastAsia" w:ascii="宋体" w:hAnsi="宋体" w:eastAsia="宋体" w:cs="Times New Roman"/>
          <w:color w:val="auto"/>
          <w:lang w:val="en-US" w:eastAsia="zh-CN"/>
        </w:rPr>
        <w:t>6.4.6塔式起重机</w:t>
      </w:r>
      <w:r>
        <w:rPr>
          <w:rFonts w:hint="eastAsia" w:cs="Times New Roman"/>
          <w:color w:val="auto"/>
          <w:lang w:val="en-US" w:eastAsia="zh-CN"/>
        </w:rPr>
        <w:t>安装</w:t>
      </w:r>
      <w:r>
        <w:rPr>
          <w:rFonts w:hint="eastAsia" w:ascii="宋体" w:hAnsi="宋体" w:eastAsia="宋体" w:cs="Times New Roman"/>
          <w:color w:val="auto"/>
          <w:lang w:val="en-US" w:eastAsia="zh-CN"/>
        </w:rPr>
        <w:t>安全技术措施</w:t>
      </w:r>
      <w:bookmarkEnd w:id="182"/>
      <w:bookmarkEnd w:id="185"/>
      <w:bookmarkEnd w:id="186"/>
    </w:p>
    <w:p w14:paraId="79FC380B">
      <w:pPr>
        <w:numPr>
          <w:ilvl w:val="0"/>
          <w:numId w:val="14"/>
        </w:numPr>
        <w:ind w:left="480" w:leftChars="200" w:firstLine="0" w:firstLineChars="0"/>
        <w:jc w:val="left"/>
        <w:rPr>
          <w:rFonts w:hint="eastAsia"/>
          <w:color w:val="auto"/>
          <w:lang w:val="en-US" w:eastAsia="zh-CN"/>
        </w:rPr>
      </w:pPr>
      <w:r>
        <w:rPr>
          <w:rFonts w:hint="eastAsia"/>
          <w:color w:val="auto"/>
        </w:rPr>
        <w:t>塔</w:t>
      </w:r>
      <w:r>
        <w:rPr>
          <w:rFonts w:hint="eastAsia"/>
          <w:color w:val="auto"/>
          <w:lang w:val="en-US" w:eastAsia="zh-CN"/>
        </w:rPr>
        <w:t>机安装</w:t>
      </w:r>
      <w:r>
        <w:rPr>
          <w:rFonts w:hint="eastAsia"/>
          <w:color w:val="auto"/>
        </w:rPr>
        <w:t>之前</w:t>
      </w:r>
      <w:r>
        <w:rPr>
          <w:rFonts w:hint="eastAsia"/>
          <w:color w:val="auto"/>
          <w:lang w:val="en-US" w:eastAsia="zh-CN"/>
        </w:rPr>
        <w:t>安装方案需通过评审，且</w:t>
      </w:r>
      <w:r>
        <w:rPr>
          <w:rFonts w:hint="eastAsia"/>
          <w:color w:val="auto"/>
        </w:rPr>
        <w:t>必须</w:t>
      </w:r>
      <w:r>
        <w:rPr>
          <w:rFonts w:hint="eastAsia"/>
          <w:color w:val="auto"/>
          <w:lang w:val="en-US" w:eastAsia="zh-CN"/>
        </w:rPr>
        <w:t>由工程、质检等相关部门对塔机</w:t>
      </w:r>
      <w:r>
        <w:rPr>
          <w:rFonts w:hint="eastAsia"/>
          <w:color w:val="auto"/>
        </w:rPr>
        <w:t>基础</w:t>
      </w:r>
      <w:r>
        <w:rPr>
          <w:rFonts w:hint="eastAsia"/>
          <w:color w:val="auto"/>
          <w:lang w:val="en-US" w:eastAsia="zh-CN"/>
        </w:rPr>
        <w:t>进行验收</w:t>
      </w:r>
      <w:r>
        <w:rPr>
          <w:rFonts w:hint="eastAsia"/>
          <w:color w:val="auto"/>
        </w:rPr>
        <w:t>，</w:t>
      </w:r>
      <w:r>
        <w:rPr>
          <w:rFonts w:hint="eastAsia"/>
          <w:color w:val="auto"/>
          <w:lang w:val="en-US" w:eastAsia="zh-CN"/>
        </w:rPr>
        <w:t>验收合格后方可进行方可进行施工。</w:t>
      </w:r>
    </w:p>
    <w:p w14:paraId="71C8C069">
      <w:pPr>
        <w:numPr>
          <w:ilvl w:val="0"/>
          <w:numId w:val="14"/>
        </w:numPr>
        <w:ind w:left="480" w:leftChars="200" w:firstLine="0" w:firstLineChars="0"/>
        <w:jc w:val="left"/>
        <w:rPr>
          <w:rFonts w:hint="eastAsia"/>
          <w:color w:val="auto"/>
        </w:rPr>
      </w:pPr>
      <w:r>
        <w:rPr>
          <w:rFonts w:hint="eastAsia"/>
          <w:color w:val="auto"/>
        </w:rPr>
        <w:t>塔吊在</w:t>
      </w:r>
      <w:r>
        <w:rPr>
          <w:rFonts w:hint="eastAsia"/>
          <w:color w:val="auto"/>
          <w:lang w:val="en-US" w:eastAsia="zh-CN"/>
        </w:rPr>
        <w:t>安装</w:t>
      </w:r>
      <w:r>
        <w:rPr>
          <w:rFonts w:hint="eastAsia"/>
          <w:color w:val="auto"/>
        </w:rPr>
        <w:t>前由生产副经理</w:t>
      </w:r>
      <w:r>
        <w:rPr>
          <w:rFonts w:hint="eastAsia"/>
          <w:color w:val="auto"/>
          <w:lang w:val="en-US" w:eastAsia="zh-CN"/>
        </w:rPr>
        <w:t>参加</w:t>
      </w:r>
      <w:r>
        <w:rPr>
          <w:rFonts w:hint="eastAsia"/>
          <w:color w:val="auto"/>
          <w:lang w:eastAsia="zh-CN"/>
        </w:rPr>
        <w:t>，</w:t>
      </w:r>
      <w:r>
        <w:rPr>
          <w:rFonts w:hint="eastAsia"/>
          <w:color w:val="auto"/>
          <w:lang w:val="en-US" w:eastAsia="zh-CN"/>
        </w:rPr>
        <w:t>工程、设备及</w:t>
      </w:r>
      <w:r>
        <w:rPr>
          <w:rFonts w:hint="eastAsia"/>
          <w:color w:val="auto"/>
        </w:rPr>
        <w:t>安全</w:t>
      </w:r>
      <w:r>
        <w:rPr>
          <w:rFonts w:hint="eastAsia"/>
          <w:color w:val="auto"/>
          <w:lang w:val="en-US" w:eastAsia="zh-CN"/>
        </w:rPr>
        <w:t>等部门</w:t>
      </w:r>
      <w:r>
        <w:rPr>
          <w:rFonts w:hint="eastAsia"/>
          <w:color w:val="auto"/>
        </w:rPr>
        <w:t>组织</w:t>
      </w:r>
      <w:r>
        <w:rPr>
          <w:rFonts w:hint="eastAsia"/>
          <w:color w:val="auto"/>
          <w:lang w:val="en-US" w:eastAsia="zh-CN"/>
        </w:rPr>
        <w:t>安装</w:t>
      </w:r>
      <w:r>
        <w:rPr>
          <w:rFonts w:hint="eastAsia"/>
          <w:color w:val="auto"/>
        </w:rPr>
        <w:t>人员进行</w:t>
      </w:r>
      <w:r>
        <w:rPr>
          <w:rFonts w:hint="eastAsia"/>
          <w:color w:val="auto"/>
          <w:lang w:val="en-US" w:eastAsia="zh-CN"/>
        </w:rPr>
        <w:t>技术</w:t>
      </w:r>
      <w:r>
        <w:rPr>
          <w:rFonts w:hint="eastAsia"/>
          <w:color w:val="auto"/>
        </w:rPr>
        <w:t>交底和</w:t>
      </w:r>
      <w:r>
        <w:rPr>
          <w:rFonts w:hint="eastAsia"/>
          <w:color w:val="auto"/>
          <w:lang w:val="en-US" w:eastAsia="zh-CN"/>
        </w:rPr>
        <w:t>危险源告知。</w:t>
      </w:r>
    </w:p>
    <w:p w14:paraId="5D9A3CC7">
      <w:pPr>
        <w:jc w:val="left"/>
        <w:rPr>
          <w:rFonts w:hint="eastAsia" w:eastAsia="宋体"/>
          <w:color w:val="auto"/>
          <w:lang w:eastAsia="zh-CN"/>
        </w:rPr>
      </w:pPr>
      <w:r>
        <w:rPr>
          <w:rFonts w:hint="eastAsia"/>
          <w:color w:val="auto"/>
        </w:rPr>
        <w:t>（</w:t>
      </w:r>
      <w:r>
        <w:rPr>
          <w:rFonts w:hint="eastAsia"/>
          <w:color w:val="auto"/>
          <w:lang w:val="en-US" w:eastAsia="zh-CN"/>
        </w:rPr>
        <w:t>3</w:t>
      </w:r>
      <w:r>
        <w:rPr>
          <w:rFonts w:hint="eastAsia"/>
          <w:color w:val="auto"/>
        </w:rPr>
        <w:t>）</w:t>
      </w:r>
      <w:r>
        <w:rPr>
          <w:rFonts w:hint="eastAsia"/>
          <w:color w:val="auto"/>
          <w:lang w:val="en-US" w:eastAsia="zh-CN"/>
        </w:rPr>
        <w:t>安装</w:t>
      </w:r>
      <w:r>
        <w:rPr>
          <w:rFonts w:hint="eastAsia"/>
          <w:color w:val="auto"/>
        </w:rPr>
        <w:t>人员必须了解塔机性能、安装程序、各部件位置和正确吊点</w:t>
      </w:r>
      <w:r>
        <w:rPr>
          <w:rFonts w:hint="eastAsia"/>
          <w:color w:val="auto"/>
          <w:lang w:eastAsia="zh-CN"/>
        </w:rPr>
        <w:t>。</w:t>
      </w:r>
    </w:p>
    <w:p w14:paraId="44B8E4E9">
      <w:pPr>
        <w:ind w:left="480" w:leftChars="200" w:firstLine="0" w:firstLineChars="0"/>
        <w:jc w:val="left"/>
        <w:rPr>
          <w:rFonts w:hint="eastAsia" w:eastAsia="宋体"/>
          <w:color w:val="auto"/>
          <w:lang w:eastAsia="zh-CN"/>
        </w:rPr>
      </w:pPr>
      <w:r>
        <w:rPr>
          <w:rFonts w:hint="eastAsia"/>
          <w:color w:val="auto"/>
        </w:rPr>
        <w:t>（</w:t>
      </w:r>
      <w:r>
        <w:rPr>
          <w:rFonts w:hint="eastAsia"/>
          <w:color w:val="auto"/>
          <w:lang w:val="en-US" w:eastAsia="zh-CN"/>
        </w:rPr>
        <w:t>4</w:t>
      </w:r>
      <w:r>
        <w:rPr>
          <w:rFonts w:hint="eastAsia"/>
          <w:color w:val="auto"/>
        </w:rPr>
        <w:t>）合理安排</w:t>
      </w:r>
      <w:r>
        <w:rPr>
          <w:rFonts w:hint="eastAsia"/>
          <w:color w:val="auto"/>
          <w:lang w:val="en-US" w:eastAsia="zh-CN"/>
        </w:rPr>
        <w:t>安装</w:t>
      </w:r>
      <w:r>
        <w:rPr>
          <w:rFonts w:hint="eastAsia"/>
          <w:color w:val="auto"/>
        </w:rPr>
        <w:t>人员，明确分工，责任落实到每个人</w:t>
      </w:r>
      <w:r>
        <w:rPr>
          <w:rFonts w:hint="eastAsia"/>
          <w:color w:val="auto"/>
          <w:lang w:eastAsia="zh-CN"/>
        </w:rPr>
        <w:t>。</w:t>
      </w:r>
    </w:p>
    <w:p w14:paraId="3D3A44DA">
      <w:pPr>
        <w:ind w:left="480" w:leftChars="200" w:firstLine="0" w:firstLineChars="0"/>
        <w:jc w:val="left"/>
        <w:rPr>
          <w:rFonts w:hint="eastAsia" w:eastAsia="宋体"/>
          <w:color w:val="auto"/>
          <w:lang w:eastAsia="zh-CN"/>
        </w:rPr>
      </w:pPr>
      <w:r>
        <w:rPr>
          <w:rFonts w:hint="eastAsia"/>
          <w:color w:val="auto"/>
        </w:rPr>
        <w:t>（</w:t>
      </w:r>
      <w:r>
        <w:rPr>
          <w:rFonts w:hint="eastAsia"/>
          <w:color w:val="auto"/>
          <w:lang w:val="en-US" w:eastAsia="zh-CN"/>
        </w:rPr>
        <w:t>5</w:t>
      </w:r>
      <w:r>
        <w:rPr>
          <w:rFonts w:hint="eastAsia"/>
          <w:color w:val="auto"/>
        </w:rPr>
        <w:t>）</w:t>
      </w:r>
      <w:r>
        <w:rPr>
          <w:rFonts w:hint="eastAsia"/>
          <w:color w:val="auto"/>
          <w:lang w:val="en-US" w:eastAsia="zh-CN"/>
        </w:rPr>
        <w:t>安装</w:t>
      </w:r>
      <w:r>
        <w:rPr>
          <w:rFonts w:hint="eastAsia"/>
          <w:color w:val="auto"/>
        </w:rPr>
        <w:t>过程中要统一指挥，一切程序都必须通过指挥实施</w:t>
      </w:r>
      <w:r>
        <w:rPr>
          <w:rFonts w:hint="eastAsia"/>
          <w:color w:val="auto"/>
          <w:lang w:eastAsia="zh-CN"/>
        </w:rPr>
        <w:t>。</w:t>
      </w:r>
    </w:p>
    <w:p w14:paraId="1F95F5F4">
      <w:pPr>
        <w:ind w:left="480" w:leftChars="200" w:firstLine="0" w:firstLineChars="0"/>
        <w:jc w:val="left"/>
        <w:rPr>
          <w:rFonts w:hint="eastAsia" w:eastAsia="宋体"/>
          <w:color w:val="auto"/>
          <w:lang w:eastAsia="zh-CN"/>
        </w:rPr>
      </w:pPr>
      <w:r>
        <w:rPr>
          <w:rFonts w:hint="eastAsia"/>
          <w:color w:val="auto"/>
        </w:rPr>
        <w:t>（</w:t>
      </w:r>
      <w:r>
        <w:rPr>
          <w:rFonts w:hint="eastAsia"/>
          <w:color w:val="auto"/>
          <w:lang w:val="en-US" w:eastAsia="zh-CN"/>
        </w:rPr>
        <w:t>6</w:t>
      </w:r>
      <w:r>
        <w:rPr>
          <w:rFonts w:hint="eastAsia"/>
          <w:color w:val="auto"/>
        </w:rPr>
        <w:t>）</w:t>
      </w:r>
      <w:r>
        <w:rPr>
          <w:rFonts w:hint="eastAsia"/>
          <w:color w:val="auto"/>
          <w:lang w:val="en-US" w:eastAsia="zh-CN"/>
        </w:rPr>
        <w:t>安装</w:t>
      </w:r>
      <w:r>
        <w:rPr>
          <w:rFonts w:hint="eastAsia"/>
          <w:color w:val="auto"/>
        </w:rPr>
        <w:t>人员进入施工现场必须戴合格的安全帽、系好下额带，锁好带扣，高空作业人员登高（2米以上）作业时必须系合格的安全带，系挂牢固，高挂低用，穿防滑鞋，以防高空坠落</w:t>
      </w:r>
      <w:r>
        <w:rPr>
          <w:rFonts w:hint="eastAsia"/>
          <w:color w:val="auto"/>
          <w:lang w:eastAsia="zh-CN"/>
        </w:rPr>
        <w:t>。</w:t>
      </w:r>
    </w:p>
    <w:p w14:paraId="7E50CBA3">
      <w:pPr>
        <w:jc w:val="left"/>
        <w:rPr>
          <w:rFonts w:hint="eastAsia" w:eastAsia="宋体"/>
          <w:color w:val="auto"/>
          <w:lang w:eastAsia="zh-CN"/>
        </w:rPr>
      </w:pPr>
      <w:r>
        <w:rPr>
          <w:rFonts w:hint="eastAsia"/>
          <w:color w:val="auto"/>
        </w:rPr>
        <w:t>（</w:t>
      </w:r>
      <w:r>
        <w:rPr>
          <w:rFonts w:hint="eastAsia"/>
          <w:color w:val="auto"/>
          <w:lang w:val="en-US" w:eastAsia="zh-CN"/>
        </w:rPr>
        <w:t>7</w:t>
      </w:r>
      <w:r>
        <w:rPr>
          <w:rFonts w:hint="eastAsia"/>
          <w:color w:val="auto"/>
        </w:rPr>
        <w:t>）安装前要对结构检查有无变形、开焊、裂纹、破损，连接螺栓和拧紧力矩是否符合安全要求。拆卸前要对机械进行检查，是否存在安全问题，确认后才能进行拆卸</w:t>
      </w:r>
      <w:r>
        <w:rPr>
          <w:rFonts w:hint="eastAsia"/>
          <w:color w:val="auto"/>
          <w:lang w:eastAsia="zh-CN"/>
        </w:rPr>
        <w:t>。</w:t>
      </w:r>
    </w:p>
    <w:p w14:paraId="257635E1">
      <w:pPr>
        <w:jc w:val="left"/>
        <w:rPr>
          <w:rFonts w:hint="eastAsia" w:eastAsia="宋体"/>
          <w:color w:val="auto"/>
          <w:lang w:eastAsia="zh-CN"/>
        </w:rPr>
      </w:pPr>
      <w:r>
        <w:rPr>
          <w:rFonts w:hint="eastAsia"/>
          <w:color w:val="auto"/>
        </w:rPr>
        <w:t>（</w:t>
      </w:r>
      <w:r>
        <w:rPr>
          <w:rFonts w:hint="eastAsia"/>
          <w:color w:val="auto"/>
          <w:lang w:val="en-US" w:eastAsia="zh-CN"/>
        </w:rPr>
        <w:t>8</w:t>
      </w:r>
      <w:r>
        <w:rPr>
          <w:rFonts w:hint="eastAsia"/>
          <w:color w:val="auto"/>
        </w:rPr>
        <w:t>）检查钢丝绳规格是否正确达到报废标准，润滑系统是否良好</w:t>
      </w:r>
      <w:r>
        <w:rPr>
          <w:rFonts w:hint="eastAsia"/>
          <w:color w:val="auto"/>
          <w:lang w:eastAsia="zh-CN"/>
        </w:rPr>
        <w:t>。</w:t>
      </w:r>
    </w:p>
    <w:p w14:paraId="3E1C9DFD">
      <w:pPr>
        <w:jc w:val="left"/>
        <w:rPr>
          <w:rFonts w:hint="eastAsia" w:eastAsia="宋体"/>
          <w:color w:val="auto"/>
          <w:lang w:eastAsia="zh-CN"/>
        </w:rPr>
      </w:pPr>
      <w:r>
        <w:rPr>
          <w:rFonts w:hint="eastAsia"/>
          <w:color w:val="auto"/>
        </w:rPr>
        <w:t>（</w:t>
      </w:r>
      <w:r>
        <w:rPr>
          <w:rFonts w:hint="eastAsia"/>
          <w:color w:val="auto"/>
          <w:lang w:val="en-US" w:eastAsia="zh-CN"/>
        </w:rPr>
        <w:t>9</w:t>
      </w:r>
      <w:r>
        <w:rPr>
          <w:rFonts w:hint="eastAsia"/>
          <w:color w:val="auto"/>
        </w:rPr>
        <w:t>）</w:t>
      </w:r>
      <w:r>
        <w:rPr>
          <w:rFonts w:hint="eastAsia"/>
          <w:color w:val="auto"/>
          <w:lang w:val="en-US" w:eastAsia="zh-CN"/>
        </w:rPr>
        <w:t>塔机安装</w:t>
      </w:r>
      <w:r>
        <w:rPr>
          <w:rFonts w:hint="eastAsia"/>
          <w:color w:val="auto"/>
        </w:rPr>
        <w:t>由</w:t>
      </w:r>
      <w:r>
        <w:rPr>
          <w:rFonts w:hint="eastAsia"/>
          <w:color w:val="auto"/>
          <w:lang w:val="en-US" w:eastAsia="zh-CN"/>
        </w:rPr>
        <w:t>下</w:t>
      </w:r>
      <w:r>
        <w:rPr>
          <w:rFonts w:hint="eastAsia"/>
          <w:color w:val="auto"/>
        </w:rPr>
        <w:t>往</w:t>
      </w:r>
      <w:r>
        <w:rPr>
          <w:rFonts w:hint="eastAsia"/>
          <w:color w:val="auto"/>
          <w:lang w:val="en-US" w:eastAsia="zh-CN"/>
        </w:rPr>
        <w:t>上</w:t>
      </w:r>
      <w:r>
        <w:rPr>
          <w:rFonts w:hint="eastAsia"/>
          <w:color w:val="auto"/>
        </w:rPr>
        <w:t>按技术要求进行</w:t>
      </w:r>
      <w:r>
        <w:rPr>
          <w:rFonts w:hint="eastAsia"/>
          <w:color w:val="auto"/>
          <w:lang w:val="en-US" w:eastAsia="zh-CN"/>
        </w:rPr>
        <w:t>安装</w:t>
      </w:r>
      <w:r>
        <w:rPr>
          <w:rFonts w:hint="eastAsia"/>
          <w:color w:val="auto"/>
        </w:rPr>
        <w:t>，不得违章作业</w:t>
      </w:r>
      <w:r>
        <w:rPr>
          <w:rFonts w:hint="eastAsia"/>
          <w:color w:val="auto"/>
          <w:lang w:eastAsia="zh-CN"/>
        </w:rPr>
        <w:t>。</w:t>
      </w:r>
    </w:p>
    <w:p w14:paraId="78163E01">
      <w:pPr>
        <w:jc w:val="left"/>
        <w:rPr>
          <w:rFonts w:hint="eastAsia" w:eastAsia="宋体"/>
          <w:color w:val="auto"/>
          <w:lang w:eastAsia="zh-CN"/>
        </w:rPr>
      </w:pPr>
      <w:r>
        <w:rPr>
          <w:rFonts w:hint="eastAsia"/>
          <w:color w:val="auto"/>
        </w:rPr>
        <w:t>（1</w:t>
      </w:r>
      <w:r>
        <w:rPr>
          <w:rFonts w:hint="eastAsia"/>
          <w:color w:val="auto"/>
          <w:lang w:val="en-US" w:eastAsia="zh-CN"/>
        </w:rPr>
        <w:t>0</w:t>
      </w:r>
      <w:r>
        <w:rPr>
          <w:rFonts w:hint="eastAsia"/>
          <w:color w:val="auto"/>
        </w:rPr>
        <w:t>）在</w:t>
      </w:r>
      <w:r>
        <w:rPr>
          <w:rFonts w:hint="eastAsia"/>
          <w:color w:val="auto"/>
          <w:lang w:val="en-US" w:eastAsia="zh-CN"/>
        </w:rPr>
        <w:t>安装</w:t>
      </w:r>
      <w:r>
        <w:rPr>
          <w:rFonts w:hint="eastAsia"/>
          <w:color w:val="auto"/>
        </w:rPr>
        <w:t>吊运过程中，要选好吊物的中心，吊索正确挂在吊点上，要确保安全</w:t>
      </w:r>
      <w:r>
        <w:rPr>
          <w:rFonts w:hint="eastAsia"/>
          <w:color w:val="auto"/>
          <w:lang w:eastAsia="zh-CN"/>
        </w:rPr>
        <w:t>。</w:t>
      </w:r>
    </w:p>
    <w:p w14:paraId="002C86C6">
      <w:pPr>
        <w:jc w:val="left"/>
        <w:rPr>
          <w:rFonts w:hint="eastAsia" w:eastAsia="宋体"/>
          <w:color w:val="auto"/>
          <w:lang w:eastAsia="zh-CN"/>
        </w:rPr>
      </w:pPr>
      <w:r>
        <w:rPr>
          <w:rFonts w:hint="eastAsia"/>
          <w:color w:val="auto"/>
        </w:rPr>
        <w:t>（1</w:t>
      </w:r>
      <w:r>
        <w:rPr>
          <w:rFonts w:hint="eastAsia"/>
          <w:color w:val="auto"/>
          <w:lang w:val="en-US" w:eastAsia="zh-CN"/>
        </w:rPr>
        <w:t>1</w:t>
      </w:r>
      <w:r>
        <w:rPr>
          <w:rFonts w:hint="eastAsia"/>
          <w:color w:val="auto"/>
        </w:rPr>
        <w:t>）</w:t>
      </w:r>
      <w:r>
        <w:rPr>
          <w:rFonts w:hint="eastAsia"/>
          <w:color w:val="auto"/>
          <w:lang w:val="en-US" w:eastAsia="zh-CN"/>
        </w:rPr>
        <w:t>安装</w:t>
      </w:r>
      <w:r>
        <w:rPr>
          <w:rFonts w:hint="eastAsia"/>
          <w:color w:val="auto"/>
        </w:rPr>
        <w:t>塔</w:t>
      </w:r>
      <w:r>
        <w:rPr>
          <w:rFonts w:hint="eastAsia"/>
          <w:color w:val="auto"/>
          <w:lang w:val="en-US" w:eastAsia="zh-CN"/>
        </w:rPr>
        <w:t>吊</w:t>
      </w:r>
      <w:r>
        <w:rPr>
          <w:rFonts w:hint="eastAsia"/>
          <w:color w:val="auto"/>
        </w:rPr>
        <w:t>时，严禁只安装一个臂或只拆</w:t>
      </w:r>
      <w:r>
        <w:rPr>
          <w:rFonts w:hint="eastAsia"/>
          <w:color w:val="auto"/>
          <w:lang w:val="en-US" w:eastAsia="zh-CN"/>
        </w:rPr>
        <w:t>除</w:t>
      </w:r>
      <w:r>
        <w:rPr>
          <w:rFonts w:hint="eastAsia"/>
          <w:color w:val="auto"/>
        </w:rPr>
        <w:t>一个臂就中断作业</w:t>
      </w:r>
      <w:r>
        <w:rPr>
          <w:rFonts w:hint="eastAsia"/>
          <w:color w:val="auto"/>
          <w:lang w:eastAsia="zh-CN"/>
        </w:rPr>
        <w:t>。</w:t>
      </w:r>
    </w:p>
    <w:p w14:paraId="5D2AB46C">
      <w:pPr>
        <w:jc w:val="left"/>
        <w:rPr>
          <w:rFonts w:hint="eastAsia" w:eastAsia="宋体"/>
          <w:color w:val="auto"/>
          <w:lang w:eastAsia="zh-CN"/>
        </w:rPr>
      </w:pPr>
      <w:r>
        <w:rPr>
          <w:rFonts w:hint="eastAsia"/>
          <w:color w:val="auto"/>
        </w:rPr>
        <w:t>（1</w:t>
      </w:r>
      <w:r>
        <w:rPr>
          <w:rFonts w:hint="eastAsia"/>
          <w:color w:val="auto"/>
          <w:lang w:val="en-US" w:eastAsia="zh-CN"/>
        </w:rPr>
        <w:t>2</w:t>
      </w:r>
      <w:r>
        <w:rPr>
          <w:rFonts w:hint="eastAsia"/>
          <w:color w:val="auto"/>
        </w:rPr>
        <w:t>）塔吊顶升前，先检查液压系统有无泄漏，标准节有无变形和开焊，型号是否正确，检查电缆长度和有无破损。并进行试顶，确保顶升平稳和安全</w:t>
      </w:r>
      <w:r>
        <w:rPr>
          <w:rFonts w:hint="eastAsia"/>
          <w:color w:val="auto"/>
          <w:lang w:eastAsia="zh-CN"/>
        </w:rPr>
        <w:t>。</w:t>
      </w:r>
    </w:p>
    <w:p w14:paraId="6756BA52">
      <w:pPr>
        <w:jc w:val="left"/>
        <w:rPr>
          <w:rFonts w:hint="eastAsia" w:eastAsia="宋体"/>
          <w:color w:val="auto"/>
          <w:lang w:eastAsia="zh-CN"/>
        </w:rPr>
      </w:pPr>
      <w:r>
        <w:rPr>
          <w:rFonts w:hint="eastAsia"/>
          <w:color w:val="auto"/>
        </w:rPr>
        <w:t>（1</w:t>
      </w:r>
      <w:r>
        <w:rPr>
          <w:rFonts w:hint="eastAsia"/>
          <w:color w:val="auto"/>
          <w:lang w:val="en-US" w:eastAsia="zh-CN"/>
        </w:rPr>
        <w:t>3</w:t>
      </w:r>
      <w:r>
        <w:rPr>
          <w:rFonts w:hint="eastAsia"/>
          <w:color w:val="auto"/>
        </w:rPr>
        <w:t>）顶升过程中，要求按顶升工艺进行，各部销子安装正确，开口销打开，注意查看支承轮间隙是否一致</w:t>
      </w:r>
      <w:r>
        <w:rPr>
          <w:rFonts w:hint="eastAsia"/>
          <w:color w:val="auto"/>
          <w:lang w:eastAsia="zh-CN"/>
        </w:rPr>
        <w:t>。</w:t>
      </w:r>
    </w:p>
    <w:p w14:paraId="0F3FDA7A">
      <w:pPr>
        <w:jc w:val="left"/>
        <w:rPr>
          <w:rFonts w:hint="eastAsia" w:eastAsia="宋体"/>
          <w:color w:val="auto"/>
          <w:lang w:eastAsia="zh-CN"/>
        </w:rPr>
      </w:pPr>
      <w:r>
        <w:rPr>
          <w:rFonts w:hint="eastAsia"/>
          <w:color w:val="auto"/>
        </w:rPr>
        <w:t>（1</w:t>
      </w:r>
      <w:r>
        <w:rPr>
          <w:rFonts w:hint="eastAsia"/>
          <w:color w:val="auto"/>
          <w:lang w:val="en-US" w:eastAsia="zh-CN"/>
        </w:rPr>
        <w:t>4</w:t>
      </w:r>
      <w:r>
        <w:rPr>
          <w:rFonts w:hint="eastAsia"/>
          <w:color w:val="auto"/>
        </w:rPr>
        <w:t>）顶升塔吊作业4级风不得进行顶升，顶升过程中不得转臂，并将回转左右打眼固定</w:t>
      </w:r>
      <w:r>
        <w:rPr>
          <w:rFonts w:hint="eastAsia"/>
          <w:color w:val="auto"/>
          <w:lang w:eastAsia="zh-CN"/>
        </w:rPr>
        <w:t>。</w:t>
      </w:r>
    </w:p>
    <w:p w14:paraId="7294D860">
      <w:pPr>
        <w:jc w:val="left"/>
        <w:rPr>
          <w:rFonts w:hint="eastAsia" w:eastAsia="宋体"/>
          <w:color w:val="auto"/>
          <w:lang w:eastAsia="zh-CN"/>
        </w:rPr>
      </w:pPr>
      <w:r>
        <w:rPr>
          <w:rFonts w:hint="eastAsia"/>
          <w:color w:val="auto"/>
        </w:rPr>
        <w:t>（1</w:t>
      </w:r>
      <w:r>
        <w:rPr>
          <w:rFonts w:hint="eastAsia"/>
          <w:color w:val="auto"/>
          <w:lang w:val="en-US" w:eastAsia="zh-CN"/>
        </w:rPr>
        <w:t>5</w:t>
      </w:r>
      <w:r>
        <w:rPr>
          <w:rFonts w:hint="eastAsia"/>
          <w:color w:val="auto"/>
        </w:rPr>
        <w:t>）塔吊附着锚固之前检查框架、锚杆等是否有开焊、变形和裂缝现象，锚杆长度和结构形式是否符合附着要求</w:t>
      </w:r>
      <w:r>
        <w:rPr>
          <w:rFonts w:hint="eastAsia"/>
          <w:color w:val="auto"/>
          <w:lang w:eastAsia="zh-CN"/>
        </w:rPr>
        <w:t>。</w:t>
      </w:r>
    </w:p>
    <w:p w14:paraId="156A7771">
      <w:pPr>
        <w:jc w:val="left"/>
        <w:rPr>
          <w:rFonts w:hint="eastAsia" w:eastAsia="宋体"/>
          <w:color w:val="auto"/>
          <w:lang w:eastAsia="zh-CN"/>
        </w:rPr>
      </w:pPr>
      <w:r>
        <w:rPr>
          <w:rFonts w:hint="eastAsia"/>
          <w:color w:val="auto"/>
        </w:rPr>
        <w:t>（1</w:t>
      </w:r>
      <w:r>
        <w:rPr>
          <w:rFonts w:hint="eastAsia"/>
          <w:color w:val="auto"/>
          <w:lang w:val="en-US" w:eastAsia="zh-CN"/>
        </w:rPr>
        <w:t>6</w:t>
      </w:r>
      <w:r>
        <w:rPr>
          <w:rFonts w:hint="eastAsia"/>
          <w:color w:val="auto"/>
        </w:rPr>
        <w:t>）附后检查塔身锚固框架安装位置是否符合规定要求，检查塔身与锚固框架是否固定牢靠，框架、锚杆、墙板、螺栓、销轴是否齐全正确可靠，垫铁、楔块等零部件是否齐全</w:t>
      </w:r>
      <w:r>
        <w:rPr>
          <w:rFonts w:hint="eastAsia"/>
          <w:color w:val="auto"/>
          <w:lang w:eastAsia="zh-CN"/>
        </w:rPr>
        <w:t>。</w:t>
      </w:r>
    </w:p>
    <w:p w14:paraId="4AC93B38">
      <w:pPr>
        <w:jc w:val="left"/>
        <w:rPr>
          <w:rFonts w:hint="eastAsia"/>
          <w:color w:val="auto"/>
        </w:rPr>
      </w:pPr>
      <w:r>
        <w:rPr>
          <w:rFonts w:hint="eastAsia"/>
          <w:color w:val="auto"/>
        </w:rPr>
        <w:t>（1</w:t>
      </w:r>
      <w:r>
        <w:rPr>
          <w:rFonts w:hint="eastAsia"/>
          <w:color w:val="auto"/>
          <w:lang w:val="en-US" w:eastAsia="zh-CN"/>
        </w:rPr>
        <w:t>7</w:t>
      </w:r>
      <w:r>
        <w:rPr>
          <w:rFonts w:hint="eastAsia"/>
          <w:color w:val="auto"/>
        </w:rPr>
        <w:t>）附着连接方式及紧固是否符合安全要</w:t>
      </w:r>
      <w:r>
        <w:rPr>
          <w:rFonts w:hint="eastAsia"/>
          <w:color w:val="auto"/>
          <w:lang w:eastAsia="zh-CN"/>
        </w:rPr>
        <w:t>。</w:t>
      </w:r>
      <w:r>
        <w:rPr>
          <w:rFonts w:hint="eastAsia"/>
          <w:color w:val="auto"/>
        </w:rPr>
        <w:t>；</w:t>
      </w:r>
    </w:p>
    <w:p w14:paraId="0F9B28D0">
      <w:pPr>
        <w:jc w:val="left"/>
        <w:rPr>
          <w:rFonts w:hint="eastAsia" w:eastAsia="宋体"/>
          <w:color w:val="auto"/>
          <w:lang w:eastAsia="zh-CN"/>
        </w:rPr>
      </w:pPr>
      <w:r>
        <w:rPr>
          <w:rFonts w:hint="eastAsia"/>
          <w:color w:val="auto"/>
        </w:rPr>
        <w:t>（1</w:t>
      </w:r>
      <w:r>
        <w:rPr>
          <w:rFonts w:hint="eastAsia"/>
          <w:color w:val="auto"/>
          <w:lang w:val="en-US" w:eastAsia="zh-CN"/>
        </w:rPr>
        <w:t>8</w:t>
      </w:r>
      <w:r>
        <w:rPr>
          <w:rFonts w:hint="eastAsia"/>
          <w:color w:val="auto"/>
        </w:rPr>
        <w:t>）最高附着点以下塔身轴线对支承面垂直度不得大于相应高度的2‰。要求最高附着点以上塔身轴线对支承面垂直度不得大于相应高度的4‰</w:t>
      </w:r>
      <w:r>
        <w:rPr>
          <w:rFonts w:hint="eastAsia"/>
          <w:color w:val="auto"/>
          <w:lang w:eastAsia="zh-CN"/>
        </w:rPr>
        <w:t>。</w:t>
      </w:r>
    </w:p>
    <w:p w14:paraId="4C768D25">
      <w:pPr>
        <w:jc w:val="left"/>
        <w:rPr>
          <w:rFonts w:hint="eastAsia" w:eastAsia="宋体"/>
          <w:color w:val="auto"/>
          <w:lang w:eastAsia="zh-CN"/>
        </w:rPr>
      </w:pPr>
      <w:r>
        <w:rPr>
          <w:rFonts w:hint="eastAsia"/>
          <w:color w:val="auto"/>
        </w:rPr>
        <w:t>（1</w:t>
      </w:r>
      <w:r>
        <w:rPr>
          <w:rFonts w:hint="eastAsia"/>
          <w:color w:val="auto"/>
          <w:lang w:val="en-US" w:eastAsia="zh-CN"/>
        </w:rPr>
        <w:t>9</w:t>
      </w:r>
      <w:r>
        <w:rPr>
          <w:rFonts w:hint="eastAsia"/>
          <w:color w:val="auto"/>
        </w:rPr>
        <w:t>）锚固点以上塔机自由高度不得大于规定要求</w:t>
      </w:r>
      <w:r>
        <w:rPr>
          <w:rFonts w:hint="eastAsia"/>
          <w:color w:val="auto"/>
          <w:lang w:eastAsia="zh-CN"/>
        </w:rPr>
        <w:t>。</w:t>
      </w:r>
    </w:p>
    <w:p w14:paraId="743E6817">
      <w:pPr>
        <w:jc w:val="left"/>
        <w:rPr>
          <w:rFonts w:hint="eastAsia" w:eastAsia="宋体"/>
          <w:color w:val="auto"/>
          <w:lang w:eastAsia="zh-CN"/>
        </w:rPr>
      </w:pPr>
      <w:r>
        <w:rPr>
          <w:rFonts w:hint="eastAsia"/>
          <w:color w:val="auto"/>
        </w:rPr>
        <w:t>（</w:t>
      </w:r>
      <w:r>
        <w:rPr>
          <w:rFonts w:hint="eastAsia"/>
          <w:color w:val="auto"/>
          <w:lang w:val="en-US" w:eastAsia="zh-CN"/>
        </w:rPr>
        <w:t>20</w:t>
      </w:r>
      <w:r>
        <w:rPr>
          <w:rFonts w:hint="eastAsia"/>
          <w:color w:val="auto"/>
        </w:rPr>
        <w:t>）</w:t>
      </w:r>
      <w:r>
        <w:rPr>
          <w:rFonts w:hint="eastAsia"/>
          <w:color w:val="auto"/>
          <w:lang w:val="en-US" w:eastAsia="zh-CN"/>
        </w:rPr>
        <w:t>安装</w:t>
      </w:r>
      <w:r>
        <w:rPr>
          <w:rFonts w:hint="eastAsia"/>
          <w:color w:val="auto"/>
        </w:rPr>
        <w:t>人员必须服从</w:t>
      </w:r>
      <w:r>
        <w:rPr>
          <w:rFonts w:hint="eastAsia"/>
          <w:color w:val="auto"/>
          <w:lang w:val="en-US" w:eastAsia="zh-CN"/>
        </w:rPr>
        <w:t>作业班组长</w:t>
      </w:r>
      <w:r>
        <w:rPr>
          <w:rFonts w:hint="eastAsia"/>
          <w:color w:val="auto"/>
        </w:rPr>
        <w:t>指挥和安全人员监督，如有违章作业或违反操作规程要立即制止</w:t>
      </w:r>
      <w:r>
        <w:rPr>
          <w:rFonts w:hint="eastAsia"/>
          <w:color w:val="auto"/>
          <w:lang w:eastAsia="zh-CN"/>
        </w:rPr>
        <w:t>。</w:t>
      </w:r>
    </w:p>
    <w:p w14:paraId="3EBC8E4F">
      <w:pPr>
        <w:jc w:val="left"/>
        <w:rPr>
          <w:rFonts w:hint="eastAsia" w:eastAsia="宋体"/>
          <w:color w:val="auto"/>
          <w:lang w:eastAsia="zh-CN"/>
        </w:rPr>
      </w:pPr>
      <w:r>
        <w:rPr>
          <w:rFonts w:hint="eastAsia"/>
          <w:color w:val="auto"/>
        </w:rPr>
        <w:t>（</w:t>
      </w:r>
      <w:r>
        <w:rPr>
          <w:rFonts w:hint="eastAsia"/>
          <w:color w:val="auto"/>
          <w:lang w:val="en-US" w:eastAsia="zh-CN"/>
        </w:rPr>
        <w:t>2</w:t>
      </w:r>
      <w:r>
        <w:rPr>
          <w:rFonts w:hint="eastAsia"/>
          <w:color w:val="auto"/>
        </w:rPr>
        <w:t>1）禁止酒后作业和打闹，</w:t>
      </w:r>
      <w:r>
        <w:rPr>
          <w:rFonts w:hint="eastAsia"/>
          <w:color w:val="auto"/>
          <w:lang w:val="en-US" w:eastAsia="zh-CN"/>
        </w:rPr>
        <w:t>安装</w:t>
      </w:r>
      <w:r>
        <w:rPr>
          <w:rFonts w:hint="eastAsia"/>
          <w:color w:val="auto"/>
        </w:rPr>
        <w:t>人员必须持证上岗</w:t>
      </w:r>
      <w:r>
        <w:rPr>
          <w:rFonts w:hint="eastAsia"/>
          <w:color w:val="auto"/>
          <w:lang w:eastAsia="zh-CN"/>
        </w:rPr>
        <w:t>。</w:t>
      </w:r>
    </w:p>
    <w:p w14:paraId="08C7EFE9">
      <w:pPr>
        <w:jc w:val="left"/>
        <w:rPr>
          <w:rFonts w:hint="eastAsia" w:eastAsia="宋体"/>
          <w:color w:val="auto"/>
          <w:lang w:eastAsia="zh-CN"/>
        </w:rPr>
      </w:pPr>
      <w:r>
        <w:rPr>
          <w:rFonts w:hint="eastAsia"/>
          <w:color w:val="auto"/>
        </w:rPr>
        <w:t>（</w:t>
      </w:r>
      <w:r>
        <w:rPr>
          <w:rFonts w:hint="eastAsia"/>
          <w:color w:val="auto"/>
          <w:lang w:val="en-US" w:eastAsia="zh-CN"/>
        </w:rPr>
        <w:t>22</w:t>
      </w:r>
      <w:r>
        <w:rPr>
          <w:rFonts w:hint="eastAsia"/>
          <w:color w:val="auto"/>
        </w:rPr>
        <w:t>）</w:t>
      </w:r>
      <w:r>
        <w:rPr>
          <w:rFonts w:hint="eastAsia"/>
          <w:color w:val="auto"/>
          <w:lang w:val="en-US" w:eastAsia="zh-CN"/>
        </w:rPr>
        <w:t>安装</w:t>
      </w:r>
      <w:r>
        <w:rPr>
          <w:rFonts w:hint="eastAsia"/>
          <w:color w:val="auto"/>
        </w:rPr>
        <w:t>完毕后，必须由</w:t>
      </w:r>
      <w:r>
        <w:rPr>
          <w:rFonts w:hint="eastAsia"/>
          <w:color w:val="auto"/>
          <w:lang w:val="en-US" w:eastAsia="zh-CN"/>
        </w:rPr>
        <w:t>安装</w:t>
      </w:r>
      <w:r>
        <w:rPr>
          <w:rFonts w:hint="eastAsia"/>
          <w:color w:val="auto"/>
        </w:rPr>
        <w:t>负责人重新对各个部位检查一遍，安装是否正确，并做好记录</w:t>
      </w:r>
      <w:r>
        <w:rPr>
          <w:rFonts w:hint="eastAsia"/>
          <w:color w:val="auto"/>
          <w:lang w:eastAsia="zh-CN"/>
        </w:rPr>
        <w:t>。</w:t>
      </w:r>
    </w:p>
    <w:p w14:paraId="7A361DDB">
      <w:pPr>
        <w:jc w:val="left"/>
        <w:rPr>
          <w:rFonts w:hint="eastAsia" w:eastAsia="宋体"/>
          <w:color w:val="auto"/>
          <w:lang w:eastAsia="zh-CN"/>
        </w:rPr>
      </w:pPr>
      <w:r>
        <w:rPr>
          <w:rFonts w:hint="eastAsia"/>
          <w:color w:val="auto"/>
        </w:rPr>
        <w:t>（</w:t>
      </w:r>
      <w:r>
        <w:rPr>
          <w:rFonts w:hint="eastAsia"/>
          <w:color w:val="auto"/>
          <w:lang w:val="en-US" w:eastAsia="zh-CN"/>
        </w:rPr>
        <w:t>23</w:t>
      </w:r>
      <w:r>
        <w:rPr>
          <w:rFonts w:hint="eastAsia"/>
          <w:color w:val="auto"/>
        </w:rPr>
        <w:t>）安全员要坚守岗位，对违反安全规定的人员，有权停止其工作，认真施行职责</w:t>
      </w:r>
      <w:r>
        <w:rPr>
          <w:rFonts w:hint="eastAsia"/>
          <w:color w:val="auto"/>
          <w:lang w:eastAsia="zh-CN"/>
        </w:rPr>
        <w:t>。</w:t>
      </w:r>
    </w:p>
    <w:p w14:paraId="3E31EBA5">
      <w:pPr>
        <w:jc w:val="left"/>
        <w:rPr>
          <w:rFonts w:hint="eastAsia" w:eastAsia="宋体"/>
          <w:color w:val="auto"/>
          <w:lang w:eastAsia="zh-CN"/>
        </w:rPr>
      </w:pPr>
      <w:r>
        <w:rPr>
          <w:rFonts w:hint="eastAsia"/>
          <w:color w:val="auto"/>
        </w:rPr>
        <w:t>（</w:t>
      </w:r>
      <w:r>
        <w:rPr>
          <w:rFonts w:hint="eastAsia"/>
          <w:color w:val="auto"/>
          <w:lang w:val="en-US" w:eastAsia="zh-CN"/>
        </w:rPr>
        <w:t>24</w:t>
      </w:r>
      <w:r>
        <w:rPr>
          <w:rFonts w:hint="eastAsia"/>
          <w:color w:val="auto"/>
        </w:rPr>
        <w:t>）参加高空作业的人员，应进行严格的体格检查，不合格者，不准进行高空作业</w:t>
      </w:r>
      <w:r>
        <w:rPr>
          <w:rFonts w:hint="eastAsia"/>
          <w:color w:val="auto"/>
          <w:lang w:eastAsia="zh-CN"/>
        </w:rPr>
        <w:t>。</w:t>
      </w:r>
    </w:p>
    <w:p w14:paraId="7FEBFF47">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87" w:name="_Toc18916"/>
      <w:bookmarkStart w:id="188" w:name="_Toc738536073"/>
      <w:bookmarkStart w:id="189" w:name="_Toc17383808"/>
      <w:r>
        <w:rPr>
          <w:rFonts w:hint="eastAsia" w:ascii="宋体" w:hAnsi="宋体" w:eastAsia="宋体" w:cs="Times New Roman"/>
          <w:color w:val="auto"/>
          <w:lang w:val="en-US" w:eastAsia="zh-CN"/>
        </w:rPr>
        <w:t>6.4.7塔身升降施工安全保障措施</w:t>
      </w:r>
      <w:bookmarkEnd w:id="187"/>
      <w:bookmarkEnd w:id="188"/>
    </w:p>
    <w:p w14:paraId="45F4C0BC">
      <w:pPr>
        <w:ind w:firstLine="480"/>
        <w:rPr>
          <w:rFonts w:hAnsi="宋体"/>
          <w:color w:val="auto"/>
          <w:kern w:val="0"/>
        </w:rPr>
      </w:pPr>
      <w:r>
        <w:rPr>
          <w:rFonts w:hint="eastAsia"/>
          <w:color w:val="auto"/>
        </w:rPr>
        <w:t>为保证塔身升降过程中，人员及其塔吊的安全，</w:t>
      </w:r>
      <w:r>
        <w:rPr>
          <w:rFonts w:hint="eastAsia" w:hAnsi="宋体"/>
          <w:color w:val="auto"/>
          <w:kern w:val="0"/>
        </w:rPr>
        <w:t>对顶升横梁、爬爪与踏步位置关系、塔机下支座与套架、标准节“四角”接口连接进行监控检测</w:t>
      </w:r>
    </w:p>
    <w:p w14:paraId="6162C977">
      <w:pPr>
        <w:pStyle w:val="51"/>
        <w:bidi w:val="0"/>
        <w:rPr>
          <w:color w:val="auto"/>
        </w:rPr>
      </w:pPr>
      <w:r>
        <w:rPr>
          <w:rFonts w:hint="eastAsia"/>
          <w:color w:val="auto"/>
        </w:rPr>
        <w:t xml:space="preserve">表 </w:t>
      </w:r>
      <w:r>
        <w:rPr>
          <w:color w:val="auto"/>
        </w:rPr>
        <w:fldChar w:fldCharType="begin"/>
      </w:r>
      <w:r>
        <w:rPr>
          <w:rFonts w:hint="eastAsia"/>
          <w:color w:val="auto"/>
        </w:rPr>
        <w:instrText xml:space="preserve">STYLEREF 2 \s</w:instrText>
      </w:r>
      <w:r>
        <w:rPr>
          <w:color w:val="auto"/>
        </w:rPr>
        <w:fldChar w:fldCharType="separate"/>
      </w:r>
      <w:r>
        <w:rPr>
          <w:color w:val="auto"/>
        </w:rPr>
        <w:t>6.</w:t>
      </w:r>
      <w:r>
        <w:rPr>
          <w:rFonts w:hint="eastAsia"/>
          <w:color w:val="auto"/>
          <w:lang w:val="en-US" w:eastAsia="zh-CN"/>
        </w:rPr>
        <w:t>4</w:t>
      </w:r>
      <w:r>
        <w:rPr>
          <w:color w:val="auto"/>
        </w:rPr>
        <w:fldChar w:fldCharType="end"/>
      </w:r>
      <w:r>
        <w:rPr>
          <w:rFonts w:hint="eastAsia"/>
          <w:color w:val="auto"/>
          <w:lang w:val="en-US" w:eastAsia="zh-CN"/>
        </w:rPr>
        <w:t>-</w:t>
      </w:r>
      <w:r>
        <w:rPr>
          <w:color w:val="auto"/>
        </w:rPr>
        <w:fldChar w:fldCharType="begin"/>
      </w:r>
      <w:r>
        <w:rPr>
          <w:rFonts w:hint="eastAsia"/>
          <w:color w:val="auto"/>
        </w:rPr>
        <w:instrText xml:space="preserve">SEQ 表 \* ARABIC \s 2</w:instrText>
      </w:r>
      <w:r>
        <w:rPr>
          <w:color w:val="auto"/>
        </w:rPr>
        <w:fldChar w:fldCharType="separate"/>
      </w:r>
      <w:r>
        <w:rPr>
          <w:rFonts w:hint="eastAsia"/>
          <w:color w:val="auto"/>
        </w:rPr>
        <w:t>1</w:t>
      </w:r>
      <w:r>
        <w:rPr>
          <w:color w:val="auto"/>
        </w:rPr>
        <w:fldChar w:fldCharType="end"/>
      </w:r>
      <w:r>
        <w:rPr>
          <w:rFonts w:hint="eastAsia"/>
          <w:color w:val="auto"/>
        </w:rPr>
        <w:t>塔身升降监控清单</w:t>
      </w:r>
    </w:p>
    <w:tbl>
      <w:tblPr>
        <w:tblStyle w:val="27"/>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496"/>
        <w:gridCol w:w="1084"/>
        <w:gridCol w:w="683"/>
        <w:gridCol w:w="2263"/>
        <w:gridCol w:w="2059"/>
      </w:tblGrid>
      <w:tr w14:paraId="2B7158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dxa"/>
            <w:tcBorders>
              <w:tl2br w:val="nil"/>
              <w:tr2bl w:val="nil"/>
            </w:tcBorders>
            <w:shd w:val="clear" w:color="auto" w:fill="DCE6F2" w:themeFill="accent1" w:themeFillTint="32"/>
            <w:noWrap w:val="0"/>
            <w:vAlign w:val="center"/>
          </w:tcPr>
          <w:p w14:paraId="58BA7F37">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496" w:type="dxa"/>
            <w:tcBorders>
              <w:tl2br w:val="nil"/>
              <w:tr2bl w:val="nil"/>
            </w:tcBorders>
            <w:shd w:val="clear" w:color="auto" w:fill="DCE6F2" w:themeFill="accent1" w:themeFillTint="32"/>
            <w:noWrap w:val="0"/>
            <w:vAlign w:val="center"/>
          </w:tcPr>
          <w:p w14:paraId="4082C1D0">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检查项目</w:t>
            </w:r>
          </w:p>
        </w:tc>
        <w:tc>
          <w:tcPr>
            <w:tcW w:w="1084" w:type="dxa"/>
            <w:tcBorders>
              <w:tl2br w:val="nil"/>
              <w:tr2bl w:val="nil"/>
            </w:tcBorders>
            <w:shd w:val="clear" w:color="auto" w:fill="DCE6F2" w:themeFill="accent1" w:themeFillTint="32"/>
            <w:noWrap w:val="0"/>
            <w:vAlign w:val="center"/>
          </w:tcPr>
          <w:p w14:paraId="7E999925">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监测人员</w:t>
            </w:r>
          </w:p>
        </w:tc>
        <w:tc>
          <w:tcPr>
            <w:tcW w:w="683" w:type="dxa"/>
            <w:tcBorders>
              <w:tl2br w:val="nil"/>
              <w:tr2bl w:val="nil"/>
            </w:tcBorders>
            <w:shd w:val="clear" w:color="auto" w:fill="DCE6F2" w:themeFill="accent1" w:themeFillTint="32"/>
            <w:noWrap w:val="0"/>
            <w:vAlign w:val="center"/>
          </w:tcPr>
          <w:p w14:paraId="453C69B3">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频率</w:t>
            </w:r>
          </w:p>
        </w:tc>
        <w:tc>
          <w:tcPr>
            <w:tcW w:w="2263" w:type="dxa"/>
            <w:tcBorders>
              <w:tl2br w:val="nil"/>
              <w:tr2bl w:val="nil"/>
            </w:tcBorders>
            <w:shd w:val="clear" w:color="auto" w:fill="DCE6F2" w:themeFill="accent1" w:themeFillTint="32"/>
            <w:noWrap w:val="0"/>
            <w:vAlign w:val="center"/>
          </w:tcPr>
          <w:p w14:paraId="2039C760">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预警内容</w:t>
            </w:r>
          </w:p>
        </w:tc>
        <w:tc>
          <w:tcPr>
            <w:tcW w:w="2059" w:type="dxa"/>
            <w:tcBorders>
              <w:tl2br w:val="nil"/>
              <w:tr2bl w:val="nil"/>
            </w:tcBorders>
            <w:shd w:val="clear" w:color="auto" w:fill="DCE6F2" w:themeFill="accent1" w:themeFillTint="32"/>
            <w:noWrap w:val="0"/>
            <w:vAlign w:val="center"/>
          </w:tcPr>
          <w:p w14:paraId="085316CE">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控制措施</w:t>
            </w:r>
          </w:p>
        </w:tc>
      </w:tr>
      <w:tr w14:paraId="4FF539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dxa"/>
            <w:tcBorders>
              <w:tl2br w:val="nil"/>
              <w:tr2bl w:val="nil"/>
            </w:tcBorders>
            <w:noWrap w:val="0"/>
            <w:vAlign w:val="center"/>
          </w:tcPr>
          <w:p w14:paraId="2D51E07F">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6" w:type="dxa"/>
            <w:tcBorders>
              <w:tl2br w:val="nil"/>
              <w:tr2bl w:val="nil"/>
            </w:tcBorders>
            <w:noWrap w:val="0"/>
            <w:vAlign w:val="center"/>
          </w:tcPr>
          <w:p w14:paraId="60388F43">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kern w:val="0"/>
                <w:sz w:val="21"/>
                <w:szCs w:val="21"/>
              </w:rPr>
              <w:t>顶升横梁、爬爪与踏步位置关系是否正确</w:t>
            </w:r>
          </w:p>
        </w:tc>
        <w:tc>
          <w:tcPr>
            <w:tcW w:w="1084" w:type="dxa"/>
            <w:tcBorders>
              <w:tl2br w:val="nil"/>
              <w:tr2bl w:val="nil"/>
            </w:tcBorders>
            <w:noWrap w:val="0"/>
            <w:vAlign w:val="center"/>
          </w:tcPr>
          <w:p w14:paraId="3ADE9D40">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设备管理员、</w:t>
            </w:r>
          </w:p>
          <w:p w14:paraId="188CF602">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厂家技术人员</w:t>
            </w:r>
          </w:p>
        </w:tc>
        <w:tc>
          <w:tcPr>
            <w:tcW w:w="683" w:type="dxa"/>
            <w:vMerge w:val="restart"/>
            <w:tcBorders>
              <w:tl2br w:val="nil"/>
              <w:tr2bl w:val="nil"/>
            </w:tcBorders>
            <w:noWrap w:val="0"/>
            <w:vAlign w:val="center"/>
          </w:tcPr>
          <w:p w14:paraId="5BCFE4FD">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升降整个过程</w:t>
            </w:r>
          </w:p>
        </w:tc>
        <w:tc>
          <w:tcPr>
            <w:tcW w:w="2263" w:type="dxa"/>
            <w:tcBorders>
              <w:tl2br w:val="nil"/>
              <w:tr2bl w:val="nil"/>
            </w:tcBorders>
            <w:noWrap w:val="0"/>
            <w:vAlign w:val="center"/>
          </w:tcPr>
          <w:p w14:paraId="54C86840">
            <w:pPr>
              <w:numPr>
                <w:ilvl w:val="0"/>
                <w:numId w:val="15"/>
              </w:num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顶升横梁未放入塔身凸耳内；</w:t>
            </w:r>
          </w:p>
          <w:p w14:paraId="54FBDEFA">
            <w:pPr>
              <w:numPr>
                <w:ilvl w:val="0"/>
                <w:numId w:val="15"/>
              </w:num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止动靴未吊挂于凸耳上予以锁固。</w:t>
            </w:r>
          </w:p>
        </w:tc>
        <w:tc>
          <w:tcPr>
            <w:tcW w:w="2059" w:type="dxa"/>
            <w:tcBorders>
              <w:tl2br w:val="nil"/>
              <w:tr2bl w:val="nil"/>
            </w:tcBorders>
            <w:noWrap w:val="0"/>
            <w:vAlign w:val="center"/>
          </w:tcPr>
          <w:p w14:paraId="4CDAF35D">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1、每班作业前进行针对性的技术交底</w:t>
            </w:r>
          </w:p>
          <w:p w14:paraId="5765AF82">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2、顶升时该道工序由班长负责检查，确认无误后方可进行下道工序操作。</w:t>
            </w:r>
          </w:p>
          <w:p w14:paraId="424B4D1C">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3、设备安全员全程旁站监督。</w:t>
            </w:r>
          </w:p>
        </w:tc>
      </w:tr>
      <w:tr w14:paraId="6E0696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dxa"/>
            <w:tcBorders>
              <w:tl2br w:val="nil"/>
              <w:tr2bl w:val="nil"/>
            </w:tcBorders>
            <w:noWrap w:val="0"/>
            <w:vAlign w:val="center"/>
          </w:tcPr>
          <w:p w14:paraId="64E4F2D7">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96" w:type="dxa"/>
            <w:tcBorders>
              <w:tl2br w:val="nil"/>
              <w:tr2bl w:val="nil"/>
            </w:tcBorders>
            <w:noWrap w:val="0"/>
            <w:vAlign w:val="center"/>
          </w:tcPr>
          <w:p w14:paraId="71D22F1E">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kern w:val="0"/>
                <w:sz w:val="21"/>
                <w:szCs w:val="21"/>
              </w:rPr>
              <w:t>塔机下支座与套架、标准节“四角”连接是否正确</w:t>
            </w:r>
          </w:p>
        </w:tc>
        <w:tc>
          <w:tcPr>
            <w:tcW w:w="1084" w:type="dxa"/>
            <w:tcBorders>
              <w:tl2br w:val="nil"/>
              <w:tr2bl w:val="nil"/>
            </w:tcBorders>
            <w:noWrap w:val="0"/>
            <w:vAlign w:val="center"/>
          </w:tcPr>
          <w:p w14:paraId="17BFA490">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设备管理员、</w:t>
            </w:r>
          </w:p>
          <w:p w14:paraId="0723D5BA">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厂家技术人员</w:t>
            </w:r>
          </w:p>
        </w:tc>
        <w:tc>
          <w:tcPr>
            <w:tcW w:w="683" w:type="dxa"/>
            <w:vMerge w:val="continue"/>
            <w:tcBorders>
              <w:tl2br w:val="nil"/>
              <w:tr2bl w:val="nil"/>
            </w:tcBorders>
            <w:noWrap w:val="0"/>
            <w:vAlign w:val="center"/>
          </w:tcPr>
          <w:p w14:paraId="23841684">
            <w:pPr>
              <w:spacing w:line="240" w:lineRule="auto"/>
              <w:ind w:firstLine="0" w:firstLineChars="0"/>
              <w:rPr>
                <w:rFonts w:hint="eastAsia" w:ascii="宋体" w:hAnsi="宋体" w:eastAsia="宋体" w:cs="宋体"/>
                <w:color w:val="auto"/>
                <w:sz w:val="21"/>
                <w:szCs w:val="21"/>
              </w:rPr>
            </w:pPr>
          </w:p>
        </w:tc>
        <w:tc>
          <w:tcPr>
            <w:tcW w:w="2263" w:type="dxa"/>
            <w:tcBorders>
              <w:tl2br w:val="nil"/>
              <w:tr2bl w:val="nil"/>
            </w:tcBorders>
            <w:noWrap w:val="0"/>
            <w:vAlign w:val="center"/>
          </w:tcPr>
          <w:p w14:paraId="5E2E820E">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1、下支座与套架、标准节四角主弦杆连接销轴、开口销数量，安装质量。</w:t>
            </w:r>
          </w:p>
          <w:p w14:paraId="13A18F1C">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2、下支座与标准节主弦杆接触状况</w:t>
            </w:r>
          </w:p>
        </w:tc>
        <w:tc>
          <w:tcPr>
            <w:tcW w:w="2059" w:type="dxa"/>
            <w:tcBorders>
              <w:tl2br w:val="nil"/>
              <w:tr2bl w:val="nil"/>
            </w:tcBorders>
            <w:noWrap w:val="0"/>
            <w:vAlign w:val="center"/>
          </w:tcPr>
          <w:p w14:paraId="48C75E1A">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1、作业前进行技术交底</w:t>
            </w:r>
          </w:p>
          <w:p w14:paraId="41D246F1">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2、顶升作业后组织相关部门进行验收。</w:t>
            </w:r>
          </w:p>
        </w:tc>
      </w:tr>
    </w:tbl>
    <w:p w14:paraId="0D55F0FE">
      <w:pPr>
        <w:rPr>
          <w:color w:val="auto"/>
        </w:rPr>
      </w:pPr>
    </w:p>
    <w:p w14:paraId="11124D51">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90" w:name="_Toc32082"/>
      <w:bookmarkStart w:id="191" w:name="_Toc120299251"/>
      <w:r>
        <w:rPr>
          <w:rFonts w:hint="eastAsia" w:ascii="宋体" w:hAnsi="宋体" w:eastAsia="宋体" w:cs="Times New Roman"/>
          <w:color w:val="auto"/>
          <w:lang w:val="en-US" w:eastAsia="zh-CN"/>
        </w:rPr>
        <w:t>6.4.8起重作业安全技术措施</w:t>
      </w:r>
      <w:bookmarkEnd w:id="189"/>
      <w:bookmarkEnd w:id="190"/>
      <w:bookmarkEnd w:id="191"/>
    </w:p>
    <w:p w14:paraId="06F34B87">
      <w:pPr>
        <w:ind w:firstLine="480"/>
        <w:rPr>
          <w:color w:val="auto"/>
        </w:rPr>
      </w:pPr>
      <w:r>
        <w:rPr>
          <w:rFonts w:hint="eastAsia"/>
          <w:color w:val="auto"/>
        </w:rPr>
        <w:t>（1）吊装前进行地基承载力试验，确保地基承载力合格吊装；有强风禁止吊装，防止起重机械发生倾覆。</w:t>
      </w:r>
    </w:p>
    <w:p w14:paraId="3ED4436D">
      <w:pPr>
        <w:ind w:firstLine="480"/>
        <w:rPr>
          <w:color w:val="auto"/>
        </w:rPr>
      </w:pPr>
      <w:r>
        <w:rPr>
          <w:rFonts w:hint="eastAsia"/>
          <w:color w:val="auto"/>
        </w:rPr>
        <w:t>（2）吊装作业设隔离区并安放安全警示标志，设专职安全员防护及指挥交通，防止闲杂人员入内。</w:t>
      </w:r>
    </w:p>
    <w:p w14:paraId="40AE5C84">
      <w:pPr>
        <w:ind w:firstLine="480"/>
        <w:rPr>
          <w:color w:val="auto"/>
        </w:rPr>
      </w:pPr>
      <w:r>
        <w:rPr>
          <w:rFonts w:hint="eastAsia"/>
          <w:color w:val="auto"/>
        </w:rPr>
        <w:t>（3）必须持证作业，熟知吊装方案、指挥信号、安全技术要求及起重机械的操作。</w:t>
      </w:r>
    </w:p>
    <w:p w14:paraId="7050C6CB">
      <w:pPr>
        <w:ind w:firstLine="480"/>
        <w:rPr>
          <w:color w:val="auto"/>
        </w:rPr>
      </w:pPr>
      <w:r>
        <w:rPr>
          <w:rFonts w:hint="eastAsia"/>
          <w:color w:val="auto"/>
        </w:rPr>
        <w:t>（4）起吊前要认真检查起重机具、工具是否合格、牢靠，确保安全施工。</w:t>
      </w:r>
    </w:p>
    <w:p w14:paraId="118348DC">
      <w:pPr>
        <w:ind w:firstLine="480"/>
        <w:rPr>
          <w:color w:val="auto"/>
        </w:rPr>
      </w:pPr>
      <w:r>
        <w:rPr>
          <w:rFonts w:hint="eastAsia"/>
          <w:color w:val="auto"/>
        </w:rPr>
        <w:t>（5）坚持“十不吊”原则，有权拒绝违章指令。</w:t>
      </w:r>
    </w:p>
    <w:p w14:paraId="373740FD">
      <w:pPr>
        <w:ind w:firstLine="480"/>
        <w:rPr>
          <w:color w:val="auto"/>
        </w:rPr>
      </w:pPr>
      <w:r>
        <w:rPr>
          <w:rFonts w:hint="eastAsia"/>
          <w:color w:val="auto"/>
        </w:rPr>
        <w:t>（6）起吊前，必须正确掌握吊件重量，不允许起重机具超载使用。</w:t>
      </w:r>
    </w:p>
    <w:p w14:paraId="02B3C2C9">
      <w:pPr>
        <w:ind w:firstLine="480"/>
        <w:rPr>
          <w:color w:val="auto"/>
        </w:rPr>
      </w:pPr>
      <w:r>
        <w:rPr>
          <w:rFonts w:hint="eastAsia"/>
          <w:color w:val="auto"/>
        </w:rPr>
        <w:t>（7）立式设备的吊装，应捆绑在重物的重心以上，如需捆绑在重心以下时，必须采取有效的安全措施，并经有关技术负责人批准。</w:t>
      </w:r>
    </w:p>
    <w:p w14:paraId="0771B651">
      <w:pPr>
        <w:ind w:firstLine="480"/>
        <w:rPr>
          <w:color w:val="auto"/>
        </w:rPr>
      </w:pPr>
      <w:r>
        <w:rPr>
          <w:rFonts w:hint="eastAsia"/>
          <w:color w:val="auto"/>
        </w:rPr>
        <w:t>（8）起吊物不宜在空中长时间停留，若须停留应采取可靠的安全措施。</w:t>
      </w:r>
    </w:p>
    <w:p w14:paraId="1BDF7D65">
      <w:pPr>
        <w:ind w:firstLine="480"/>
        <w:rPr>
          <w:color w:val="auto"/>
        </w:rPr>
      </w:pPr>
      <w:r>
        <w:rPr>
          <w:rFonts w:hint="eastAsia"/>
          <w:color w:val="auto"/>
        </w:rPr>
        <w:t>（9）信号指挥人员要站在得当，旗语（或手势）明显准确，哨声清晰洪亮，与旗语（手势）配合协调一致。上下信号密切联系，应当清楚注视吊物起、运转、就位的全过程。</w:t>
      </w:r>
    </w:p>
    <w:p w14:paraId="104CC1AF">
      <w:pPr>
        <w:ind w:firstLine="480"/>
        <w:rPr>
          <w:color w:val="auto"/>
        </w:rPr>
      </w:pPr>
      <w:r>
        <w:rPr>
          <w:rFonts w:hint="eastAsia"/>
          <w:color w:val="auto"/>
        </w:rPr>
        <w:t>（10）信号指挥者应当站在有利于保护自身安全，又能正常指挥作业的有效位置。</w:t>
      </w:r>
    </w:p>
    <w:p w14:paraId="431A42A9">
      <w:pPr>
        <w:ind w:firstLine="480"/>
        <w:rPr>
          <w:color w:val="auto"/>
        </w:rPr>
      </w:pPr>
      <w:r>
        <w:rPr>
          <w:rFonts w:hint="eastAsia"/>
          <w:color w:val="auto"/>
        </w:rPr>
        <w:t>（11）吊物起吊20~30cm高度时，应停钩检查，待妥当后再行吊运。</w:t>
      </w:r>
    </w:p>
    <w:p w14:paraId="37944F3A">
      <w:pPr>
        <w:ind w:firstLine="480"/>
        <w:rPr>
          <w:color w:val="auto"/>
        </w:rPr>
      </w:pPr>
      <w:r>
        <w:rPr>
          <w:rFonts w:hint="eastAsia"/>
          <w:color w:val="auto"/>
        </w:rPr>
        <w:t>（12）吊物悬空运转后空发异常时，指挥者应迅速视情况判断，紧急通告危险部位人员撤退。指挥吊车司机将吊物慢慢放下，排除险情后，再行起吊。</w:t>
      </w:r>
    </w:p>
    <w:p w14:paraId="0456B640">
      <w:pPr>
        <w:ind w:firstLine="480"/>
        <w:rPr>
          <w:color w:val="auto"/>
        </w:rPr>
      </w:pPr>
      <w:r>
        <w:rPr>
          <w:rFonts w:hint="eastAsia"/>
          <w:color w:val="auto"/>
        </w:rPr>
        <w:t>（13）吊运中若突然停电或机械故障，重物不准长时间悬挂高空，应想办法将重物落放到稳妥的位置并垫好。</w:t>
      </w:r>
    </w:p>
    <w:p w14:paraId="389627A2">
      <w:pPr>
        <w:ind w:firstLine="480"/>
        <w:rPr>
          <w:color w:val="auto"/>
        </w:rPr>
      </w:pPr>
      <w:r>
        <w:rPr>
          <w:rFonts w:hint="eastAsia"/>
          <w:color w:val="auto"/>
        </w:rPr>
        <w:t>（14）吊物时，严禁超低空从人的头顶位置越过，要保证吊物与人的头顶最小的安全距离不小于1m。</w:t>
      </w:r>
    </w:p>
    <w:p w14:paraId="66305914">
      <w:pPr>
        <w:ind w:firstLine="480"/>
        <w:rPr>
          <w:color w:val="auto"/>
        </w:rPr>
      </w:pPr>
      <w:r>
        <w:rPr>
          <w:rFonts w:hint="eastAsia"/>
          <w:color w:val="auto"/>
        </w:rPr>
        <w:t>（15）吊物时，确保起重机和相邻建筑物的安全距离，安全距离不小于1.5m。</w:t>
      </w:r>
    </w:p>
    <w:p w14:paraId="720AA4F9">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92" w:name="_Toc10885"/>
      <w:bookmarkStart w:id="193" w:name="_Toc17383809"/>
      <w:bookmarkStart w:id="194" w:name="_Toc1087399730"/>
      <w:r>
        <w:rPr>
          <w:rFonts w:hint="eastAsia" w:ascii="宋体" w:hAnsi="宋体" w:eastAsia="宋体" w:cs="Times New Roman"/>
          <w:color w:val="auto"/>
          <w:lang w:val="en-US" w:eastAsia="zh-CN"/>
        </w:rPr>
        <w:t>6.4.9施工用电安全技术措施</w:t>
      </w:r>
      <w:bookmarkEnd w:id="192"/>
      <w:bookmarkEnd w:id="193"/>
      <w:bookmarkEnd w:id="194"/>
    </w:p>
    <w:p w14:paraId="71116F26">
      <w:pPr>
        <w:ind w:firstLine="480"/>
        <w:rPr>
          <w:color w:val="auto"/>
        </w:rPr>
      </w:pPr>
      <w:r>
        <w:rPr>
          <w:rFonts w:hint="eastAsia"/>
          <w:color w:val="auto"/>
        </w:rPr>
        <w:t>（1）施工现场配电必须设置保护接零系统，实行三相五线制，杜绝疏漏。所有接零接地处必须保证可靠的电气连接。保护线PE必须采用绿/黄双色线。严格与相线、工作零线相区别，严禁混用。</w:t>
      </w:r>
    </w:p>
    <w:p w14:paraId="2EBEDD9C">
      <w:pPr>
        <w:ind w:firstLine="480"/>
        <w:rPr>
          <w:color w:val="auto"/>
        </w:rPr>
      </w:pPr>
      <w:r>
        <w:rPr>
          <w:rFonts w:hint="eastAsia"/>
          <w:color w:val="auto"/>
        </w:rPr>
        <w:t>（2）设置总配电箱，门向外开，配锁。</w:t>
      </w:r>
    </w:p>
    <w:p w14:paraId="193CA162">
      <w:pPr>
        <w:ind w:firstLine="480"/>
        <w:rPr>
          <w:color w:val="auto"/>
        </w:rPr>
      </w:pPr>
      <w:r>
        <w:rPr>
          <w:rFonts w:hint="eastAsia"/>
          <w:color w:val="auto"/>
        </w:rPr>
        <w:t>（3）配电箱、开关箱应有防雨措施，安装位置周围不得有杂物，便于操作。</w:t>
      </w:r>
    </w:p>
    <w:p w14:paraId="4D9C7EF3">
      <w:pPr>
        <w:ind w:firstLine="480"/>
        <w:rPr>
          <w:color w:val="auto"/>
        </w:rPr>
      </w:pPr>
      <w:r>
        <w:rPr>
          <w:rFonts w:hint="eastAsia"/>
          <w:color w:val="auto"/>
        </w:rPr>
        <w:t>（4）由总配电箱引至工地各分配电箱电源回路，采用BV铜芯导线架空或套钢管埋地敷设。</w:t>
      </w:r>
    </w:p>
    <w:p w14:paraId="7FCCC63B">
      <w:pPr>
        <w:ind w:firstLine="480"/>
        <w:rPr>
          <w:color w:val="auto"/>
        </w:rPr>
      </w:pPr>
      <w:r>
        <w:rPr>
          <w:rFonts w:hint="eastAsia"/>
          <w:color w:val="auto"/>
        </w:rPr>
        <w:t>（5）大风或雨后启用电器前，要由专业人员检查，电路电闸要严格防潮防雨</w:t>
      </w:r>
    </w:p>
    <w:p w14:paraId="37F7F22B">
      <w:pPr>
        <w:ind w:firstLine="480"/>
        <w:rPr>
          <w:color w:val="auto"/>
        </w:rPr>
      </w:pPr>
      <w:r>
        <w:rPr>
          <w:rFonts w:hint="eastAsia"/>
          <w:color w:val="auto"/>
        </w:rPr>
        <w:t>（6）配电箱、开关箱应统一编号，喷上危险标志和施工单位名称。</w:t>
      </w:r>
    </w:p>
    <w:p w14:paraId="389213FE">
      <w:pPr>
        <w:ind w:firstLine="480"/>
        <w:rPr>
          <w:color w:val="auto"/>
        </w:rPr>
      </w:pPr>
      <w:r>
        <w:rPr>
          <w:rFonts w:hint="eastAsia"/>
          <w:color w:val="auto"/>
        </w:rPr>
        <w:t>（7）作防雷接地的电气设备，必须同时作重复接地，同一台电气设备的重复接地与防雷接地可使用并联于基础防雷接地网，所有接地电阻值≤4Ω。</w:t>
      </w:r>
    </w:p>
    <w:p w14:paraId="22291060">
      <w:pPr>
        <w:ind w:firstLine="480"/>
        <w:rPr>
          <w:color w:val="auto"/>
        </w:rPr>
      </w:pPr>
      <w:r>
        <w:rPr>
          <w:rFonts w:hint="eastAsia"/>
          <w:color w:val="auto"/>
        </w:rPr>
        <w:t>（8）保护零线不得装设开关或熔断器,保护零线的截面应不小于工作零线的截面。同时必须满足机械强度要求。</w:t>
      </w:r>
    </w:p>
    <w:p w14:paraId="4E3B6D7D">
      <w:pPr>
        <w:ind w:firstLine="480"/>
        <w:rPr>
          <w:color w:val="auto"/>
        </w:rPr>
      </w:pPr>
      <w:r>
        <w:rPr>
          <w:rFonts w:hint="eastAsia"/>
          <w:color w:val="auto"/>
        </w:rPr>
        <w:t>（9）每台用电设备应有各自专用的开关箱，必须实行“一机、一闸、一漏”制（含插座）。</w:t>
      </w:r>
    </w:p>
    <w:p w14:paraId="3FC192EB">
      <w:pPr>
        <w:ind w:firstLine="480"/>
        <w:rPr>
          <w:color w:val="auto"/>
        </w:rPr>
      </w:pPr>
      <w:r>
        <w:rPr>
          <w:rFonts w:hint="eastAsia"/>
          <w:color w:val="auto"/>
        </w:rPr>
        <w:t>（10）配电箱、开关箱的进线和出线口应设在箱体的下底面，严禁设在箱体的上顶面、侧面、后面或门处。移动式配电箱的进、出线必须采用橡胶套绝缘电缆。</w:t>
      </w:r>
    </w:p>
    <w:p w14:paraId="1DBCEBDC">
      <w:pPr>
        <w:ind w:firstLine="480"/>
        <w:rPr>
          <w:color w:val="auto"/>
        </w:rPr>
      </w:pPr>
      <w:r>
        <w:rPr>
          <w:rFonts w:hint="eastAsia"/>
          <w:color w:val="auto"/>
        </w:rPr>
        <w:t>（11）所有配电箱门应配锁、配电箱和开关箱应由现场电工专人管理。</w:t>
      </w:r>
    </w:p>
    <w:p w14:paraId="31208478">
      <w:pPr>
        <w:ind w:firstLine="480"/>
        <w:rPr>
          <w:color w:val="auto"/>
        </w:rPr>
      </w:pPr>
      <w:r>
        <w:rPr>
          <w:rFonts w:hint="eastAsia"/>
          <w:color w:val="auto"/>
        </w:rPr>
        <w:t>（12）所有配电箱、开关箱应每天检查一次，维修人员必须是专业电工，检查维修时必须按规定穿戴绝缘鞋、手套，必须使用电工绝缘工具。</w:t>
      </w:r>
    </w:p>
    <w:p w14:paraId="365EE82B">
      <w:pPr>
        <w:ind w:firstLine="480"/>
        <w:rPr>
          <w:color w:val="auto"/>
        </w:rPr>
      </w:pPr>
      <w:r>
        <w:rPr>
          <w:rFonts w:hint="eastAsia"/>
          <w:color w:val="auto"/>
        </w:rPr>
        <w:t>（13）手持式电动工具的外壳、手柄、负荷线，插头开关等，必须完好无损，使用前必须作空载检查，运转正常方可使用。</w:t>
      </w:r>
    </w:p>
    <w:p w14:paraId="79D3EE14">
      <w:pPr>
        <w:ind w:firstLine="480"/>
        <w:rPr>
          <w:color w:val="auto"/>
        </w:rPr>
      </w:pPr>
      <w:r>
        <w:rPr>
          <w:rFonts w:hint="eastAsia"/>
          <w:color w:val="auto"/>
        </w:rPr>
        <w:t>（14）电气设备所用保险丝的额定电流应与其负荷容量相适应，禁止用其它金属代替保险丝。</w:t>
      </w:r>
    </w:p>
    <w:p w14:paraId="08B3070C">
      <w:pPr>
        <w:ind w:firstLine="480"/>
        <w:rPr>
          <w:color w:val="auto"/>
        </w:rPr>
      </w:pPr>
      <w:r>
        <w:rPr>
          <w:rFonts w:hint="eastAsia"/>
          <w:color w:val="auto"/>
        </w:rPr>
        <w:t>（15）在潮湿和易触及带电体场所的照明电源不得大于24伏，在特别潮湿的场所，导电良好的地面工作的电源电压不得大于12伏。</w:t>
      </w:r>
    </w:p>
    <w:p w14:paraId="3EC47465">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95" w:name="_Toc17383810"/>
      <w:bookmarkStart w:id="196" w:name="_Toc9450"/>
      <w:bookmarkStart w:id="197" w:name="_Toc841426140"/>
      <w:r>
        <w:rPr>
          <w:rFonts w:hint="eastAsia" w:ascii="宋体" w:hAnsi="宋体" w:eastAsia="宋体" w:cs="Times New Roman"/>
          <w:color w:val="auto"/>
          <w:lang w:val="en-US" w:eastAsia="zh-CN"/>
        </w:rPr>
        <w:t>6.4.10现场防火技术措施</w:t>
      </w:r>
      <w:bookmarkEnd w:id="195"/>
      <w:bookmarkEnd w:id="196"/>
      <w:bookmarkEnd w:id="197"/>
    </w:p>
    <w:p w14:paraId="6394E29B">
      <w:pPr>
        <w:ind w:firstLine="480"/>
        <w:rPr>
          <w:color w:val="auto"/>
        </w:rPr>
      </w:pPr>
      <w:r>
        <w:rPr>
          <w:rFonts w:hint="eastAsia"/>
          <w:color w:val="auto"/>
        </w:rPr>
        <w:t>（1）根据施工现场实际情况，配置一定数量的干粉灭火器，消防水龙头。</w:t>
      </w:r>
    </w:p>
    <w:p w14:paraId="03EEB2F4">
      <w:pPr>
        <w:ind w:firstLine="480"/>
        <w:rPr>
          <w:color w:val="auto"/>
        </w:rPr>
      </w:pPr>
      <w:r>
        <w:rPr>
          <w:rFonts w:hint="eastAsia"/>
          <w:color w:val="auto"/>
        </w:rPr>
        <w:t>（2）对油库、仓库、配电箱要重点防治，在配置消防设施外，还应安装防爆灯、静电保护开关；严禁烟火，安排专人负责，保持清洁卫生。</w:t>
      </w:r>
    </w:p>
    <w:p w14:paraId="5B1278AA">
      <w:pPr>
        <w:ind w:firstLine="480"/>
        <w:rPr>
          <w:color w:val="auto"/>
        </w:rPr>
      </w:pPr>
      <w:r>
        <w:rPr>
          <w:rFonts w:hint="eastAsia"/>
          <w:color w:val="auto"/>
        </w:rPr>
        <w:t>（3）加强对氧气、乙炔的管理和使用，按规定氧气、乙炔要分开摆放（保证5米以上的距离）；在夏季要搭设遮阳棚，防止氧气、乙炔暴晒发生事故。</w:t>
      </w:r>
    </w:p>
    <w:p w14:paraId="7DEDFDEB">
      <w:pPr>
        <w:ind w:firstLine="480"/>
        <w:rPr>
          <w:color w:val="auto"/>
        </w:rPr>
      </w:pPr>
      <w:r>
        <w:rPr>
          <w:rFonts w:hint="eastAsia"/>
          <w:color w:val="auto"/>
        </w:rPr>
        <w:t>（4）施工现场，严禁乱拉乱搭电线和随意安装用电插座。</w:t>
      </w:r>
    </w:p>
    <w:p w14:paraId="2EAA9C44">
      <w:pPr>
        <w:ind w:firstLine="480"/>
        <w:rPr>
          <w:color w:val="auto"/>
        </w:rPr>
      </w:pPr>
      <w:r>
        <w:rPr>
          <w:rFonts w:hint="eastAsia"/>
          <w:color w:val="auto"/>
        </w:rPr>
        <w:t>（5）电线线路破旧要及时更换，严禁用铜线、铁丝代替保险丝，严禁超负荷用电。</w:t>
      </w:r>
    </w:p>
    <w:p w14:paraId="29D99C21">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98" w:name="_Toc669319485"/>
      <w:bookmarkStart w:id="199" w:name="_Toc17383811"/>
      <w:bookmarkStart w:id="200" w:name="_Toc26223"/>
      <w:r>
        <w:rPr>
          <w:rFonts w:hint="eastAsia" w:ascii="宋体" w:hAnsi="宋体" w:eastAsia="宋体" w:cs="Times New Roman"/>
          <w:color w:val="auto"/>
          <w:lang w:val="en-US" w:eastAsia="zh-CN"/>
        </w:rPr>
        <w:t>6.4.11高空作业安全技术措施</w:t>
      </w:r>
      <w:bookmarkEnd w:id="198"/>
      <w:bookmarkEnd w:id="199"/>
      <w:bookmarkEnd w:id="200"/>
    </w:p>
    <w:p w14:paraId="25180D36">
      <w:pPr>
        <w:ind w:firstLine="480"/>
        <w:rPr>
          <w:color w:val="auto"/>
        </w:rPr>
      </w:pPr>
      <w:r>
        <w:rPr>
          <w:rFonts w:hint="eastAsia"/>
          <w:color w:val="auto"/>
        </w:rPr>
        <w:t>（1）高空作业时，应使用安全带或安全绳拴牢在固定物上，如工作流动性较大，不便于使用安全带时，需用外脚手架封檐及安全网等设备。</w:t>
      </w:r>
    </w:p>
    <w:p w14:paraId="1FA681B5">
      <w:pPr>
        <w:ind w:firstLine="480"/>
        <w:rPr>
          <w:rFonts w:hint="eastAsia" w:ascii="Times New Roman" w:hAnsi="Times New Roman" w:eastAsia="宋体" w:cs="Times New Roman"/>
          <w:color w:val="auto"/>
        </w:rPr>
      </w:pPr>
      <w:r>
        <w:rPr>
          <w:rFonts w:hint="eastAsia"/>
          <w:color w:val="auto"/>
        </w:rPr>
        <w:t>（</w:t>
      </w:r>
      <w:r>
        <w:rPr>
          <w:rFonts w:hint="eastAsia" w:ascii="Times New Roman" w:hAnsi="Times New Roman" w:eastAsia="宋体" w:cs="Times New Roman"/>
          <w:color w:val="auto"/>
        </w:rPr>
        <w:t>2）使用安全带前，必须仔细检查安全带是否完好，带环是否牢固，发现有损坏腐蚀情形，不得使用。</w:t>
      </w:r>
    </w:p>
    <w:p w14:paraId="3A79660B">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3）高空作业不准穿硬底鞋，衣服袖口、裤脚口要扎紧。</w:t>
      </w:r>
    </w:p>
    <w:p w14:paraId="06B15B06">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4）有雷雨、大雨、大雾和风力在六级以上时，均不可高空作业。</w:t>
      </w:r>
    </w:p>
    <w:p w14:paraId="0B045E08">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5）高空作业的工具，应仔细检查，如发现绳索有断痕，工具柄松脱，应及时修理或更换，严禁高空作业向下掉落物体。</w:t>
      </w:r>
    </w:p>
    <w:p w14:paraId="0A8420A3">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 xml:space="preserve">6）小型工具要放入工具袋内，大型工具用完后，应立刻放到地面；递送工具、机件和材料等不准抛掷，下方应设置警戒线，安排专人警戒，防止意外发生。 </w:t>
      </w:r>
    </w:p>
    <w:p w14:paraId="2F7E4318">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7）高空作业的临边要设置防护栏和安全网，确保施工人员的作业安全。</w:t>
      </w:r>
    </w:p>
    <w:p w14:paraId="5D31FD84">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8）夜间作业必须设置足够的照明设施。</w:t>
      </w:r>
    </w:p>
    <w:p w14:paraId="38FE0719">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01" w:name="_Toc733241409"/>
      <w:bookmarkStart w:id="202" w:name="_Toc17383813"/>
      <w:bookmarkStart w:id="203" w:name="_Toc11183"/>
      <w:r>
        <w:rPr>
          <w:rFonts w:hint="eastAsia" w:ascii="宋体" w:hAnsi="宋体" w:eastAsia="宋体" w:cs="Times New Roman"/>
          <w:color w:val="auto"/>
          <w:lang w:val="en-US" w:eastAsia="zh-CN"/>
        </w:rPr>
        <w:t>6.4.12防强风安全技术措施</w:t>
      </w:r>
      <w:bookmarkEnd w:id="201"/>
      <w:bookmarkEnd w:id="202"/>
      <w:bookmarkEnd w:id="203"/>
    </w:p>
    <w:p w14:paraId="0507B16B">
      <w:pPr>
        <w:keepNext w:val="0"/>
        <w:keepLines w:val="0"/>
        <w:pageBreakBefore w:val="0"/>
        <w:widowControl w:val="0"/>
        <w:kinsoku/>
        <w:wordWrap/>
        <w:overflowPunct/>
        <w:topLinePunct w:val="0"/>
        <w:bidi w:val="0"/>
        <w:snapToGrid/>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安全防风是一项非常重要的日常工作，必须设有专人监督和检查。</w:t>
      </w:r>
      <w:r>
        <w:rPr>
          <w:rFonts w:hint="eastAsia" w:ascii="宋体" w:hAnsi="宋体" w:eastAsia="宋体" w:cs="宋体"/>
          <w:color w:val="auto"/>
          <w:lang w:eastAsia="zh-CN"/>
        </w:rPr>
        <w:t>现场管理员和操作人员</w:t>
      </w:r>
      <w:r>
        <w:rPr>
          <w:rFonts w:hint="eastAsia" w:ascii="宋体" w:hAnsi="宋体" w:eastAsia="宋体" w:cs="宋体"/>
          <w:color w:val="auto"/>
        </w:rPr>
        <w:t>必须了解</w:t>
      </w:r>
      <w:r>
        <w:rPr>
          <w:rFonts w:hint="eastAsia" w:ascii="宋体" w:hAnsi="宋体" w:eastAsia="宋体" w:cs="宋体"/>
          <w:color w:val="auto"/>
          <w:lang w:eastAsia="zh-CN"/>
        </w:rPr>
        <w:t>塔机</w:t>
      </w:r>
      <w:r>
        <w:rPr>
          <w:rFonts w:hint="eastAsia" w:ascii="宋体" w:hAnsi="宋体" w:eastAsia="宋体" w:cs="宋体"/>
          <w:color w:val="auto"/>
        </w:rPr>
        <w:t>的构造和防风操作要点，严格执行操作规程。</w:t>
      </w:r>
    </w:p>
    <w:p w14:paraId="47BC0257">
      <w:pPr>
        <w:keepNext w:val="0"/>
        <w:keepLines w:val="0"/>
        <w:pageBreakBefore w:val="0"/>
        <w:widowControl w:val="0"/>
        <w:numPr>
          <w:ilvl w:val="0"/>
          <w:numId w:val="0"/>
        </w:numPr>
        <w:kinsoku/>
        <w:wordWrap/>
        <w:overflowPunct/>
        <w:topLinePunct w:val="0"/>
        <w:bidi w:val="0"/>
        <w:snapToGrid/>
        <w:spacing w:line="360" w:lineRule="auto"/>
        <w:ind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（1）塔机安装施工过程中防</w:t>
      </w:r>
      <w:r>
        <w:rPr>
          <w:rFonts w:hint="default" w:ascii="宋体" w:hAnsi="宋体" w:cs="宋体"/>
          <w:color w:val="auto"/>
          <w:lang w:eastAsia="zh-CN"/>
        </w:rPr>
        <w:t>强</w:t>
      </w:r>
      <w:r>
        <w:rPr>
          <w:rFonts w:hint="eastAsia" w:ascii="宋体" w:hAnsi="宋体" w:eastAsia="宋体" w:cs="宋体"/>
          <w:color w:val="auto"/>
          <w:lang w:val="en-US" w:eastAsia="zh-CN"/>
        </w:rPr>
        <w:t>风措施</w:t>
      </w:r>
    </w:p>
    <w:p w14:paraId="08C6E15D">
      <w:pPr>
        <w:pStyle w:val="30"/>
        <w:keepNext w:val="0"/>
        <w:keepLines w:val="0"/>
        <w:pageBreakBefore w:val="0"/>
        <w:widowControl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1 \* GB3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rPr>
        <w:t>①</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当塔机安装施工过程中接到</w:t>
      </w:r>
      <w:r>
        <w:rPr>
          <w:rFonts w:hint="default" w:hAnsi="宋体" w:cs="宋体"/>
          <w:color w:val="auto"/>
          <w:lang w:eastAsia="zh-CN"/>
        </w:rPr>
        <w:t>强风</w:t>
      </w:r>
      <w:r>
        <w:rPr>
          <w:rFonts w:hint="eastAsia" w:ascii="宋体" w:hAnsi="宋体" w:eastAsia="宋体" w:cs="宋体"/>
          <w:color w:val="auto"/>
          <w:lang w:val="en-US" w:eastAsia="zh-CN"/>
        </w:rPr>
        <w:t>预报后，如预报风力达到10级（24.5-28.5m/s）时，应提前2天作好防护工作，</w:t>
      </w:r>
      <w:r>
        <w:rPr>
          <w:rFonts w:hint="eastAsia" w:ascii="宋体" w:hAnsi="宋体" w:cs="宋体"/>
          <w:color w:val="auto"/>
          <w:lang w:val="en-US" w:eastAsia="zh-CN"/>
        </w:rPr>
        <w:t>具体措施是：</w:t>
      </w:r>
      <w:r>
        <w:rPr>
          <w:rFonts w:hint="eastAsia" w:ascii="宋体" w:hAnsi="宋体" w:eastAsia="宋体" w:cs="宋体"/>
          <w:color w:val="auto"/>
          <w:lang w:val="en-US" w:eastAsia="zh-CN"/>
        </w:rPr>
        <w:t>首先检查塔机的所有连接构件</w:t>
      </w:r>
      <w:r>
        <w:rPr>
          <w:rFonts w:hint="eastAsia" w:ascii="宋体" w:hAnsi="宋体" w:cs="宋体"/>
          <w:color w:val="auto"/>
          <w:lang w:val="en-US" w:eastAsia="zh-CN"/>
        </w:rPr>
        <w:t>连接</w:t>
      </w:r>
      <w:r>
        <w:rPr>
          <w:rFonts w:hint="eastAsia" w:ascii="宋体" w:hAnsi="宋体" w:eastAsia="宋体" w:cs="宋体"/>
          <w:color w:val="auto"/>
          <w:lang w:val="en-US" w:eastAsia="zh-CN"/>
        </w:rPr>
        <w:t>等</w:t>
      </w:r>
      <w:r>
        <w:rPr>
          <w:rFonts w:hint="eastAsia" w:ascii="宋体" w:hAnsi="宋体" w:cs="宋体"/>
          <w:color w:val="auto"/>
          <w:lang w:val="en-US" w:eastAsia="zh-CN"/>
        </w:rPr>
        <w:t>必须</w:t>
      </w:r>
      <w:r>
        <w:rPr>
          <w:rFonts w:hint="eastAsia" w:ascii="宋体" w:hAnsi="宋体" w:eastAsia="宋体" w:cs="宋体"/>
          <w:color w:val="auto"/>
          <w:lang w:val="en-US" w:eastAsia="zh-CN"/>
        </w:rPr>
        <w:t>完成，连接销、连接螺栓等安装完善，停止任何安装、吊装等施工，</w:t>
      </w:r>
      <w:r>
        <w:rPr>
          <w:rFonts w:hint="eastAsia" w:ascii="宋体" w:hAnsi="宋体" w:cs="宋体"/>
          <w:color w:val="auto"/>
          <w:lang w:val="en-US" w:eastAsia="zh-CN"/>
        </w:rPr>
        <w:t>然后</w:t>
      </w:r>
      <w:r>
        <w:rPr>
          <w:rFonts w:hint="eastAsia" w:ascii="宋体" w:hAnsi="宋体" w:eastAsia="宋体" w:cs="宋体"/>
          <w:color w:val="auto"/>
        </w:rPr>
        <w:t>打开回转制动器和制动锁</w:t>
      </w:r>
      <w:r>
        <w:rPr>
          <w:rFonts w:hint="eastAsia" w:ascii="宋体" w:hAnsi="宋体" w:cs="宋体"/>
          <w:color w:val="auto"/>
          <w:lang w:eastAsia="zh-CN"/>
        </w:rPr>
        <w:t>止</w:t>
      </w:r>
      <w:r>
        <w:rPr>
          <w:rFonts w:hint="eastAsia" w:ascii="宋体" w:hAnsi="宋体" w:eastAsia="宋体" w:cs="宋体"/>
          <w:color w:val="auto"/>
        </w:rPr>
        <w:t>装置，使其回转系统处于自由状态</w:t>
      </w:r>
      <w:r>
        <w:rPr>
          <w:rFonts w:hint="eastAsia" w:ascii="宋体" w:hAnsi="宋体" w:cs="宋体"/>
          <w:color w:val="auto"/>
          <w:lang w:eastAsia="zh-CN"/>
        </w:rPr>
        <w:t>。</w:t>
      </w:r>
      <w:r>
        <w:rPr>
          <w:rFonts w:hint="eastAsia" w:ascii="宋体" w:hAnsi="宋体" w:eastAsia="宋体" w:cs="宋体"/>
          <w:color w:val="auto"/>
          <w:lang w:val="en-US" w:eastAsia="zh-CN"/>
        </w:rPr>
        <w:t>如预报风力达到11级</w:t>
      </w:r>
      <w:r>
        <w:rPr>
          <w:rFonts w:hint="eastAsia" w:ascii="宋体" w:hAnsi="宋体" w:cs="宋体"/>
          <w:color w:val="auto"/>
          <w:lang w:val="en-US" w:eastAsia="zh-CN"/>
        </w:rPr>
        <w:t>，平衡臂已经安装而起重臂未安装时，应停止继续安装起重臂，并且将平衡臂拆除。</w:t>
      </w:r>
    </w:p>
    <w:p w14:paraId="38F47A04">
      <w:pPr>
        <w:pStyle w:val="30"/>
        <w:keepNext w:val="0"/>
        <w:keepLines w:val="0"/>
        <w:pageBreakBefore w:val="0"/>
        <w:widowControl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2 \* GB3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rPr>
        <w:t>②</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塔机在安装、顶升加节或者降节施工的过程中，当风力大于</w:t>
      </w:r>
      <w:r>
        <w:rPr>
          <w:rFonts w:hint="eastAsia" w:ascii="宋体" w:hAnsi="宋体" w:cs="宋体"/>
          <w:color w:val="auto"/>
          <w:lang w:val="en-US" w:eastAsia="zh-CN"/>
        </w:rPr>
        <w:t>6</w:t>
      </w:r>
      <w:r>
        <w:rPr>
          <w:rFonts w:hint="eastAsia" w:ascii="宋体" w:hAnsi="宋体" w:eastAsia="宋体" w:cs="宋体"/>
          <w:color w:val="auto"/>
          <w:lang w:val="en-US" w:eastAsia="zh-CN"/>
        </w:rPr>
        <w:t>级（</w:t>
      </w:r>
      <w:r>
        <w:rPr>
          <w:rFonts w:hint="eastAsia" w:ascii="宋体" w:hAnsi="宋体" w:cs="宋体"/>
          <w:color w:val="auto"/>
          <w:lang w:val="en-US" w:eastAsia="zh-CN"/>
        </w:rPr>
        <w:t>10</w:t>
      </w:r>
      <w:r>
        <w:rPr>
          <w:rFonts w:hint="eastAsia" w:ascii="宋体" w:hAnsi="宋体" w:eastAsia="宋体" w:cs="宋体"/>
          <w:color w:val="auto"/>
          <w:lang w:val="en-US" w:eastAsia="zh-CN"/>
        </w:rPr>
        <w:t>.</w:t>
      </w:r>
      <w:r>
        <w:rPr>
          <w:rFonts w:hint="eastAsia" w:ascii="宋体" w:hAnsi="宋体" w:cs="宋体"/>
          <w:color w:val="auto"/>
          <w:lang w:val="en-US" w:eastAsia="zh-CN"/>
        </w:rPr>
        <w:t>8</w:t>
      </w:r>
      <w:r>
        <w:rPr>
          <w:rFonts w:hint="eastAsia" w:ascii="宋体" w:hAnsi="宋体" w:eastAsia="宋体" w:cs="宋体"/>
          <w:color w:val="auto"/>
          <w:lang w:val="en-US" w:eastAsia="zh-CN"/>
        </w:rPr>
        <w:t>-</w:t>
      </w:r>
      <w:r>
        <w:rPr>
          <w:rFonts w:hint="eastAsia" w:ascii="宋体" w:hAnsi="宋体" w:cs="宋体"/>
          <w:color w:val="auto"/>
          <w:lang w:val="en-US" w:eastAsia="zh-CN"/>
        </w:rPr>
        <w:t>13.</w:t>
      </w:r>
      <w:r>
        <w:rPr>
          <w:rFonts w:hint="eastAsia" w:ascii="宋体" w:hAnsi="宋体" w:eastAsia="宋体" w:cs="宋体"/>
          <w:color w:val="auto"/>
          <w:lang w:val="en-US" w:eastAsia="zh-CN"/>
        </w:rPr>
        <w:t>8m/s）时，禁止进行任何的吊装、安装施工，尤其是顶升加节或者降节施工。</w:t>
      </w:r>
    </w:p>
    <w:p w14:paraId="40B6F45F">
      <w:pPr>
        <w:keepNext w:val="0"/>
        <w:keepLines w:val="0"/>
        <w:pageBreakBefore w:val="0"/>
        <w:widowControl w:val="0"/>
        <w:numPr>
          <w:ilvl w:val="0"/>
          <w:numId w:val="0"/>
        </w:numPr>
        <w:kinsoku/>
        <w:wordWrap/>
        <w:overflowPunct/>
        <w:topLinePunct w:val="0"/>
        <w:bidi w:val="0"/>
        <w:snapToGrid/>
        <w:spacing w:line="360" w:lineRule="auto"/>
        <w:ind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（2）塔机在使用过程中的防风措施</w:t>
      </w:r>
    </w:p>
    <w:p w14:paraId="1D72FB3B">
      <w:pPr>
        <w:ind w:left="0" w:leftChars="0" w:firstLine="480" w:firstLineChars="200"/>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1 \* GB3 \* MERGEFORMAT </w:instrText>
      </w:r>
      <w:r>
        <w:rPr>
          <w:rFonts w:hint="eastAsia" w:ascii="宋体" w:hAnsi="宋体" w:eastAsia="宋体" w:cs="宋体"/>
          <w:color w:val="auto"/>
        </w:rPr>
        <w:fldChar w:fldCharType="separate"/>
      </w:r>
      <w:r>
        <w:rPr>
          <w:rFonts w:hint="eastAsia" w:ascii="宋体" w:hAnsi="宋体" w:eastAsia="宋体" w:cs="宋体"/>
          <w:color w:val="auto"/>
        </w:rPr>
        <w:t>①</w:t>
      </w:r>
      <w:r>
        <w:rPr>
          <w:rFonts w:hint="eastAsia" w:ascii="宋体" w:hAnsi="宋体" w:eastAsia="宋体" w:cs="宋体"/>
          <w:color w:val="auto"/>
        </w:rPr>
        <w:fldChar w:fldCharType="end"/>
      </w:r>
      <w:r>
        <w:rPr>
          <w:rFonts w:hint="eastAsia" w:ascii="宋体" w:hAnsi="宋体" w:eastAsia="宋体" w:cs="宋体"/>
          <w:color w:val="auto"/>
        </w:rPr>
        <w:t>日常防风</w:t>
      </w:r>
      <w:r>
        <w:rPr>
          <w:rFonts w:hint="eastAsia" w:ascii="宋体" w:hAnsi="宋体" w:eastAsia="宋体" w:cs="宋体"/>
          <w:color w:val="auto"/>
          <w:lang w:eastAsia="zh-CN"/>
        </w:rPr>
        <w:t>。塔机平时停止使用时，应将吊钩上吊装绳取掉、将吊钩起升至最高处、将小车收回至根部、将起重臂旋转至顶升方向（顺桥向、朝岸侧）即可，</w:t>
      </w:r>
      <w:r>
        <w:rPr>
          <w:rFonts w:hint="eastAsia" w:ascii="宋体" w:hAnsi="宋体" w:eastAsia="宋体" w:cs="宋体"/>
          <w:color w:val="auto"/>
        </w:rPr>
        <w:t>切断电源</w:t>
      </w:r>
      <w:r>
        <w:rPr>
          <w:rFonts w:hint="eastAsia" w:ascii="宋体" w:hAnsi="宋体" w:eastAsia="宋体" w:cs="宋体"/>
          <w:color w:val="auto"/>
          <w:lang w:eastAsia="zh-CN"/>
        </w:rPr>
        <w:t>、关好门窗。</w:t>
      </w:r>
    </w:p>
    <w:p w14:paraId="5CC43B70">
      <w:pPr>
        <w:ind w:left="0" w:leftChars="0" w:firstLine="480" w:firstLineChars="200"/>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2 \* GB3 \* MERGEFORMAT </w:instrText>
      </w:r>
      <w:r>
        <w:rPr>
          <w:rFonts w:hint="eastAsia" w:ascii="宋体" w:hAnsi="宋体" w:eastAsia="宋体" w:cs="宋体"/>
          <w:color w:val="auto"/>
        </w:rPr>
        <w:fldChar w:fldCharType="separate"/>
      </w:r>
      <w:r>
        <w:rPr>
          <w:rFonts w:hint="eastAsia" w:ascii="宋体" w:hAnsi="宋体" w:eastAsia="宋体" w:cs="宋体"/>
          <w:color w:val="auto"/>
        </w:rPr>
        <w:t>②</w:t>
      </w:r>
      <w:r>
        <w:rPr>
          <w:rFonts w:hint="eastAsia" w:ascii="宋体" w:hAnsi="宋体" w:eastAsia="宋体" w:cs="宋体"/>
          <w:color w:val="auto"/>
        </w:rPr>
        <w:fldChar w:fldCharType="end"/>
      </w:r>
      <w:r>
        <w:rPr>
          <w:rFonts w:hint="default" w:ascii="宋体" w:hAnsi="宋体" w:cs="宋体"/>
          <w:color w:val="auto"/>
        </w:rPr>
        <w:t>强</w:t>
      </w:r>
      <w:r>
        <w:rPr>
          <w:rFonts w:hint="eastAsia" w:ascii="宋体" w:hAnsi="宋体" w:eastAsia="宋体" w:cs="宋体"/>
          <w:color w:val="auto"/>
        </w:rPr>
        <w:t>风防风</w:t>
      </w:r>
      <w:r>
        <w:rPr>
          <w:rFonts w:hint="eastAsia" w:ascii="宋体" w:hAnsi="宋体" w:eastAsia="宋体" w:cs="宋体"/>
          <w:color w:val="auto"/>
          <w:lang w:eastAsia="zh-CN"/>
        </w:rPr>
        <w:t>。</w:t>
      </w:r>
      <w:r>
        <w:rPr>
          <w:rFonts w:hint="eastAsia" w:ascii="宋体" w:hAnsi="宋体" w:eastAsia="宋体" w:cs="宋体"/>
          <w:color w:val="auto"/>
        </w:rPr>
        <w:t>当遇</w:t>
      </w:r>
      <w:r>
        <w:rPr>
          <w:rFonts w:hint="default" w:ascii="宋体" w:hAnsi="宋体" w:cs="宋体"/>
          <w:color w:val="auto"/>
        </w:rPr>
        <w:t>强</w:t>
      </w:r>
      <w:r>
        <w:rPr>
          <w:rFonts w:hint="eastAsia" w:ascii="宋体" w:hAnsi="宋体" w:eastAsia="宋体" w:cs="宋体"/>
          <w:color w:val="auto"/>
        </w:rPr>
        <w:t>风</w:t>
      </w:r>
      <w:r>
        <w:rPr>
          <w:rFonts w:hint="eastAsia" w:ascii="宋体" w:hAnsi="宋体" w:eastAsia="宋体" w:cs="宋体"/>
          <w:color w:val="auto"/>
          <w:lang w:val="en-US" w:eastAsia="zh-CN"/>
        </w:rPr>
        <w:t>如预报风力达到（28.5-32.6m/s）11级以上时，</w:t>
      </w:r>
      <w:r>
        <w:rPr>
          <w:rFonts w:hint="eastAsia" w:ascii="宋体" w:hAnsi="宋体" w:eastAsia="宋体" w:cs="宋体"/>
          <w:color w:val="auto"/>
        </w:rPr>
        <w:t>应</w:t>
      </w:r>
      <w:r>
        <w:rPr>
          <w:rFonts w:hint="eastAsia" w:ascii="宋体" w:hAnsi="宋体" w:eastAsia="宋体" w:cs="宋体"/>
          <w:color w:val="auto"/>
          <w:lang w:eastAsia="zh-CN"/>
        </w:rPr>
        <w:t>首先将塔机降节至不妨碍桥墩、能全旋转的高度，再将爬升架降至最低处（本次降到桥面的高度），</w:t>
      </w:r>
      <w:r>
        <w:rPr>
          <w:rFonts w:hint="eastAsia" w:ascii="宋体" w:hAnsi="宋体" w:cs="宋体"/>
          <w:color w:val="auto"/>
          <w:lang w:eastAsia="zh-CN"/>
        </w:rPr>
        <w:t>然后</w:t>
      </w:r>
      <w:r>
        <w:rPr>
          <w:rFonts w:hint="eastAsia" w:ascii="宋体" w:hAnsi="宋体" w:eastAsia="宋体" w:cs="宋体"/>
          <w:color w:val="auto"/>
        </w:rPr>
        <w:t>打开回转制动器和制动锁止装置，使其回转系统处于自由状态</w:t>
      </w:r>
      <w:r>
        <w:rPr>
          <w:rFonts w:hint="eastAsia" w:ascii="宋体" w:hAnsi="宋体" w:eastAsia="宋体" w:cs="宋体"/>
          <w:color w:val="auto"/>
          <w:lang w:eastAsia="zh-CN"/>
        </w:rPr>
        <w:t>，再用铁丝将配电柜、操作室等捆绑、加固</w:t>
      </w:r>
      <w:r>
        <w:rPr>
          <w:rFonts w:hint="eastAsia" w:ascii="宋体" w:hAnsi="宋体" w:eastAsia="宋体" w:cs="宋体"/>
          <w:color w:val="auto"/>
        </w:rPr>
        <w:t>。</w:t>
      </w:r>
    </w:p>
    <w:p w14:paraId="24E2C04A">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04" w:name="_Toc17383814"/>
      <w:bookmarkStart w:id="205" w:name="_Toc10936"/>
      <w:bookmarkStart w:id="206" w:name="_Toc1327194577"/>
      <w:r>
        <w:rPr>
          <w:rFonts w:hint="eastAsia" w:ascii="宋体" w:hAnsi="宋体" w:eastAsia="宋体" w:cs="Times New Roman"/>
          <w:color w:val="auto"/>
          <w:lang w:val="en-US" w:eastAsia="zh-CN"/>
        </w:rPr>
        <w:t>6.4.13焊接与切割安全措施</w:t>
      </w:r>
    </w:p>
    <w:p w14:paraId="4C176548">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1）电源端接线必须由专业电工进行，焊机或供电线路出现故障，焊工要及时联系动力电工进行处理</w:t>
      </w:r>
      <w:r>
        <w:rPr>
          <w:rFonts w:hint="eastAsia" w:ascii="Times New Roman" w:hAnsi="Times New Roman"/>
          <w:color w:val="auto"/>
          <w:szCs w:val="24"/>
          <w:lang w:eastAsia="zh-CN"/>
        </w:rPr>
        <w:t>。</w:t>
      </w:r>
    </w:p>
    <w:p w14:paraId="75076995">
      <w:pPr>
        <w:ind w:firstLine="480"/>
        <w:rPr>
          <w:rFonts w:hint="eastAsia" w:ascii="Times New Roman" w:hAnsi="Times New Roman" w:eastAsia="宋体"/>
          <w:color w:val="auto"/>
          <w:szCs w:val="24"/>
          <w:lang w:eastAsia="zh-CN"/>
        </w:rPr>
      </w:pPr>
      <w:r>
        <w:rPr>
          <w:rFonts w:ascii="Times New Roman" w:hAnsi="Times New Roman"/>
          <w:color w:val="auto"/>
          <w:szCs w:val="24"/>
        </w:rPr>
        <w:t>2</w:t>
      </w:r>
      <w:r>
        <w:rPr>
          <w:rFonts w:hint="eastAsia" w:ascii="Times New Roman" w:hAnsi="Times New Roman"/>
          <w:color w:val="auto"/>
          <w:szCs w:val="24"/>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r>
        <w:rPr>
          <w:rFonts w:hint="eastAsia" w:ascii="Times New Roman" w:hAnsi="Times New Roman"/>
          <w:color w:val="auto"/>
          <w:szCs w:val="24"/>
          <w:lang w:eastAsia="zh-CN"/>
        </w:rPr>
        <w:t>。</w:t>
      </w:r>
    </w:p>
    <w:p w14:paraId="4ED98FE5">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3）检查作场所周围是否有易燃物，如有，应清除或采取可靠的隔离、防护措施，并设专人监护</w:t>
      </w:r>
      <w:r>
        <w:rPr>
          <w:rFonts w:hint="eastAsia" w:ascii="Times New Roman" w:hAnsi="Times New Roman"/>
          <w:color w:val="auto"/>
          <w:szCs w:val="24"/>
          <w:lang w:eastAsia="zh-CN"/>
        </w:rPr>
        <w:t>。</w:t>
      </w:r>
    </w:p>
    <w:p w14:paraId="0F891407">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4）不宜在雨、雪及大风天气进行露天焊接作业。如确实需要时，应采取遮蔽雨雪、防止触电和火花飞溅等措施</w:t>
      </w:r>
      <w:r>
        <w:rPr>
          <w:rFonts w:hint="eastAsia" w:ascii="Times New Roman" w:hAnsi="Times New Roman"/>
          <w:color w:val="auto"/>
          <w:szCs w:val="24"/>
          <w:lang w:eastAsia="zh-CN"/>
        </w:rPr>
        <w:t>。</w:t>
      </w:r>
    </w:p>
    <w:p w14:paraId="5872AC0E">
      <w:pPr>
        <w:ind w:firstLine="480"/>
        <w:rPr>
          <w:rFonts w:hint="eastAsia" w:ascii="Times New Roman" w:hAnsi="Times New Roman"/>
          <w:color w:val="auto"/>
          <w:szCs w:val="24"/>
          <w:lang w:eastAsia="zh-CN"/>
        </w:rPr>
      </w:pPr>
      <w:r>
        <w:rPr>
          <w:rFonts w:hint="eastAsia" w:ascii="Times New Roman" w:hAnsi="Times New Roman"/>
          <w:color w:val="auto"/>
          <w:szCs w:val="24"/>
        </w:rPr>
        <w:t>5）焊接时，焊工不要接触焊接物件或其它导电物件</w:t>
      </w:r>
      <w:r>
        <w:rPr>
          <w:rFonts w:hint="eastAsia" w:ascii="Times New Roman" w:hAnsi="Times New Roman"/>
          <w:color w:val="auto"/>
          <w:szCs w:val="24"/>
          <w:lang w:eastAsia="zh-CN"/>
        </w:rPr>
        <w:t>。</w:t>
      </w:r>
    </w:p>
    <w:p w14:paraId="4D22018B">
      <w:pPr>
        <w:ind w:firstLine="480"/>
        <w:rPr>
          <w:rFonts w:hint="eastAsia" w:ascii="Times New Roman" w:hAnsi="Times New Roman" w:eastAsia="宋体"/>
          <w:color w:val="auto"/>
          <w:szCs w:val="24"/>
          <w:lang w:eastAsia="zh-CN"/>
        </w:rPr>
      </w:pPr>
      <w:r>
        <w:rPr>
          <w:rFonts w:ascii="Times New Roman" w:hAnsi="Times New Roman"/>
          <w:color w:val="auto"/>
          <w:szCs w:val="24"/>
        </w:rPr>
        <w:t>6</w:t>
      </w:r>
      <w:r>
        <w:rPr>
          <w:rFonts w:hint="eastAsia" w:ascii="Times New Roman" w:hAnsi="Times New Roman"/>
          <w:color w:val="auto"/>
          <w:szCs w:val="24"/>
        </w:rPr>
        <w:t>）焊接完工后，焊接位置应予以隔离或设专人监护，防止烫伤其他人员及火灾事故发生</w:t>
      </w:r>
      <w:r>
        <w:rPr>
          <w:rFonts w:hint="eastAsia" w:ascii="Times New Roman" w:hAnsi="Times New Roman"/>
          <w:color w:val="auto"/>
          <w:szCs w:val="24"/>
          <w:lang w:eastAsia="zh-CN"/>
        </w:rPr>
        <w:t>。</w:t>
      </w:r>
    </w:p>
    <w:p w14:paraId="1A7398F5">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7</w:t>
      </w:r>
      <w:r>
        <w:rPr>
          <w:rFonts w:hint="eastAsia" w:ascii="Times New Roman" w:hAnsi="Times New Roman"/>
          <w:color w:val="auto"/>
          <w:szCs w:val="24"/>
        </w:rPr>
        <w:t>）焊工在工作前必须检查好回火防止器及一切工具是否良好</w:t>
      </w:r>
      <w:r>
        <w:rPr>
          <w:rFonts w:hint="eastAsia" w:ascii="Times New Roman" w:hAnsi="Times New Roman"/>
          <w:color w:val="auto"/>
          <w:szCs w:val="24"/>
          <w:lang w:eastAsia="zh-CN"/>
        </w:rPr>
        <w:t>。</w:t>
      </w:r>
    </w:p>
    <w:p w14:paraId="0ADDF8F1">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8</w:t>
      </w:r>
      <w:r>
        <w:rPr>
          <w:rFonts w:hint="eastAsia" w:ascii="Times New Roman" w:hAnsi="Times New Roman"/>
          <w:color w:val="auto"/>
          <w:szCs w:val="24"/>
        </w:rPr>
        <w:t>）乙炔瓶、氧气瓶、胶管接头、阀塔的紧固件应坚固牢靠，不准有松动、破损和漏气。氧气瓶及其附件以及胶管工具上禁止沾油</w:t>
      </w:r>
      <w:r>
        <w:rPr>
          <w:rFonts w:hint="eastAsia" w:ascii="Times New Roman" w:hAnsi="Times New Roman"/>
          <w:color w:val="auto"/>
          <w:szCs w:val="24"/>
          <w:lang w:eastAsia="zh-CN"/>
        </w:rPr>
        <w:t>。</w:t>
      </w:r>
    </w:p>
    <w:p w14:paraId="3812C9F7">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9</w:t>
      </w:r>
      <w:r>
        <w:rPr>
          <w:rFonts w:hint="eastAsia" w:ascii="Times New Roman" w:hAnsi="Times New Roman"/>
          <w:color w:val="auto"/>
          <w:szCs w:val="24"/>
        </w:rPr>
        <w:t>）工作前必须检查氧气管、乙炔管，如有漏气、老化、鼓包和变质时，不准使用，管内应保持清洁，不得有异物，氧气管、乙炔管不得互换使用</w:t>
      </w:r>
      <w:r>
        <w:rPr>
          <w:rFonts w:hint="eastAsia" w:ascii="Times New Roman" w:hAnsi="Times New Roman"/>
          <w:color w:val="auto"/>
          <w:szCs w:val="24"/>
          <w:lang w:eastAsia="zh-CN"/>
        </w:rPr>
        <w:t>。</w:t>
      </w:r>
    </w:p>
    <w:p w14:paraId="526B015E">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10</w:t>
      </w:r>
      <w:r>
        <w:rPr>
          <w:rFonts w:hint="eastAsia" w:ascii="Times New Roman" w:hAnsi="Times New Roman"/>
          <w:color w:val="auto"/>
          <w:szCs w:val="24"/>
        </w:rPr>
        <w:t>）工作前应检查作场所周围是否有易燃物，如有，应清除或采取可靠的隔离、防护措施，并设专人监护</w:t>
      </w:r>
      <w:r>
        <w:rPr>
          <w:rFonts w:hint="eastAsia" w:ascii="Times New Roman" w:hAnsi="Times New Roman"/>
          <w:color w:val="auto"/>
          <w:szCs w:val="24"/>
          <w:lang w:eastAsia="zh-CN"/>
        </w:rPr>
        <w:t>。</w:t>
      </w:r>
    </w:p>
    <w:p w14:paraId="6A45AF46">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11</w:t>
      </w:r>
      <w:r>
        <w:rPr>
          <w:rFonts w:hint="eastAsia" w:ascii="Times New Roman" w:hAnsi="Times New Roman"/>
          <w:color w:val="auto"/>
          <w:szCs w:val="24"/>
        </w:rPr>
        <w:t>）在连接氧气表（减压器）之前，要用专用扳手将氧气瓶阀塔微开，放出一些氧气，吹净瓶口污物和杂质，随后关闭。操作时工作人员应站在气口侧面，并闪开。开气时，气塔不可朝下</w:t>
      </w:r>
      <w:r>
        <w:rPr>
          <w:rFonts w:hint="eastAsia" w:ascii="Times New Roman" w:hAnsi="Times New Roman"/>
          <w:color w:val="auto"/>
          <w:szCs w:val="24"/>
          <w:lang w:eastAsia="zh-CN"/>
        </w:rPr>
        <w:t>。</w:t>
      </w:r>
    </w:p>
    <w:p w14:paraId="4D4C135A">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12</w:t>
      </w:r>
      <w:r>
        <w:rPr>
          <w:rFonts w:hint="eastAsia" w:ascii="Times New Roman" w:hAnsi="Times New Roman"/>
          <w:color w:val="auto"/>
          <w:szCs w:val="24"/>
        </w:rPr>
        <w:t>）乙炔、氧气瓶应垂直放置，防止倾倒，严禁与氧气瓶等易燃品同时存放</w:t>
      </w:r>
      <w:r>
        <w:rPr>
          <w:rFonts w:hint="eastAsia" w:ascii="Times New Roman" w:hAnsi="Times New Roman"/>
          <w:color w:val="auto"/>
          <w:szCs w:val="24"/>
          <w:lang w:eastAsia="zh-CN"/>
        </w:rPr>
        <w:t>。</w:t>
      </w:r>
    </w:p>
    <w:p w14:paraId="4FAA03B5">
      <w:pPr>
        <w:ind w:firstLine="480"/>
        <w:rPr>
          <w:rFonts w:hint="eastAsia" w:ascii="Times New Roman" w:hAnsi="Times New Roman"/>
          <w:color w:val="auto"/>
          <w:szCs w:val="24"/>
          <w:lang w:eastAsia="zh-CN"/>
        </w:rPr>
      </w:pPr>
      <w:r>
        <w:rPr>
          <w:rFonts w:hint="eastAsia" w:ascii="Times New Roman" w:hAnsi="Times New Roman"/>
          <w:color w:val="auto"/>
          <w:szCs w:val="24"/>
          <w:lang w:val="en-US" w:eastAsia="zh-CN"/>
        </w:rPr>
        <w:t>13</w:t>
      </w:r>
      <w:r>
        <w:rPr>
          <w:rFonts w:hint="eastAsia" w:ascii="Times New Roman" w:hAnsi="Times New Roman"/>
          <w:color w:val="auto"/>
          <w:szCs w:val="24"/>
        </w:rPr>
        <w:t>）开启氧气或乙炔瓶阀塔时，禁止用铁器敲击，应用专用工具，动作要缓慢，防止产生火花，严禁面对减压器站立</w:t>
      </w:r>
      <w:r>
        <w:rPr>
          <w:rFonts w:hint="eastAsia" w:ascii="Times New Roman" w:hAnsi="Times New Roman"/>
          <w:color w:val="auto"/>
          <w:szCs w:val="24"/>
          <w:lang w:eastAsia="zh-CN"/>
        </w:rPr>
        <w:t>。</w:t>
      </w:r>
    </w:p>
    <w:p w14:paraId="5A150371">
      <w:pPr>
        <w:ind w:firstLine="480"/>
        <w:rPr>
          <w:rFonts w:hint="eastAsia" w:ascii="Times New Roman" w:hAnsi="Times New Roman" w:eastAsia="宋体"/>
          <w:color w:val="auto"/>
          <w:szCs w:val="24"/>
          <w:lang w:eastAsia="zh-CN"/>
        </w:rPr>
      </w:pPr>
      <w:r>
        <w:rPr>
          <w:rFonts w:ascii="Times New Roman" w:hAnsi="Times New Roman"/>
          <w:color w:val="auto"/>
          <w:szCs w:val="24"/>
        </w:rPr>
        <w:t>1</w:t>
      </w:r>
      <w:r>
        <w:rPr>
          <w:rFonts w:hint="eastAsia" w:ascii="Times New Roman" w:hAnsi="Times New Roman"/>
          <w:color w:val="auto"/>
          <w:szCs w:val="24"/>
          <w:lang w:val="en-US" w:eastAsia="zh-CN"/>
        </w:rPr>
        <w:t>4</w:t>
      </w:r>
      <w:r>
        <w:rPr>
          <w:rFonts w:hint="eastAsia" w:ascii="Times New Roman" w:hAnsi="Times New Roman"/>
          <w:color w:val="auto"/>
          <w:szCs w:val="24"/>
        </w:rPr>
        <w:t>）在机械上（或高处）作业时，应在切割部件下部搭设安全保护装置以防金属溶液落下引起火灾或烧伤其他人员</w:t>
      </w:r>
      <w:r>
        <w:rPr>
          <w:rFonts w:hint="eastAsia" w:ascii="Times New Roman" w:hAnsi="Times New Roman"/>
          <w:color w:val="auto"/>
          <w:szCs w:val="24"/>
          <w:lang w:eastAsia="zh-CN"/>
        </w:rPr>
        <w:t>。</w:t>
      </w:r>
    </w:p>
    <w:p w14:paraId="39BABC19">
      <w:pPr>
        <w:ind w:firstLine="480"/>
        <w:rPr>
          <w:rFonts w:hint="eastAsia" w:ascii="Times New Roman" w:hAnsi="Times New Roman" w:eastAsia="宋体"/>
          <w:color w:val="auto"/>
          <w:szCs w:val="24"/>
          <w:lang w:eastAsia="zh-CN"/>
        </w:rPr>
      </w:pPr>
      <w:r>
        <w:rPr>
          <w:rFonts w:ascii="Times New Roman" w:hAnsi="Times New Roman"/>
          <w:color w:val="auto"/>
          <w:szCs w:val="24"/>
        </w:rPr>
        <w:t>1</w:t>
      </w:r>
      <w:r>
        <w:rPr>
          <w:rFonts w:hint="eastAsia" w:ascii="Times New Roman" w:hAnsi="Times New Roman"/>
          <w:color w:val="auto"/>
          <w:szCs w:val="24"/>
          <w:lang w:val="en-US" w:eastAsia="zh-CN"/>
        </w:rPr>
        <w:t>5</w:t>
      </w:r>
      <w:r>
        <w:rPr>
          <w:rFonts w:hint="eastAsia" w:ascii="Times New Roman" w:hAnsi="Times New Roman"/>
          <w:color w:val="auto"/>
          <w:szCs w:val="24"/>
        </w:rPr>
        <w:t>）了解设备的消防器材状况，并保证在焊接地点周围有2个以上干粉灭火器；切割工作结束后，应检查地面，灭绝火种</w:t>
      </w:r>
      <w:r>
        <w:rPr>
          <w:rFonts w:hint="eastAsia" w:ascii="Times New Roman" w:hAnsi="Times New Roman"/>
          <w:color w:val="auto"/>
          <w:szCs w:val="24"/>
          <w:lang w:eastAsia="zh-CN"/>
        </w:rPr>
        <w:t>。</w:t>
      </w:r>
    </w:p>
    <w:p w14:paraId="2EC5E428">
      <w:pPr>
        <w:ind w:firstLine="480"/>
        <w:rPr>
          <w:rFonts w:ascii="Times New Roman" w:hAnsi="Times New Roman"/>
          <w:color w:val="auto"/>
          <w:szCs w:val="24"/>
        </w:rPr>
      </w:pPr>
      <w:r>
        <w:rPr>
          <w:rFonts w:ascii="Times New Roman" w:hAnsi="Times New Roman"/>
          <w:color w:val="auto"/>
          <w:szCs w:val="24"/>
        </w:rPr>
        <w:t>1</w:t>
      </w:r>
      <w:r>
        <w:rPr>
          <w:rFonts w:hint="eastAsia" w:ascii="Times New Roman" w:hAnsi="Times New Roman"/>
          <w:color w:val="auto"/>
          <w:szCs w:val="24"/>
          <w:lang w:val="en-US" w:eastAsia="zh-CN"/>
        </w:rPr>
        <w:t>6</w:t>
      </w:r>
      <w:r>
        <w:rPr>
          <w:rFonts w:hint="eastAsia" w:ascii="Times New Roman" w:hAnsi="Times New Roman"/>
          <w:color w:val="auto"/>
          <w:szCs w:val="24"/>
        </w:rPr>
        <w:t>）使用时，必须保证氧气瓶、乙炔瓶距明火不得小于10m。</w:t>
      </w:r>
    </w:p>
    <w:p w14:paraId="5F1DCA0E">
      <w:pPr>
        <w:ind w:firstLine="480"/>
        <w:rPr>
          <w:rFonts w:hint="eastAsia" w:ascii="Times New Roman" w:hAnsi="Times New Roman" w:eastAsia="宋体"/>
          <w:color w:val="auto"/>
          <w:szCs w:val="24"/>
          <w:lang w:eastAsia="zh-CN"/>
        </w:rPr>
      </w:pPr>
      <w:r>
        <w:rPr>
          <w:rFonts w:ascii="Times New Roman" w:hAnsi="Times New Roman"/>
          <w:color w:val="auto"/>
          <w:szCs w:val="24"/>
        </w:rPr>
        <w:t>1</w:t>
      </w:r>
      <w:r>
        <w:rPr>
          <w:rFonts w:hint="eastAsia" w:ascii="Times New Roman" w:hAnsi="Times New Roman"/>
          <w:color w:val="auto"/>
          <w:szCs w:val="24"/>
          <w:lang w:val="en-US" w:eastAsia="zh-CN"/>
        </w:rPr>
        <w:t>7</w:t>
      </w:r>
      <w:r>
        <w:rPr>
          <w:rFonts w:hint="eastAsia" w:ascii="Times New Roman" w:hAnsi="Times New Roman"/>
          <w:color w:val="auto"/>
          <w:szCs w:val="24"/>
        </w:rPr>
        <w:t>）工作地点不固定、移动较频繁时，应装在专用小车上，严禁将乙炔瓶和氧气瓶放在一起</w:t>
      </w:r>
      <w:r>
        <w:rPr>
          <w:rFonts w:hint="eastAsia" w:ascii="Times New Roman" w:hAnsi="Times New Roman"/>
          <w:color w:val="auto"/>
          <w:szCs w:val="24"/>
          <w:lang w:eastAsia="zh-CN"/>
        </w:rPr>
        <w:t>。</w:t>
      </w:r>
    </w:p>
    <w:p w14:paraId="5FC2484E">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6.4.14安装防倾覆措施</w:t>
      </w:r>
    </w:p>
    <w:p w14:paraId="3B7143C5">
      <w:pPr>
        <w:ind w:firstLine="480"/>
        <w:rPr>
          <w:rFonts w:ascii="Times New Roman" w:hAnsi="Times New Roman"/>
          <w:color w:val="auto"/>
          <w:szCs w:val="24"/>
        </w:rPr>
      </w:pPr>
      <w:r>
        <w:rPr>
          <w:rFonts w:hint="eastAsia" w:ascii="Times New Roman" w:hAnsi="Times New Roman"/>
          <w:color w:val="auto"/>
          <w:szCs w:val="24"/>
        </w:rPr>
        <w:t>1）起吊构件时，吊索要保持垂直，不得超出起重机回转半径斜向拖拉，以免超负荷和钢丝绳滑脱或拉断绳索而使起重机失稳。起吊重型构件时应设牵拉绳。</w:t>
      </w:r>
    </w:p>
    <w:p w14:paraId="0514E87C">
      <w:pPr>
        <w:ind w:firstLine="480"/>
        <w:rPr>
          <w:rFonts w:ascii="Times New Roman" w:hAnsi="Times New Roman"/>
          <w:color w:val="auto"/>
          <w:szCs w:val="24"/>
        </w:rPr>
      </w:pPr>
      <w:r>
        <w:rPr>
          <w:rFonts w:hint="eastAsia" w:ascii="Times New Roman" w:hAnsi="Times New Roman"/>
          <w:color w:val="auto"/>
          <w:szCs w:val="24"/>
        </w:rPr>
        <w:t>2）操作塔机时，提升、下降、回转要平稳，不得在空中摇晃，同时要尽量避免紧急制动或冲击振动等现象发生。未采取可靠的技术措施和未经有关技术部塔批准，塔机严禁超负荷吊装，以避免加速机械零件的磨损和造成起重机倾翻。</w:t>
      </w:r>
    </w:p>
    <w:p w14:paraId="107C09CF">
      <w:pPr>
        <w:ind w:firstLine="480"/>
        <w:rPr>
          <w:rFonts w:ascii="Times New Roman" w:hAnsi="Times New Roman"/>
          <w:color w:val="auto"/>
          <w:szCs w:val="24"/>
        </w:rPr>
      </w:pPr>
      <w:r>
        <w:rPr>
          <w:rFonts w:hint="eastAsia" w:ascii="Times New Roman" w:hAnsi="Times New Roman"/>
          <w:color w:val="auto"/>
          <w:szCs w:val="24"/>
        </w:rPr>
        <w:t>3）塔机应尽量避免满负荷行驶；在满负荷或接近满负荷时，严禁同时进行提升与回转（起升与回转或小车变幅）两种动作，以免因惯性力等原因引塔机超负荷而酿成倾覆事故。</w:t>
      </w:r>
    </w:p>
    <w:p w14:paraId="0C9F3A5C">
      <w:pPr>
        <w:ind w:firstLine="480"/>
        <w:rPr>
          <w:rFonts w:ascii="Times New Roman" w:hAnsi="Times New Roman"/>
          <w:color w:val="auto"/>
          <w:szCs w:val="24"/>
        </w:rPr>
      </w:pPr>
      <w:r>
        <w:rPr>
          <w:rFonts w:ascii="Times New Roman" w:hAnsi="Times New Roman"/>
          <w:color w:val="auto"/>
          <w:szCs w:val="24"/>
        </w:rPr>
        <w:t>4</w:t>
      </w:r>
      <w:r>
        <w:rPr>
          <w:rFonts w:hint="eastAsia" w:ascii="Times New Roman" w:hAnsi="Times New Roman"/>
          <w:color w:val="auto"/>
          <w:szCs w:val="24"/>
        </w:rPr>
        <w:t>）吊装时，应有专人负责统一指挥，指挥人员应位于操作人员视力能及的地点，并能清楚地看到吊装的全过程。起重机驾驶人员必须熟悉信号，并按指挥人员的各种信号进行操作；指挥信号应事先统一规定，发出的信号要鲜明、准确。</w:t>
      </w:r>
    </w:p>
    <w:p w14:paraId="23EB6D57">
      <w:pPr>
        <w:ind w:firstLine="480"/>
        <w:rPr>
          <w:rFonts w:ascii="Times New Roman" w:hAnsi="Times New Roman"/>
          <w:color w:val="auto"/>
          <w:szCs w:val="24"/>
        </w:rPr>
      </w:pPr>
      <w:r>
        <w:rPr>
          <w:rFonts w:hint="eastAsia" w:ascii="Times New Roman" w:hAnsi="Times New Roman"/>
          <w:color w:val="auto"/>
          <w:szCs w:val="24"/>
        </w:rPr>
        <w:t>5）在顶升降塔作业时，必须先将塔机酌配平，回转下支承必须与爬升架与塔身可靠连接。</w:t>
      </w:r>
    </w:p>
    <w:p w14:paraId="7C9FC156">
      <w:pPr>
        <w:ind w:firstLine="480"/>
        <w:rPr>
          <w:rFonts w:ascii="Times New Roman" w:hAnsi="Times New Roman"/>
          <w:color w:val="auto"/>
          <w:szCs w:val="24"/>
        </w:rPr>
      </w:pPr>
      <w:r>
        <w:rPr>
          <w:rFonts w:ascii="Times New Roman" w:hAnsi="Times New Roman"/>
          <w:color w:val="auto"/>
          <w:szCs w:val="24"/>
        </w:rPr>
        <w:t>6</w:t>
      </w:r>
      <w:r>
        <w:rPr>
          <w:rFonts w:hint="eastAsia" w:ascii="Times New Roman" w:hAnsi="Times New Roman"/>
          <w:color w:val="auto"/>
          <w:szCs w:val="24"/>
        </w:rPr>
        <w:t>）塔机停止工作时，回转机构因处于自由状态，吊钩上不得悬挂构件，以免摆动伤人和造成塔机失稳。</w:t>
      </w:r>
    </w:p>
    <w:p w14:paraId="6099C20B">
      <w:pPr>
        <w:ind w:firstLine="480"/>
        <w:rPr>
          <w:rFonts w:ascii="Times New Roman" w:hAnsi="Times New Roman"/>
          <w:color w:val="auto"/>
          <w:szCs w:val="24"/>
        </w:rPr>
      </w:pPr>
      <w:r>
        <w:rPr>
          <w:rFonts w:hint="eastAsia" w:ascii="Times New Roman" w:hAnsi="Times New Roman"/>
          <w:color w:val="auto"/>
          <w:szCs w:val="24"/>
        </w:rPr>
        <w:t>7）</w:t>
      </w:r>
      <w:r>
        <w:rPr>
          <w:rFonts w:ascii="Times New Roman" w:hAnsi="Times New Roman"/>
          <w:color w:val="auto"/>
          <w:szCs w:val="24"/>
        </w:rPr>
        <w:t>严格遵守《特种设备安全监察条例</w:t>
      </w:r>
      <w:r>
        <w:rPr>
          <w:rFonts w:hint="eastAsia" w:ascii="Times New Roman" w:hAnsi="Times New Roman"/>
          <w:color w:val="auto"/>
          <w:szCs w:val="24"/>
          <w:lang w:val="en-US" w:eastAsia="zh-CN"/>
        </w:rPr>
        <w:t xml:space="preserve"> 第549号</w:t>
      </w:r>
      <w:r>
        <w:rPr>
          <w:rFonts w:ascii="Times New Roman" w:hAnsi="Times New Roman"/>
          <w:color w:val="auto"/>
          <w:szCs w:val="24"/>
        </w:rPr>
        <w:t>》等法律、法规的要求，驾驶员须持证上岗，并对</w:t>
      </w:r>
      <w:r>
        <w:rPr>
          <w:rFonts w:hint="eastAsia" w:ascii="Times New Roman" w:hAnsi="Times New Roman"/>
          <w:color w:val="auto"/>
          <w:szCs w:val="24"/>
        </w:rPr>
        <w:t>塔机</w:t>
      </w:r>
      <w:r>
        <w:rPr>
          <w:rFonts w:ascii="Times New Roman" w:hAnsi="Times New Roman"/>
          <w:color w:val="auto"/>
          <w:szCs w:val="24"/>
        </w:rPr>
        <w:t>定期检查、维修等</w:t>
      </w:r>
      <w:r>
        <w:rPr>
          <w:rFonts w:hint="eastAsia" w:ascii="Times New Roman" w:hAnsi="Times New Roman"/>
          <w:color w:val="auto"/>
          <w:szCs w:val="24"/>
        </w:rPr>
        <w:t>。</w:t>
      </w:r>
    </w:p>
    <w:p w14:paraId="7F8BED5D">
      <w:pPr>
        <w:ind w:firstLine="480"/>
        <w:rPr>
          <w:rFonts w:ascii="Times New Roman" w:hAnsi="Times New Roman"/>
          <w:color w:val="auto"/>
          <w:szCs w:val="24"/>
        </w:rPr>
      </w:pPr>
      <w:r>
        <w:rPr>
          <w:rFonts w:ascii="Times New Roman" w:hAnsi="Times New Roman"/>
          <w:color w:val="auto"/>
          <w:szCs w:val="24"/>
        </w:rPr>
        <w:t>8</w:t>
      </w:r>
      <w:r>
        <w:rPr>
          <w:rFonts w:hint="eastAsia" w:ascii="Times New Roman" w:hAnsi="Times New Roman"/>
          <w:color w:val="auto"/>
          <w:szCs w:val="24"/>
        </w:rPr>
        <w:t>）</w:t>
      </w:r>
      <w:r>
        <w:rPr>
          <w:rFonts w:ascii="Times New Roman" w:hAnsi="Times New Roman"/>
          <w:color w:val="auto"/>
          <w:szCs w:val="24"/>
        </w:rPr>
        <w:t>对露天场地作业的起重机械应针对在各种季节中的气象特点，建立不同的工作制度和相应的预防措施。</w:t>
      </w:r>
    </w:p>
    <w:p w14:paraId="0791AB30">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6.4.15夜间施工措施</w:t>
      </w:r>
    </w:p>
    <w:p w14:paraId="63EA1AA5">
      <w:pPr>
        <w:ind w:firstLine="480"/>
        <w:rPr>
          <w:rFonts w:ascii="Times New Roman" w:hAnsi="Times New Roman"/>
          <w:color w:val="auto"/>
          <w:szCs w:val="24"/>
        </w:rPr>
      </w:pPr>
      <w:r>
        <w:rPr>
          <w:rFonts w:ascii="Times New Roman" w:hAnsi="Times New Roman"/>
          <w:color w:val="auto"/>
          <w:szCs w:val="24"/>
        </w:rPr>
        <w:t>1</w:t>
      </w:r>
      <w:r>
        <w:rPr>
          <w:rFonts w:hint="eastAsia" w:ascii="Times New Roman" w:hAnsi="Times New Roman"/>
          <w:color w:val="auto"/>
          <w:szCs w:val="24"/>
        </w:rPr>
        <w:t>）在信号不明和作业现场光线阴暗时，严禁进行起吊作业。</w:t>
      </w:r>
    </w:p>
    <w:p w14:paraId="58E70378">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）作业人员必须穿戴有应急反光的服装。</w:t>
      </w:r>
    </w:p>
    <w:p w14:paraId="1B634617">
      <w:pPr>
        <w:ind w:firstLine="480"/>
        <w:rPr>
          <w:rFonts w:ascii="Times New Roman" w:hAnsi="Times New Roman"/>
          <w:color w:val="auto"/>
          <w:szCs w:val="24"/>
        </w:rPr>
      </w:pPr>
      <w:r>
        <w:rPr>
          <w:rFonts w:hint="eastAsia" w:ascii="Times New Roman" w:hAnsi="Times New Roman"/>
          <w:color w:val="auto"/>
          <w:szCs w:val="24"/>
        </w:rPr>
        <w:t>3）夜间不得进行吊装作业，如已进行但未进行完毕的，应采取措施尽快完成，并确保夜间施工照明及指挥。</w:t>
      </w:r>
    </w:p>
    <w:p w14:paraId="6399A160">
      <w:pPr>
        <w:ind w:firstLine="480"/>
        <w:rPr>
          <w:rFonts w:ascii="Times New Roman" w:hAnsi="Times New Roman"/>
          <w:color w:val="auto"/>
          <w:szCs w:val="24"/>
        </w:rPr>
      </w:pPr>
      <w:r>
        <w:rPr>
          <w:rFonts w:hint="eastAsia" w:ascii="Times New Roman" w:hAnsi="Times New Roman"/>
          <w:color w:val="auto"/>
          <w:szCs w:val="24"/>
        </w:rPr>
        <w:t>4）夜间作业做好作业区的安全警示。</w:t>
      </w:r>
    </w:p>
    <w:p w14:paraId="5BA0E7A1">
      <w:pPr>
        <w:ind w:firstLine="480"/>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5）夜间作业时清楚场地内的障碍物及杂物，确保施工安全顺利。</w:t>
      </w:r>
    </w:p>
    <w:p w14:paraId="4CADE99E">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6.4.16其他安全技术措施</w:t>
      </w:r>
      <w:bookmarkEnd w:id="204"/>
      <w:bookmarkEnd w:id="205"/>
      <w:bookmarkEnd w:id="206"/>
    </w:p>
    <w:p w14:paraId="61F9822F">
      <w:pPr>
        <w:ind w:firstLine="480"/>
        <w:rPr>
          <w:color w:val="auto"/>
        </w:rPr>
      </w:pPr>
      <w:r>
        <w:rPr>
          <w:rFonts w:hint="eastAsia"/>
          <w:color w:val="auto"/>
        </w:rPr>
        <w:t>（1）起重</w:t>
      </w:r>
      <w:r>
        <w:rPr>
          <w:rFonts w:hint="eastAsia"/>
          <w:color w:val="auto"/>
          <w:lang w:val="en-US" w:eastAsia="zh-CN"/>
        </w:rPr>
        <w:t>卷扬机</w:t>
      </w:r>
      <w:r>
        <w:rPr>
          <w:rFonts w:hint="eastAsia"/>
          <w:color w:val="auto"/>
        </w:rPr>
        <w:t>、</w:t>
      </w:r>
      <w:r>
        <w:rPr>
          <w:rFonts w:hint="eastAsia"/>
          <w:color w:val="auto"/>
          <w:lang w:val="en-US" w:eastAsia="zh-CN"/>
        </w:rPr>
        <w:t>电动葫芦</w:t>
      </w:r>
      <w:r>
        <w:rPr>
          <w:rFonts w:hint="eastAsia"/>
          <w:color w:val="auto"/>
        </w:rPr>
        <w:t>防风防雨保证措施</w:t>
      </w:r>
    </w:p>
    <w:p w14:paraId="73AB5587">
      <w:pPr>
        <w:ind w:firstLine="480"/>
        <w:rPr>
          <w:color w:val="auto"/>
        </w:rPr>
      </w:pPr>
      <w:r>
        <w:rPr>
          <w:rFonts w:hint="eastAsia"/>
          <w:color w:val="auto"/>
        </w:rPr>
        <w:t>①起重</w:t>
      </w:r>
      <w:r>
        <w:rPr>
          <w:rFonts w:hint="eastAsia"/>
          <w:color w:val="auto"/>
          <w:lang w:val="en-US" w:eastAsia="zh-CN"/>
        </w:rPr>
        <w:t>卷扬机</w:t>
      </w:r>
      <w:r>
        <w:rPr>
          <w:rFonts w:hint="eastAsia"/>
          <w:color w:val="auto"/>
        </w:rPr>
        <w:t>需加装防雨盖，对起重、行走电机进行保护。</w:t>
      </w:r>
    </w:p>
    <w:p w14:paraId="0DDDCE5B">
      <w:pPr>
        <w:ind w:firstLine="480"/>
        <w:rPr>
          <w:color w:val="auto"/>
        </w:rPr>
      </w:pPr>
      <w:r>
        <w:rPr>
          <w:rFonts w:hint="eastAsia"/>
          <w:color w:val="auto"/>
        </w:rPr>
        <w:t>②防雨盖两端用螺栓检拧紧固定，防雨盖支腿</w:t>
      </w:r>
      <w:r>
        <w:rPr>
          <w:rFonts w:hint="eastAsia"/>
          <w:color w:val="auto"/>
          <w:lang w:val="en-US" w:eastAsia="zh-CN"/>
        </w:rPr>
        <w:t>与连接部位</w:t>
      </w:r>
      <w:r>
        <w:rPr>
          <w:rFonts w:hint="eastAsia"/>
          <w:color w:val="auto"/>
        </w:rPr>
        <w:t>间的间隙涂抹玻璃胶。</w:t>
      </w:r>
    </w:p>
    <w:p w14:paraId="24947602">
      <w:pPr>
        <w:ind w:firstLine="480"/>
        <w:rPr>
          <w:color w:val="auto"/>
        </w:rPr>
      </w:pPr>
      <w:r>
        <w:rPr>
          <w:rFonts w:hint="eastAsia"/>
          <w:color w:val="auto"/>
        </w:rPr>
        <w:t>③大风大雨前，操作人员需仔细检查防雨盖的螺栓紧固情况及玻璃胶涂抹情况，防止雨水渗入电机，造成电机损坏及触电事故。</w:t>
      </w:r>
    </w:p>
    <w:p w14:paraId="65FD4D53">
      <w:pPr>
        <w:ind w:firstLine="480"/>
        <w:rPr>
          <w:color w:val="auto"/>
        </w:rPr>
      </w:pPr>
      <w:r>
        <w:rPr>
          <w:rFonts w:hint="eastAsia"/>
          <w:color w:val="auto"/>
        </w:rPr>
        <w:t>（2）</w:t>
      </w:r>
      <w:r>
        <w:rPr>
          <w:rFonts w:hint="eastAsia"/>
          <w:color w:val="auto"/>
          <w:lang w:val="en-US" w:eastAsia="zh-CN"/>
        </w:rPr>
        <w:t>电动葫芦及</w:t>
      </w:r>
      <w:r>
        <w:rPr>
          <w:rFonts w:hint="eastAsia"/>
          <w:color w:val="auto"/>
        </w:rPr>
        <w:t>滑动电缆保证措施</w:t>
      </w:r>
    </w:p>
    <w:p w14:paraId="0244E36A">
      <w:pPr>
        <w:ind w:firstLine="480"/>
        <w:rPr>
          <w:color w:val="auto"/>
        </w:rPr>
      </w:pPr>
      <w:r>
        <w:rPr>
          <w:rFonts w:hint="eastAsia"/>
          <w:color w:val="auto"/>
        </w:rPr>
        <w:t>①维修人员、操作人员需经常检查电缆与滑轮连接处螺栓连接情况，防止电缆松动。</w:t>
      </w:r>
    </w:p>
    <w:p w14:paraId="4F161D43">
      <w:pPr>
        <w:ind w:firstLine="480"/>
        <w:rPr>
          <w:color w:val="auto"/>
        </w:rPr>
      </w:pPr>
      <w:r>
        <w:rPr>
          <w:rFonts w:hint="eastAsia"/>
          <w:color w:val="auto"/>
        </w:rPr>
        <w:t>②维修人员、操作人员需经常检查滑轮磨损情况，防止造成电缆破损，造成触电事故。</w:t>
      </w:r>
    </w:p>
    <w:p w14:paraId="24871DAD">
      <w:pPr>
        <w:ind w:firstLine="480"/>
        <w:rPr>
          <w:color w:val="auto"/>
        </w:rPr>
      </w:pPr>
      <w:r>
        <w:rPr>
          <w:rFonts w:hint="eastAsia"/>
          <w:color w:val="auto"/>
        </w:rPr>
        <w:t>（3）限位装置保证措施</w:t>
      </w:r>
    </w:p>
    <w:p w14:paraId="160EFF27">
      <w:pPr>
        <w:ind w:firstLine="480"/>
        <w:rPr>
          <w:color w:val="auto"/>
        </w:rPr>
      </w:pPr>
      <w:r>
        <w:rPr>
          <w:rFonts w:hint="eastAsia"/>
          <w:color w:val="auto"/>
        </w:rPr>
        <w:t>①限位装置需动作灵敏有效，每班作业前需对行走限位、起升限位进行试车，动作可靠方可作业。限位装置失效或损坏需及时整改更换。</w:t>
      </w:r>
    </w:p>
    <w:p w14:paraId="4C0A571C">
      <w:pPr>
        <w:ind w:firstLine="480"/>
        <w:rPr>
          <w:color w:val="auto"/>
        </w:rPr>
      </w:pPr>
      <w:r>
        <w:rPr>
          <w:rFonts w:hint="eastAsia"/>
          <w:color w:val="auto"/>
        </w:rPr>
        <w:t>②重量限位需每周进行一次检测、自校，防止失效发生超载使用。</w:t>
      </w:r>
    </w:p>
    <w:p w14:paraId="3C22B510">
      <w:pPr>
        <w:ind w:firstLine="480"/>
        <w:rPr>
          <w:color w:val="auto"/>
        </w:rPr>
      </w:pPr>
      <w:r>
        <w:rPr>
          <w:rFonts w:hint="eastAsia"/>
          <w:color w:val="auto"/>
        </w:rPr>
        <w:t>（4）吊装钢丝绳保证措施</w:t>
      </w:r>
    </w:p>
    <w:p w14:paraId="66180920">
      <w:pPr>
        <w:ind w:firstLine="480"/>
        <w:rPr>
          <w:color w:val="auto"/>
        </w:rPr>
      </w:pPr>
      <w:r>
        <w:rPr>
          <w:rFonts w:hint="eastAsia"/>
          <w:color w:val="auto"/>
        </w:rPr>
        <w:t>①吊装钢丝绳每班作业前应进行检查，按规定进行保养。</w:t>
      </w:r>
    </w:p>
    <w:p w14:paraId="6D329079">
      <w:pPr>
        <w:ind w:firstLine="480"/>
        <w:rPr>
          <w:color w:val="auto"/>
        </w:rPr>
      </w:pPr>
      <w:r>
        <w:rPr>
          <w:rFonts w:hint="eastAsia"/>
          <w:color w:val="auto"/>
        </w:rPr>
        <w:t>②在使用过程中发现使用老化、断丝严重、断股等，应停止使用，更换新钢丝绳。</w:t>
      </w:r>
    </w:p>
    <w:p w14:paraId="3EF6CAE1">
      <w:pPr>
        <w:ind w:firstLine="480"/>
        <w:rPr>
          <w:color w:val="auto"/>
        </w:rPr>
      </w:pPr>
      <w:r>
        <w:rPr>
          <w:rFonts w:hint="eastAsia"/>
          <w:color w:val="auto"/>
        </w:rPr>
        <w:t>（5）上下安全爬梯、防护栏杆保证措施</w:t>
      </w:r>
    </w:p>
    <w:p w14:paraId="2CA9BAB8">
      <w:pPr>
        <w:ind w:firstLine="480"/>
        <w:rPr>
          <w:rFonts w:hint="eastAsia"/>
          <w:color w:val="auto"/>
        </w:rPr>
      </w:pPr>
      <w:r>
        <w:rPr>
          <w:rFonts w:hint="eastAsia"/>
          <w:color w:val="auto"/>
        </w:rPr>
        <w:t>上下爬梯、防护栏杆每月应对爬梯的连接状况，焊接情况进行检查，防止在使用过程中螺栓松动、脱焊等现象。</w:t>
      </w:r>
    </w:p>
    <w:p w14:paraId="4A325A92">
      <w:pPr>
        <w:pStyle w:val="3"/>
        <w:spacing w:before="156" w:after="156"/>
        <w:ind w:left="480" w:leftChars="0" w:firstLineChars="0"/>
        <w:rPr>
          <w:rFonts w:hint="eastAsia" w:eastAsia="宋体"/>
          <w:color w:val="auto"/>
          <w:lang w:val="en-US" w:eastAsia="zh-CN"/>
        </w:rPr>
      </w:pPr>
      <w:bookmarkStart w:id="207" w:name="_Toc29447"/>
      <w:r>
        <w:rPr>
          <w:rFonts w:hint="eastAsia" w:eastAsia="宋体"/>
          <w:color w:val="auto"/>
          <w:lang w:val="en-US" w:eastAsia="zh-CN"/>
        </w:rPr>
        <w:t>监测监控措施</w:t>
      </w:r>
      <w:bookmarkEnd w:id="207"/>
    </w:p>
    <w:p w14:paraId="59B76F73">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施工过程中，安全员必须对工人的施工操作进行监控。整个监控通过现场的指导，定期检查及不定期的检查来执行。</w:t>
      </w:r>
    </w:p>
    <w:p w14:paraId="6E95C5C9">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在施工过程中，由安全专项方案作为指导，同时依据相关安全生产规范，在现场指导工人的操作是否规范，有问题的现场要求整改或指导。在生产过程中应组织生产管理相关部门的定期检查，对容易出现问题的工序要加强监控，对不容易出现问题的施工工序也要时有监控。通过加强监控来树立工人对安全生产的意识。安全部也要组织不定期的突击检查，以加强监控力度及覆盖外围。</w:t>
      </w:r>
    </w:p>
    <w:p w14:paraId="5F7E88D6">
      <w:pPr>
        <w:pStyle w:val="3"/>
        <w:spacing w:before="156" w:after="156"/>
        <w:ind w:left="480" w:leftChars="0" w:firstLineChars="0"/>
        <w:rPr>
          <w:rFonts w:hint="eastAsia" w:eastAsia="宋体"/>
          <w:color w:val="auto"/>
          <w:lang w:val="en-US" w:eastAsia="zh-CN"/>
        </w:rPr>
      </w:pPr>
      <w:bookmarkStart w:id="208" w:name="_Toc9592"/>
      <w:bookmarkStart w:id="209" w:name="_Toc24745_WPSOffice_Level2"/>
      <w:bookmarkStart w:id="210" w:name="_Toc530055697"/>
      <w:r>
        <w:rPr>
          <w:rFonts w:hint="eastAsia" w:eastAsia="宋体"/>
          <w:color w:val="auto"/>
          <w:lang w:val="en-US" w:eastAsia="zh-CN"/>
        </w:rPr>
        <w:t>电气设备</w:t>
      </w:r>
      <w:bookmarkEnd w:id="208"/>
    </w:p>
    <w:bookmarkEnd w:id="209"/>
    <w:bookmarkEnd w:id="210"/>
    <w:p w14:paraId="3CC96C9F">
      <w:pPr>
        <w:spacing w:line="360" w:lineRule="auto"/>
        <w:ind w:firstLine="482" w:firstLineChars="200"/>
        <w:rPr>
          <w:rFonts w:ascii="宋体" w:hAnsi="宋体" w:eastAsia="宋体" w:cs="宋体"/>
          <w:b/>
          <w:color w:val="auto"/>
          <w:sz w:val="24"/>
          <w:szCs w:val="24"/>
        </w:rPr>
      </w:pPr>
      <w:bookmarkStart w:id="211" w:name="_Toc530055698"/>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电气部分</w:t>
      </w:r>
      <w:bookmarkEnd w:id="211"/>
    </w:p>
    <w:p w14:paraId="24EB0EA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6231F7DE">
      <w:pPr>
        <w:spacing w:line="360" w:lineRule="auto"/>
        <w:ind w:firstLine="482" w:firstLineChars="200"/>
        <w:rPr>
          <w:rFonts w:ascii="宋体" w:hAnsi="宋体" w:eastAsia="宋体" w:cs="宋体"/>
          <w:b/>
          <w:color w:val="auto"/>
          <w:sz w:val="24"/>
          <w:szCs w:val="24"/>
        </w:rPr>
      </w:pPr>
      <w:bookmarkStart w:id="212" w:name="_Toc530055699"/>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供电</w:t>
      </w:r>
      <w:bookmarkEnd w:id="212"/>
    </w:p>
    <w:p w14:paraId="75A276F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起重机供电电源为三相交流电源,电压380V±10%,频率50HZ。</w:t>
      </w:r>
    </w:p>
    <w:p w14:paraId="5EBC538D">
      <w:pPr>
        <w:spacing w:line="360" w:lineRule="auto"/>
        <w:ind w:firstLine="482" w:firstLineChars="200"/>
        <w:rPr>
          <w:rFonts w:ascii="宋体" w:hAnsi="宋体" w:eastAsia="宋体" w:cs="宋体"/>
          <w:b/>
          <w:color w:val="auto"/>
          <w:sz w:val="24"/>
          <w:szCs w:val="24"/>
        </w:rPr>
      </w:pPr>
      <w:bookmarkStart w:id="213" w:name="_Toc530055700"/>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电气保护</w:t>
      </w:r>
      <w:bookmarkEnd w:id="213"/>
    </w:p>
    <w:p w14:paraId="3E76A8E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1）短路及过载保护</w:t>
      </w:r>
    </w:p>
    <w:p w14:paraId="62EC96C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起重机总受电屏、控制屏进出电源设置断路器、控制回路设置小容量断路器，使各机构在短路，过载等事故状态下，迅速与电源脱离,以达到保护设备及</w:t>
      </w:r>
      <w:bookmarkStart w:id="214" w:name="_Toc20258_WPSOffice_Level2"/>
      <w:r>
        <w:rPr>
          <w:rFonts w:hint="eastAsia" w:ascii="宋体" w:hAnsi="宋体" w:eastAsia="宋体" w:cs="宋体"/>
          <w:color w:val="auto"/>
          <w:sz w:val="24"/>
          <w:szCs w:val="24"/>
        </w:rPr>
        <w:t>人机安全的目的。</w:t>
      </w:r>
      <w:bookmarkEnd w:id="214"/>
    </w:p>
    <w:p w14:paraId="21EFFBBA">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2）失压保护</w:t>
      </w:r>
    </w:p>
    <w:p w14:paraId="6408C791">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在总受电屏及机构控制屏中，用线路接触器</w:t>
      </w:r>
      <w:bookmarkStart w:id="215" w:name="_Toc12226_WPSOffice_Level2"/>
      <w:r>
        <w:rPr>
          <w:rFonts w:hint="eastAsia" w:ascii="宋体" w:hAnsi="宋体" w:eastAsia="宋体" w:cs="宋体"/>
          <w:color w:val="auto"/>
          <w:sz w:val="24"/>
          <w:szCs w:val="24"/>
        </w:rPr>
        <w:t>作为失压保护</w:t>
      </w:r>
      <w:bookmarkEnd w:id="215"/>
      <w:r>
        <w:rPr>
          <w:rFonts w:hint="eastAsia" w:ascii="宋体" w:hAnsi="宋体" w:eastAsia="宋体" w:cs="宋体"/>
          <w:color w:val="auto"/>
          <w:sz w:val="24"/>
          <w:szCs w:val="24"/>
        </w:rPr>
        <w:t>装置，当供电电源中断时,能够自动断开电源。</w:t>
      </w:r>
    </w:p>
    <w:p w14:paraId="12F75D7C">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3）零位保护</w:t>
      </w:r>
    </w:p>
    <w:p w14:paraId="0E01862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司机室的联动台凸轮控制器手柄上设有零位连锁，达到零位的目的。即当起重机开始运转前和失压恢复供电时，必须将控制器的手柄置于零位，各机构</w:t>
      </w:r>
      <w:bookmarkStart w:id="216" w:name="_Toc29864_WPSOffice_Level1"/>
      <w:r>
        <w:rPr>
          <w:rFonts w:hint="eastAsia" w:ascii="宋体" w:hAnsi="宋体" w:eastAsia="宋体" w:cs="宋体"/>
          <w:color w:val="auto"/>
          <w:sz w:val="24"/>
          <w:szCs w:val="24"/>
        </w:rPr>
        <w:t>的电动机才能启动工作。</w:t>
      </w:r>
      <w:bookmarkEnd w:id="216"/>
    </w:p>
    <w:p w14:paraId="394FF6E1">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4）紧急断电保护</w:t>
      </w:r>
    </w:p>
    <w:p w14:paraId="594A38A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司机室内设有紧急断电按钮，当起重机发生紧急情况时，随时方便地切断控制回路电源，从而使主回路断电，确保起重机的安全运行。</w:t>
      </w:r>
    </w:p>
    <w:p w14:paraId="688E103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5）起升,行程限位保护</w:t>
      </w:r>
    </w:p>
    <w:p w14:paraId="3F1FEB88">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起升采用变频控制，起升机构设有限位开关，可保证吊钩上升到极限位置时切断电源，变幅、回转运行到极限位置时切断控制回路电源，使主回路断电，从而达到减速和停</w:t>
      </w:r>
      <w:bookmarkStart w:id="217" w:name="_Toc27220_WPSOffice_Level2"/>
      <w:r>
        <w:rPr>
          <w:rFonts w:hint="eastAsia" w:ascii="宋体" w:hAnsi="宋体" w:eastAsia="宋体" w:cs="宋体"/>
          <w:color w:val="auto"/>
          <w:sz w:val="24"/>
          <w:szCs w:val="24"/>
        </w:rPr>
        <w:t>车的目的，确保起重机的</w:t>
      </w:r>
      <w:bookmarkEnd w:id="217"/>
      <w:r>
        <w:rPr>
          <w:rFonts w:hint="eastAsia" w:ascii="宋体" w:hAnsi="宋体" w:eastAsia="宋体" w:cs="宋体"/>
          <w:color w:val="auto"/>
          <w:sz w:val="24"/>
          <w:szCs w:val="24"/>
        </w:rPr>
        <w:t>安全运行。</w:t>
      </w:r>
    </w:p>
    <w:p w14:paraId="3858599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7）超载保护</w:t>
      </w:r>
    </w:p>
    <w:p w14:paraId="53809C3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起升机构配置超载限制器，具有报警功能，当载荷达到额定起重量的90％时，能发出提示性报警信号，当起重量超过额定起重量时，能自动切断起升动力源，并发出禁止性报警信号。</w:t>
      </w:r>
    </w:p>
    <w:p w14:paraId="6EAC83A9">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8）控制柜,端子箱防护等级IP55，端子箱采用下部或侧部进线上部做防雨，槽盖加防脱落装置。</w:t>
      </w:r>
    </w:p>
    <w:p w14:paraId="0D302959">
      <w:pPr>
        <w:spacing w:line="360" w:lineRule="auto"/>
        <w:ind w:firstLine="482" w:firstLineChars="200"/>
        <w:rPr>
          <w:rFonts w:ascii="宋体" w:hAnsi="宋体" w:eastAsia="宋体" w:cs="宋体"/>
          <w:b/>
          <w:color w:val="auto"/>
          <w:sz w:val="24"/>
          <w:szCs w:val="24"/>
        </w:rPr>
      </w:pPr>
      <w:bookmarkStart w:id="218" w:name="_Toc530055703"/>
      <w:bookmarkStart w:id="219" w:name="_Toc530055701"/>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起重机的接地</w:t>
      </w:r>
      <w:bookmarkEnd w:id="218"/>
    </w:p>
    <w:p w14:paraId="61C372E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1）起重机的金属结构及所有电气设备的金属外壳，电缆金属外皮和变压器的低压侧均有可靠的接地。</w:t>
      </w:r>
    </w:p>
    <w:p w14:paraId="153CA5CB">
      <w:pPr>
        <w:spacing w:line="360" w:lineRule="auto"/>
        <w:ind w:firstLine="480"/>
        <w:rPr>
          <w:rFonts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）起重机上任何一点的接地电阻均不大于4Ω。</w:t>
      </w:r>
    </w:p>
    <w:p w14:paraId="2838F6E4">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操纵方式</w:t>
      </w:r>
      <w:bookmarkEnd w:id="219"/>
    </w:p>
    <w:p w14:paraId="3A811E9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1）司机室设有总电源和控制电源开关状态信号指示灯。</w:t>
      </w:r>
    </w:p>
    <w:p w14:paraId="73481A0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2）司机室设置交流220V电源插座及三相380V电源，备接其它电气设备。</w:t>
      </w:r>
    </w:p>
    <w:p w14:paraId="3677936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3）司机室设有36V插座，以便于检修作业。</w:t>
      </w:r>
    </w:p>
    <w:p w14:paraId="3EBB72BF">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4）司机室用交流220V/40W荧光灯具照明，以满足照度不低于200LX的要求。</w:t>
      </w:r>
    </w:p>
    <w:p w14:paraId="53BA3E20">
      <w:pPr>
        <w:spacing w:line="360" w:lineRule="auto"/>
        <w:ind w:firstLine="482" w:firstLineChars="200"/>
        <w:rPr>
          <w:rFonts w:ascii="宋体" w:hAnsi="宋体" w:eastAsia="宋体" w:cs="宋体"/>
          <w:b/>
          <w:color w:val="auto"/>
          <w:sz w:val="24"/>
          <w:szCs w:val="24"/>
        </w:rPr>
      </w:pPr>
      <w:bookmarkStart w:id="220" w:name="_Toc530055702"/>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照明信号</w:t>
      </w:r>
      <w:bookmarkEnd w:id="220"/>
    </w:p>
    <w:p w14:paraId="4705B2BF">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7DD7706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2）设有报警装置,操作时起提示作用，在司机室通过按钮开关控制。</w:t>
      </w:r>
    </w:p>
    <w:p w14:paraId="49FB59CB">
      <w:pPr>
        <w:spacing w:line="360" w:lineRule="auto"/>
        <w:ind w:firstLine="482" w:firstLineChars="200"/>
        <w:rPr>
          <w:rFonts w:ascii="宋体" w:hAnsi="宋体" w:eastAsia="宋体" w:cs="宋体"/>
          <w:b/>
          <w:color w:val="auto"/>
          <w:sz w:val="24"/>
          <w:szCs w:val="24"/>
        </w:rPr>
      </w:pPr>
      <w:bookmarkStart w:id="221" w:name="_Toc530055704"/>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7</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其它</w:t>
      </w:r>
      <w:bookmarkEnd w:id="221"/>
    </w:p>
    <w:p w14:paraId="298C1E8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1）起重机上布线采用截面积不小于2.5 mm²的铜导线。</w:t>
      </w:r>
    </w:p>
    <w:p w14:paraId="495FDC11">
      <w:pPr>
        <w:pStyle w:val="81"/>
        <w:jc w:val="left"/>
        <w:rPr>
          <w:color w:val="auto"/>
        </w:rPr>
      </w:pPr>
      <w:r>
        <w:rPr>
          <w:rFonts w:hint="eastAsia"/>
          <w:color w:val="auto"/>
        </w:rPr>
        <w:t>2）总受电屏和各机构控制屏中的布线采用铜导线和铜排。</w:t>
      </w:r>
    </w:p>
    <w:p w14:paraId="7D82CD1F">
      <w:pPr>
        <w:pStyle w:val="9"/>
        <w:ind w:left="0" w:leftChars="0" w:firstLine="0" w:firstLineChars="0"/>
        <w:rPr>
          <w:rFonts w:hint="eastAsia"/>
          <w:color w:val="auto"/>
        </w:rPr>
      </w:pPr>
    </w:p>
    <w:p w14:paraId="3A83EB4F">
      <w:pPr>
        <w:pStyle w:val="25"/>
        <w:ind w:left="0" w:leftChars="0" w:firstLine="0" w:firstLineChars="0"/>
        <w:rPr>
          <w:rFonts w:hint="eastAsia"/>
          <w:color w:val="auto"/>
        </w:rPr>
      </w:pPr>
    </w:p>
    <w:p w14:paraId="6A724463">
      <w:pPr>
        <w:pStyle w:val="25"/>
        <w:ind w:left="0" w:leftChars="0" w:firstLine="0" w:firstLineChars="0"/>
        <w:rPr>
          <w:color w:val="auto"/>
        </w:rPr>
      </w:pPr>
    </w:p>
    <w:p w14:paraId="4E7759E6">
      <w:pPr>
        <w:ind w:firstLine="480"/>
        <w:rPr>
          <w:rFonts w:hint="eastAsia"/>
          <w:color w:val="auto"/>
        </w:rPr>
      </w:pPr>
    </w:p>
    <w:p w14:paraId="495E9E6B">
      <w:pPr>
        <w:ind w:firstLine="480"/>
        <w:rPr>
          <w:rFonts w:hint="eastAsia"/>
          <w:color w:val="auto"/>
        </w:rPr>
      </w:pPr>
    </w:p>
    <w:p w14:paraId="73AB18EB">
      <w:pPr>
        <w:ind w:firstLine="480"/>
        <w:rPr>
          <w:rFonts w:hint="eastAsia"/>
          <w:color w:val="auto"/>
        </w:rPr>
      </w:pPr>
    </w:p>
    <w:p w14:paraId="25EAC30C">
      <w:pPr>
        <w:ind w:firstLine="480"/>
        <w:rPr>
          <w:rFonts w:hint="eastAsia"/>
          <w:color w:val="auto"/>
        </w:rPr>
      </w:pPr>
    </w:p>
    <w:p w14:paraId="379273E5">
      <w:pPr>
        <w:ind w:firstLine="480"/>
        <w:rPr>
          <w:rFonts w:hint="eastAsia"/>
          <w:color w:val="auto"/>
        </w:rPr>
      </w:pPr>
    </w:p>
    <w:bookmarkEnd w:id="158"/>
    <w:bookmarkEnd w:id="159"/>
    <w:bookmarkEnd w:id="160"/>
    <w:bookmarkEnd w:id="161"/>
    <w:bookmarkEnd w:id="162"/>
    <w:bookmarkEnd w:id="163"/>
    <w:p w14:paraId="1DE28D19">
      <w:pPr>
        <w:ind w:left="0" w:leftChars="0" w:firstLine="0" w:firstLineChars="0"/>
        <w:rPr>
          <w:color w:val="auto"/>
        </w:rPr>
      </w:pPr>
    </w:p>
    <w:p w14:paraId="7797C548">
      <w:pPr>
        <w:ind w:firstLine="480"/>
        <w:rPr>
          <w:color w:val="auto"/>
        </w:rPr>
        <w:sectPr>
          <w:headerReference r:id="rId16" w:type="default"/>
          <w:footerReference r:id="rId17" w:type="default"/>
          <w:pgSz w:w="11906" w:h="16838"/>
          <w:pgMar w:top="1440" w:right="1800" w:bottom="1440" w:left="1800" w:header="851" w:footer="992" w:gutter="0"/>
          <w:pgNumType w:fmt="decimal"/>
          <w:cols w:space="425" w:num="1"/>
          <w:docGrid w:type="lines" w:linePitch="312" w:charSpace="0"/>
        </w:sectPr>
      </w:pPr>
    </w:p>
    <w:p w14:paraId="6769ED84">
      <w:pPr>
        <w:pStyle w:val="2"/>
        <w:spacing w:before="156" w:after="156"/>
        <w:rPr>
          <w:color w:val="auto"/>
        </w:rPr>
      </w:pPr>
      <w:bookmarkStart w:id="222" w:name="_Toc2870"/>
      <w:bookmarkStart w:id="223" w:name="_Toc29944"/>
      <w:bookmarkStart w:id="224" w:name="_Toc15539"/>
      <w:bookmarkStart w:id="225" w:name="_Toc40778447"/>
      <w:r>
        <w:rPr>
          <w:rFonts w:hint="eastAsia"/>
          <w:color w:val="auto"/>
        </w:rPr>
        <w:t>施工管理及作业人员配备和分工</w:t>
      </w:r>
      <w:bookmarkEnd w:id="222"/>
      <w:bookmarkEnd w:id="223"/>
      <w:bookmarkEnd w:id="224"/>
      <w:bookmarkEnd w:id="225"/>
    </w:p>
    <w:p w14:paraId="56E43FD4">
      <w:pPr>
        <w:pStyle w:val="3"/>
        <w:numPr>
          <w:ilvl w:val="0"/>
          <w:numId w:val="0"/>
        </w:numPr>
        <w:ind w:left="420" w:leftChars="0"/>
        <w:rPr>
          <w:color w:val="auto"/>
        </w:rPr>
      </w:pPr>
      <w:bookmarkStart w:id="226" w:name="_Toc13361"/>
      <w:r>
        <w:rPr>
          <w:rFonts w:hint="eastAsia"/>
          <w:color w:val="auto"/>
          <w:lang w:val="en-US" w:eastAsia="zh-CN"/>
        </w:rPr>
        <w:t>7.1</w:t>
      </w:r>
      <w:r>
        <w:rPr>
          <w:rFonts w:hint="eastAsia"/>
          <w:color w:val="auto"/>
        </w:rPr>
        <w:t>施工组织机构</w:t>
      </w:r>
      <w:bookmarkEnd w:id="226"/>
    </w:p>
    <w:p w14:paraId="41F4C9F4">
      <w:pPr>
        <w:pStyle w:val="72"/>
        <w:spacing w:before="156"/>
        <w:ind w:firstLine="422"/>
        <w:jc w:val="center"/>
        <w:rPr>
          <w:rFonts w:ascii="宋体" w:hAnsi="宋体" w:eastAsia="宋体" w:cs="黑体"/>
          <w:b/>
          <w:color w:val="auto"/>
          <w:sz w:val="21"/>
          <w:szCs w:val="21"/>
        </w:rPr>
      </w:pPr>
      <w:r>
        <w:rPr>
          <w:color w:val="auto"/>
        </w:rPr>
        <w:drawing>
          <wp:inline distT="0" distB="0" distL="0" distR="0">
            <wp:extent cx="5168900" cy="2391410"/>
            <wp:effectExtent l="0" t="0" r="12700" b="8890"/>
            <wp:docPr id="128" name="图片 1124"/>
            <wp:cNvGraphicFramePr/>
            <a:graphic xmlns:a="http://schemas.openxmlformats.org/drawingml/2006/main">
              <a:graphicData uri="http://schemas.openxmlformats.org/drawingml/2006/picture">
                <pic:pic xmlns:pic="http://schemas.openxmlformats.org/drawingml/2006/picture">
                  <pic:nvPicPr>
                    <pic:cNvPr id="128" name="图片 1124"/>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168900" cy="2391410"/>
                    </a:xfrm>
                    <a:prstGeom prst="rect">
                      <a:avLst/>
                    </a:prstGeom>
                    <a:noFill/>
                    <a:ln>
                      <a:noFill/>
                    </a:ln>
                  </pic:spPr>
                </pic:pic>
              </a:graphicData>
            </a:graphic>
          </wp:inline>
        </w:drawing>
      </w:r>
      <w:r>
        <w:rPr>
          <w:rFonts w:hint="eastAsia" w:ascii="宋体" w:hAnsi="宋体" w:eastAsia="宋体" w:cs="黑体"/>
          <w:b/>
          <w:color w:val="auto"/>
          <w:sz w:val="21"/>
          <w:szCs w:val="21"/>
        </w:rPr>
        <w:t>图</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.1</w:t>
      </w:r>
      <w:r>
        <w:rPr>
          <w:rFonts w:hint="eastAsia" w:ascii="宋体" w:hAnsi="宋体" w:eastAsia="宋体" w:cs="黑体"/>
          <w:b/>
          <w:color w:val="auto"/>
          <w:sz w:val="21"/>
          <w:szCs w:val="21"/>
        </w:rPr>
        <w:t>-</w:t>
      </w:r>
      <w:r>
        <w:rPr>
          <w:rFonts w:ascii="宋体" w:hAnsi="宋体" w:eastAsia="宋体" w:cs="黑体"/>
          <w:b/>
          <w:color w:val="auto"/>
          <w:sz w:val="21"/>
          <w:szCs w:val="21"/>
        </w:rPr>
        <w:t xml:space="preserve">1 </w:t>
      </w:r>
      <w:r>
        <w:rPr>
          <w:rFonts w:hint="eastAsia" w:ascii="宋体" w:hAnsi="宋体" w:eastAsia="宋体" w:cs="黑体"/>
          <w:b/>
          <w:color w:val="auto"/>
          <w:sz w:val="21"/>
          <w:szCs w:val="21"/>
        </w:rPr>
        <w:t>施工组织机构图</w:t>
      </w:r>
    </w:p>
    <w:p w14:paraId="7FF856EE">
      <w:pPr>
        <w:pStyle w:val="3"/>
        <w:numPr>
          <w:ilvl w:val="0"/>
          <w:numId w:val="0"/>
        </w:numPr>
        <w:ind w:left="420" w:leftChars="0"/>
        <w:rPr>
          <w:color w:val="auto"/>
        </w:rPr>
      </w:pPr>
      <w:bookmarkStart w:id="227" w:name="_Toc21435"/>
      <w:bookmarkStart w:id="228" w:name="_Toc1742"/>
      <w:r>
        <w:rPr>
          <w:rFonts w:hint="eastAsia"/>
          <w:color w:val="auto"/>
          <w:lang w:val="en-US" w:eastAsia="zh-CN"/>
        </w:rPr>
        <w:t>7.2</w:t>
      </w:r>
      <w:r>
        <w:rPr>
          <w:rFonts w:hint="eastAsia"/>
          <w:color w:val="auto"/>
        </w:rPr>
        <w:t>人员配置</w:t>
      </w:r>
      <w:bookmarkEnd w:id="227"/>
      <w:bookmarkEnd w:id="228"/>
    </w:p>
    <w:p w14:paraId="2BBBAF3E">
      <w:pPr>
        <w:pStyle w:val="13"/>
        <w:ind w:firstLine="422"/>
        <w:jc w:val="center"/>
        <w:rPr>
          <w:rFonts w:ascii="Times New Roman" w:hAnsi="Times New Roman" w:eastAsia="宋体"/>
          <w:b/>
          <w:color w:val="auto"/>
          <w:sz w:val="21"/>
          <w:szCs w:val="24"/>
        </w:rPr>
      </w:pPr>
      <w:r>
        <w:rPr>
          <w:rFonts w:hint="eastAsia" w:ascii="Times New Roman" w:hAnsi="Times New Roman" w:eastAsia="宋体"/>
          <w:b/>
          <w:color w:val="auto"/>
          <w:sz w:val="21"/>
          <w:szCs w:val="24"/>
          <w:lang w:eastAsia="zh-CN"/>
        </w:rPr>
        <w:t>表</w:t>
      </w:r>
      <w:r>
        <w:rPr>
          <w:rFonts w:hint="eastAsia" w:ascii="Times New Roman" w:hAnsi="Times New Roman" w:eastAsia="宋体"/>
          <w:b/>
          <w:color w:val="auto"/>
          <w:sz w:val="21"/>
          <w:szCs w:val="24"/>
          <w:lang w:val="en-US" w:eastAsia="zh-CN"/>
        </w:rPr>
        <w:t>7.2</w:t>
      </w:r>
      <w:r>
        <w:rPr>
          <w:rFonts w:ascii="Times New Roman" w:hAnsi="Times New Roman" w:eastAsia="宋体"/>
          <w:b/>
          <w:color w:val="auto"/>
          <w:sz w:val="21"/>
          <w:szCs w:val="24"/>
        </w:rPr>
        <w:noBreakHyphen/>
      </w:r>
      <w:r>
        <w:rPr>
          <w:rFonts w:ascii="Times New Roman" w:hAnsi="Times New Roman" w:eastAsia="宋体"/>
          <w:b/>
          <w:color w:val="auto"/>
          <w:sz w:val="21"/>
          <w:szCs w:val="24"/>
        </w:rPr>
        <w:fldChar w:fldCharType="begin"/>
      </w:r>
      <w:r>
        <w:rPr>
          <w:rFonts w:ascii="Times New Roman" w:hAnsi="Times New Roman" w:eastAsia="宋体"/>
          <w:b/>
          <w:color w:val="auto"/>
          <w:sz w:val="21"/>
          <w:szCs w:val="24"/>
        </w:rPr>
        <w:instrText xml:space="preserve"> SEQ 表 \* ARABIC \s 2 </w:instrText>
      </w:r>
      <w:r>
        <w:rPr>
          <w:rFonts w:ascii="Times New Roman" w:hAnsi="Times New Roman" w:eastAsia="宋体"/>
          <w:b/>
          <w:color w:val="auto"/>
          <w:sz w:val="21"/>
          <w:szCs w:val="24"/>
        </w:rPr>
        <w:fldChar w:fldCharType="separate"/>
      </w:r>
      <w:r>
        <w:rPr>
          <w:rFonts w:ascii="Times New Roman" w:hAnsi="Times New Roman" w:eastAsia="宋体"/>
          <w:b/>
          <w:color w:val="auto"/>
          <w:sz w:val="21"/>
          <w:szCs w:val="24"/>
        </w:rPr>
        <w:t>1</w:t>
      </w:r>
      <w:r>
        <w:rPr>
          <w:rFonts w:ascii="Times New Roman" w:hAnsi="Times New Roman" w:eastAsia="宋体"/>
          <w:b/>
          <w:color w:val="auto"/>
          <w:sz w:val="21"/>
          <w:szCs w:val="24"/>
        </w:rPr>
        <w:fldChar w:fldCharType="end"/>
      </w:r>
      <w:r>
        <w:rPr>
          <w:rFonts w:ascii="Times New Roman" w:hAnsi="Times New Roman" w:eastAsia="宋体"/>
          <w:b/>
          <w:color w:val="auto"/>
          <w:sz w:val="21"/>
          <w:szCs w:val="24"/>
        </w:rPr>
        <w:t xml:space="preserve">  </w:t>
      </w:r>
      <w:r>
        <w:rPr>
          <w:rFonts w:hint="eastAsia" w:ascii="Times New Roman" w:hAnsi="Times New Roman" w:eastAsia="宋体"/>
          <w:b/>
          <w:color w:val="auto"/>
          <w:sz w:val="21"/>
          <w:szCs w:val="24"/>
        </w:rPr>
        <w:t>项目主要管理人员配备</w:t>
      </w:r>
      <w:r>
        <w:rPr>
          <w:rFonts w:ascii="Times New Roman" w:hAnsi="Times New Roman" w:eastAsia="宋体"/>
          <w:b/>
          <w:color w:val="auto"/>
          <w:sz w:val="21"/>
          <w:szCs w:val="24"/>
        </w:rPr>
        <w:t>表</w:t>
      </w:r>
    </w:p>
    <w:tbl>
      <w:tblPr>
        <w:tblStyle w:val="26"/>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704EDE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shd w:val="clear" w:color="auto" w:fill="C7DAF1" w:themeFill="text2" w:themeFillTint="32"/>
            <w:vAlign w:val="center"/>
          </w:tcPr>
          <w:p w14:paraId="43610380">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职 务</w:t>
            </w:r>
          </w:p>
        </w:tc>
        <w:tc>
          <w:tcPr>
            <w:tcW w:w="1171" w:type="dxa"/>
            <w:tcBorders>
              <w:tl2br w:val="nil"/>
              <w:tr2bl w:val="nil"/>
            </w:tcBorders>
            <w:shd w:val="clear" w:color="auto" w:fill="C7DAF1" w:themeFill="text2" w:themeFillTint="32"/>
            <w:vAlign w:val="center"/>
          </w:tcPr>
          <w:p w14:paraId="530B1012">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 名</w:t>
            </w:r>
          </w:p>
        </w:tc>
        <w:tc>
          <w:tcPr>
            <w:tcW w:w="6353" w:type="dxa"/>
            <w:tcBorders>
              <w:tl2br w:val="nil"/>
              <w:tr2bl w:val="nil"/>
            </w:tcBorders>
            <w:shd w:val="clear" w:color="auto" w:fill="C7DAF1" w:themeFill="text2" w:themeFillTint="32"/>
            <w:vAlign w:val="center"/>
          </w:tcPr>
          <w:p w14:paraId="1727ADEB">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 作 职 责</w:t>
            </w:r>
          </w:p>
        </w:tc>
      </w:tr>
      <w:tr w14:paraId="2A4EC9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228C313C">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1171" w:type="dxa"/>
            <w:tcBorders>
              <w:tl2br w:val="nil"/>
              <w:tr2bl w:val="nil"/>
            </w:tcBorders>
            <w:vAlign w:val="center"/>
          </w:tcPr>
          <w:p w14:paraId="18C3B791">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彭善忠</w:t>
            </w:r>
          </w:p>
        </w:tc>
        <w:tc>
          <w:tcPr>
            <w:tcW w:w="6353" w:type="dxa"/>
            <w:tcBorders>
              <w:tl2br w:val="nil"/>
              <w:tr2bl w:val="nil"/>
            </w:tcBorders>
            <w:vAlign w:val="center"/>
          </w:tcPr>
          <w:p w14:paraId="508D13C4">
            <w:pPr>
              <w:pStyle w:val="70"/>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负责整个项目实施，保证工期、质量安全处于受控状态。</w:t>
            </w:r>
          </w:p>
        </w:tc>
      </w:tr>
      <w:tr w14:paraId="1E54AC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3C0F1386">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技术负责人</w:t>
            </w:r>
          </w:p>
        </w:tc>
        <w:tc>
          <w:tcPr>
            <w:tcW w:w="1171" w:type="dxa"/>
            <w:tcBorders>
              <w:tl2br w:val="nil"/>
              <w:tr2bl w:val="nil"/>
            </w:tcBorders>
            <w:vAlign w:val="center"/>
          </w:tcPr>
          <w:p w14:paraId="781B95B1">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衣磊</w:t>
            </w:r>
          </w:p>
        </w:tc>
        <w:tc>
          <w:tcPr>
            <w:tcW w:w="6353" w:type="dxa"/>
            <w:tcBorders>
              <w:tl2br w:val="nil"/>
              <w:tr2bl w:val="nil"/>
            </w:tcBorders>
            <w:vAlign w:val="center"/>
          </w:tcPr>
          <w:p w14:paraId="4613C718">
            <w:pPr>
              <w:pStyle w:val="70"/>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负责技术方案制定，确保方案的正确性，科学性和可行性。</w:t>
            </w:r>
          </w:p>
        </w:tc>
      </w:tr>
    </w:tbl>
    <w:p w14:paraId="2C147DCB">
      <w:pPr>
        <w:pStyle w:val="49"/>
        <w:rPr>
          <w:rFonts w:hint="eastAsia"/>
          <w:color w:val="auto"/>
        </w:rPr>
      </w:pPr>
    </w:p>
    <w:p w14:paraId="767DCD54">
      <w:pPr>
        <w:pStyle w:val="72"/>
        <w:spacing w:before="156"/>
        <w:ind w:firstLine="422"/>
        <w:jc w:val="center"/>
        <w:rPr>
          <w:rFonts w:hint="eastAsia" w:ascii="宋体" w:hAnsi="宋体" w:eastAsia="宋体" w:cs="黑体"/>
          <w:b/>
          <w:color w:val="auto"/>
          <w:sz w:val="21"/>
          <w:szCs w:val="21"/>
          <w:lang w:val="en-US" w:eastAsia="zh-CN"/>
        </w:rPr>
      </w:pPr>
      <w:bookmarkStart w:id="229" w:name="_Toc10028"/>
      <w:bookmarkStart w:id="230" w:name="_Toc17383790"/>
      <w:bookmarkStart w:id="231" w:name="_Toc1349054167"/>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2安装单位人员分工一览表</w:t>
      </w:r>
    </w:p>
    <w:tbl>
      <w:tblPr>
        <w:tblStyle w:val="26"/>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14:paraId="11B4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14:paraId="01EA14D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 务</w:t>
            </w:r>
          </w:p>
        </w:tc>
        <w:tc>
          <w:tcPr>
            <w:tcW w:w="1221" w:type="dxa"/>
            <w:tcBorders>
              <w:top w:val="single" w:color="auto" w:sz="12" w:space="0"/>
            </w:tcBorders>
            <w:noWrap w:val="0"/>
            <w:vAlign w:val="center"/>
          </w:tcPr>
          <w:p w14:paraId="4CF7005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 名</w:t>
            </w:r>
          </w:p>
        </w:tc>
        <w:tc>
          <w:tcPr>
            <w:tcW w:w="6270" w:type="dxa"/>
            <w:tcBorders>
              <w:top w:val="single" w:color="auto" w:sz="12" w:space="0"/>
              <w:right w:val="single" w:color="auto" w:sz="12" w:space="0"/>
            </w:tcBorders>
            <w:noWrap w:val="0"/>
            <w:vAlign w:val="center"/>
          </w:tcPr>
          <w:p w14:paraId="41DB40A2">
            <w:pPr>
              <w:adjustRightInd w:val="0"/>
              <w:spacing w:line="240" w:lineRule="auto"/>
              <w:ind w:firstLine="233" w:firstLineChars="1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 作 职 责</w:t>
            </w:r>
          </w:p>
        </w:tc>
      </w:tr>
      <w:tr w14:paraId="43BF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14:paraId="2EE43F34">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项目负责人</w:t>
            </w:r>
          </w:p>
        </w:tc>
        <w:tc>
          <w:tcPr>
            <w:tcW w:w="1221" w:type="dxa"/>
            <w:noWrap w:val="0"/>
            <w:vAlign w:val="center"/>
          </w:tcPr>
          <w:p w14:paraId="6A95725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彭善忠</w:t>
            </w:r>
          </w:p>
        </w:tc>
        <w:tc>
          <w:tcPr>
            <w:tcW w:w="6270" w:type="dxa"/>
            <w:tcBorders>
              <w:right w:val="single" w:color="auto" w:sz="12" w:space="0"/>
            </w:tcBorders>
            <w:noWrap w:val="0"/>
            <w:vAlign w:val="center"/>
          </w:tcPr>
          <w:p w14:paraId="0B17EDBF">
            <w:pPr>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负责该项目的施工计划、组织和协调，对</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全过程的安全负全责</w:t>
            </w:r>
          </w:p>
        </w:tc>
      </w:tr>
      <w:tr w14:paraId="76F6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41DFF96A">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技术负责人</w:t>
            </w:r>
          </w:p>
        </w:tc>
        <w:tc>
          <w:tcPr>
            <w:tcW w:w="1221" w:type="dxa"/>
            <w:noWrap w:val="0"/>
            <w:vAlign w:val="top"/>
          </w:tcPr>
          <w:p w14:paraId="61214E2F">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衣磊</w:t>
            </w:r>
          </w:p>
        </w:tc>
        <w:tc>
          <w:tcPr>
            <w:tcW w:w="6270" w:type="dxa"/>
            <w:tcBorders>
              <w:right w:val="single" w:color="auto" w:sz="12" w:space="0"/>
            </w:tcBorders>
            <w:noWrap w:val="0"/>
            <w:vAlign w:val="center"/>
          </w:tcPr>
          <w:p w14:paraId="255D8DA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负责组织人员按</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工艺规程及塔机使用说明书要求进行作业，负责每日的工作安排，安全交底、工作记录，制止任何违章作业。</w:t>
            </w:r>
          </w:p>
        </w:tc>
      </w:tr>
      <w:tr w14:paraId="57E1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left w:val="single" w:color="auto" w:sz="12" w:space="0"/>
            </w:tcBorders>
            <w:noWrap w:val="0"/>
            <w:vAlign w:val="center"/>
          </w:tcPr>
          <w:p w14:paraId="4479054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专职安全员</w:t>
            </w:r>
          </w:p>
        </w:tc>
        <w:tc>
          <w:tcPr>
            <w:tcW w:w="1221" w:type="dxa"/>
            <w:noWrap w:val="0"/>
            <w:vAlign w:val="top"/>
          </w:tcPr>
          <w:p w14:paraId="1A583671">
            <w:pPr>
              <w:ind w:left="0" w:leftChars="0" w:firstLine="0" w:firstLineChars="0"/>
              <w:jc w:val="center"/>
              <w:rPr>
                <w:rFonts w:hint="eastAsia" w:ascii="宋体" w:hAnsi="宋体" w:cs="宋体"/>
                <w:bCs/>
                <w:color w:val="auto"/>
                <w:sz w:val="21"/>
                <w:szCs w:val="21"/>
                <w:lang w:val="en-US" w:eastAsia="zh-CN"/>
              </w:rPr>
            </w:pPr>
            <w:r>
              <w:rPr>
                <w:rFonts w:hint="eastAsia" w:cs="Times New Roman"/>
                <w:color w:val="auto"/>
                <w:sz w:val="21"/>
                <w:szCs w:val="21"/>
                <w:lang w:val="en-US" w:eastAsia="zh-CN"/>
              </w:rPr>
              <w:t>白美富</w:t>
            </w:r>
          </w:p>
        </w:tc>
        <w:tc>
          <w:tcPr>
            <w:tcW w:w="6270" w:type="dxa"/>
            <w:tcBorders>
              <w:right w:val="single" w:color="auto" w:sz="12" w:space="0"/>
            </w:tcBorders>
            <w:noWrap w:val="0"/>
            <w:vAlign w:val="center"/>
          </w:tcPr>
          <w:p w14:paraId="38921E1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Times New Roman" w:hAnsi="Times New Roman" w:eastAsia="宋体" w:cs="Times New Roman"/>
                <w:b w:val="0"/>
                <w:color w:val="000000"/>
                <w:kern w:val="2"/>
                <w:sz w:val="21"/>
                <w:szCs w:val="21"/>
                <w:lang w:val="en-US" w:eastAsia="zh-CN" w:bidi="ar-SA"/>
              </w:rPr>
              <w:t>负责现场安全管理</w:t>
            </w:r>
          </w:p>
        </w:tc>
      </w:tr>
      <w:tr w14:paraId="7533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604FD8E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塔机司机</w:t>
            </w:r>
          </w:p>
        </w:tc>
        <w:tc>
          <w:tcPr>
            <w:tcW w:w="1221" w:type="dxa"/>
            <w:noWrap w:val="0"/>
            <w:vAlign w:val="top"/>
          </w:tcPr>
          <w:p w14:paraId="4904FA07">
            <w:pPr>
              <w:ind w:left="0" w:leftChars="0" w:firstLine="0" w:firstLineChars="0"/>
              <w:jc w:val="center"/>
              <w:rPr>
                <w:rFonts w:hint="eastAsia" w:ascii="宋体" w:hAnsi="宋体" w:eastAsia="宋体" w:cs="宋体"/>
                <w:bCs/>
                <w:color w:val="auto"/>
                <w:sz w:val="21"/>
                <w:szCs w:val="21"/>
                <w:lang w:eastAsia="zh-CN"/>
              </w:rPr>
            </w:pPr>
            <w:r>
              <w:rPr>
                <w:rFonts w:hint="eastAsia" w:cs="Times New Roman"/>
                <w:color w:val="auto"/>
                <w:sz w:val="21"/>
                <w:szCs w:val="21"/>
                <w:lang w:val="en-US" w:eastAsia="zh-CN"/>
              </w:rPr>
              <w:t>彭兴华</w:t>
            </w:r>
          </w:p>
        </w:tc>
        <w:tc>
          <w:tcPr>
            <w:tcW w:w="6270" w:type="dxa"/>
            <w:tcBorders>
              <w:right w:val="single" w:color="auto" w:sz="12" w:space="0"/>
            </w:tcBorders>
            <w:noWrap w:val="0"/>
            <w:vAlign w:val="center"/>
          </w:tcPr>
          <w:p w14:paraId="67E0B038">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在</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、升塔过程中对塔机进行操作。严守操作规程，严格按照日常保养维护检查，确保塔吊处于良好状态。</w:t>
            </w:r>
          </w:p>
        </w:tc>
      </w:tr>
      <w:tr w14:paraId="3439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9EF756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3E0D9D3A">
            <w:pPr>
              <w:ind w:left="0" w:leftChars="0" w:firstLine="0" w:firstLineChars="0"/>
              <w:jc w:val="center"/>
              <w:rPr>
                <w:rFonts w:hint="eastAsia" w:ascii="宋体" w:hAnsi="宋体" w:eastAsia="宋体" w:cs="宋体"/>
                <w:bCs/>
                <w:color w:val="auto"/>
                <w:sz w:val="21"/>
                <w:szCs w:val="21"/>
                <w:u w:val="single"/>
              </w:rPr>
            </w:pPr>
            <w:r>
              <w:rPr>
                <w:rFonts w:hint="eastAsia" w:cs="Times New Roman"/>
                <w:color w:val="auto"/>
                <w:sz w:val="21"/>
                <w:szCs w:val="21"/>
                <w:lang w:val="en-US" w:eastAsia="zh-CN"/>
              </w:rPr>
              <w:t>黄科</w:t>
            </w:r>
          </w:p>
        </w:tc>
        <w:tc>
          <w:tcPr>
            <w:tcW w:w="6270" w:type="dxa"/>
            <w:tcBorders>
              <w:right w:val="single" w:color="auto" w:sz="12" w:space="0"/>
            </w:tcBorders>
            <w:noWrap w:val="0"/>
            <w:vAlign w:val="center"/>
          </w:tcPr>
          <w:p w14:paraId="48BC2AA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254B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232501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7FD55213">
            <w:pPr>
              <w:ind w:left="0" w:leftChars="0" w:firstLine="0" w:firstLineChars="0"/>
              <w:jc w:val="center"/>
              <w:rPr>
                <w:rFonts w:hint="eastAsia" w:ascii="宋体" w:hAnsi="宋体" w:eastAsia="宋体" w:cs="宋体"/>
                <w:bCs/>
                <w:color w:val="auto"/>
                <w:sz w:val="21"/>
                <w:szCs w:val="21"/>
              </w:rPr>
            </w:pPr>
            <w:r>
              <w:rPr>
                <w:rFonts w:hint="eastAsia" w:cs="Times New Roman"/>
                <w:color w:val="auto"/>
                <w:sz w:val="21"/>
                <w:szCs w:val="21"/>
                <w:lang w:val="en-US" w:eastAsia="zh-CN"/>
              </w:rPr>
              <w:t>徐刚</w:t>
            </w:r>
          </w:p>
        </w:tc>
        <w:tc>
          <w:tcPr>
            <w:tcW w:w="6270" w:type="dxa"/>
            <w:tcBorders>
              <w:right w:val="single" w:color="auto" w:sz="12" w:space="0"/>
            </w:tcBorders>
            <w:noWrap w:val="0"/>
            <w:vAlign w:val="center"/>
          </w:tcPr>
          <w:p w14:paraId="4D375F9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7A2C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7ABFC5F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2899756">
            <w:pPr>
              <w:ind w:left="0" w:leftChars="0" w:firstLine="0" w:firstLineChars="0"/>
              <w:jc w:val="center"/>
              <w:rPr>
                <w:rFonts w:hint="eastAsia" w:ascii="宋体" w:hAnsi="宋体" w:eastAsia="宋体" w:cs="宋体"/>
                <w:bCs/>
                <w:color w:val="auto"/>
                <w:sz w:val="21"/>
                <w:szCs w:val="21"/>
              </w:rPr>
            </w:pPr>
            <w:r>
              <w:rPr>
                <w:rFonts w:hint="eastAsia"/>
                <w:lang w:val="en-US" w:eastAsia="zh-CN"/>
              </w:rPr>
              <w:t>陈刚</w:t>
            </w:r>
          </w:p>
        </w:tc>
        <w:tc>
          <w:tcPr>
            <w:tcW w:w="6270" w:type="dxa"/>
            <w:tcBorders>
              <w:right w:val="single" w:color="auto" w:sz="12" w:space="0"/>
            </w:tcBorders>
            <w:noWrap w:val="0"/>
            <w:vAlign w:val="center"/>
          </w:tcPr>
          <w:p w14:paraId="1E795393">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65E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02363B7E">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7825EAB">
            <w:pPr>
              <w:ind w:left="0" w:leftChars="0" w:firstLine="0" w:firstLineChars="0"/>
              <w:jc w:val="center"/>
              <w:rPr>
                <w:rFonts w:hint="eastAsia" w:ascii="宋体" w:hAnsi="宋体" w:eastAsia="宋体" w:cs="宋体"/>
                <w:bCs/>
                <w:color w:val="auto"/>
                <w:sz w:val="21"/>
                <w:szCs w:val="21"/>
              </w:rPr>
            </w:pPr>
            <w:r>
              <w:rPr>
                <w:rFonts w:hint="default" w:ascii="Times New Roman" w:hAnsi="Times New Roman" w:cs="Times New Roman"/>
                <w:color w:val="auto"/>
                <w:sz w:val="21"/>
                <w:szCs w:val="21"/>
                <w:lang w:val="en-US" w:eastAsia="zh-CN"/>
              </w:rPr>
              <w:t>黄仁训</w:t>
            </w:r>
          </w:p>
        </w:tc>
        <w:tc>
          <w:tcPr>
            <w:tcW w:w="6270" w:type="dxa"/>
            <w:tcBorders>
              <w:right w:val="single" w:color="auto" w:sz="12" w:space="0"/>
            </w:tcBorders>
            <w:noWrap w:val="0"/>
            <w:vAlign w:val="center"/>
          </w:tcPr>
          <w:p w14:paraId="09C7D415">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1CF9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shd w:val="clear" w:color="auto" w:fill="auto"/>
            <w:noWrap w:val="0"/>
            <w:vAlign w:val="center"/>
          </w:tcPr>
          <w:p w14:paraId="704B1FD1">
            <w:pPr>
              <w:adjustRightInd w:val="0"/>
              <w:spacing w:line="240" w:lineRule="auto"/>
              <w:ind w:firstLine="0" w:firstLineChars="0"/>
              <w:jc w:val="center"/>
              <w:rPr>
                <w:rFonts w:hint="eastAsia" w:ascii="宋体" w:hAnsi="宋体" w:eastAsia="宋体" w:cs="宋体"/>
                <w:bCs/>
                <w:color w:val="auto"/>
                <w:kern w:val="2"/>
                <w:sz w:val="21"/>
                <w:szCs w:val="21"/>
                <w:lang w:val="en-US" w:eastAsia="zh-CN" w:bidi="ar-SA"/>
              </w:rPr>
            </w:pPr>
            <w:r>
              <w:rPr>
                <w:rStyle w:val="79"/>
                <w:rFonts w:hint="eastAsia" w:cstheme="minorBidi"/>
                <w:b w:val="0"/>
                <w:color w:val="000000"/>
                <w:lang w:val="en-US" w:eastAsia="zh-CN"/>
              </w:rPr>
              <w:t>信号司索工</w:t>
            </w:r>
          </w:p>
        </w:tc>
        <w:tc>
          <w:tcPr>
            <w:tcW w:w="1221" w:type="dxa"/>
            <w:shd w:val="clear" w:color="auto" w:fill="auto"/>
            <w:noWrap w:val="0"/>
            <w:vAlign w:val="top"/>
          </w:tcPr>
          <w:p w14:paraId="5BBF7BB5">
            <w:pPr>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rPr>
              <w:t>张全超</w:t>
            </w:r>
          </w:p>
        </w:tc>
        <w:tc>
          <w:tcPr>
            <w:tcW w:w="6270" w:type="dxa"/>
            <w:tcBorders>
              <w:right w:val="single" w:color="auto" w:sz="12" w:space="0"/>
            </w:tcBorders>
            <w:shd w:val="clear" w:color="auto" w:fill="auto"/>
            <w:noWrap w:val="0"/>
            <w:vAlign w:val="center"/>
          </w:tcPr>
          <w:p w14:paraId="591A51F2">
            <w:pPr>
              <w:adjustRightInd w:val="0"/>
              <w:spacing w:line="240" w:lineRule="auto"/>
              <w:ind w:firstLine="0" w:firstLineChars="0"/>
              <w:jc w:val="center"/>
              <w:rPr>
                <w:rFonts w:hint="eastAsia" w:ascii="宋体" w:hAnsi="宋体" w:eastAsia="宋体" w:cs="宋体"/>
                <w:bCs/>
                <w:color w:val="auto"/>
                <w:kern w:val="2"/>
                <w:sz w:val="21"/>
                <w:szCs w:val="21"/>
                <w:lang w:val="en-US" w:eastAsia="zh-CN" w:bidi="ar-SA"/>
              </w:rPr>
            </w:pPr>
            <w:r>
              <w:rPr>
                <w:rStyle w:val="79"/>
                <w:rFonts w:cstheme="minorBidi"/>
                <w:b w:val="0"/>
                <w:color w:val="000000"/>
              </w:rPr>
              <w:t>负责吊具、索具的操作</w:t>
            </w:r>
            <w:r>
              <w:rPr>
                <w:rStyle w:val="79"/>
                <w:rFonts w:hint="eastAsia" w:cstheme="minorBidi"/>
                <w:b w:val="0"/>
                <w:color w:val="000000"/>
                <w:lang w:eastAsia="zh-CN"/>
              </w:rPr>
              <w:t>。</w:t>
            </w:r>
            <w:r>
              <w:rPr>
                <w:rFonts w:hint="eastAsia" w:ascii="宋体" w:hAnsi="宋体" w:eastAsia="宋体" w:cs="宋体"/>
                <w:bCs/>
                <w:color w:val="auto"/>
                <w:sz w:val="21"/>
                <w:szCs w:val="21"/>
              </w:rPr>
              <w:t>严守工作纪律，服从正确安排，正确使用劳保用品，防护齐全，严守工作岗位，严格遵循操作规程。</w:t>
            </w:r>
          </w:p>
        </w:tc>
      </w:tr>
      <w:tr w14:paraId="5D2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2A941E97">
            <w:pPr>
              <w:adjustRightInd w:val="0"/>
              <w:spacing w:line="240" w:lineRule="auto"/>
              <w:ind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电工</w:t>
            </w:r>
          </w:p>
        </w:tc>
        <w:tc>
          <w:tcPr>
            <w:tcW w:w="1221" w:type="dxa"/>
            <w:noWrap w:val="0"/>
            <w:vAlign w:val="top"/>
          </w:tcPr>
          <w:p w14:paraId="05458947">
            <w:pPr>
              <w:ind w:left="0" w:leftChars="0" w:firstLine="0" w:firstLineChars="0"/>
              <w:jc w:val="center"/>
              <w:rPr>
                <w:rFonts w:hint="eastAsia" w:ascii="宋体" w:hAnsi="宋体" w:eastAsia="宋体" w:cs="宋体"/>
                <w:bCs/>
                <w:color w:val="auto"/>
                <w:sz w:val="21"/>
                <w:szCs w:val="21"/>
                <w:lang w:eastAsia="zh-CN"/>
              </w:rPr>
            </w:pP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p>
        </w:tc>
        <w:tc>
          <w:tcPr>
            <w:tcW w:w="6270" w:type="dxa"/>
            <w:tcBorders>
              <w:right w:val="single" w:color="auto" w:sz="12" w:space="0"/>
            </w:tcBorders>
            <w:noWrap w:val="0"/>
            <w:vAlign w:val="center"/>
          </w:tcPr>
          <w:p w14:paraId="34CCB63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负责现场设备的电气安装、恢复、调试</w:t>
            </w:r>
          </w:p>
        </w:tc>
      </w:tr>
      <w:bookmarkEnd w:id="229"/>
      <w:bookmarkEnd w:id="230"/>
      <w:bookmarkEnd w:id="231"/>
    </w:tbl>
    <w:p w14:paraId="02E30AB9">
      <w:pPr>
        <w:pStyle w:val="72"/>
        <w:spacing w:before="156"/>
        <w:ind w:firstLine="422"/>
        <w:jc w:val="center"/>
        <w:rPr>
          <w:color w:val="auto"/>
        </w:rPr>
      </w:pPr>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3</w:t>
      </w:r>
      <w:r>
        <w:rPr>
          <w:rFonts w:hint="eastAsia" w:ascii="宋体" w:hAnsi="宋体" w:eastAsia="宋体" w:cs="黑体"/>
          <w:b/>
          <w:color w:val="auto"/>
          <w:sz w:val="21"/>
          <w:szCs w:val="21"/>
          <w:lang w:eastAsia="zh-CN"/>
        </w:rPr>
        <w:t>安装</w:t>
      </w:r>
      <w:r>
        <w:rPr>
          <w:rFonts w:ascii="宋体" w:hAnsi="宋体" w:eastAsia="宋体" w:cs="黑体"/>
          <w:b/>
          <w:color w:val="auto"/>
          <w:sz w:val="21"/>
          <w:szCs w:val="21"/>
        </w:rPr>
        <w:t>作业人员</w:t>
      </w:r>
    </w:p>
    <w:tbl>
      <w:tblPr>
        <w:tblStyle w:val="27"/>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990"/>
        <w:gridCol w:w="975"/>
        <w:gridCol w:w="1845"/>
        <w:gridCol w:w="2745"/>
        <w:gridCol w:w="2475"/>
      </w:tblGrid>
      <w:tr w14:paraId="411B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081FFDE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990" w:type="dxa"/>
          </w:tcPr>
          <w:p w14:paraId="02ED064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姓名</w:t>
            </w:r>
          </w:p>
        </w:tc>
        <w:tc>
          <w:tcPr>
            <w:tcW w:w="975" w:type="dxa"/>
          </w:tcPr>
          <w:p w14:paraId="545BA88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性别</w:t>
            </w:r>
          </w:p>
        </w:tc>
        <w:tc>
          <w:tcPr>
            <w:tcW w:w="1845" w:type="dxa"/>
          </w:tcPr>
          <w:p w14:paraId="7A34E3C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工种</w:t>
            </w:r>
          </w:p>
        </w:tc>
        <w:tc>
          <w:tcPr>
            <w:tcW w:w="2745" w:type="dxa"/>
          </w:tcPr>
          <w:p w14:paraId="50113E0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证件编号</w:t>
            </w:r>
          </w:p>
        </w:tc>
        <w:tc>
          <w:tcPr>
            <w:tcW w:w="2475" w:type="dxa"/>
          </w:tcPr>
          <w:p w14:paraId="3D229C4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身份证号</w:t>
            </w:r>
          </w:p>
        </w:tc>
      </w:tr>
      <w:tr w14:paraId="6671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1787CCA">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90" w:type="dxa"/>
            <w:vAlign w:val="center"/>
          </w:tcPr>
          <w:p w14:paraId="28317B57">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衣磊</w:t>
            </w:r>
          </w:p>
        </w:tc>
        <w:tc>
          <w:tcPr>
            <w:tcW w:w="975" w:type="dxa"/>
            <w:vAlign w:val="top"/>
          </w:tcPr>
          <w:p w14:paraId="3181431E">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男</w:t>
            </w:r>
          </w:p>
        </w:tc>
        <w:tc>
          <w:tcPr>
            <w:tcW w:w="1845" w:type="dxa"/>
            <w:vAlign w:val="top"/>
          </w:tcPr>
          <w:p w14:paraId="4C1D91C5">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项目负责人</w:t>
            </w:r>
          </w:p>
        </w:tc>
        <w:tc>
          <w:tcPr>
            <w:tcW w:w="2745" w:type="dxa"/>
            <w:vAlign w:val="center"/>
          </w:tcPr>
          <w:p w14:paraId="2A509EE3">
            <w:pPr>
              <w:keepNext w:val="0"/>
              <w:keepLines w:val="0"/>
              <w:pageBreakBefore w:val="0"/>
              <w:widowControl/>
              <w:kinsoku/>
              <w:wordWrap/>
              <w:overflowPunct/>
              <w:topLinePunct w:val="0"/>
              <w:autoSpaceDE/>
              <w:autoSpaceDN/>
              <w:bidi w:val="0"/>
              <w:adjustRightInd w:val="0"/>
              <w:snapToGrid w:val="0"/>
              <w:spacing w:beforeLines="0" w:after="0" w:afterLines="0"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233203001011120005</w:t>
            </w:r>
          </w:p>
        </w:tc>
        <w:tc>
          <w:tcPr>
            <w:tcW w:w="2475" w:type="dxa"/>
            <w:vAlign w:val="center"/>
          </w:tcPr>
          <w:p w14:paraId="4D349654">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412829198012175731</w:t>
            </w:r>
          </w:p>
        </w:tc>
      </w:tr>
      <w:tr w14:paraId="18AE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4AAB9DE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90" w:type="dxa"/>
            <w:vAlign w:val="center"/>
          </w:tcPr>
          <w:p w14:paraId="6B64B73E">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彭善忠</w:t>
            </w:r>
          </w:p>
        </w:tc>
        <w:tc>
          <w:tcPr>
            <w:tcW w:w="975" w:type="dxa"/>
            <w:vAlign w:val="top"/>
          </w:tcPr>
          <w:p w14:paraId="0758012E">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4840BB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技术负责人</w:t>
            </w:r>
          </w:p>
        </w:tc>
        <w:tc>
          <w:tcPr>
            <w:tcW w:w="2745" w:type="dxa"/>
            <w:vAlign w:val="center"/>
          </w:tcPr>
          <w:p w14:paraId="127B859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鲁</w:t>
            </w:r>
            <w:r>
              <w:rPr>
                <w:rFonts w:hint="eastAsia"/>
                <w:sz w:val="22"/>
                <w:szCs w:val="20"/>
              </w:rPr>
              <w:t>230001133100304</w:t>
            </w:r>
          </w:p>
        </w:tc>
        <w:tc>
          <w:tcPr>
            <w:tcW w:w="2475" w:type="dxa"/>
            <w:vAlign w:val="center"/>
          </w:tcPr>
          <w:p w14:paraId="27D3E383">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512223197508214798</w:t>
            </w:r>
          </w:p>
        </w:tc>
      </w:tr>
      <w:tr w14:paraId="4994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1F6D6B3">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990" w:type="dxa"/>
            <w:vAlign w:val="center"/>
          </w:tcPr>
          <w:p w14:paraId="436DC8B7">
            <w:pPr>
              <w:adjustRightInd w:val="0"/>
              <w:spacing w:line="240" w:lineRule="auto"/>
              <w:ind w:firstLine="0" w:firstLineChars="0"/>
              <w:jc w:val="center"/>
              <w:rPr>
                <w:rStyle w:val="79"/>
                <w:rFonts w:hint="eastAsia"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白美富</w:t>
            </w:r>
          </w:p>
        </w:tc>
        <w:tc>
          <w:tcPr>
            <w:tcW w:w="975" w:type="dxa"/>
            <w:vAlign w:val="top"/>
          </w:tcPr>
          <w:p w14:paraId="6DFA066D">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vAlign w:val="top"/>
          </w:tcPr>
          <w:p w14:paraId="10CFE43C">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安全员</w:t>
            </w:r>
          </w:p>
        </w:tc>
        <w:tc>
          <w:tcPr>
            <w:tcW w:w="2745" w:type="dxa"/>
            <w:vAlign w:val="center"/>
          </w:tcPr>
          <w:p w14:paraId="2679A4A7">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川建安C3(2023)0080797</w:t>
            </w:r>
          </w:p>
        </w:tc>
        <w:tc>
          <w:tcPr>
            <w:tcW w:w="2475" w:type="dxa"/>
            <w:vAlign w:val="center"/>
          </w:tcPr>
          <w:p w14:paraId="51C55A77">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510113198801248019</w:t>
            </w:r>
          </w:p>
        </w:tc>
      </w:tr>
      <w:tr w14:paraId="7D56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EAE9772">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990" w:type="dxa"/>
            <w:vAlign w:val="center"/>
          </w:tcPr>
          <w:p w14:paraId="3B35B821">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明兴富</w:t>
            </w:r>
          </w:p>
        </w:tc>
        <w:tc>
          <w:tcPr>
            <w:tcW w:w="975" w:type="dxa"/>
            <w:vAlign w:val="top"/>
          </w:tcPr>
          <w:p w14:paraId="1FFBE95F">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69270A7">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塔机司机</w:t>
            </w:r>
          </w:p>
        </w:tc>
        <w:tc>
          <w:tcPr>
            <w:tcW w:w="2745" w:type="dxa"/>
            <w:vAlign w:val="center"/>
          </w:tcPr>
          <w:p w14:paraId="3A24E5DD">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 xml:space="preserve">川 </w:t>
            </w:r>
            <w:r>
              <w:rPr>
                <w:rFonts w:hint="eastAsia"/>
                <w:sz w:val="22"/>
                <w:szCs w:val="20"/>
              </w:rPr>
              <w:t>A</w:t>
            </w:r>
            <w:r>
              <w:rPr>
                <w:rFonts w:hint="eastAsia"/>
                <w:sz w:val="22"/>
                <w:szCs w:val="20"/>
                <w:lang w:val="en-US" w:eastAsia="zh-CN"/>
              </w:rPr>
              <w:t xml:space="preserve"> </w:t>
            </w:r>
            <w:r>
              <w:rPr>
                <w:rFonts w:hint="eastAsia"/>
                <w:sz w:val="22"/>
                <w:szCs w:val="20"/>
              </w:rPr>
              <w:t>O12023012238</w:t>
            </w:r>
          </w:p>
        </w:tc>
        <w:tc>
          <w:tcPr>
            <w:tcW w:w="2475" w:type="dxa"/>
            <w:vAlign w:val="center"/>
          </w:tcPr>
          <w:p w14:paraId="725BCB6D">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510322197807274712</w:t>
            </w:r>
          </w:p>
        </w:tc>
      </w:tr>
      <w:tr w14:paraId="3A70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5DD2EA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90" w:type="dxa"/>
            <w:vAlign w:val="center"/>
          </w:tcPr>
          <w:p w14:paraId="7A7E7222">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黄科</w:t>
            </w:r>
          </w:p>
        </w:tc>
        <w:tc>
          <w:tcPr>
            <w:tcW w:w="975" w:type="dxa"/>
            <w:vAlign w:val="top"/>
          </w:tcPr>
          <w:p w14:paraId="7C218D9C">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13107524">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0FBB3F0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A</w:t>
            </w:r>
            <w:r>
              <w:rPr>
                <w:rFonts w:hint="eastAsia"/>
                <w:sz w:val="22"/>
                <w:szCs w:val="20"/>
                <w:lang w:val="en-US" w:eastAsia="zh-CN"/>
              </w:rPr>
              <w:t xml:space="preserve"> </w:t>
            </w:r>
            <w:r>
              <w:rPr>
                <w:rFonts w:hint="eastAsia"/>
                <w:sz w:val="22"/>
                <w:szCs w:val="20"/>
              </w:rPr>
              <w:t>082023006932</w:t>
            </w:r>
          </w:p>
        </w:tc>
        <w:tc>
          <w:tcPr>
            <w:tcW w:w="2475" w:type="dxa"/>
            <w:vAlign w:val="center"/>
          </w:tcPr>
          <w:p w14:paraId="18130CC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510113198609247470</w:t>
            </w:r>
          </w:p>
        </w:tc>
      </w:tr>
      <w:tr w14:paraId="2F34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49251B2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990" w:type="dxa"/>
            <w:vAlign w:val="center"/>
          </w:tcPr>
          <w:p w14:paraId="22137508">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陈刚</w:t>
            </w:r>
          </w:p>
        </w:tc>
        <w:tc>
          <w:tcPr>
            <w:tcW w:w="975" w:type="dxa"/>
            <w:vAlign w:val="top"/>
          </w:tcPr>
          <w:p w14:paraId="0B06D87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4FE4A625">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143FE191">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A</w:t>
            </w:r>
            <w:r>
              <w:rPr>
                <w:rFonts w:hint="eastAsia"/>
                <w:sz w:val="22"/>
                <w:szCs w:val="20"/>
                <w:lang w:val="en-US" w:eastAsia="zh-CN"/>
              </w:rPr>
              <w:t xml:space="preserve"> </w:t>
            </w:r>
            <w:r>
              <w:rPr>
                <w:rFonts w:hint="eastAsia"/>
                <w:sz w:val="22"/>
                <w:szCs w:val="20"/>
              </w:rPr>
              <w:t>O82023006907</w:t>
            </w:r>
          </w:p>
        </w:tc>
        <w:tc>
          <w:tcPr>
            <w:tcW w:w="2475" w:type="dxa"/>
            <w:vAlign w:val="center"/>
          </w:tcPr>
          <w:p w14:paraId="29C63082">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510922198601193519</w:t>
            </w:r>
          </w:p>
        </w:tc>
      </w:tr>
      <w:tr w14:paraId="2596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166CBC6B">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990" w:type="dxa"/>
            <w:vAlign w:val="center"/>
          </w:tcPr>
          <w:p w14:paraId="1DDBC3E1">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徐刚</w:t>
            </w:r>
          </w:p>
        </w:tc>
        <w:tc>
          <w:tcPr>
            <w:tcW w:w="975" w:type="dxa"/>
            <w:vAlign w:val="top"/>
          </w:tcPr>
          <w:p w14:paraId="58FA1490">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428DED8A">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2B3E8EFD">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A</w:t>
            </w:r>
            <w:r>
              <w:rPr>
                <w:rFonts w:hint="eastAsia"/>
                <w:sz w:val="22"/>
                <w:szCs w:val="20"/>
                <w:lang w:val="en-US" w:eastAsia="zh-CN"/>
              </w:rPr>
              <w:t xml:space="preserve"> </w:t>
            </w:r>
            <w:r>
              <w:rPr>
                <w:rFonts w:hint="eastAsia"/>
                <w:sz w:val="22"/>
                <w:szCs w:val="20"/>
              </w:rPr>
              <w:t>O82023007219</w:t>
            </w:r>
          </w:p>
        </w:tc>
        <w:tc>
          <w:tcPr>
            <w:tcW w:w="2475" w:type="dxa"/>
            <w:vAlign w:val="center"/>
          </w:tcPr>
          <w:p w14:paraId="533E2274">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500226198809275711</w:t>
            </w:r>
          </w:p>
        </w:tc>
      </w:tr>
      <w:tr w14:paraId="6E64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1632ED0F">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990" w:type="dxa"/>
            <w:vAlign w:val="center"/>
          </w:tcPr>
          <w:p w14:paraId="57E75462">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黄仁训</w:t>
            </w:r>
          </w:p>
        </w:tc>
        <w:tc>
          <w:tcPr>
            <w:tcW w:w="975" w:type="dxa"/>
            <w:vAlign w:val="top"/>
          </w:tcPr>
          <w:p w14:paraId="7364358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2F62DC71">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4FAC284B">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K</w:t>
            </w:r>
            <w:r>
              <w:rPr>
                <w:rFonts w:hint="eastAsia"/>
                <w:sz w:val="22"/>
                <w:szCs w:val="20"/>
                <w:lang w:val="en-US" w:eastAsia="zh-CN"/>
              </w:rPr>
              <w:t xml:space="preserve"> </w:t>
            </w:r>
            <w:r>
              <w:rPr>
                <w:rFonts w:hint="eastAsia"/>
                <w:sz w:val="22"/>
                <w:szCs w:val="20"/>
              </w:rPr>
              <w:t>082019700001</w:t>
            </w:r>
          </w:p>
        </w:tc>
        <w:tc>
          <w:tcPr>
            <w:tcW w:w="2475" w:type="dxa"/>
            <w:vAlign w:val="center"/>
          </w:tcPr>
          <w:p w14:paraId="6B5D2DCE">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510113198608137413</w:t>
            </w:r>
          </w:p>
        </w:tc>
      </w:tr>
      <w:tr w14:paraId="0E60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26D7277C">
            <w:pPr>
              <w:ind w:left="0" w:leftChars="0" w:firstLine="0" w:firstLine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9</w:t>
            </w:r>
          </w:p>
        </w:tc>
        <w:tc>
          <w:tcPr>
            <w:tcW w:w="990" w:type="dxa"/>
            <w:vAlign w:val="center"/>
          </w:tcPr>
          <w:p w14:paraId="1F217D1B">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彭兴华</w:t>
            </w:r>
          </w:p>
        </w:tc>
        <w:tc>
          <w:tcPr>
            <w:tcW w:w="975" w:type="dxa"/>
            <w:vAlign w:val="top"/>
          </w:tcPr>
          <w:p w14:paraId="5EF0FF4F">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vAlign w:val="top"/>
          </w:tcPr>
          <w:p w14:paraId="3249914B">
            <w:pPr>
              <w:ind w:left="0" w:leftChars="0" w:firstLine="0" w:firstLineChars="0"/>
              <w:jc w:val="center"/>
              <w:rPr>
                <w:rFonts w:hint="default" w:ascii="Times New Roman" w:hAnsi="Times New Roman" w:cs="Times New Roman"/>
                <w:color w:val="auto"/>
                <w:sz w:val="21"/>
                <w:szCs w:val="21"/>
                <w:lang w:val="en-US" w:eastAsia="zh-CN"/>
              </w:rPr>
            </w:pPr>
            <w:r>
              <w:rPr>
                <w:rStyle w:val="79"/>
                <w:rFonts w:hint="eastAsia" w:cstheme="minorBidi"/>
                <w:b w:val="0"/>
                <w:color w:val="000000"/>
                <w:lang w:val="en-US" w:eastAsia="zh-CN"/>
              </w:rPr>
              <w:t>信号司索工</w:t>
            </w:r>
          </w:p>
        </w:tc>
        <w:tc>
          <w:tcPr>
            <w:tcW w:w="2745" w:type="dxa"/>
            <w:vAlign w:val="center"/>
          </w:tcPr>
          <w:p w14:paraId="50ED151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M 052019700224</w:t>
            </w:r>
          </w:p>
        </w:tc>
        <w:tc>
          <w:tcPr>
            <w:tcW w:w="2475" w:type="dxa"/>
            <w:vAlign w:val="center"/>
          </w:tcPr>
          <w:p w14:paraId="5EFA92F0">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eastAsia"/>
                <w:sz w:val="22"/>
                <w:szCs w:val="20"/>
              </w:rPr>
            </w:pPr>
            <w:r>
              <w:rPr>
                <w:rFonts w:hint="eastAsia"/>
                <w:sz w:val="22"/>
                <w:szCs w:val="20"/>
              </w:rPr>
              <w:t>510923198703045214</w:t>
            </w:r>
          </w:p>
        </w:tc>
      </w:tr>
      <w:tr w14:paraId="45EF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645A8FC9">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c>
          <w:tcPr>
            <w:tcW w:w="990" w:type="dxa"/>
            <w:vAlign w:val="center"/>
          </w:tcPr>
          <w:p w14:paraId="14A775C6">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张全超</w:t>
            </w:r>
          </w:p>
        </w:tc>
        <w:tc>
          <w:tcPr>
            <w:tcW w:w="975" w:type="dxa"/>
            <w:vAlign w:val="top"/>
          </w:tcPr>
          <w:p w14:paraId="7FF3BD65">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9E2AEC0">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电工</w:t>
            </w:r>
          </w:p>
        </w:tc>
        <w:tc>
          <w:tcPr>
            <w:tcW w:w="2745" w:type="dxa"/>
            <w:vAlign w:val="center"/>
          </w:tcPr>
          <w:p w14:paraId="2D578858">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 A 042023006936</w:t>
            </w:r>
          </w:p>
        </w:tc>
        <w:tc>
          <w:tcPr>
            <w:tcW w:w="2475" w:type="dxa"/>
            <w:vAlign w:val="center"/>
          </w:tcPr>
          <w:p w14:paraId="418BAD1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510112197804090711</w:t>
            </w:r>
          </w:p>
        </w:tc>
      </w:tr>
    </w:tbl>
    <w:p w14:paraId="2F2F8DC7">
      <w:pPr>
        <w:pStyle w:val="11"/>
        <w:rPr>
          <w:color w:val="auto"/>
        </w:rPr>
        <w:sectPr>
          <w:pgSz w:w="11906" w:h="16838"/>
          <w:pgMar w:top="1440" w:right="1800" w:bottom="1440" w:left="1800" w:header="851" w:footer="992" w:gutter="0"/>
          <w:pgNumType w:fmt="decimal"/>
          <w:cols w:space="425" w:num="1"/>
          <w:docGrid w:type="lines" w:linePitch="312" w:charSpace="0"/>
        </w:sectPr>
      </w:pPr>
    </w:p>
    <w:p w14:paraId="2C494392">
      <w:pPr>
        <w:pStyle w:val="2"/>
        <w:spacing w:before="156" w:after="156"/>
        <w:rPr>
          <w:color w:val="auto"/>
        </w:rPr>
      </w:pPr>
      <w:bookmarkStart w:id="232" w:name="_Toc5288"/>
      <w:bookmarkStart w:id="233" w:name="_Toc6639"/>
      <w:bookmarkStart w:id="234" w:name="_Toc40778448"/>
      <w:bookmarkStart w:id="235" w:name="_Toc28613973"/>
      <w:bookmarkStart w:id="236" w:name="_Toc20939"/>
      <w:r>
        <w:rPr>
          <w:rFonts w:hint="eastAsia"/>
          <w:color w:val="auto"/>
        </w:rPr>
        <w:t>验收要求</w:t>
      </w:r>
      <w:bookmarkEnd w:id="232"/>
      <w:bookmarkEnd w:id="233"/>
      <w:bookmarkEnd w:id="234"/>
      <w:bookmarkEnd w:id="235"/>
      <w:bookmarkEnd w:id="236"/>
    </w:p>
    <w:p w14:paraId="2DB4826B">
      <w:pPr>
        <w:pStyle w:val="2"/>
        <w:numPr>
          <w:ilvl w:val="0"/>
          <w:numId w:val="0"/>
        </w:numPr>
        <w:spacing w:before="120" w:after="120"/>
        <w:ind w:leftChars="0"/>
        <w:jc w:val="left"/>
        <w:rPr>
          <w:color w:val="auto"/>
          <w:szCs w:val="24"/>
        </w:rPr>
      </w:pPr>
      <w:bookmarkStart w:id="237" w:name="_Toc109137384"/>
      <w:bookmarkStart w:id="238" w:name="_Toc3400"/>
      <w:bookmarkStart w:id="239" w:name="_Toc29137"/>
      <w:bookmarkStart w:id="240" w:name="_Toc25769"/>
      <w:bookmarkStart w:id="241" w:name="_Toc40778457"/>
      <w:bookmarkStart w:id="242" w:name="_Toc365"/>
      <w:bookmarkStart w:id="243" w:name="_Toc4255"/>
      <w:r>
        <w:rPr>
          <w:rFonts w:hint="eastAsia"/>
          <w:color w:val="auto"/>
          <w:szCs w:val="24"/>
          <w:lang w:val="en-US" w:eastAsia="zh-CN"/>
        </w:rPr>
        <w:t xml:space="preserve">8.1 </w:t>
      </w:r>
      <w:r>
        <w:rPr>
          <w:rFonts w:hint="eastAsia"/>
          <w:color w:val="auto"/>
          <w:szCs w:val="24"/>
        </w:rPr>
        <w:t>验收要求</w:t>
      </w:r>
      <w:bookmarkEnd w:id="237"/>
      <w:bookmarkEnd w:id="238"/>
    </w:p>
    <w:p w14:paraId="29FF9D7B">
      <w:pPr>
        <w:ind w:firstLine="480"/>
        <w:rPr>
          <w:rFonts w:hint="eastAsia" w:ascii="Times New Roman" w:hAnsi="Times New Roman"/>
          <w:color w:val="auto"/>
          <w:szCs w:val="24"/>
        </w:rPr>
      </w:pPr>
      <w:r>
        <w:rPr>
          <w:rFonts w:hint="eastAsia" w:ascii="Times New Roman" w:hAnsi="Times New Roman"/>
          <w:color w:val="auto"/>
          <w:szCs w:val="24"/>
        </w:rPr>
        <w:t>本处验收特指安全专项施工方案的工程验收，亦称联合验收或多方验收。</w:t>
      </w:r>
    </w:p>
    <w:p w14:paraId="55034B6B">
      <w:pPr>
        <w:ind w:firstLine="480"/>
        <w:rPr>
          <w:rFonts w:hint="eastAsia" w:ascii="Times New Roman" w:hAnsi="Times New Roman"/>
          <w:color w:val="auto"/>
          <w:szCs w:val="24"/>
        </w:rPr>
      </w:pPr>
      <w:r>
        <w:rPr>
          <w:rFonts w:hint="eastAsia" w:ascii="Times New Roman" w:hAnsi="Times New Roman"/>
          <w:color w:val="auto"/>
          <w:szCs w:val="24"/>
        </w:rPr>
        <w:t>起重设备安装施工完毕，应经空负荷、动负荷试运行和静负荷试验合格后，办理相关手续；空负荷、静负荷试验和动负荷试运行宜连续地进行；起重机安装工程验收时，应具备下列资料：</w:t>
      </w:r>
    </w:p>
    <w:p w14:paraId="79B09F2B">
      <w:pPr>
        <w:ind w:firstLine="480"/>
        <w:rPr>
          <w:rFonts w:hint="eastAsia" w:ascii="Times New Roman" w:hAnsi="Times New Roman"/>
          <w:color w:val="auto"/>
          <w:szCs w:val="24"/>
        </w:rPr>
      </w:pPr>
      <w:bookmarkStart w:id="244" w:name="_Toc6784"/>
      <w:bookmarkStart w:id="245" w:name="_Toc19475"/>
      <w:r>
        <w:rPr>
          <w:rFonts w:hint="eastAsia" w:ascii="Times New Roman" w:hAnsi="Times New Roman"/>
          <w:color w:val="auto"/>
          <w:szCs w:val="24"/>
        </w:rPr>
        <w:t>（1）设计变更和修改等有关资料</w:t>
      </w:r>
      <w:bookmarkEnd w:id="244"/>
      <w:bookmarkEnd w:id="245"/>
    </w:p>
    <w:p w14:paraId="6ABBE19B">
      <w:pPr>
        <w:ind w:firstLine="480"/>
        <w:rPr>
          <w:rFonts w:hint="eastAsia" w:ascii="Times New Roman" w:hAnsi="Times New Roman"/>
          <w:color w:val="auto"/>
          <w:szCs w:val="24"/>
        </w:rPr>
      </w:pPr>
      <w:bookmarkStart w:id="246" w:name="_Toc7517"/>
      <w:bookmarkStart w:id="247" w:name="_Toc25778"/>
      <w:r>
        <w:rPr>
          <w:rFonts w:hint="eastAsia" w:ascii="Times New Roman" w:hAnsi="Times New Roman"/>
          <w:color w:val="auto"/>
          <w:szCs w:val="24"/>
        </w:rPr>
        <w:t>（2）重要部件的焊接、高强螺栓连接的检验记录</w:t>
      </w:r>
      <w:bookmarkEnd w:id="246"/>
      <w:bookmarkEnd w:id="247"/>
    </w:p>
    <w:p w14:paraId="4696210D">
      <w:pPr>
        <w:ind w:firstLine="480"/>
        <w:rPr>
          <w:rFonts w:hint="eastAsia" w:ascii="Times New Roman" w:hAnsi="Times New Roman"/>
          <w:color w:val="auto"/>
          <w:szCs w:val="24"/>
        </w:rPr>
      </w:pPr>
      <w:bookmarkStart w:id="248" w:name="_Toc30560"/>
      <w:bookmarkStart w:id="249" w:name="_Toc2600"/>
      <w:r>
        <w:rPr>
          <w:rFonts w:hint="eastAsia" w:ascii="Times New Roman" w:hAnsi="Times New Roman"/>
          <w:color w:val="auto"/>
          <w:szCs w:val="24"/>
        </w:rPr>
        <w:t>（3）起重机有关的几何尺寸复查和安装检查记录</w:t>
      </w:r>
      <w:bookmarkEnd w:id="248"/>
      <w:bookmarkEnd w:id="249"/>
    </w:p>
    <w:p w14:paraId="6FCA37F0">
      <w:pPr>
        <w:ind w:firstLine="480"/>
        <w:rPr>
          <w:rFonts w:hint="eastAsia" w:ascii="Times New Roman" w:hAnsi="Times New Roman"/>
          <w:color w:val="auto"/>
          <w:szCs w:val="24"/>
        </w:rPr>
      </w:pPr>
      <w:bookmarkStart w:id="250" w:name="_Toc26252"/>
      <w:bookmarkStart w:id="251" w:name="_Toc20263"/>
      <w:r>
        <w:rPr>
          <w:rFonts w:hint="eastAsia" w:ascii="Times New Roman" w:hAnsi="Times New Roman"/>
          <w:color w:val="auto"/>
          <w:szCs w:val="24"/>
        </w:rPr>
        <w:t>（4）</w:t>
      </w:r>
      <w:bookmarkEnd w:id="250"/>
      <w:bookmarkStart w:id="252" w:name="_Toc8262"/>
      <w:r>
        <w:rPr>
          <w:rFonts w:hint="eastAsia" w:ascii="Times New Roman" w:hAnsi="Times New Roman"/>
          <w:color w:val="auto"/>
          <w:szCs w:val="24"/>
        </w:rPr>
        <w:t>起重机试运转和试验记录</w:t>
      </w:r>
      <w:bookmarkEnd w:id="251"/>
      <w:bookmarkEnd w:id="252"/>
    </w:p>
    <w:p w14:paraId="759C6697">
      <w:pPr>
        <w:ind w:firstLine="480"/>
        <w:rPr>
          <w:rFonts w:hint="eastAsia" w:ascii="Times New Roman" w:hAnsi="Times New Roman"/>
          <w:color w:val="auto"/>
          <w:szCs w:val="24"/>
        </w:rPr>
      </w:pPr>
      <w:bookmarkStart w:id="253" w:name="_Toc8412"/>
      <w:bookmarkStart w:id="254" w:name="_Toc26640"/>
      <w:r>
        <w:rPr>
          <w:rFonts w:hint="eastAsia" w:ascii="Times New Roman" w:hAnsi="Times New Roman"/>
          <w:color w:val="auto"/>
          <w:szCs w:val="24"/>
        </w:rPr>
        <w:t>（5）工程质量评定资料</w:t>
      </w:r>
      <w:bookmarkEnd w:id="253"/>
      <w:bookmarkEnd w:id="254"/>
    </w:p>
    <w:p w14:paraId="3818B75D">
      <w:pPr>
        <w:pStyle w:val="3"/>
        <w:numPr>
          <w:ilvl w:val="1"/>
          <w:numId w:val="0"/>
        </w:numPr>
        <w:tabs>
          <w:tab w:val="left" w:pos="0"/>
        </w:tabs>
        <w:ind w:left="480" w:leftChars="0"/>
        <w:rPr>
          <w:color w:val="auto"/>
        </w:rPr>
      </w:pPr>
      <w:bookmarkStart w:id="255" w:name="_Toc109137385"/>
      <w:bookmarkStart w:id="256" w:name="_Toc10409829"/>
      <w:bookmarkStart w:id="257" w:name="_Toc5801"/>
      <w:r>
        <w:rPr>
          <w:rFonts w:hint="eastAsia"/>
          <w:color w:val="auto"/>
          <w:szCs w:val="24"/>
          <w:lang w:val="en-US" w:eastAsia="zh-CN"/>
        </w:rPr>
        <w:t xml:space="preserve">8.2 </w:t>
      </w:r>
      <w:r>
        <w:rPr>
          <w:rFonts w:hint="eastAsia"/>
          <w:color w:val="auto"/>
          <w:szCs w:val="24"/>
        </w:rPr>
        <w:t>塔机安全检查</w:t>
      </w:r>
      <w:bookmarkEnd w:id="255"/>
      <w:bookmarkEnd w:id="256"/>
      <w:bookmarkEnd w:id="257"/>
    </w:p>
    <w:p w14:paraId="57F5B5EE">
      <w:pPr>
        <w:ind w:firstLine="480"/>
        <w:rPr>
          <w:rFonts w:hint="eastAsia" w:ascii="Times New Roman" w:hAnsi="Times New Roman"/>
          <w:color w:val="auto"/>
          <w:szCs w:val="24"/>
        </w:rPr>
      </w:pPr>
      <w:r>
        <w:rPr>
          <w:rFonts w:hint="eastAsia" w:ascii="Times New Roman" w:hAnsi="Times New Roman"/>
          <w:color w:val="auto"/>
          <w:szCs w:val="24"/>
        </w:rPr>
        <w:t>安全检查分的主要检查方法为：看施工现场的环境和作业条件，看操作人员的时间操作，看设备的安全防护装置是否齐全有效，看设备的各机构是否运转正常。</w:t>
      </w:r>
    </w:p>
    <w:p w14:paraId="1EE57870">
      <w:pPr>
        <w:ind w:firstLine="480"/>
        <w:rPr>
          <w:rFonts w:hint="eastAsia" w:ascii="Times New Roman" w:hAnsi="Times New Roman"/>
          <w:color w:val="auto"/>
          <w:szCs w:val="24"/>
        </w:rPr>
      </w:pPr>
      <w:r>
        <w:rPr>
          <w:rFonts w:hint="eastAsia" w:ascii="Times New Roman" w:hAnsi="Times New Roman"/>
          <w:color w:val="auto"/>
          <w:szCs w:val="24"/>
        </w:rPr>
        <w:t>对其主体结构、电气系统、安全防护设施等内容的检查。检查小组内技术人员主要负责结构安全检查，安全员负责安全防护设施及安全隐患的检查，专职电工主要负责电气系统的检查，机械工程师主要负责各机构的检查。</w:t>
      </w:r>
    </w:p>
    <w:p w14:paraId="66183FCD">
      <w:pPr>
        <w:ind w:firstLine="480"/>
        <w:rPr>
          <w:rFonts w:hint="eastAsia" w:ascii="Times New Roman" w:hAnsi="Times New Roman"/>
          <w:color w:val="auto"/>
          <w:szCs w:val="24"/>
        </w:rPr>
      </w:pPr>
      <w:r>
        <w:rPr>
          <w:rFonts w:hint="eastAsia" w:ascii="Times New Roman" w:hAnsi="Times New Roman"/>
          <w:color w:val="auto"/>
          <w:szCs w:val="24"/>
        </w:rPr>
        <w:t>（1）查意识：检查现场设备班组长、操作人员对安全生产是否足够重视，检查施工人员是否具有足够的安全意识。</w:t>
      </w:r>
    </w:p>
    <w:p w14:paraId="797DE9BF">
      <w:pPr>
        <w:ind w:firstLine="480"/>
        <w:rPr>
          <w:rFonts w:hint="eastAsia" w:ascii="Times New Roman" w:hAnsi="Times New Roman"/>
          <w:color w:val="auto"/>
          <w:szCs w:val="24"/>
        </w:rPr>
      </w:pPr>
      <w:r>
        <w:rPr>
          <w:rFonts w:hint="eastAsia" w:ascii="Times New Roman" w:hAnsi="Times New Roman"/>
          <w:color w:val="auto"/>
          <w:szCs w:val="24"/>
        </w:rPr>
        <w:t>（2）查制度落实：查安全生产制度的执行情况，并根据奖惩办法实施奖惩。</w:t>
      </w:r>
    </w:p>
    <w:p w14:paraId="050EA9D5">
      <w:pPr>
        <w:ind w:firstLine="480"/>
        <w:rPr>
          <w:rFonts w:hint="eastAsia" w:ascii="Times New Roman" w:hAnsi="Times New Roman"/>
          <w:color w:val="auto"/>
          <w:szCs w:val="24"/>
        </w:rPr>
      </w:pPr>
      <w:r>
        <w:rPr>
          <w:rFonts w:hint="eastAsia" w:ascii="Times New Roman" w:hAnsi="Times New Roman"/>
          <w:color w:val="auto"/>
          <w:szCs w:val="24"/>
        </w:rPr>
        <w:t>（3）查隐患：深入施工现场，检查作业条件、设备状况等是否符合规范要求，是否存在安全隐患。</w:t>
      </w:r>
    </w:p>
    <w:p w14:paraId="18DFDC7C">
      <w:pPr>
        <w:ind w:firstLine="480"/>
        <w:rPr>
          <w:rFonts w:hint="eastAsia" w:ascii="Times New Roman" w:hAnsi="Times New Roman"/>
          <w:color w:val="auto"/>
          <w:szCs w:val="24"/>
        </w:rPr>
      </w:pPr>
      <w:r>
        <w:rPr>
          <w:rFonts w:hint="eastAsia" w:ascii="Times New Roman" w:hAnsi="Times New Roman"/>
          <w:color w:val="auto"/>
          <w:szCs w:val="24"/>
        </w:rPr>
        <w:t>（4）查整改落实：检查在各个部位、各个环节出现的隐患，是否严格按照整改要求及时整改。</w:t>
      </w:r>
    </w:p>
    <w:p w14:paraId="67D85E20">
      <w:pPr>
        <w:pStyle w:val="54"/>
        <w:ind w:left="420" w:firstLine="0" w:firstLineChars="0"/>
        <w:jc w:val="center"/>
        <w:rPr>
          <w:rFonts w:hint="eastAsia" w:ascii="宋体" w:hAnsi="宋体" w:cs="宋体"/>
          <w:b/>
          <w:color w:val="auto"/>
          <w:sz w:val="21"/>
          <w:szCs w:val="21"/>
        </w:rPr>
      </w:pPr>
    </w:p>
    <w:p w14:paraId="2EFE643B">
      <w:pPr>
        <w:pStyle w:val="54"/>
        <w:ind w:left="420" w:firstLine="0" w:firstLineChars="0"/>
        <w:jc w:val="center"/>
        <w:rPr>
          <w:rFonts w:hint="eastAsia" w:ascii="宋体" w:hAnsi="宋体" w:cs="宋体"/>
          <w:b/>
          <w:color w:val="auto"/>
          <w:sz w:val="21"/>
          <w:szCs w:val="21"/>
        </w:rPr>
      </w:pPr>
    </w:p>
    <w:p w14:paraId="51F4D8EA">
      <w:pPr>
        <w:pStyle w:val="54"/>
        <w:ind w:left="420" w:firstLine="0" w:firstLineChars="0"/>
        <w:jc w:val="center"/>
        <w:rPr>
          <w:rFonts w:hint="eastAsia" w:ascii="宋体" w:hAnsi="宋体" w:cs="宋体"/>
          <w:b/>
          <w:color w:val="auto"/>
          <w:sz w:val="21"/>
          <w:szCs w:val="21"/>
        </w:rPr>
      </w:pPr>
      <w:r>
        <w:rPr>
          <w:rFonts w:hint="eastAsia" w:ascii="宋体" w:hAnsi="宋体" w:cs="宋体"/>
          <w:b/>
          <w:color w:val="auto"/>
          <w:sz w:val="21"/>
          <w:szCs w:val="21"/>
        </w:rPr>
        <w:t>表</w:t>
      </w:r>
      <w:r>
        <w:rPr>
          <w:rFonts w:hint="eastAsia" w:ascii="宋体" w:hAnsi="宋体" w:cs="宋体"/>
          <w:b/>
          <w:color w:val="auto"/>
          <w:sz w:val="21"/>
          <w:szCs w:val="21"/>
          <w:lang w:val="en-US" w:eastAsia="zh-CN"/>
        </w:rPr>
        <w:t>8.2</w:t>
      </w:r>
      <w:r>
        <w:rPr>
          <w:rFonts w:hint="eastAsia" w:ascii="宋体" w:hAnsi="宋体" w:cs="宋体"/>
          <w:b/>
          <w:color w:val="auto"/>
          <w:sz w:val="21"/>
          <w:szCs w:val="21"/>
        </w:rPr>
        <w:t>-1 塔机安全检查表</w:t>
      </w:r>
    </w:p>
    <w:p w14:paraId="22566FB4">
      <w:pPr>
        <w:pStyle w:val="11"/>
        <w:spacing w:line="360" w:lineRule="auto"/>
        <w:rPr>
          <w:rFonts w:hint="eastAsia" w:ascii="仿宋" w:hAnsi="仿宋" w:eastAsia="仿宋" w:cs="仿宋"/>
          <w:bCs/>
          <w:color w:val="auto"/>
          <w:sz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5019"/>
        <w:gridCol w:w="1773"/>
        <w:gridCol w:w="1407"/>
      </w:tblGrid>
      <w:tr w14:paraId="2577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5829" w:type="dxa"/>
            <w:gridSpan w:val="2"/>
            <w:noWrap w:val="0"/>
            <w:vAlign w:val="center"/>
          </w:tcPr>
          <w:p w14:paraId="252FAD2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       查      内      容</w:t>
            </w:r>
          </w:p>
        </w:tc>
        <w:tc>
          <w:tcPr>
            <w:tcW w:w="1773" w:type="dxa"/>
            <w:noWrap w:val="0"/>
            <w:vAlign w:val="center"/>
          </w:tcPr>
          <w:p w14:paraId="3554A20B">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参照标准</w:t>
            </w:r>
          </w:p>
        </w:tc>
        <w:tc>
          <w:tcPr>
            <w:tcW w:w="1407" w:type="dxa"/>
            <w:noWrap w:val="0"/>
            <w:vAlign w:val="center"/>
          </w:tcPr>
          <w:p w14:paraId="439F752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检查结果</w:t>
            </w:r>
          </w:p>
        </w:tc>
      </w:tr>
      <w:tr w14:paraId="642B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restart"/>
            <w:noWrap w:val="0"/>
            <w:vAlign w:val="center"/>
          </w:tcPr>
          <w:p w14:paraId="29A6FF82">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（1）基</w:t>
            </w:r>
          </w:p>
          <w:p w14:paraId="6D6A9A2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础</w:t>
            </w:r>
          </w:p>
        </w:tc>
        <w:tc>
          <w:tcPr>
            <w:tcW w:w="5019" w:type="dxa"/>
            <w:noWrap w:val="0"/>
            <w:vAlign w:val="center"/>
          </w:tcPr>
          <w:p w14:paraId="1772A7E3">
            <w:pPr>
              <w:ind w:firstLine="0" w:firstLineChars="0"/>
              <w:rPr>
                <w:rFonts w:hint="eastAsia" w:ascii="宋体" w:hAnsi="宋体" w:cs="宋体"/>
                <w:bCs/>
                <w:color w:val="auto"/>
                <w:sz w:val="21"/>
                <w:szCs w:val="21"/>
              </w:rPr>
            </w:pPr>
            <w:r>
              <w:rPr>
                <w:rFonts w:hint="eastAsia" w:ascii="宋体" w:hAnsi="宋体" w:cs="宋体"/>
                <w:bCs/>
                <w:color w:val="auto"/>
                <w:sz w:val="21"/>
                <w:szCs w:val="21"/>
              </w:rPr>
              <w:t>1.稳定性；</w:t>
            </w:r>
          </w:p>
        </w:tc>
        <w:tc>
          <w:tcPr>
            <w:tcW w:w="1773" w:type="dxa"/>
            <w:vMerge w:val="restart"/>
            <w:noWrap w:val="0"/>
            <w:vAlign w:val="center"/>
          </w:tcPr>
          <w:p w14:paraId="3DC9E9BF">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J</w:t>
            </w:r>
            <w:r>
              <w:rPr>
                <w:rFonts w:hint="eastAsia" w:ascii="宋体" w:hAnsi="宋体" w:cs="宋体"/>
                <w:bCs/>
                <w:color w:val="auto"/>
                <w:sz w:val="21"/>
                <w:szCs w:val="21"/>
                <w:highlight w:val="none"/>
                <w:lang w:val="en-US" w:eastAsia="zh-CN"/>
              </w:rPr>
              <w:t>G</w:t>
            </w:r>
            <w:r>
              <w:rPr>
                <w:rFonts w:hint="eastAsia" w:ascii="宋体" w:hAnsi="宋体" w:cs="宋体"/>
                <w:bCs/>
                <w:color w:val="auto"/>
                <w:sz w:val="21"/>
                <w:szCs w:val="21"/>
                <w:highlight w:val="none"/>
              </w:rPr>
              <w:t>J/T</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187-20</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rPr>
              <w:t>9</w:t>
            </w:r>
          </w:p>
        </w:tc>
        <w:tc>
          <w:tcPr>
            <w:tcW w:w="1407" w:type="dxa"/>
            <w:noWrap w:val="0"/>
            <w:vAlign w:val="center"/>
          </w:tcPr>
          <w:p w14:paraId="6C13DC35">
            <w:pPr>
              <w:ind w:firstLine="0" w:firstLineChars="0"/>
              <w:rPr>
                <w:rFonts w:hint="eastAsia" w:ascii="宋体" w:hAnsi="宋体" w:cs="宋体"/>
                <w:bCs/>
                <w:color w:val="auto"/>
                <w:sz w:val="21"/>
                <w:szCs w:val="21"/>
              </w:rPr>
            </w:pPr>
          </w:p>
        </w:tc>
      </w:tr>
      <w:tr w14:paraId="5388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1C78531E">
            <w:pPr>
              <w:ind w:firstLine="0" w:firstLineChars="0"/>
              <w:jc w:val="center"/>
              <w:rPr>
                <w:rFonts w:hint="eastAsia" w:ascii="宋体" w:hAnsi="宋体" w:cs="宋体"/>
                <w:bCs/>
                <w:color w:val="auto"/>
                <w:sz w:val="21"/>
                <w:szCs w:val="21"/>
              </w:rPr>
            </w:pPr>
          </w:p>
        </w:tc>
        <w:tc>
          <w:tcPr>
            <w:tcW w:w="5019" w:type="dxa"/>
            <w:noWrap w:val="0"/>
            <w:vAlign w:val="center"/>
          </w:tcPr>
          <w:p w14:paraId="61AF7F02">
            <w:pPr>
              <w:ind w:firstLine="0" w:firstLineChars="0"/>
              <w:rPr>
                <w:rFonts w:hint="eastAsia" w:ascii="宋体" w:hAnsi="宋体" w:cs="宋体"/>
                <w:bCs/>
                <w:color w:val="auto"/>
                <w:sz w:val="21"/>
                <w:szCs w:val="21"/>
              </w:rPr>
            </w:pPr>
            <w:r>
              <w:rPr>
                <w:rFonts w:hint="eastAsia" w:ascii="宋体" w:hAnsi="宋体" w:cs="宋体"/>
                <w:bCs/>
                <w:color w:val="auto"/>
                <w:sz w:val="21"/>
                <w:szCs w:val="21"/>
              </w:rPr>
              <w:t>2.排水措施；</w:t>
            </w:r>
          </w:p>
        </w:tc>
        <w:tc>
          <w:tcPr>
            <w:tcW w:w="1773" w:type="dxa"/>
            <w:vMerge w:val="continue"/>
            <w:noWrap w:val="0"/>
            <w:vAlign w:val="center"/>
          </w:tcPr>
          <w:p w14:paraId="4C6D50A4">
            <w:pPr>
              <w:ind w:firstLine="0" w:firstLineChars="0"/>
              <w:rPr>
                <w:rFonts w:hint="eastAsia" w:ascii="宋体" w:hAnsi="宋体" w:cs="宋体"/>
                <w:bCs/>
                <w:color w:val="auto"/>
                <w:sz w:val="21"/>
                <w:szCs w:val="21"/>
              </w:rPr>
            </w:pPr>
          </w:p>
        </w:tc>
        <w:tc>
          <w:tcPr>
            <w:tcW w:w="1407" w:type="dxa"/>
            <w:noWrap w:val="0"/>
            <w:vAlign w:val="center"/>
          </w:tcPr>
          <w:p w14:paraId="11FF0952">
            <w:pPr>
              <w:ind w:firstLine="0" w:firstLineChars="0"/>
              <w:rPr>
                <w:rFonts w:hint="eastAsia" w:ascii="宋体" w:hAnsi="宋体" w:cs="宋体"/>
                <w:bCs/>
                <w:color w:val="auto"/>
                <w:sz w:val="21"/>
                <w:szCs w:val="21"/>
              </w:rPr>
            </w:pPr>
          </w:p>
        </w:tc>
      </w:tr>
      <w:tr w14:paraId="3DC5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7A9F6150">
            <w:pPr>
              <w:ind w:firstLine="0" w:firstLineChars="0"/>
              <w:jc w:val="center"/>
              <w:rPr>
                <w:rFonts w:hint="eastAsia" w:ascii="宋体" w:hAnsi="宋体" w:cs="宋体"/>
                <w:bCs/>
                <w:color w:val="auto"/>
                <w:sz w:val="21"/>
                <w:szCs w:val="21"/>
              </w:rPr>
            </w:pPr>
          </w:p>
        </w:tc>
        <w:tc>
          <w:tcPr>
            <w:tcW w:w="5019" w:type="dxa"/>
            <w:noWrap w:val="0"/>
            <w:vAlign w:val="center"/>
          </w:tcPr>
          <w:p w14:paraId="2048E4FC">
            <w:pPr>
              <w:ind w:firstLine="0" w:firstLineChars="0"/>
              <w:rPr>
                <w:rFonts w:hint="eastAsia" w:ascii="宋体" w:hAnsi="宋体" w:cs="宋体"/>
                <w:bCs/>
                <w:color w:val="auto"/>
                <w:sz w:val="21"/>
                <w:szCs w:val="21"/>
              </w:rPr>
            </w:pPr>
            <w:r>
              <w:rPr>
                <w:rFonts w:hint="eastAsia" w:ascii="宋体" w:hAnsi="宋体" w:cs="宋体"/>
                <w:bCs/>
                <w:color w:val="auto"/>
                <w:sz w:val="21"/>
                <w:szCs w:val="21"/>
              </w:rPr>
              <w:t>3.沉降量不大于50mm。</w:t>
            </w:r>
          </w:p>
        </w:tc>
        <w:tc>
          <w:tcPr>
            <w:tcW w:w="1773" w:type="dxa"/>
            <w:vMerge w:val="continue"/>
            <w:noWrap w:val="0"/>
            <w:vAlign w:val="center"/>
          </w:tcPr>
          <w:p w14:paraId="0867C445">
            <w:pPr>
              <w:ind w:firstLine="0" w:firstLineChars="0"/>
              <w:rPr>
                <w:rFonts w:hint="eastAsia" w:ascii="宋体" w:hAnsi="宋体" w:cs="宋体"/>
                <w:bCs/>
                <w:color w:val="auto"/>
                <w:sz w:val="21"/>
                <w:szCs w:val="21"/>
              </w:rPr>
            </w:pPr>
          </w:p>
        </w:tc>
        <w:tc>
          <w:tcPr>
            <w:tcW w:w="1407" w:type="dxa"/>
            <w:noWrap w:val="0"/>
            <w:vAlign w:val="center"/>
          </w:tcPr>
          <w:p w14:paraId="1CDCBF04">
            <w:pPr>
              <w:ind w:firstLine="0" w:firstLineChars="0"/>
              <w:rPr>
                <w:rFonts w:hint="eastAsia" w:ascii="宋体" w:hAnsi="宋体" w:cs="宋体"/>
                <w:bCs/>
                <w:color w:val="auto"/>
                <w:sz w:val="21"/>
                <w:szCs w:val="21"/>
              </w:rPr>
            </w:pPr>
          </w:p>
        </w:tc>
      </w:tr>
      <w:tr w14:paraId="04B5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810" w:type="dxa"/>
            <w:vMerge w:val="restart"/>
            <w:noWrap w:val="0"/>
            <w:vAlign w:val="center"/>
          </w:tcPr>
          <w:p w14:paraId="0921A6E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（2）塔</w:t>
            </w:r>
          </w:p>
          <w:p w14:paraId="4BA12C03">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身</w:t>
            </w:r>
          </w:p>
          <w:p w14:paraId="3A010D0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结</w:t>
            </w:r>
          </w:p>
          <w:p w14:paraId="64A69C1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构</w:t>
            </w:r>
          </w:p>
        </w:tc>
        <w:tc>
          <w:tcPr>
            <w:tcW w:w="5019" w:type="dxa"/>
            <w:noWrap w:val="0"/>
            <w:vAlign w:val="center"/>
          </w:tcPr>
          <w:p w14:paraId="1581C59B">
            <w:pPr>
              <w:ind w:firstLine="0" w:firstLineChars="0"/>
              <w:rPr>
                <w:rFonts w:hint="eastAsia" w:ascii="宋体" w:hAnsi="宋体" w:cs="宋体"/>
                <w:bCs/>
                <w:color w:val="auto"/>
                <w:sz w:val="21"/>
                <w:szCs w:val="21"/>
              </w:rPr>
            </w:pPr>
            <w:r>
              <w:rPr>
                <w:rFonts w:hint="eastAsia" w:ascii="宋体" w:hAnsi="宋体" w:cs="宋体"/>
                <w:bCs/>
                <w:color w:val="auto"/>
                <w:sz w:val="21"/>
                <w:szCs w:val="21"/>
              </w:rPr>
              <w:t>1.结构无变形、开焊、裂纹；</w:t>
            </w:r>
          </w:p>
        </w:tc>
        <w:tc>
          <w:tcPr>
            <w:tcW w:w="1773" w:type="dxa"/>
            <w:vMerge w:val="restart"/>
            <w:noWrap w:val="0"/>
            <w:vAlign w:val="center"/>
          </w:tcPr>
          <w:p w14:paraId="6E165DA1">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26765633">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58533AAC">
            <w:pPr>
              <w:ind w:firstLine="0" w:firstLineChars="0"/>
              <w:rPr>
                <w:rFonts w:hint="eastAsia" w:ascii="宋体" w:hAnsi="宋体" w:cs="宋体"/>
                <w:bCs/>
                <w:color w:val="auto"/>
                <w:sz w:val="21"/>
                <w:szCs w:val="21"/>
              </w:rPr>
            </w:pPr>
          </w:p>
        </w:tc>
      </w:tr>
      <w:tr w14:paraId="4EE2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7DE41D9A">
            <w:pPr>
              <w:ind w:firstLine="0" w:firstLineChars="0"/>
              <w:jc w:val="center"/>
              <w:rPr>
                <w:rFonts w:hint="eastAsia" w:ascii="宋体" w:hAnsi="宋体" w:cs="宋体"/>
                <w:bCs/>
                <w:color w:val="auto"/>
                <w:sz w:val="21"/>
                <w:szCs w:val="21"/>
              </w:rPr>
            </w:pPr>
          </w:p>
        </w:tc>
        <w:tc>
          <w:tcPr>
            <w:tcW w:w="5019" w:type="dxa"/>
            <w:noWrap w:val="0"/>
            <w:vAlign w:val="center"/>
          </w:tcPr>
          <w:p w14:paraId="5B5297DF">
            <w:pPr>
              <w:ind w:firstLine="0" w:firstLineChars="0"/>
              <w:rPr>
                <w:rFonts w:hint="eastAsia" w:ascii="宋体" w:hAnsi="宋体" w:cs="宋体"/>
                <w:bCs/>
                <w:color w:val="auto"/>
                <w:sz w:val="21"/>
                <w:szCs w:val="21"/>
              </w:rPr>
            </w:pPr>
            <w:r>
              <w:rPr>
                <w:rFonts w:hint="eastAsia" w:ascii="宋体" w:hAnsi="宋体" w:cs="宋体"/>
                <w:bCs/>
                <w:color w:val="auto"/>
                <w:sz w:val="21"/>
                <w:szCs w:val="21"/>
              </w:rPr>
              <w:t>2.螺帽、销轴、高强度螺栓等零部件配置齐全、无松动、缺损、无严重锈蚀；</w:t>
            </w:r>
          </w:p>
        </w:tc>
        <w:tc>
          <w:tcPr>
            <w:tcW w:w="1773" w:type="dxa"/>
            <w:vMerge w:val="continue"/>
            <w:noWrap w:val="0"/>
            <w:vAlign w:val="center"/>
          </w:tcPr>
          <w:p w14:paraId="2C353026">
            <w:pPr>
              <w:ind w:firstLine="0" w:firstLineChars="0"/>
              <w:rPr>
                <w:rFonts w:hint="eastAsia" w:ascii="宋体" w:hAnsi="宋体" w:cs="宋体"/>
                <w:bCs/>
                <w:color w:val="auto"/>
                <w:sz w:val="21"/>
                <w:szCs w:val="21"/>
              </w:rPr>
            </w:pPr>
          </w:p>
        </w:tc>
        <w:tc>
          <w:tcPr>
            <w:tcW w:w="1407" w:type="dxa"/>
            <w:noWrap w:val="0"/>
            <w:vAlign w:val="center"/>
          </w:tcPr>
          <w:p w14:paraId="1F6531BE">
            <w:pPr>
              <w:ind w:firstLine="0" w:firstLineChars="0"/>
              <w:rPr>
                <w:rFonts w:hint="eastAsia" w:ascii="宋体" w:hAnsi="宋体" w:cs="宋体"/>
                <w:bCs/>
                <w:color w:val="auto"/>
                <w:sz w:val="21"/>
                <w:szCs w:val="21"/>
              </w:rPr>
            </w:pPr>
          </w:p>
        </w:tc>
      </w:tr>
      <w:tr w14:paraId="6C16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043D9E82">
            <w:pPr>
              <w:ind w:firstLine="0" w:firstLineChars="0"/>
              <w:jc w:val="center"/>
              <w:rPr>
                <w:rFonts w:hint="eastAsia" w:ascii="宋体" w:hAnsi="宋体" w:cs="宋体"/>
                <w:bCs/>
                <w:color w:val="auto"/>
                <w:sz w:val="21"/>
                <w:szCs w:val="21"/>
              </w:rPr>
            </w:pPr>
          </w:p>
        </w:tc>
        <w:tc>
          <w:tcPr>
            <w:tcW w:w="5019" w:type="dxa"/>
            <w:noWrap w:val="0"/>
            <w:vAlign w:val="center"/>
          </w:tcPr>
          <w:p w14:paraId="5780DAEF">
            <w:pPr>
              <w:ind w:firstLine="0" w:firstLineChars="0"/>
              <w:rPr>
                <w:rFonts w:hint="eastAsia" w:ascii="宋体" w:hAnsi="宋体" w:cs="宋体"/>
                <w:bCs/>
                <w:color w:val="auto"/>
                <w:sz w:val="21"/>
                <w:szCs w:val="21"/>
              </w:rPr>
            </w:pPr>
            <w:r>
              <w:rPr>
                <w:rFonts w:hint="eastAsia" w:ascii="宋体" w:hAnsi="宋体" w:cs="宋体"/>
                <w:bCs/>
                <w:color w:val="auto"/>
                <w:sz w:val="21"/>
                <w:szCs w:val="21"/>
              </w:rPr>
              <w:t>3.垂直度≤3‰；</w:t>
            </w:r>
          </w:p>
        </w:tc>
        <w:tc>
          <w:tcPr>
            <w:tcW w:w="1773" w:type="dxa"/>
            <w:vMerge w:val="continue"/>
            <w:noWrap w:val="0"/>
            <w:vAlign w:val="center"/>
          </w:tcPr>
          <w:p w14:paraId="406A73AA">
            <w:pPr>
              <w:ind w:firstLine="0" w:firstLineChars="0"/>
              <w:rPr>
                <w:rFonts w:hint="eastAsia" w:ascii="宋体" w:hAnsi="宋体" w:cs="宋体"/>
                <w:bCs/>
                <w:color w:val="auto"/>
                <w:sz w:val="21"/>
                <w:szCs w:val="21"/>
              </w:rPr>
            </w:pPr>
          </w:p>
        </w:tc>
        <w:tc>
          <w:tcPr>
            <w:tcW w:w="1407" w:type="dxa"/>
            <w:noWrap w:val="0"/>
            <w:vAlign w:val="center"/>
          </w:tcPr>
          <w:p w14:paraId="7440271F">
            <w:pPr>
              <w:ind w:firstLine="0" w:firstLineChars="0"/>
              <w:rPr>
                <w:rFonts w:hint="eastAsia" w:ascii="宋体" w:hAnsi="宋体" w:cs="宋体"/>
                <w:bCs/>
                <w:color w:val="auto"/>
                <w:sz w:val="21"/>
                <w:szCs w:val="21"/>
              </w:rPr>
            </w:pPr>
          </w:p>
        </w:tc>
      </w:tr>
      <w:tr w14:paraId="0E76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1E0AE82A">
            <w:pPr>
              <w:ind w:firstLine="0" w:firstLineChars="0"/>
              <w:jc w:val="center"/>
              <w:rPr>
                <w:rFonts w:hint="eastAsia" w:ascii="宋体" w:hAnsi="宋体" w:cs="宋体"/>
                <w:bCs/>
                <w:color w:val="auto"/>
                <w:sz w:val="21"/>
                <w:szCs w:val="21"/>
              </w:rPr>
            </w:pPr>
          </w:p>
        </w:tc>
        <w:tc>
          <w:tcPr>
            <w:tcW w:w="5019" w:type="dxa"/>
            <w:noWrap w:val="0"/>
            <w:vAlign w:val="center"/>
          </w:tcPr>
          <w:p w14:paraId="5C13E08A">
            <w:pPr>
              <w:ind w:firstLine="0" w:firstLineChars="0"/>
              <w:rPr>
                <w:rFonts w:hint="eastAsia" w:ascii="宋体" w:hAnsi="宋体" w:cs="宋体"/>
                <w:bCs/>
                <w:color w:val="auto"/>
                <w:sz w:val="21"/>
                <w:szCs w:val="21"/>
              </w:rPr>
            </w:pPr>
            <w:r>
              <w:rPr>
                <w:rFonts w:hint="eastAsia" w:ascii="宋体" w:hAnsi="宋体" w:cs="宋体"/>
                <w:bCs/>
                <w:color w:val="auto"/>
                <w:sz w:val="21"/>
                <w:szCs w:val="21"/>
              </w:rPr>
              <w:t>4.爬梯设置防护圈应符合国家标准；</w:t>
            </w:r>
          </w:p>
        </w:tc>
        <w:tc>
          <w:tcPr>
            <w:tcW w:w="1773" w:type="dxa"/>
            <w:vMerge w:val="continue"/>
            <w:noWrap w:val="0"/>
            <w:vAlign w:val="center"/>
          </w:tcPr>
          <w:p w14:paraId="138F557D">
            <w:pPr>
              <w:ind w:firstLine="0" w:firstLineChars="0"/>
              <w:rPr>
                <w:rFonts w:hint="eastAsia" w:ascii="宋体" w:hAnsi="宋体" w:cs="宋体"/>
                <w:bCs/>
                <w:color w:val="auto"/>
                <w:sz w:val="21"/>
                <w:szCs w:val="21"/>
              </w:rPr>
            </w:pPr>
          </w:p>
        </w:tc>
        <w:tc>
          <w:tcPr>
            <w:tcW w:w="1407" w:type="dxa"/>
            <w:noWrap w:val="0"/>
            <w:vAlign w:val="center"/>
          </w:tcPr>
          <w:p w14:paraId="7B32F2F3">
            <w:pPr>
              <w:ind w:firstLine="0" w:firstLineChars="0"/>
              <w:rPr>
                <w:rFonts w:hint="eastAsia" w:ascii="宋体" w:hAnsi="宋体" w:cs="宋体"/>
                <w:bCs/>
                <w:color w:val="auto"/>
                <w:sz w:val="21"/>
                <w:szCs w:val="21"/>
              </w:rPr>
            </w:pPr>
          </w:p>
        </w:tc>
      </w:tr>
      <w:tr w14:paraId="2E63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14:paraId="790EFD81">
            <w:pPr>
              <w:ind w:firstLine="0" w:firstLineChars="0"/>
              <w:jc w:val="center"/>
              <w:rPr>
                <w:rFonts w:hint="eastAsia" w:ascii="宋体" w:hAnsi="宋体" w:cs="宋体"/>
                <w:bCs/>
                <w:color w:val="auto"/>
                <w:sz w:val="21"/>
                <w:szCs w:val="21"/>
              </w:rPr>
            </w:pPr>
          </w:p>
        </w:tc>
        <w:tc>
          <w:tcPr>
            <w:tcW w:w="5019" w:type="dxa"/>
            <w:noWrap w:val="0"/>
            <w:vAlign w:val="center"/>
          </w:tcPr>
          <w:p w14:paraId="5DCE45D1">
            <w:pPr>
              <w:ind w:firstLine="0" w:firstLineChars="0"/>
              <w:rPr>
                <w:rFonts w:hint="eastAsia" w:ascii="宋体" w:hAnsi="宋体" w:cs="宋体"/>
                <w:bCs/>
                <w:color w:val="auto"/>
                <w:sz w:val="21"/>
                <w:szCs w:val="21"/>
              </w:rPr>
            </w:pPr>
            <w:r>
              <w:rPr>
                <w:rFonts w:hint="eastAsia" w:ascii="宋体" w:hAnsi="宋体" w:cs="宋体"/>
                <w:bCs/>
                <w:color w:val="auto"/>
                <w:sz w:val="21"/>
                <w:szCs w:val="21"/>
              </w:rPr>
              <w:t>5.开口销不得用金属丝等代替。</w:t>
            </w:r>
          </w:p>
        </w:tc>
        <w:tc>
          <w:tcPr>
            <w:tcW w:w="1773" w:type="dxa"/>
            <w:vMerge w:val="continue"/>
            <w:noWrap w:val="0"/>
            <w:vAlign w:val="center"/>
          </w:tcPr>
          <w:p w14:paraId="788274C6">
            <w:pPr>
              <w:ind w:firstLine="0" w:firstLineChars="0"/>
              <w:rPr>
                <w:rFonts w:hint="eastAsia" w:ascii="宋体" w:hAnsi="宋体" w:cs="宋体"/>
                <w:bCs/>
                <w:color w:val="auto"/>
                <w:sz w:val="21"/>
                <w:szCs w:val="21"/>
              </w:rPr>
            </w:pPr>
          </w:p>
        </w:tc>
        <w:tc>
          <w:tcPr>
            <w:tcW w:w="1407" w:type="dxa"/>
            <w:noWrap w:val="0"/>
            <w:vAlign w:val="center"/>
          </w:tcPr>
          <w:p w14:paraId="63B7FE30">
            <w:pPr>
              <w:ind w:firstLine="0" w:firstLineChars="0"/>
              <w:rPr>
                <w:rFonts w:hint="eastAsia" w:ascii="宋体" w:hAnsi="宋体" w:cs="宋体"/>
                <w:bCs/>
                <w:color w:val="auto"/>
                <w:sz w:val="21"/>
                <w:szCs w:val="21"/>
              </w:rPr>
            </w:pPr>
          </w:p>
        </w:tc>
      </w:tr>
      <w:tr w14:paraId="361A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810" w:type="dxa"/>
            <w:vMerge w:val="restart"/>
            <w:noWrap w:val="0"/>
            <w:vAlign w:val="center"/>
          </w:tcPr>
          <w:p w14:paraId="3687FAA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（3）钢</w:t>
            </w:r>
          </w:p>
          <w:p w14:paraId="785F100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丝</w:t>
            </w:r>
          </w:p>
          <w:p w14:paraId="666527D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绳</w:t>
            </w:r>
          </w:p>
        </w:tc>
        <w:tc>
          <w:tcPr>
            <w:tcW w:w="5019" w:type="dxa"/>
            <w:noWrap w:val="0"/>
            <w:vAlign w:val="center"/>
          </w:tcPr>
          <w:p w14:paraId="7535F248">
            <w:pPr>
              <w:ind w:firstLine="0" w:firstLineChars="0"/>
              <w:rPr>
                <w:rFonts w:hint="eastAsia" w:ascii="宋体" w:hAnsi="宋体" w:cs="宋体"/>
                <w:bCs/>
                <w:color w:val="auto"/>
                <w:sz w:val="21"/>
                <w:szCs w:val="21"/>
              </w:rPr>
            </w:pPr>
            <w:r>
              <w:rPr>
                <w:rFonts w:hint="eastAsia" w:ascii="宋体" w:hAnsi="宋体" w:cs="宋体"/>
                <w:bCs/>
                <w:color w:val="auto"/>
                <w:sz w:val="21"/>
                <w:szCs w:val="21"/>
              </w:rPr>
              <w:t>1.完好、无断股；</w:t>
            </w:r>
          </w:p>
        </w:tc>
        <w:tc>
          <w:tcPr>
            <w:tcW w:w="1773" w:type="dxa"/>
            <w:vMerge w:val="restart"/>
            <w:noWrap w:val="0"/>
            <w:vAlign w:val="center"/>
          </w:tcPr>
          <w:p w14:paraId="3AAF2F45">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GBT5972-20</w:t>
            </w:r>
            <w:r>
              <w:rPr>
                <w:rFonts w:hint="eastAsia" w:ascii="宋体" w:hAnsi="宋体" w:cs="宋体"/>
                <w:bCs/>
                <w:color w:val="auto"/>
                <w:sz w:val="21"/>
                <w:szCs w:val="21"/>
                <w:highlight w:val="none"/>
                <w:lang w:val="en-US" w:eastAsia="zh-CN"/>
              </w:rPr>
              <w:t>16</w:t>
            </w:r>
          </w:p>
          <w:p w14:paraId="5F9378E2">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1E142D39">
            <w:pPr>
              <w:ind w:firstLine="0" w:firstLineChars="0"/>
              <w:rPr>
                <w:rFonts w:hint="eastAsia" w:ascii="宋体" w:hAnsi="宋体" w:cs="宋体"/>
                <w:bCs/>
                <w:color w:val="auto"/>
                <w:sz w:val="21"/>
                <w:szCs w:val="21"/>
              </w:rPr>
            </w:pPr>
          </w:p>
        </w:tc>
      </w:tr>
      <w:tr w14:paraId="2164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1CAC36A6">
            <w:pPr>
              <w:ind w:firstLine="0" w:firstLineChars="0"/>
              <w:jc w:val="center"/>
              <w:rPr>
                <w:rFonts w:hint="eastAsia" w:ascii="宋体" w:hAnsi="宋体" w:cs="宋体"/>
                <w:bCs/>
                <w:color w:val="auto"/>
                <w:sz w:val="21"/>
                <w:szCs w:val="21"/>
              </w:rPr>
            </w:pPr>
          </w:p>
        </w:tc>
        <w:tc>
          <w:tcPr>
            <w:tcW w:w="5019" w:type="dxa"/>
            <w:noWrap w:val="0"/>
            <w:vAlign w:val="center"/>
          </w:tcPr>
          <w:p w14:paraId="21D826CB">
            <w:pPr>
              <w:ind w:firstLine="0" w:firstLineChars="0"/>
              <w:rPr>
                <w:rFonts w:hint="eastAsia" w:ascii="宋体" w:hAnsi="宋体" w:cs="宋体"/>
                <w:bCs/>
                <w:color w:val="auto"/>
                <w:sz w:val="21"/>
                <w:szCs w:val="21"/>
              </w:rPr>
            </w:pPr>
            <w:r>
              <w:rPr>
                <w:rFonts w:hint="eastAsia" w:ascii="宋体" w:hAnsi="宋体" w:cs="宋体"/>
                <w:bCs/>
                <w:color w:val="auto"/>
                <w:sz w:val="21"/>
                <w:szCs w:val="21"/>
              </w:rPr>
              <w:t>2.断丝不超过10％；</w:t>
            </w:r>
          </w:p>
        </w:tc>
        <w:tc>
          <w:tcPr>
            <w:tcW w:w="1773" w:type="dxa"/>
            <w:vMerge w:val="continue"/>
            <w:noWrap w:val="0"/>
            <w:vAlign w:val="center"/>
          </w:tcPr>
          <w:p w14:paraId="1F6AB0EB">
            <w:pPr>
              <w:ind w:firstLine="0" w:firstLineChars="0"/>
              <w:rPr>
                <w:rFonts w:hint="eastAsia" w:ascii="宋体" w:hAnsi="宋体" w:cs="宋体"/>
                <w:bCs/>
                <w:color w:val="auto"/>
                <w:sz w:val="21"/>
                <w:szCs w:val="21"/>
              </w:rPr>
            </w:pPr>
          </w:p>
        </w:tc>
        <w:tc>
          <w:tcPr>
            <w:tcW w:w="1407" w:type="dxa"/>
            <w:noWrap w:val="0"/>
            <w:vAlign w:val="center"/>
          </w:tcPr>
          <w:p w14:paraId="255DC8A7">
            <w:pPr>
              <w:ind w:firstLine="0" w:firstLineChars="0"/>
              <w:rPr>
                <w:rFonts w:hint="eastAsia" w:ascii="宋体" w:hAnsi="宋体" w:cs="宋体"/>
                <w:bCs/>
                <w:color w:val="auto"/>
                <w:sz w:val="21"/>
                <w:szCs w:val="21"/>
              </w:rPr>
            </w:pPr>
          </w:p>
        </w:tc>
      </w:tr>
      <w:tr w14:paraId="4881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198944F7">
            <w:pPr>
              <w:ind w:firstLine="0" w:firstLineChars="0"/>
              <w:jc w:val="center"/>
              <w:rPr>
                <w:rFonts w:hint="eastAsia" w:ascii="宋体" w:hAnsi="宋体" w:cs="宋体"/>
                <w:bCs/>
                <w:color w:val="auto"/>
                <w:sz w:val="21"/>
                <w:szCs w:val="21"/>
              </w:rPr>
            </w:pPr>
          </w:p>
        </w:tc>
        <w:tc>
          <w:tcPr>
            <w:tcW w:w="5019" w:type="dxa"/>
            <w:noWrap w:val="0"/>
            <w:vAlign w:val="center"/>
          </w:tcPr>
          <w:p w14:paraId="6FD3F13D">
            <w:pPr>
              <w:ind w:firstLine="0" w:firstLineChars="0"/>
              <w:rPr>
                <w:rFonts w:hint="eastAsia" w:ascii="宋体" w:hAnsi="宋体" w:cs="宋体"/>
                <w:bCs/>
                <w:color w:val="auto"/>
                <w:sz w:val="21"/>
                <w:szCs w:val="21"/>
              </w:rPr>
            </w:pPr>
            <w:r>
              <w:rPr>
                <w:rFonts w:hint="eastAsia" w:ascii="宋体" w:hAnsi="宋体" w:cs="宋体"/>
                <w:bCs/>
                <w:color w:val="auto"/>
                <w:sz w:val="21"/>
                <w:szCs w:val="21"/>
              </w:rPr>
              <w:t>3.型号、规格、长度符合本机说明书规定；</w:t>
            </w:r>
          </w:p>
        </w:tc>
        <w:tc>
          <w:tcPr>
            <w:tcW w:w="1773" w:type="dxa"/>
            <w:vMerge w:val="continue"/>
            <w:noWrap w:val="0"/>
            <w:vAlign w:val="center"/>
          </w:tcPr>
          <w:p w14:paraId="768A22BB">
            <w:pPr>
              <w:ind w:firstLine="0" w:firstLineChars="0"/>
              <w:rPr>
                <w:rFonts w:hint="eastAsia" w:ascii="宋体" w:hAnsi="宋体" w:cs="宋体"/>
                <w:bCs/>
                <w:color w:val="auto"/>
                <w:sz w:val="21"/>
                <w:szCs w:val="21"/>
              </w:rPr>
            </w:pPr>
          </w:p>
        </w:tc>
        <w:tc>
          <w:tcPr>
            <w:tcW w:w="1407" w:type="dxa"/>
            <w:noWrap w:val="0"/>
            <w:vAlign w:val="center"/>
          </w:tcPr>
          <w:p w14:paraId="23DEAE55">
            <w:pPr>
              <w:ind w:firstLine="0" w:firstLineChars="0"/>
              <w:rPr>
                <w:rFonts w:hint="eastAsia" w:ascii="宋体" w:hAnsi="宋体" w:cs="宋体"/>
                <w:bCs/>
                <w:color w:val="auto"/>
                <w:sz w:val="21"/>
                <w:szCs w:val="21"/>
              </w:rPr>
            </w:pPr>
          </w:p>
        </w:tc>
      </w:tr>
      <w:tr w14:paraId="1B3F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1A2FD435">
            <w:pPr>
              <w:ind w:firstLine="0" w:firstLineChars="0"/>
              <w:jc w:val="center"/>
              <w:rPr>
                <w:rFonts w:hint="eastAsia" w:ascii="宋体" w:hAnsi="宋体" w:cs="宋体"/>
                <w:bCs/>
                <w:color w:val="auto"/>
                <w:sz w:val="21"/>
                <w:szCs w:val="21"/>
              </w:rPr>
            </w:pPr>
          </w:p>
        </w:tc>
        <w:tc>
          <w:tcPr>
            <w:tcW w:w="5019" w:type="dxa"/>
            <w:noWrap w:val="0"/>
            <w:vAlign w:val="center"/>
          </w:tcPr>
          <w:p w14:paraId="05ADF739">
            <w:pPr>
              <w:ind w:firstLine="0" w:firstLineChars="0"/>
              <w:rPr>
                <w:rFonts w:hint="eastAsia" w:ascii="宋体" w:hAnsi="宋体" w:cs="宋体"/>
                <w:bCs/>
                <w:color w:val="auto"/>
                <w:sz w:val="21"/>
                <w:szCs w:val="21"/>
              </w:rPr>
            </w:pPr>
            <w:r>
              <w:rPr>
                <w:rFonts w:hint="eastAsia" w:ascii="宋体" w:hAnsi="宋体" w:cs="宋体"/>
                <w:bCs/>
                <w:color w:val="auto"/>
                <w:sz w:val="21"/>
                <w:szCs w:val="21"/>
              </w:rPr>
              <w:t>4.固定绳卡数量与绳径匹配，卡间距为6-7倍绳径；</w:t>
            </w:r>
          </w:p>
        </w:tc>
        <w:tc>
          <w:tcPr>
            <w:tcW w:w="1773" w:type="dxa"/>
            <w:vMerge w:val="continue"/>
            <w:noWrap w:val="0"/>
            <w:vAlign w:val="center"/>
          </w:tcPr>
          <w:p w14:paraId="3FC5D213">
            <w:pPr>
              <w:ind w:firstLine="0" w:firstLineChars="0"/>
              <w:rPr>
                <w:rFonts w:hint="eastAsia" w:ascii="宋体" w:hAnsi="宋体" w:cs="宋体"/>
                <w:bCs/>
                <w:color w:val="auto"/>
                <w:sz w:val="21"/>
                <w:szCs w:val="21"/>
              </w:rPr>
            </w:pPr>
          </w:p>
        </w:tc>
        <w:tc>
          <w:tcPr>
            <w:tcW w:w="1407" w:type="dxa"/>
            <w:noWrap w:val="0"/>
            <w:vAlign w:val="center"/>
          </w:tcPr>
          <w:p w14:paraId="73FCA8DF">
            <w:pPr>
              <w:ind w:firstLine="0" w:firstLineChars="0"/>
              <w:rPr>
                <w:rFonts w:hint="eastAsia" w:ascii="宋体" w:hAnsi="宋体" w:cs="宋体"/>
                <w:bCs/>
                <w:color w:val="auto"/>
                <w:sz w:val="21"/>
                <w:szCs w:val="21"/>
              </w:rPr>
            </w:pPr>
          </w:p>
        </w:tc>
      </w:tr>
      <w:tr w14:paraId="1681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14:paraId="4732FF5A">
            <w:pPr>
              <w:ind w:firstLine="0" w:firstLineChars="0"/>
              <w:jc w:val="center"/>
              <w:rPr>
                <w:rFonts w:hint="eastAsia" w:ascii="宋体" w:hAnsi="宋体" w:cs="宋体"/>
                <w:bCs/>
                <w:color w:val="auto"/>
                <w:sz w:val="21"/>
                <w:szCs w:val="21"/>
              </w:rPr>
            </w:pPr>
          </w:p>
        </w:tc>
        <w:tc>
          <w:tcPr>
            <w:tcW w:w="5019" w:type="dxa"/>
            <w:noWrap w:val="0"/>
            <w:vAlign w:val="center"/>
          </w:tcPr>
          <w:p w14:paraId="57C4BD39">
            <w:pPr>
              <w:ind w:firstLine="0" w:firstLineChars="0"/>
              <w:rPr>
                <w:rFonts w:hint="eastAsia" w:ascii="宋体" w:hAnsi="宋体" w:cs="宋体"/>
                <w:bCs/>
                <w:color w:val="auto"/>
                <w:sz w:val="21"/>
                <w:szCs w:val="21"/>
              </w:rPr>
            </w:pPr>
            <w:r>
              <w:rPr>
                <w:rFonts w:hint="eastAsia" w:ascii="宋体" w:hAnsi="宋体" w:cs="宋体"/>
                <w:bCs/>
                <w:color w:val="auto"/>
                <w:sz w:val="21"/>
                <w:szCs w:val="21"/>
              </w:rPr>
              <w:t>5.钢绳磨损量不超过钢丝绳的10%；</w:t>
            </w:r>
          </w:p>
        </w:tc>
        <w:tc>
          <w:tcPr>
            <w:tcW w:w="1773" w:type="dxa"/>
            <w:vMerge w:val="continue"/>
            <w:noWrap w:val="0"/>
            <w:vAlign w:val="center"/>
          </w:tcPr>
          <w:p w14:paraId="1A36E3BF">
            <w:pPr>
              <w:ind w:firstLine="0" w:firstLineChars="0"/>
              <w:rPr>
                <w:rFonts w:hint="eastAsia" w:ascii="宋体" w:hAnsi="宋体" w:cs="宋体"/>
                <w:bCs/>
                <w:color w:val="auto"/>
                <w:sz w:val="21"/>
                <w:szCs w:val="21"/>
              </w:rPr>
            </w:pPr>
          </w:p>
        </w:tc>
        <w:tc>
          <w:tcPr>
            <w:tcW w:w="1407" w:type="dxa"/>
            <w:noWrap w:val="0"/>
            <w:vAlign w:val="center"/>
          </w:tcPr>
          <w:p w14:paraId="0287490B">
            <w:pPr>
              <w:ind w:firstLine="0" w:firstLineChars="0"/>
              <w:rPr>
                <w:rFonts w:hint="eastAsia" w:ascii="宋体" w:hAnsi="宋体" w:cs="宋体"/>
                <w:bCs/>
                <w:color w:val="auto"/>
                <w:sz w:val="21"/>
                <w:szCs w:val="21"/>
              </w:rPr>
            </w:pPr>
          </w:p>
        </w:tc>
      </w:tr>
      <w:tr w14:paraId="719C6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6CD2F4C5">
            <w:pPr>
              <w:ind w:firstLine="0" w:firstLineChars="0"/>
              <w:jc w:val="center"/>
              <w:rPr>
                <w:rFonts w:hint="eastAsia" w:ascii="宋体" w:hAnsi="宋体" w:cs="宋体"/>
                <w:bCs/>
                <w:color w:val="auto"/>
                <w:sz w:val="21"/>
                <w:szCs w:val="21"/>
              </w:rPr>
            </w:pPr>
          </w:p>
        </w:tc>
        <w:tc>
          <w:tcPr>
            <w:tcW w:w="5019" w:type="dxa"/>
            <w:noWrap w:val="0"/>
            <w:vAlign w:val="center"/>
          </w:tcPr>
          <w:p w14:paraId="56830F00">
            <w:pPr>
              <w:ind w:firstLine="0" w:firstLineChars="0"/>
              <w:rPr>
                <w:rFonts w:hint="eastAsia" w:ascii="宋体" w:hAnsi="宋体" w:cs="宋体"/>
                <w:bCs/>
                <w:color w:val="auto"/>
                <w:sz w:val="21"/>
                <w:szCs w:val="21"/>
              </w:rPr>
            </w:pPr>
            <w:r>
              <w:rPr>
                <w:rFonts w:hint="eastAsia" w:ascii="宋体" w:hAnsi="宋体" w:cs="宋体"/>
                <w:bCs/>
                <w:color w:val="auto"/>
                <w:sz w:val="21"/>
                <w:szCs w:val="21"/>
              </w:rPr>
              <w:t>6.捆绑起重索具符合要求。</w:t>
            </w:r>
          </w:p>
        </w:tc>
        <w:tc>
          <w:tcPr>
            <w:tcW w:w="1773" w:type="dxa"/>
            <w:vMerge w:val="continue"/>
            <w:noWrap w:val="0"/>
            <w:vAlign w:val="center"/>
          </w:tcPr>
          <w:p w14:paraId="0F7F3E7B">
            <w:pPr>
              <w:ind w:firstLine="0" w:firstLineChars="0"/>
              <w:rPr>
                <w:rFonts w:hint="eastAsia" w:ascii="宋体" w:hAnsi="宋体" w:cs="宋体"/>
                <w:bCs/>
                <w:color w:val="auto"/>
                <w:sz w:val="21"/>
                <w:szCs w:val="21"/>
              </w:rPr>
            </w:pPr>
          </w:p>
        </w:tc>
        <w:tc>
          <w:tcPr>
            <w:tcW w:w="1407" w:type="dxa"/>
            <w:noWrap w:val="0"/>
            <w:vAlign w:val="center"/>
          </w:tcPr>
          <w:p w14:paraId="70023489">
            <w:pPr>
              <w:ind w:firstLine="0" w:firstLineChars="0"/>
              <w:rPr>
                <w:rFonts w:hint="eastAsia" w:ascii="宋体" w:hAnsi="宋体" w:cs="宋体"/>
                <w:bCs/>
                <w:color w:val="auto"/>
                <w:sz w:val="21"/>
                <w:szCs w:val="21"/>
              </w:rPr>
            </w:pPr>
          </w:p>
        </w:tc>
      </w:tr>
      <w:tr w14:paraId="1CC1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jc w:val="center"/>
        </w:trPr>
        <w:tc>
          <w:tcPr>
            <w:tcW w:w="810" w:type="dxa"/>
            <w:vMerge w:val="restart"/>
            <w:noWrap w:val="0"/>
            <w:vAlign w:val="center"/>
          </w:tcPr>
          <w:p w14:paraId="733F501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（4）吊</w:t>
            </w:r>
          </w:p>
          <w:p w14:paraId="0FFAC1E3">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钩</w:t>
            </w:r>
          </w:p>
        </w:tc>
        <w:tc>
          <w:tcPr>
            <w:tcW w:w="5019" w:type="dxa"/>
            <w:noWrap w:val="0"/>
            <w:vAlign w:val="center"/>
          </w:tcPr>
          <w:p w14:paraId="7429DD75">
            <w:pPr>
              <w:ind w:firstLine="0" w:firstLineChars="0"/>
              <w:rPr>
                <w:rFonts w:hint="eastAsia" w:ascii="宋体" w:hAnsi="宋体" w:cs="宋体"/>
                <w:bCs/>
                <w:color w:val="auto"/>
                <w:sz w:val="21"/>
                <w:szCs w:val="21"/>
              </w:rPr>
            </w:pPr>
            <w:r>
              <w:rPr>
                <w:rFonts w:hint="eastAsia" w:ascii="宋体" w:hAnsi="宋体" w:cs="宋体"/>
                <w:bCs/>
                <w:color w:val="auto"/>
                <w:sz w:val="21"/>
                <w:szCs w:val="21"/>
              </w:rPr>
              <w:t>1.无裂纹、变形、严重磨损；</w:t>
            </w:r>
          </w:p>
        </w:tc>
        <w:tc>
          <w:tcPr>
            <w:tcW w:w="1773" w:type="dxa"/>
            <w:vMerge w:val="restart"/>
            <w:noWrap w:val="0"/>
            <w:vAlign w:val="center"/>
          </w:tcPr>
          <w:p w14:paraId="5921B09C">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2C8F5232">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JGJ160-20</w:t>
            </w:r>
            <w:r>
              <w:rPr>
                <w:rFonts w:hint="eastAsia" w:ascii="宋体" w:hAnsi="宋体" w:cs="宋体"/>
                <w:bCs/>
                <w:color w:val="auto"/>
                <w:sz w:val="21"/>
                <w:szCs w:val="21"/>
                <w:highlight w:val="none"/>
                <w:lang w:val="en-US" w:eastAsia="zh-CN"/>
              </w:rPr>
              <w:t>16</w:t>
            </w:r>
          </w:p>
        </w:tc>
        <w:tc>
          <w:tcPr>
            <w:tcW w:w="1407" w:type="dxa"/>
            <w:noWrap w:val="0"/>
            <w:vAlign w:val="center"/>
          </w:tcPr>
          <w:p w14:paraId="28E1C8FB">
            <w:pPr>
              <w:ind w:firstLine="0" w:firstLineChars="0"/>
              <w:rPr>
                <w:rFonts w:hint="eastAsia" w:ascii="宋体" w:hAnsi="宋体" w:cs="宋体"/>
                <w:bCs/>
                <w:color w:val="auto"/>
                <w:sz w:val="21"/>
                <w:szCs w:val="21"/>
              </w:rPr>
            </w:pPr>
          </w:p>
        </w:tc>
      </w:tr>
      <w:tr w14:paraId="1721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continue"/>
            <w:noWrap w:val="0"/>
            <w:vAlign w:val="center"/>
          </w:tcPr>
          <w:p w14:paraId="4C7E3D51">
            <w:pPr>
              <w:ind w:firstLine="0" w:firstLineChars="0"/>
              <w:jc w:val="center"/>
              <w:rPr>
                <w:rFonts w:hint="eastAsia" w:ascii="宋体" w:hAnsi="宋体" w:cs="宋体"/>
                <w:bCs/>
                <w:color w:val="auto"/>
                <w:sz w:val="21"/>
                <w:szCs w:val="21"/>
              </w:rPr>
            </w:pPr>
          </w:p>
        </w:tc>
        <w:tc>
          <w:tcPr>
            <w:tcW w:w="5019" w:type="dxa"/>
            <w:noWrap w:val="0"/>
            <w:vAlign w:val="center"/>
          </w:tcPr>
          <w:p w14:paraId="00A79145">
            <w:pPr>
              <w:ind w:firstLine="0" w:firstLineChars="0"/>
              <w:rPr>
                <w:rFonts w:hint="eastAsia" w:ascii="宋体" w:hAnsi="宋体" w:cs="宋体"/>
                <w:bCs/>
                <w:color w:val="auto"/>
                <w:sz w:val="21"/>
                <w:szCs w:val="21"/>
              </w:rPr>
            </w:pPr>
            <w:r>
              <w:rPr>
                <w:rFonts w:hint="eastAsia" w:ascii="宋体" w:hAnsi="宋体" w:cs="宋体"/>
                <w:bCs/>
                <w:color w:val="auto"/>
                <w:sz w:val="21"/>
                <w:szCs w:val="21"/>
              </w:rPr>
              <w:t>2.钩身无补焊、钻孔现象；</w:t>
            </w:r>
          </w:p>
        </w:tc>
        <w:tc>
          <w:tcPr>
            <w:tcW w:w="1773" w:type="dxa"/>
            <w:vMerge w:val="continue"/>
            <w:noWrap w:val="0"/>
            <w:vAlign w:val="center"/>
          </w:tcPr>
          <w:p w14:paraId="0EA9E277">
            <w:pPr>
              <w:ind w:firstLine="0" w:firstLineChars="0"/>
              <w:rPr>
                <w:rFonts w:hint="eastAsia" w:ascii="宋体" w:hAnsi="宋体" w:cs="宋体"/>
                <w:bCs/>
                <w:color w:val="auto"/>
                <w:sz w:val="21"/>
                <w:szCs w:val="21"/>
              </w:rPr>
            </w:pPr>
          </w:p>
        </w:tc>
        <w:tc>
          <w:tcPr>
            <w:tcW w:w="1407" w:type="dxa"/>
            <w:noWrap w:val="0"/>
            <w:vAlign w:val="center"/>
          </w:tcPr>
          <w:p w14:paraId="604A6EE2">
            <w:pPr>
              <w:ind w:firstLine="0" w:firstLineChars="0"/>
              <w:rPr>
                <w:rFonts w:hint="eastAsia" w:ascii="宋体" w:hAnsi="宋体" w:cs="宋体"/>
                <w:bCs/>
                <w:color w:val="auto"/>
                <w:sz w:val="21"/>
                <w:szCs w:val="21"/>
              </w:rPr>
            </w:pPr>
          </w:p>
        </w:tc>
      </w:tr>
      <w:tr w14:paraId="32E0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6D5A7EF4">
            <w:pPr>
              <w:ind w:firstLine="0" w:firstLineChars="0"/>
              <w:jc w:val="center"/>
              <w:rPr>
                <w:rFonts w:hint="eastAsia" w:ascii="宋体" w:hAnsi="宋体" w:cs="宋体"/>
                <w:bCs/>
                <w:color w:val="auto"/>
                <w:sz w:val="21"/>
                <w:szCs w:val="21"/>
              </w:rPr>
            </w:pPr>
          </w:p>
        </w:tc>
        <w:tc>
          <w:tcPr>
            <w:tcW w:w="5019" w:type="dxa"/>
            <w:noWrap w:val="0"/>
            <w:vAlign w:val="center"/>
          </w:tcPr>
          <w:p w14:paraId="7F7963A9">
            <w:pPr>
              <w:ind w:firstLine="0" w:firstLineChars="0"/>
              <w:rPr>
                <w:rFonts w:hint="eastAsia" w:ascii="宋体" w:hAnsi="宋体" w:cs="宋体"/>
                <w:bCs/>
                <w:color w:val="auto"/>
                <w:sz w:val="21"/>
                <w:szCs w:val="21"/>
              </w:rPr>
            </w:pPr>
            <w:r>
              <w:rPr>
                <w:rFonts w:hint="eastAsia" w:ascii="宋体" w:hAnsi="宋体" w:cs="宋体"/>
                <w:bCs/>
                <w:color w:val="auto"/>
                <w:sz w:val="21"/>
                <w:szCs w:val="21"/>
              </w:rPr>
              <w:t>3.具有防脱装置;</w:t>
            </w:r>
            <w:r>
              <w:rPr>
                <w:rFonts w:hint="eastAsia" w:ascii="宋体" w:hAnsi="宋体" w:cs="宋体"/>
                <w:bCs/>
                <w:color w:val="auto"/>
                <w:kern w:val="0"/>
                <w:sz w:val="21"/>
                <w:szCs w:val="21"/>
              </w:rPr>
              <w:t xml:space="preserve"> </w:t>
            </w:r>
          </w:p>
        </w:tc>
        <w:tc>
          <w:tcPr>
            <w:tcW w:w="1773" w:type="dxa"/>
            <w:vMerge w:val="continue"/>
            <w:noWrap w:val="0"/>
            <w:vAlign w:val="center"/>
          </w:tcPr>
          <w:p w14:paraId="771F90CD">
            <w:pPr>
              <w:ind w:firstLine="0" w:firstLineChars="0"/>
              <w:rPr>
                <w:rFonts w:hint="eastAsia" w:ascii="宋体" w:hAnsi="宋体" w:cs="宋体"/>
                <w:bCs/>
                <w:color w:val="auto"/>
                <w:sz w:val="21"/>
                <w:szCs w:val="21"/>
              </w:rPr>
            </w:pPr>
          </w:p>
        </w:tc>
        <w:tc>
          <w:tcPr>
            <w:tcW w:w="1407" w:type="dxa"/>
            <w:noWrap w:val="0"/>
            <w:vAlign w:val="center"/>
          </w:tcPr>
          <w:p w14:paraId="72A70CC6">
            <w:pPr>
              <w:ind w:firstLine="0" w:firstLineChars="0"/>
              <w:rPr>
                <w:rFonts w:hint="eastAsia" w:ascii="宋体" w:hAnsi="宋体" w:cs="宋体"/>
                <w:bCs/>
                <w:color w:val="auto"/>
                <w:sz w:val="21"/>
                <w:szCs w:val="21"/>
              </w:rPr>
            </w:pPr>
          </w:p>
        </w:tc>
      </w:tr>
      <w:tr w14:paraId="1D14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3DFD54CC">
            <w:pPr>
              <w:ind w:firstLine="0" w:firstLineChars="0"/>
              <w:jc w:val="center"/>
              <w:rPr>
                <w:rFonts w:hint="eastAsia" w:ascii="宋体" w:hAnsi="宋体" w:cs="宋体"/>
                <w:bCs/>
                <w:color w:val="auto"/>
                <w:sz w:val="21"/>
                <w:szCs w:val="21"/>
              </w:rPr>
            </w:pPr>
          </w:p>
        </w:tc>
        <w:tc>
          <w:tcPr>
            <w:tcW w:w="5019" w:type="dxa"/>
            <w:noWrap w:val="0"/>
            <w:vAlign w:val="center"/>
          </w:tcPr>
          <w:p w14:paraId="66E6A3D8">
            <w:pPr>
              <w:ind w:firstLine="0" w:firstLineChars="0"/>
              <w:rPr>
                <w:rFonts w:hint="eastAsia" w:ascii="宋体" w:hAnsi="宋体" w:cs="宋体"/>
                <w:bCs/>
                <w:color w:val="auto"/>
                <w:sz w:val="21"/>
                <w:szCs w:val="21"/>
              </w:rPr>
            </w:pPr>
            <w:r>
              <w:rPr>
                <w:rFonts w:hint="eastAsia" w:ascii="宋体" w:hAnsi="宋体" w:cs="宋体"/>
                <w:bCs/>
                <w:color w:val="auto"/>
                <w:sz w:val="21"/>
                <w:szCs w:val="21"/>
              </w:rPr>
              <w:t>4.挂绳处截面磨损量不超过原高度的10%；</w:t>
            </w:r>
          </w:p>
        </w:tc>
        <w:tc>
          <w:tcPr>
            <w:tcW w:w="1773" w:type="dxa"/>
            <w:vMerge w:val="continue"/>
            <w:noWrap w:val="0"/>
            <w:vAlign w:val="center"/>
          </w:tcPr>
          <w:p w14:paraId="117D3CD0">
            <w:pPr>
              <w:ind w:firstLine="0" w:firstLineChars="0"/>
              <w:rPr>
                <w:rFonts w:hint="eastAsia" w:ascii="宋体" w:hAnsi="宋体" w:cs="宋体"/>
                <w:bCs/>
                <w:color w:val="auto"/>
                <w:sz w:val="21"/>
                <w:szCs w:val="21"/>
              </w:rPr>
            </w:pPr>
          </w:p>
        </w:tc>
        <w:tc>
          <w:tcPr>
            <w:tcW w:w="1407" w:type="dxa"/>
            <w:noWrap w:val="0"/>
            <w:vAlign w:val="center"/>
          </w:tcPr>
          <w:p w14:paraId="34E78B60">
            <w:pPr>
              <w:ind w:firstLine="0" w:firstLineChars="0"/>
              <w:rPr>
                <w:rFonts w:hint="eastAsia" w:ascii="宋体" w:hAnsi="宋体" w:cs="宋体"/>
                <w:bCs/>
                <w:color w:val="auto"/>
                <w:sz w:val="21"/>
                <w:szCs w:val="21"/>
              </w:rPr>
            </w:pPr>
          </w:p>
        </w:tc>
      </w:tr>
      <w:tr w14:paraId="193C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810" w:type="dxa"/>
            <w:vMerge w:val="restart"/>
            <w:noWrap w:val="0"/>
            <w:vAlign w:val="center"/>
          </w:tcPr>
          <w:p w14:paraId="5AB1718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（5）高度限位</w:t>
            </w:r>
          </w:p>
        </w:tc>
        <w:tc>
          <w:tcPr>
            <w:tcW w:w="5019" w:type="dxa"/>
            <w:noWrap w:val="0"/>
            <w:vAlign w:val="center"/>
          </w:tcPr>
          <w:p w14:paraId="565A8872">
            <w:pPr>
              <w:ind w:firstLine="0" w:firstLineChars="0"/>
              <w:rPr>
                <w:rFonts w:hint="eastAsia" w:ascii="宋体" w:hAnsi="宋体" w:cs="宋体"/>
                <w:bCs/>
                <w:color w:val="auto"/>
                <w:sz w:val="21"/>
                <w:szCs w:val="21"/>
              </w:rPr>
            </w:pPr>
            <w:r>
              <w:rPr>
                <w:rFonts w:hint="eastAsia" w:ascii="宋体" w:hAnsi="宋体" w:cs="宋体"/>
                <w:bCs/>
                <w:color w:val="auto"/>
                <w:sz w:val="21"/>
                <w:szCs w:val="21"/>
              </w:rPr>
              <w:t>1.吊钩顶部距起重臂下端800mm，能立即停止起升，但有向下、向内变幅运动；</w:t>
            </w:r>
          </w:p>
        </w:tc>
        <w:tc>
          <w:tcPr>
            <w:tcW w:w="1773" w:type="dxa"/>
            <w:vMerge w:val="restart"/>
            <w:noWrap w:val="0"/>
            <w:vAlign w:val="center"/>
          </w:tcPr>
          <w:p w14:paraId="15F7623F">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30376EF5">
            <w:pPr>
              <w:ind w:firstLine="0" w:firstLineChars="0"/>
              <w:rPr>
                <w:rFonts w:hint="eastAsia" w:ascii="宋体" w:hAnsi="宋体" w:cs="宋体"/>
                <w:bCs/>
                <w:color w:val="auto"/>
                <w:sz w:val="21"/>
                <w:szCs w:val="21"/>
                <w:highlight w:val="none"/>
              </w:rPr>
            </w:pPr>
          </w:p>
        </w:tc>
        <w:tc>
          <w:tcPr>
            <w:tcW w:w="1407" w:type="dxa"/>
            <w:noWrap w:val="0"/>
            <w:vAlign w:val="center"/>
          </w:tcPr>
          <w:p w14:paraId="72469222">
            <w:pPr>
              <w:ind w:firstLine="0" w:firstLineChars="0"/>
              <w:rPr>
                <w:rFonts w:hint="eastAsia" w:ascii="宋体" w:hAnsi="宋体" w:cs="宋体"/>
                <w:bCs/>
                <w:color w:val="auto"/>
                <w:sz w:val="21"/>
                <w:szCs w:val="21"/>
              </w:rPr>
            </w:pPr>
          </w:p>
        </w:tc>
      </w:tr>
      <w:tr w14:paraId="084D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dxa"/>
            <w:vMerge w:val="continue"/>
            <w:noWrap w:val="0"/>
            <w:vAlign w:val="center"/>
          </w:tcPr>
          <w:p w14:paraId="27CF2D53">
            <w:pPr>
              <w:ind w:firstLine="0" w:firstLineChars="0"/>
              <w:jc w:val="center"/>
              <w:rPr>
                <w:rFonts w:hint="eastAsia" w:ascii="宋体" w:hAnsi="宋体" w:cs="宋体"/>
                <w:bCs/>
                <w:color w:val="auto"/>
                <w:sz w:val="21"/>
                <w:szCs w:val="21"/>
              </w:rPr>
            </w:pPr>
          </w:p>
        </w:tc>
        <w:tc>
          <w:tcPr>
            <w:tcW w:w="5019" w:type="dxa"/>
            <w:noWrap w:val="0"/>
            <w:vAlign w:val="center"/>
          </w:tcPr>
          <w:p w14:paraId="352C10FC">
            <w:pPr>
              <w:ind w:firstLine="0" w:firstLineChars="0"/>
              <w:rPr>
                <w:rFonts w:hint="eastAsia" w:ascii="宋体" w:hAnsi="宋体" w:cs="宋体"/>
                <w:bCs/>
                <w:color w:val="auto"/>
                <w:sz w:val="21"/>
                <w:szCs w:val="21"/>
              </w:rPr>
            </w:pPr>
            <w:r>
              <w:rPr>
                <w:rFonts w:hint="eastAsia" w:ascii="宋体" w:hAnsi="宋体" w:cs="宋体"/>
                <w:bCs/>
                <w:color w:val="auto"/>
                <w:sz w:val="21"/>
                <w:szCs w:val="21"/>
              </w:rPr>
              <w:t>2.吊钩不能再下降或卷筒上钢丝绳只剩3圈时，应能立即停止下降运动；</w:t>
            </w:r>
          </w:p>
        </w:tc>
        <w:tc>
          <w:tcPr>
            <w:tcW w:w="1773" w:type="dxa"/>
            <w:vMerge w:val="continue"/>
            <w:noWrap w:val="0"/>
            <w:vAlign w:val="center"/>
          </w:tcPr>
          <w:p w14:paraId="7BEE04DC">
            <w:pPr>
              <w:ind w:firstLine="0" w:firstLineChars="0"/>
              <w:rPr>
                <w:rFonts w:hint="eastAsia" w:ascii="宋体" w:hAnsi="宋体" w:cs="宋体"/>
                <w:bCs/>
                <w:color w:val="auto"/>
                <w:sz w:val="21"/>
                <w:szCs w:val="21"/>
              </w:rPr>
            </w:pPr>
          </w:p>
        </w:tc>
        <w:tc>
          <w:tcPr>
            <w:tcW w:w="1407" w:type="dxa"/>
            <w:noWrap w:val="0"/>
            <w:vAlign w:val="center"/>
          </w:tcPr>
          <w:p w14:paraId="0400B7ED">
            <w:pPr>
              <w:ind w:firstLine="0" w:firstLineChars="0"/>
              <w:rPr>
                <w:rFonts w:hint="eastAsia" w:ascii="宋体" w:hAnsi="宋体" w:cs="宋体"/>
                <w:bCs/>
                <w:color w:val="auto"/>
                <w:sz w:val="21"/>
                <w:szCs w:val="21"/>
              </w:rPr>
            </w:pPr>
          </w:p>
        </w:tc>
      </w:tr>
      <w:tr w14:paraId="22AE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810" w:type="dxa"/>
            <w:vMerge w:val="continue"/>
            <w:noWrap w:val="0"/>
            <w:vAlign w:val="center"/>
          </w:tcPr>
          <w:p w14:paraId="78ECD271">
            <w:pPr>
              <w:ind w:firstLine="0" w:firstLineChars="0"/>
              <w:jc w:val="center"/>
              <w:rPr>
                <w:rFonts w:hint="eastAsia" w:ascii="宋体" w:hAnsi="宋体" w:cs="宋体"/>
                <w:bCs/>
                <w:color w:val="auto"/>
                <w:sz w:val="21"/>
                <w:szCs w:val="21"/>
              </w:rPr>
            </w:pPr>
          </w:p>
        </w:tc>
        <w:tc>
          <w:tcPr>
            <w:tcW w:w="5019" w:type="dxa"/>
            <w:noWrap w:val="0"/>
            <w:vAlign w:val="center"/>
          </w:tcPr>
          <w:p w14:paraId="7D6F566C">
            <w:pPr>
              <w:ind w:firstLine="0" w:firstLineChars="0"/>
              <w:rPr>
                <w:rFonts w:hint="eastAsia" w:ascii="宋体" w:hAnsi="宋体" w:cs="宋体"/>
                <w:bCs/>
                <w:color w:val="auto"/>
                <w:sz w:val="21"/>
                <w:szCs w:val="21"/>
              </w:rPr>
            </w:pPr>
            <w:r>
              <w:rPr>
                <w:rFonts w:hint="eastAsia" w:ascii="宋体" w:hAnsi="宋体" w:cs="宋体"/>
                <w:bCs/>
                <w:color w:val="auto"/>
                <w:sz w:val="21"/>
                <w:szCs w:val="21"/>
              </w:rPr>
              <w:t>3.钢丝绳松弛可能造成卷筒上钢丝绳乱绳或反卷，设置下限位。</w:t>
            </w:r>
          </w:p>
        </w:tc>
        <w:tc>
          <w:tcPr>
            <w:tcW w:w="1773" w:type="dxa"/>
            <w:vMerge w:val="continue"/>
            <w:noWrap w:val="0"/>
            <w:vAlign w:val="center"/>
          </w:tcPr>
          <w:p w14:paraId="63B66072">
            <w:pPr>
              <w:ind w:firstLine="0" w:firstLineChars="0"/>
              <w:rPr>
                <w:rFonts w:hint="eastAsia" w:ascii="宋体" w:hAnsi="宋体" w:cs="宋体"/>
                <w:bCs/>
                <w:color w:val="auto"/>
                <w:sz w:val="21"/>
                <w:szCs w:val="21"/>
              </w:rPr>
            </w:pPr>
          </w:p>
        </w:tc>
        <w:tc>
          <w:tcPr>
            <w:tcW w:w="1407" w:type="dxa"/>
            <w:noWrap w:val="0"/>
            <w:vAlign w:val="center"/>
          </w:tcPr>
          <w:p w14:paraId="425B25C0">
            <w:pPr>
              <w:ind w:firstLine="0" w:firstLineChars="0"/>
              <w:rPr>
                <w:rFonts w:hint="eastAsia" w:ascii="宋体" w:hAnsi="宋体" w:cs="宋体"/>
                <w:bCs/>
                <w:color w:val="auto"/>
                <w:sz w:val="21"/>
                <w:szCs w:val="21"/>
              </w:rPr>
            </w:pPr>
          </w:p>
        </w:tc>
      </w:tr>
      <w:tr w14:paraId="3CB3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810" w:type="dxa"/>
            <w:vMerge w:val="restart"/>
            <w:noWrap w:val="0"/>
            <w:vAlign w:val="center"/>
          </w:tcPr>
          <w:p w14:paraId="61A7DCCB">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（6）幅度限位装置</w:t>
            </w:r>
          </w:p>
        </w:tc>
        <w:tc>
          <w:tcPr>
            <w:tcW w:w="5019" w:type="dxa"/>
            <w:noWrap w:val="0"/>
            <w:vAlign w:val="center"/>
          </w:tcPr>
          <w:p w14:paraId="40C967B0">
            <w:pPr>
              <w:ind w:firstLine="0" w:firstLineChars="0"/>
              <w:rPr>
                <w:rFonts w:hint="eastAsia" w:ascii="宋体" w:hAnsi="宋体" w:cs="宋体"/>
                <w:bCs/>
                <w:color w:val="auto"/>
                <w:sz w:val="21"/>
                <w:szCs w:val="21"/>
              </w:rPr>
            </w:pPr>
            <w:r>
              <w:rPr>
                <w:rFonts w:hint="eastAsia" w:ascii="宋体" w:hAnsi="宋体" w:cs="宋体"/>
                <w:bCs/>
                <w:color w:val="auto"/>
                <w:sz w:val="21"/>
                <w:szCs w:val="21"/>
              </w:rPr>
              <w:t>1.小车前后两端应设置限位开关和缓冲装置；</w:t>
            </w:r>
          </w:p>
        </w:tc>
        <w:tc>
          <w:tcPr>
            <w:tcW w:w="1773" w:type="dxa"/>
            <w:vMerge w:val="restart"/>
            <w:noWrap w:val="0"/>
            <w:vAlign w:val="center"/>
          </w:tcPr>
          <w:p w14:paraId="74AB1168">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43FF0F96">
            <w:pPr>
              <w:ind w:firstLine="0" w:firstLineChars="0"/>
              <w:rPr>
                <w:rFonts w:hint="eastAsia" w:ascii="宋体" w:hAnsi="宋体" w:cs="宋体"/>
                <w:bCs/>
                <w:color w:val="auto"/>
                <w:sz w:val="21"/>
                <w:szCs w:val="21"/>
                <w:highlight w:val="none"/>
              </w:rPr>
            </w:pPr>
          </w:p>
        </w:tc>
        <w:tc>
          <w:tcPr>
            <w:tcW w:w="1407" w:type="dxa"/>
            <w:noWrap w:val="0"/>
            <w:vAlign w:val="center"/>
          </w:tcPr>
          <w:p w14:paraId="4212DE91">
            <w:pPr>
              <w:ind w:firstLine="0" w:firstLineChars="0"/>
              <w:rPr>
                <w:rFonts w:hint="eastAsia" w:ascii="宋体" w:hAnsi="宋体" w:cs="宋体"/>
                <w:bCs/>
                <w:color w:val="auto"/>
                <w:sz w:val="21"/>
                <w:szCs w:val="21"/>
              </w:rPr>
            </w:pPr>
          </w:p>
        </w:tc>
      </w:tr>
      <w:tr w14:paraId="6D49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810" w:type="dxa"/>
            <w:vMerge w:val="continue"/>
            <w:noWrap w:val="0"/>
            <w:vAlign w:val="center"/>
          </w:tcPr>
          <w:p w14:paraId="3C154776">
            <w:pPr>
              <w:ind w:firstLine="0" w:firstLineChars="0"/>
              <w:jc w:val="center"/>
              <w:rPr>
                <w:rFonts w:hint="eastAsia" w:ascii="宋体" w:hAnsi="宋体" w:cs="宋体"/>
                <w:bCs/>
                <w:color w:val="auto"/>
                <w:sz w:val="21"/>
                <w:szCs w:val="21"/>
              </w:rPr>
            </w:pPr>
          </w:p>
        </w:tc>
        <w:tc>
          <w:tcPr>
            <w:tcW w:w="5019" w:type="dxa"/>
            <w:noWrap w:val="0"/>
            <w:vAlign w:val="center"/>
          </w:tcPr>
          <w:p w14:paraId="1D899AAB">
            <w:pPr>
              <w:ind w:firstLine="0" w:firstLineChars="0"/>
              <w:rPr>
                <w:rFonts w:hint="eastAsia" w:ascii="宋体" w:hAnsi="宋体" w:cs="宋体"/>
                <w:bCs/>
                <w:color w:val="auto"/>
                <w:sz w:val="21"/>
                <w:szCs w:val="21"/>
              </w:rPr>
            </w:pPr>
            <w:r>
              <w:rPr>
                <w:rFonts w:hint="eastAsia" w:ascii="宋体" w:hAnsi="宋体" w:cs="宋体"/>
                <w:bCs/>
                <w:color w:val="auto"/>
                <w:sz w:val="21"/>
                <w:szCs w:val="21"/>
              </w:rPr>
              <w:t>2.限位开关距小车停车时其端部缓冲装置最小距离200mm。</w:t>
            </w:r>
          </w:p>
        </w:tc>
        <w:tc>
          <w:tcPr>
            <w:tcW w:w="1773" w:type="dxa"/>
            <w:vMerge w:val="continue"/>
            <w:noWrap w:val="0"/>
            <w:vAlign w:val="center"/>
          </w:tcPr>
          <w:p w14:paraId="19B651F7">
            <w:pPr>
              <w:ind w:firstLine="0" w:firstLineChars="0"/>
              <w:rPr>
                <w:rFonts w:hint="eastAsia" w:ascii="宋体" w:hAnsi="宋体" w:cs="宋体"/>
                <w:bCs/>
                <w:color w:val="auto"/>
                <w:sz w:val="21"/>
                <w:szCs w:val="21"/>
              </w:rPr>
            </w:pPr>
          </w:p>
        </w:tc>
        <w:tc>
          <w:tcPr>
            <w:tcW w:w="1407" w:type="dxa"/>
            <w:noWrap w:val="0"/>
            <w:vAlign w:val="center"/>
          </w:tcPr>
          <w:p w14:paraId="5C0AF019">
            <w:pPr>
              <w:ind w:firstLine="0" w:firstLineChars="0"/>
              <w:rPr>
                <w:rFonts w:hint="eastAsia" w:ascii="宋体" w:hAnsi="宋体" w:cs="宋体"/>
                <w:bCs/>
                <w:color w:val="auto"/>
                <w:sz w:val="21"/>
                <w:szCs w:val="21"/>
              </w:rPr>
            </w:pPr>
          </w:p>
        </w:tc>
      </w:tr>
      <w:tr w14:paraId="7766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14:paraId="6AAA7E8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（7）力矩限制器</w:t>
            </w:r>
          </w:p>
        </w:tc>
        <w:tc>
          <w:tcPr>
            <w:tcW w:w="5019" w:type="dxa"/>
            <w:noWrap w:val="0"/>
            <w:vAlign w:val="center"/>
          </w:tcPr>
          <w:p w14:paraId="56D3D888">
            <w:pPr>
              <w:ind w:firstLine="0" w:firstLineChars="0"/>
              <w:rPr>
                <w:rFonts w:hint="eastAsia" w:ascii="宋体" w:hAnsi="宋体" w:cs="宋体"/>
                <w:bCs/>
                <w:color w:val="auto"/>
                <w:sz w:val="21"/>
                <w:szCs w:val="21"/>
              </w:rPr>
            </w:pPr>
            <w:r>
              <w:rPr>
                <w:rFonts w:hint="eastAsia" w:ascii="宋体" w:hAnsi="宋体" w:cs="宋体"/>
                <w:bCs/>
                <w:color w:val="auto"/>
                <w:sz w:val="21"/>
                <w:szCs w:val="21"/>
              </w:rPr>
              <w:t>1.应设置力矩限制器；</w:t>
            </w:r>
          </w:p>
        </w:tc>
        <w:tc>
          <w:tcPr>
            <w:tcW w:w="1773" w:type="dxa"/>
            <w:vMerge w:val="restart"/>
            <w:noWrap w:val="0"/>
            <w:vAlign w:val="center"/>
          </w:tcPr>
          <w:p w14:paraId="7422A8E7">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w:t>
            </w:r>
            <w:r>
              <w:rPr>
                <w:rFonts w:hint="eastAsia" w:ascii="宋体" w:hAnsi="宋体" w:cs="宋体"/>
                <w:bCs/>
                <w:color w:val="auto"/>
                <w:sz w:val="21"/>
                <w:szCs w:val="21"/>
                <w:highlight w:val="none"/>
                <w:lang w:val="en-US" w:eastAsia="zh-CN"/>
              </w:rPr>
              <w:t xml:space="preserve">/T </w:t>
            </w:r>
            <w:r>
              <w:rPr>
                <w:rFonts w:hint="eastAsia" w:ascii="宋体" w:hAnsi="宋体" w:cs="宋体"/>
                <w:bCs/>
                <w:color w:val="auto"/>
                <w:sz w:val="21"/>
                <w:szCs w:val="21"/>
                <w:highlight w:val="none"/>
              </w:rPr>
              <w:t>12602-20</w:t>
            </w:r>
            <w:r>
              <w:rPr>
                <w:rFonts w:hint="eastAsia" w:ascii="宋体" w:hAnsi="宋体" w:cs="宋体"/>
                <w:bCs/>
                <w:color w:val="auto"/>
                <w:sz w:val="21"/>
                <w:szCs w:val="21"/>
                <w:highlight w:val="none"/>
                <w:lang w:val="en-US" w:eastAsia="zh-CN"/>
              </w:rPr>
              <w:t>20</w:t>
            </w:r>
          </w:p>
        </w:tc>
        <w:tc>
          <w:tcPr>
            <w:tcW w:w="1407" w:type="dxa"/>
            <w:noWrap w:val="0"/>
            <w:vAlign w:val="center"/>
          </w:tcPr>
          <w:p w14:paraId="278DD738">
            <w:pPr>
              <w:ind w:firstLine="0" w:firstLineChars="0"/>
              <w:rPr>
                <w:rFonts w:hint="eastAsia" w:ascii="宋体" w:hAnsi="宋体" w:cs="宋体"/>
                <w:bCs/>
                <w:color w:val="auto"/>
                <w:sz w:val="21"/>
                <w:szCs w:val="21"/>
              </w:rPr>
            </w:pPr>
          </w:p>
        </w:tc>
      </w:tr>
      <w:tr w14:paraId="17D6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72BCC926">
            <w:pPr>
              <w:ind w:firstLine="0" w:firstLineChars="0"/>
              <w:jc w:val="center"/>
              <w:rPr>
                <w:rFonts w:hint="eastAsia" w:ascii="宋体" w:hAnsi="宋体" w:cs="宋体"/>
                <w:bCs/>
                <w:color w:val="auto"/>
                <w:sz w:val="21"/>
                <w:szCs w:val="21"/>
              </w:rPr>
            </w:pPr>
          </w:p>
        </w:tc>
        <w:tc>
          <w:tcPr>
            <w:tcW w:w="5019" w:type="dxa"/>
            <w:noWrap w:val="0"/>
            <w:vAlign w:val="center"/>
          </w:tcPr>
          <w:p w14:paraId="40E16E48">
            <w:pPr>
              <w:ind w:firstLine="0" w:firstLineChars="0"/>
              <w:rPr>
                <w:rFonts w:hint="eastAsia" w:ascii="宋体" w:hAnsi="宋体" w:cs="宋体"/>
                <w:bCs/>
                <w:color w:val="auto"/>
                <w:sz w:val="21"/>
                <w:szCs w:val="21"/>
              </w:rPr>
            </w:pPr>
            <w:r>
              <w:rPr>
                <w:rFonts w:hint="eastAsia" w:ascii="宋体" w:hAnsi="宋体" w:cs="宋体"/>
                <w:bCs/>
                <w:color w:val="auto"/>
                <w:sz w:val="21"/>
                <w:szCs w:val="21"/>
              </w:rPr>
              <w:t>2.起重量达到90%-95%时，能发出报警信号；</w:t>
            </w:r>
          </w:p>
        </w:tc>
        <w:tc>
          <w:tcPr>
            <w:tcW w:w="1773" w:type="dxa"/>
            <w:vMerge w:val="continue"/>
            <w:noWrap w:val="0"/>
            <w:vAlign w:val="center"/>
          </w:tcPr>
          <w:p w14:paraId="20EC9C78">
            <w:pPr>
              <w:ind w:firstLine="0" w:firstLineChars="0"/>
              <w:rPr>
                <w:rFonts w:hint="eastAsia" w:ascii="宋体" w:hAnsi="宋体" w:cs="宋体"/>
                <w:bCs/>
                <w:color w:val="auto"/>
                <w:sz w:val="21"/>
                <w:szCs w:val="21"/>
              </w:rPr>
            </w:pPr>
          </w:p>
        </w:tc>
        <w:tc>
          <w:tcPr>
            <w:tcW w:w="1407" w:type="dxa"/>
            <w:noWrap w:val="0"/>
            <w:vAlign w:val="center"/>
          </w:tcPr>
          <w:p w14:paraId="4DD6AEAC">
            <w:pPr>
              <w:ind w:firstLine="0" w:firstLineChars="0"/>
              <w:rPr>
                <w:rFonts w:hint="eastAsia" w:ascii="宋体" w:hAnsi="宋体" w:cs="宋体"/>
                <w:bCs/>
                <w:color w:val="auto"/>
                <w:sz w:val="21"/>
                <w:szCs w:val="21"/>
              </w:rPr>
            </w:pPr>
          </w:p>
        </w:tc>
      </w:tr>
      <w:tr w14:paraId="08F7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810" w:type="dxa"/>
            <w:vMerge w:val="continue"/>
            <w:noWrap w:val="0"/>
            <w:vAlign w:val="center"/>
          </w:tcPr>
          <w:p w14:paraId="59C54051">
            <w:pPr>
              <w:ind w:firstLine="0" w:firstLineChars="0"/>
              <w:jc w:val="center"/>
              <w:rPr>
                <w:rFonts w:hint="eastAsia" w:ascii="宋体" w:hAnsi="宋体" w:cs="宋体"/>
                <w:bCs/>
                <w:color w:val="auto"/>
                <w:sz w:val="21"/>
                <w:szCs w:val="21"/>
              </w:rPr>
            </w:pPr>
          </w:p>
        </w:tc>
        <w:tc>
          <w:tcPr>
            <w:tcW w:w="5019" w:type="dxa"/>
            <w:noWrap w:val="0"/>
            <w:vAlign w:val="center"/>
          </w:tcPr>
          <w:p w14:paraId="1E88E616">
            <w:pPr>
              <w:ind w:firstLine="0" w:firstLineChars="0"/>
              <w:rPr>
                <w:rFonts w:hint="eastAsia" w:ascii="宋体" w:hAnsi="宋体" w:cs="宋体"/>
                <w:bCs/>
                <w:color w:val="auto"/>
                <w:sz w:val="21"/>
                <w:szCs w:val="21"/>
              </w:rPr>
            </w:pPr>
            <w:r>
              <w:rPr>
                <w:rFonts w:hint="eastAsia" w:ascii="宋体" w:hAnsi="宋体" w:cs="宋体"/>
                <w:bCs/>
                <w:color w:val="auto"/>
                <w:sz w:val="21"/>
                <w:szCs w:val="21"/>
              </w:rPr>
              <w:t>3.起重量达到105%-110%时，能停止向不安全方向继续动作。</w:t>
            </w:r>
          </w:p>
        </w:tc>
        <w:tc>
          <w:tcPr>
            <w:tcW w:w="1773" w:type="dxa"/>
            <w:vMerge w:val="continue"/>
            <w:noWrap w:val="0"/>
            <w:vAlign w:val="center"/>
          </w:tcPr>
          <w:p w14:paraId="3537DE44">
            <w:pPr>
              <w:ind w:firstLine="0" w:firstLineChars="0"/>
              <w:rPr>
                <w:rFonts w:hint="eastAsia" w:ascii="宋体" w:hAnsi="宋体" w:cs="宋体"/>
                <w:bCs/>
                <w:color w:val="auto"/>
                <w:sz w:val="21"/>
                <w:szCs w:val="21"/>
              </w:rPr>
            </w:pPr>
          </w:p>
        </w:tc>
        <w:tc>
          <w:tcPr>
            <w:tcW w:w="1407" w:type="dxa"/>
            <w:noWrap w:val="0"/>
            <w:vAlign w:val="center"/>
          </w:tcPr>
          <w:p w14:paraId="167E65F3">
            <w:pPr>
              <w:ind w:firstLine="0" w:firstLineChars="0"/>
              <w:rPr>
                <w:rFonts w:hint="eastAsia" w:ascii="宋体" w:hAnsi="宋体" w:cs="宋体"/>
                <w:bCs/>
                <w:color w:val="auto"/>
                <w:sz w:val="21"/>
                <w:szCs w:val="21"/>
              </w:rPr>
            </w:pPr>
          </w:p>
        </w:tc>
      </w:tr>
      <w:tr w14:paraId="273C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810" w:type="dxa"/>
            <w:vMerge w:val="continue"/>
            <w:noWrap w:val="0"/>
            <w:vAlign w:val="center"/>
          </w:tcPr>
          <w:p w14:paraId="3B23A294">
            <w:pPr>
              <w:ind w:firstLine="0" w:firstLineChars="0"/>
              <w:jc w:val="center"/>
              <w:rPr>
                <w:rFonts w:hint="eastAsia" w:ascii="宋体" w:hAnsi="宋体" w:cs="宋体"/>
                <w:bCs/>
                <w:color w:val="auto"/>
                <w:sz w:val="21"/>
                <w:szCs w:val="21"/>
              </w:rPr>
            </w:pPr>
          </w:p>
        </w:tc>
        <w:tc>
          <w:tcPr>
            <w:tcW w:w="5019" w:type="dxa"/>
            <w:noWrap w:val="0"/>
            <w:vAlign w:val="center"/>
          </w:tcPr>
          <w:p w14:paraId="1611E19F">
            <w:pPr>
              <w:ind w:firstLine="0" w:firstLineChars="0"/>
              <w:rPr>
                <w:rFonts w:hint="eastAsia" w:ascii="宋体" w:hAnsi="宋体" w:cs="宋体"/>
                <w:bCs/>
                <w:color w:val="auto"/>
                <w:sz w:val="21"/>
                <w:szCs w:val="21"/>
              </w:rPr>
            </w:pPr>
            <w:r>
              <w:rPr>
                <w:rFonts w:hint="eastAsia" w:ascii="宋体" w:hAnsi="宋体" w:cs="宋体"/>
                <w:bCs/>
                <w:color w:val="auto"/>
                <w:sz w:val="21"/>
                <w:szCs w:val="21"/>
              </w:rPr>
              <w:t>4.力矩限制器综合误差不超过±8%。</w:t>
            </w:r>
          </w:p>
        </w:tc>
        <w:tc>
          <w:tcPr>
            <w:tcW w:w="1773" w:type="dxa"/>
            <w:vMerge w:val="continue"/>
            <w:noWrap w:val="0"/>
            <w:vAlign w:val="center"/>
          </w:tcPr>
          <w:p w14:paraId="074C9070">
            <w:pPr>
              <w:ind w:firstLine="0" w:firstLineChars="0"/>
              <w:rPr>
                <w:rFonts w:hint="eastAsia" w:ascii="宋体" w:hAnsi="宋体" w:cs="宋体"/>
                <w:bCs/>
                <w:color w:val="auto"/>
                <w:sz w:val="21"/>
                <w:szCs w:val="21"/>
              </w:rPr>
            </w:pPr>
          </w:p>
        </w:tc>
        <w:tc>
          <w:tcPr>
            <w:tcW w:w="1407" w:type="dxa"/>
            <w:noWrap w:val="0"/>
            <w:vAlign w:val="center"/>
          </w:tcPr>
          <w:p w14:paraId="6D5EEB39">
            <w:pPr>
              <w:ind w:firstLine="0" w:firstLineChars="0"/>
              <w:rPr>
                <w:rFonts w:hint="eastAsia" w:ascii="宋体" w:hAnsi="宋体" w:cs="宋体"/>
                <w:bCs/>
                <w:color w:val="auto"/>
                <w:sz w:val="21"/>
                <w:szCs w:val="21"/>
              </w:rPr>
            </w:pPr>
          </w:p>
        </w:tc>
      </w:tr>
      <w:tr w14:paraId="7BE6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restart"/>
            <w:noWrap w:val="0"/>
            <w:vAlign w:val="center"/>
          </w:tcPr>
          <w:p w14:paraId="589A17B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（8）附</w:t>
            </w:r>
          </w:p>
          <w:p w14:paraId="03C143F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着</w:t>
            </w:r>
          </w:p>
          <w:p w14:paraId="0064F8C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架</w:t>
            </w:r>
          </w:p>
        </w:tc>
        <w:tc>
          <w:tcPr>
            <w:tcW w:w="5019" w:type="dxa"/>
            <w:noWrap w:val="0"/>
            <w:vAlign w:val="center"/>
          </w:tcPr>
          <w:p w14:paraId="30D9258C">
            <w:pPr>
              <w:ind w:firstLine="0" w:firstLineChars="0"/>
              <w:rPr>
                <w:rFonts w:hint="eastAsia" w:ascii="宋体" w:hAnsi="宋体" w:cs="宋体"/>
                <w:bCs/>
                <w:color w:val="auto"/>
                <w:sz w:val="21"/>
                <w:szCs w:val="21"/>
              </w:rPr>
            </w:pPr>
            <w:r>
              <w:rPr>
                <w:rFonts w:hint="eastAsia" w:ascii="宋体" w:hAnsi="宋体" w:cs="宋体"/>
                <w:bCs/>
                <w:color w:val="auto"/>
                <w:sz w:val="21"/>
                <w:szCs w:val="21"/>
              </w:rPr>
              <w:t>1.框架、附着杆安装正确、牢固；无开焊、变形、裂纹；</w:t>
            </w:r>
          </w:p>
        </w:tc>
        <w:tc>
          <w:tcPr>
            <w:tcW w:w="1773" w:type="dxa"/>
            <w:vMerge w:val="restart"/>
            <w:noWrap w:val="0"/>
            <w:vAlign w:val="center"/>
          </w:tcPr>
          <w:p w14:paraId="2CEFE96A">
            <w:pPr>
              <w:ind w:firstLine="0" w:firstLineChars="0"/>
              <w:rPr>
                <w:rFonts w:hint="eastAsia" w:ascii="宋体" w:hAnsi="宋体" w:cs="宋体"/>
                <w:bCs/>
                <w:color w:val="auto"/>
                <w:sz w:val="21"/>
                <w:szCs w:val="21"/>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tc>
        <w:tc>
          <w:tcPr>
            <w:tcW w:w="1407" w:type="dxa"/>
            <w:noWrap w:val="0"/>
            <w:vAlign w:val="center"/>
          </w:tcPr>
          <w:p w14:paraId="619D60C1">
            <w:pPr>
              <w:ind w:firstLine="0" w:firstLineChars="0"/>
              <w:rPr>
                <w:rFonts w:hint="eastAsia" w:ascii="宋体" w:hAnsi="宋体" w:cs="宋体"/>
                <w:bCs/>
                <w:color w:val="auto"/>
                <w:sz w:val="21"/>
                <w:szCs w:val="21"/>
              </w:rPr>
            </w:pPr>
          </w:p>
        </w:tc>
      </w:tr>
      <w:tr w14:paraId="593F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6273BCD2">
            <w:pPr>
              <w:ind w:firstLine="0" w:firstLineChars="0"/>
              <w:jc w:val="center"/>
              <w:rPr>
                <w:rFonts w:hint="eastAsia" w:ascii="宋体" w:hAnsi="宋体" w:cs="宋体"/>
                <w:bCs/>
                <w:color w:val="auto"/>
                <w:sz w:val="21"/>
                <w:szCs w:val="21"/>
              </w:rPr>
            </w:pPr>
          </w:p>
        </w:tc>
        <w:tc>
          <w:tcPr>
            <w:tcW w:w="5019" w:type="dxa"/>
            <w:noWrap w:val="0"/>
            <w:vAlign w:val="center"/>
          </w:tcPr>
          <w:p w14:paraId="7C191A15">
            <w:pPr>
              <w:ind w:firstLine="0" w:firstLineChars="0"/>
              <w:rPr>
                <w:rFonts w:hint="eastAsia" w:ascii="宋体" w:hAnsi="宋体" w:cs="宋体"/>
                <w:bCs/>
                <w:color w:val="auto"/>
                <w:sz w:val="21"/>
                <w:szCs w:val="21"/>
              </w:rPr>
            </w:pPr>
            <w:r>
              <w:rPr>
                <w:rFonts w:hint="eastAsia" w:ascii="宋体" w:hAnsi="宋体" w:cs="宋体"/>
                <w:bCs/>
                <w:color w:val="auto"/>
                <w:sz w:val="21"/>
                <w:szCs w:val="21"/>
              </w:rPr>
              <w:t>2.各处螺栓、轴销齐全牢固；</w:t>
            </w:r>
          </w:p>
        </w:tc>
        <w:tc>
          <w:tcPr>
            <w:tcW w:w="1773" w:type="dxa"/>
            <w:vMerge w:val="continue"/>
            <w:noWrap w:val="0"/>
            <w:vAlign w:val="center"/>
          </w:tcPr>
          <w:p w14:paraId="0ADAFEA0">
            <w:pPr>
              <w:ind w:firstLine="0" w:firstLineChars="0"/>
              <w:rPr>
                <w:rFonts w:hint="eastAsia" w:ascii="宋体" w:hAnsi="宋体" w:cs="宋体"/>
                <w:bCs/>
                <w:color w:val="auto"/>
                <w:sz w:val="21"/>
                <w:szCs w:val="21"/>
              </w:rPr>
            </w:pPr>
          </w:p>
        </w:tc>
        <w:tc>
          <w:tcPr>
            <w:tcW w:w="1407" w:type="dxa"/>
            <w:noWrap w:val="0"/>
            <w:vAlign w:val="center"/>
          </w:tcPr>
          <w:p w14:paraId="0E76A637">
            <w:pPr>
              <w:ind w:firstLine="0" w:firstLineChars="0"/>
              <w:rPr>
                <w:rFonts w:hint="eastAsia" w:ascii="宋体" w:hAnsi="宋体" w:cs="宋体"/>
                <w:bCs/>
                <w:color w:val="auto"/>
                <w:sz w:val="21"/>
                <w:szCs w:val="21"/>
              </w:rPr>
            </w:pPr>
          </w:p>
        </w:tc>
      </w:tr>
      <w:tr w14:paraId="7A39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2304FED5">
            <w:pPr>
              <w:ind w:firstLine="0" w:firstLineChars="0"/>
              <w:jc w:val="center"/>
              <w:rPr>
                <w:rFonts w:hint="eastAsia" w:ascii="宋体" w:hAnsi="宋体" w:cs="宋体"/>
                <w:bCs/>
                <w:color w:val="auto"/>
                <w:sz w:val="21"/>
                <w:szCs w:val="21"/>
              </w:rPr>
            </w:pPr>
          </w:p>
        </w:tc>
        <w:tc>
          <w:tcPr>
            <w:tcW w:w="5019" w:type="dxa"/>
            <w:noWrap w:val="0"/>
            <w:vAlign w:val="center"/>
          </w:tcPr>
          <w:p w14:paraId="3984FD83">
            <w:pPr>
              <w:ind w:firstLine="0" w:firstLineChars="0"/>
              <w:rPr>
                <w:rFonts w:hint="eastAsia" w:ascii="宋体" w:hAnsi="宋体" w:cs="宋体"/>
                <w:bCs/>
                <w:color w:val="auto"/>
                <w:sz w:val="21"/>
                <w:szCs w:val="21"/>
              </w:rPr>
            </w:pPr>
            <w:r>
              <w:rPr>
                <w:rFonts w:hint="eastAsia" w:ascii="宋体" w:hAnsi="宋体" w:cs="宋体"/>
                <w:bCs/>
                <w:color w:val="auto"/>
                <w:sz w:val="21"/>
                <w:szCs w:val="21"/>
              </w:rPr>
              <w:t>3.间距、数量、安装固定符合说明书要求；</w:t>
            </w:r>
          </w:p>
        </w:tc>
        <w:tc>
          <w:tcPr>
            <w:tcW w:w="1773" w:type="dxa"/>
            <w:vMerge w:val="continue"/>
            <w:noWrap w:val="0"/>
            <w:vAlign w:val="center"/>
          </w:tcPr>
          <w:p w14:paraId="47BE3FD9">
            <w:pPr>
              <w:ind w:firstLine="0" w:firstLineChars="0"/>
              <w:rPr>
                <w:rFonts w:hint="eastAsia" w:ascii="宋体" w:hAnsi="宋体" w:cs="宋体"/>
                <w:bCs/>
                <w:color w:val="auto"/>
                <w:sz w:val="21"/>
                <w:szCs w:val="21"/>
              </w:rPr>
            </w:pPr>
          </w:p>
        </w:tc>
        <w:tc>
          <w:tcPr>
            <w:tcW w:w="1407" w:type="dxa"/>
            <w:noWrap w:val="0"/>
            <w:vAlign w:val="center"/>
          </w:tcPr>
          <w:p w14:paraId="0FDF86CE">
            <w:pPr>
              <w:ind w:firstLine="0" w:firstLineChars="0"/>
              <w:rPr>
                <w:rFonts w:hint="eastAsia" w:ascii="宋体" w:hAnsi="宋体" w:cs="宋体"/>
                <w:bCs/>
                <w:color w:val="auto"/>
                <w:sz w:val="21"/>
                <w:szCs w:val="21"/>
              </w:rPr>
            </w:pPr>
          </w:p>
        </w:tc>
      </w:tr>
      <w:tr w14:paraId="78A1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384172D4">
            <w:pPr>
              <w:ind w:firstLine="0" w:firstLineChars="0"/>
              <w:jc w:val="center"/>
              <w:rPr>
                <w:rFonts w:hint="eastAsia" w:ascii="宋体" w:hAnsi="宋体" w:cs="宋体"/>
                <w:bCs/>
                <w:color w:val="auto"/>
                <w:sz w:val="21"/>
                <w:szCs w:val="21"/>
              </w:rPr>
            </w:pPr>
          </w:p>
        </w:tc>
        <w:tc>
          <w:tcPr>
            <w:tcW w:w="5019" w:type="dxa"/>
            <w:noWrap w:val="0"/>
            <w:vAlign w:val="center"/>
          </w:tcPr>
          <w:p w14:paraId="73B49490">
            <w:pPr>
              <w:ind w:firstLine="0" w:firstLineChars="0"/>
              <w:rPr>
                <w:rFonts w:hint="eastAsia" w:ascii="宋体" w:hAnsi="宋体" w:cs="宋体"/>
                <w:bCs/>
                <w:color w:val="auto"/>
                <w:sz w:val="21"/>
                <w:szCs w:val="21"/>
              </w:rPr>
            </w:pPr>
            <w:r>
              <w:rPr>
                <w:rFonts w:hint="eastAsia" w:ascii="宋体" w:hAnsi="宋体" w:cs="宋体"/>
                <w:bCs/>
                <w:color w:val="auto"/>
                <w:sz w:val="21"/>
                <w:szCs w:val="21"/>
              </w:rPr>
              <w:t>4.架体不得擅自改动。</w:t>
            </w:r>
          </w:p>
        </w:tc>
        <w:tc>
          <w:tcPr>
            <w:tcW w:w="1773" w:type="dxa"/>
            <w:vMerge w:val="continue"/>
            <w:noWrap w:val="0"/>
            <w:vAlign w:val="center"/>
          </w:tcPr>
          <w:p w14:paraId="0F250DA4">
            <w:pPr>
              <w:ind w:firstLine="0" w:firstLineChars="0"/>
              <w:rPr>
                <w:rFonts w:hint="eastAsia" w:ascii="宋体" w:hAnsi="宋体" w:cs="宋体"/>
                <w:bCs/>
                <w:color w:val="auto"/>
                <w:sz w:val="21"/>
                <w:szCs w:val="21"/>
              </w:rPr>
            </w:pPr>
          </w:p>
        </w:tc>
        <w:tc>
          <w:tcPr>
            <w:tcW w:w="1407" w:type="dxa"/>
            <w:noWrap w:val="0"/>
            <w:vAlign w:val="center"/>
          </w:tcPr>
          <w:p w14:paraId="186C5549">
            <w:pPr>
              <w:ind w:firstLine="0" w:firstLineChars="0"/>
              <w:rPr>
                <w:rFonts w:hint="eastAsia" w:ascii="宋体" w:hAnsi="宋体" w:cs="宋体"/>
                <w:bCs/>
                <w:color w:val="auto"/>
                <w:sz w:val="21"/>
                <w:szCs w:val="21"/>
              </w:rPr>
            </w:pPr>
          </w:p>
        </w:tc>
      </w:tr>
      <w:tr w14:paraId="1648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restart"/>
            <w:noWrap w:val="0"/>
            <w:vAlign w:val="center"/>
          </w:tcPr>
          <w:p w14:paraId="386E9C22">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（9）电</w:t>
            </w:r>
          </w:p>
          <w:p w14:paraId="0AAF994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气</w:t>
            </w:r>
          </w:p>
        </w:tc>
        <w:tc>
          <w:tcPr>
            <w:tcW w:w="5019" w:type="dxa"/>
            <w:noWrap w:val="0"/>
            <w:vAlign w:val="center"/>
          </w:tcPr>
          <w:p w14:paraId="5E2E2E9D">
            <w:pPr>
              <w:ind w:firstLine="0" w:firstLineChars="0"/>
              <w:rPr>
                <w:rFonts w:hint="eastAsia" w:ascii="宋体" w:hAnsi="宋体" w:cs="宋体"/>
                <w:bCs/>
                <w:color w:val="auto"/>
                <w:sz w:val="21"/>
                <w:szCs w:val="21"/>
              </w:rPr>
            </w:pPr>
            <w:r>
              <w:rPr>
                <w:rFonts w:hint="eastAsia" w:ascii="宋体" w:hAnsi="宋体" w:cs="宋体"/>
                <w:bCs/>
                <w:color w:val="auto"/>
                <w:sz w:val="21"/>
                <w:szCs w:val="21"/>
              </w:rPr>
              <w:t>1.电缆无破损，无老化；</w:t>
            </w:r>
          </w:p>
        </w:tc>
        <w:tc>
          <w:tcPr>
            <w:tcW w:w="1773" w:type="dxa"/>
            <w:vMerge w:val="restart"/>
            <w:noWrap w:val="0"/>
            <w:vAlign w:val="center"/>
          </w:tcPr>
          <w:p w14:paraId="04718F39">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GB5226-20</w:t>
            </w:r>
            <w:r>
              <w:rPr>
                <w:rFonts w:hint="eastAsia" w:ascii="宋体" w:hAnsi="宋体" w:cs="宋体"/>
                <w:bCs/>
                <w:color w:val="auto"/>
                <w:sz w:val="21"/>
                <w:szCs w:val="21"/>
                <w:highlight w:val="none"/>
                <w:lang w:val="en-US" w:eastAsia="zh-CN"/>
              </w:rPr>
              <w:t>20</w:t>
            </w:r>
          </w:p>
          <w:p w14:paraId="456CD2B3">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p w14:paraId="14033428">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GBT5031-</w:t>
            </w:r>
            <w:r>
              <w:rPr>
                <w:rFonts w:hint="eastAsia" w:ascii="宋体" w:hAnsi="宋体" w:cs="宋体"/>
                <w:bCs/>
                <w:color w:val="auto"/>
                <w:sz w:val="21"/>
                <w:szCs w:val="21"/>
                <w:highlight w:val="none"/>
                <w:lang w:val="en-US" w:eastAsia="zh-CN"/>
              </w:rPr>
              <w:t>2019</w:t>
            </w:r>
          </w:p>
        </w:tc>
        <w:tc>
          <w:tcPr>
            <w:tcW w:w="1407" w:type="dxa"/>
            <w:noWrap w:val="0"/>
            <w:vAlign w:val="center"/>
          </w:tcPr>
          <w:p w14:paraId="74AFC58B">
            <w:pPr>
              <w:ind w:firstLine="0" w:firstLineChars="0"/>
              <w:rPr>
                <w:rFonts w:hint="eastAsia" w:ascii="宋体" w:hAnsi="宋体" w:cs="宋体"/>
                <w:bCs/>
                <w:color w:val="auto"/>
                <w:sz w:val="21"/>
                <w:szCs w:val="21"/>
              </w:rPr>
            </w:pPr>
          </w:p>
        </w:tc>
      </w:tr>
      <w:tr w14:paraId="4BB5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14:paraId="5FFE1E26">
            <w:pPr>
              <w:ind w:firstLine="0" w:firstLineChars="0"/>
              <w:jc w:val="center"/>
              <w:rPr>
                <w:rFonts w:hint="eastAsia" w:ascii="宋体" w:hAnsi="宋体" w:cs="宋体"/>
                <w:bCs/>
                <w:color w:val="auto"/>
                <w:sz w:val="21"/>
                <w:szCs w:val="21"/>
              </w:rPr>
            </w:pPr>
          </w:p>
        </w:tc>
        <w:tc>
          <w:tcPr>
            <w:tcW w:w="5019" w:type="dxa"/>
            <w:noWrap w:val="0"/>
            <w:vAlign w:val="center"/>
          </w:tcPr>
          <w:p w14:paraId="0684DC76">
            <w:pPr>
              <w:ind w:firstLine="0" w:firstLineChars="0"/>
              <w:rPr>
                <w:rFonts w:hint="eastAsia" w:ascii="宋体" w:hAnsi="宋体" w:cs="宋体"/>
                <w:bCs/>
                <w:color w:val="auto"/>
                <w:sz w:val="21"/>
                <w:szCs w:val="21"/>
              </w:rPr>
            </w:pPr>
            <w:r>
              <w:rPr>
                <w:rFonts w:hint="eastAsia" w:ascii="宋体" w:hAnsi="宋体" w:cs="宋体"/>
                <w:bCs/>
                <w:color w:val="auto"/>
                <w:sz w:val="21"/>
                <w:szCs w:val="21"/>
              </w:rPr>
              <w:t>2.各接地、接零保护装置符合要求；</w:t>
            </w:r>
          </w:p>
        </w:tc>
        <w:tc>
          <w:tcPr>
            <w:tcW w:w="1773" w:type="dxa"/>
            <w:vMerge w:val="continue"/>
            <w:noWrap w:val="0"/>
            <w:vAlign w:val="center"/>
          </w:tcPr>
          <w:p w14:paraId="4B399EE1">
            <w:pPr>
              <w:ind w:firstLine="0" w:firstLineChars="0"/>
              <w:rPr>
                <w:rFonts w:hint="eastAsia" w:ascii="宋体" w:hAnsi="宋体" w:cs="宋体"/>
                <w:bCs/>
                <w:color w:val="auto"/>
                <w:sz w:val="21"/>
                <w:szCs w:val="21"/>
              </w:rPr>
            </w:pPr>
          </w:p>
        </w:tc>
        <w:tc>
          <w:tcPr>
            <w:tcW w:w="1407" w:type="dxa"/>
            <w:noWrap w:val="0"/>
            <w:vAlign w:val="center"/>
          </w:tcPr>
          <w:p w14:paraId="64307274">
            <w:pPr>
              <w:ind w:firstLine="0" w:firstLineChars="0"/>
              <w:rPr>
                <w:rFonts w:hint="eastAsia" w:ascii="宋体" w:hAnsi="宋体" w:cs="宋体"/>
                <w:bCs/>
                <w:color w:val="auto"/>
                <w:sz w:val="21"/>
                <w:szCs w:val="21"/>
              </w:rPr>
            </w:pPr>
          </w:p>
        </w:tc>
      </w:tr>
      <w:tr w14:paraId="2CCB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5456B738">
            <w:pPr>
              <w:ind w:firstLine="0" w:firstLineChars="0"/>
              <w:jc w:val="center"/>
              <w:rPr>
                <w:rFonts w:hint="eastAsia" w:ascii="宋体" w:hAnsi="宋体" w:cs="宋体"/>
                <w:bCs/>
                <w:color w:val="auto"/>
                <w:sz w:val="21"/>
                <w:szCs w:val="21"/>
              </w:rPr>
            </w:pPr>
          </w:p>
        </w:tc>
        <w:tc>
          <w:tcPr>
            <w:tcW w:w="5019" w:type="dxa"/>
            <w:noWrap w:val="0"/>
            <w:vAlign w:val="center"/>
          </w:tcPr>
          <w:p w14:paraId="64182CAA">
            <w:pPr>
              <w:ind w:firstLine="0" w:firstLineChars="0"/>
              <w:rPr>
                <w:rFonts w:hint="eastAsia" w:ascii="宋体" w:hAnsi="宋体" w:cs="宋体"/>
                <w:bCs/>
                <w:color w:val="auto"/>
                <w:sz w:val="21"/>
                <w:szCs w:val="21"/>
              </w:rPr>
            </w:pPr>
            <w:r>
              <w:rPr>
                <w:rFonts w:hint="eastAsia" w:ascii="宋体" w:hAnsi="宋体" w:cs="宋体"/>
                <w:bCs/>
                <w:color w:val="auto"/>
                <w:sz w:val="21"/>
                <w:szCs w:val="21"/>
              </w:rPr>
              <w:t>3.开关等配电装置齐全有效；</w:t>
            </w:r>
          </w:p>
        </w:tc>
        <w:tc>
          <w:tcPr>
            <w:tcW w:w="1773" w:type="dxa"/>
            <w:vMerge w:val="continue"/>
            <w:noWrap w:val="0"/>
            <w:vAlign w:val="center"/>
          </w:tcPr>
          <w:p w14:paraId="6EF6793B">
            <w:pPr>
              <w:ind w:firstLine="0" w:firstLineChars="0"/>
              <w:rPr>
                <w:rFonts w:hint="eastAsia" w:ascii="宋体" w:hAnsi="宋体" w:cs="宋体"/>
                <w:bCs/>
                <w:color w:val="auto"/>
                <w:sz w:val="21"/>
                <w:szCs w:val="21"/>
              </w:rPr>
            </w:pPr>
          </w:p>
        </w:tc>
        <w:tc>
          <w:tcPr>
            <w:tcW w:w="1407" w:type="dxa"/>
            <w:noWrap w:val="0"/>
            <w:vAlign w:val="center"/>
          </w:tcPr>
          <w:p w14:paraId="41F43C4C">
            <w:pPr>
              <w:ind w:firstLine="0" w:firstLineChars="0"/>
              <w:rPr>
                <w:rFonts w:hint="eastAsia" w:ascii="宋体" w:hAnsi="宋体" w:cs="宋体"/>
                <w:bCs/>
                <w:color w:val="auto"/>
                <w:sz w:val="21"/>
                <w:szCs w:val="21"/>
              </w:rPr>
            </w:pPr>
          </w:p>
        </w:tc>
      </w:tr>
      <w:tr w14:paraId="640C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027C988E">
            <w:pPr>
              <w:ind w:firstLine="0" w:firstLineChars="0"/>
              <w:jc w:val="center"/>
              <w:rPr>
                <w:rFonts w:hint="eastAsia" w:ascii="宋体" w:hAnsi="宋体" w:cs="宋体"/>
                <w:bCs/>
                <w:color w:val="auto"/>
                <w:sz w:val="21"/>
                <w:szCs w:val="21"/>
              </w:rPr>
            </w:pPr>
          </w:p>
        </w:tc>
        <w:tc>
          <w:tcPr>
            <w:tcW w:w="5019" w:type="dxa"/>
            <w:noWrap w:val="0"/>
            <w:vAlign w:val="center"/>
          </w:tcPr>
          <w:p w14:paraId="4F6C8B7A">
            <w:pPr>
              <w:ind w:firstLine="0" w:firstLineChars="0"/>
              <w:rPr>
                <w:rFonts w:hint="eastAsia" w:ascii="宋体" w:hAnsi="宋体" w:cs="宋体"/>
                <w:bCs/>
                <w:color w:val="auto"/>
                <w:sz w:val="21"/>
                <w:szCs w:val="21"/>
              </w:rPr>
            </w:pPr>
            <w:r>
              <w:rPr>
                <w:rFonts w:hint="eastAsia" w:ascii="宋体" w:hAnsi="宋体" w:cs="宋体"/>
                <w:bCs/>
                <w:color w:val="auto"/>
                <w:sz w:val="21"/>
                <w:szCs w:val="21"/>
              </w:rPr>
              <w:t>4.绝缘良好；</w:t>
            </w:r>
          </w:p>
        </w:tc>
        <w:tc>
          <w:tcPr>
            <w:tcW w:w="1773" w:type="dxa"/>
            <w:vMerge w:val="continue"/>
            <w:noWrap w:val="0"/>
            <w:vAlign w:val="center"/>
          </w:tcPr>
          <w:p w14:paraId="7E242D51">
            <w:pPr>
              <w:ind w:firstLine="0" w:firstLineChars="0"/>
              <w:rPr>
                <w:rFonts w:hint="eastAsia" w:ascii="宋体" w:hAnsi="宋体" w:cs="宋体"/>
                <w:bCs/>
                <w:color w:val="auto"/>
                <w:sz w:val="21"/>
                <w:szCs w:val="21"/>
              </w:rPr>
            </w:pPr>
          </w:p>
        </w:tc>
        <w:tc>
          <w:tcPr>
            <w:tcW w:w="1407" w:type="dxa"/>
            <w:noWrap w:val="0"/>
            <w:vAlign w:val="center"/>
          </w:tcPr>
          <w:p w14:paraId="03B3ABD8">
            <w:pPr>
              <w:ind w:firstLine="0" w:firstLineChars="0"/>
              <w:rPr>
                <w:rFonts w:hint="eastAsia" w:ascii="宋体" w:hAnsi="宋体" w:cs="宋体"/>
                <w:bCs/>
                <w:color w:val="auto"/>
                <w:sz w:val="21"/>
                <w:szCs w:val="21"/>
              </w:rPr>
            </w:pPr>
          </w:p>
        </w:tc>
      </w:tr>
      <w:tr w14:paraId="161F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74278C72">
            <w:pPr>
              <w:ind w:firstLine="0" w:firstLineChars="0"/>
              <w:jc w:val="center"/>
              <w:rPr>
                <w:rFonts w:hint="eastAsia" w:ascii="宋体" w:hAnsi="宋体" w:cs="宋体"/>
                <w:bCs/>
                <w:color w:val="auto"/>
                <w:sz w:val="21"/>
                <w:szCs w:val="21"/>
              </w:rPr>
            </w:pPr>
          </w:p>
        </w:tc>
        <w:tc>
          <w:tcPr>
            <w:tcW w:w="5019" w:type="dxa"/>
            <w:noWrap w:val="0"/>
            <w:vAlign w:val="center"/>
          </w:tcPr>
          <w:p w14:paraId="47850B6A">
            <w:pPr>
              <w:ind w:firstLine="0" w:firstLineChars="0"/>
              <w:rPr>
                <w:rFonts w:hint="eastAsia" w:ascii="宋体" w:hAnsi="宋体" w:cs="宋体"/>
                <w:bCs/>
                <w:color w:val="auto"/>
                <w:sz w:val="21"/>
                <w:szCs w:val="21"/>
              </w:rPr>
            </w:pPr>
            <w:r>
              <w:rPr>
                <w:rFonts w:hint="eastAsia" w:ascii="宋体" w:hAnsi="宋体" w:cs="宋体"/>
                <w:bCs/>
                <w:color w:val="auto"/>
                <w:sz w:val="21"/>
                <w:szCs w:val="21"/>
              </w:rPr>
              <w:t>5.接闪器、避雷等接地装置良好,；</w:t>
            </w:r>
          </w:p>
        </w:tc>
        <w:tc>
          <w:tcPr>
            <w:tcW w:w="1773" w:type="dxa"/>
            <w:vMerge w:val="continue"/>
            <w:noWrap w:val="0"/>
            <w:vAlign w:val="center"/>
          </w:tcPr>
          <w:p w14:paraId="6D70713E">
            <w:pPr>
              <w:ind w:firstLine="0" w:firstLineChars="0"/>
              <w:rPr>
                <w:rFonts w:hint="eastAsia" w:ascii="宋体" w:hAnsi="宋体" w:cs="宋体"/>
                <w:bCs/>
                <w:color w:val="auto"/>
                <w:sz w:val="21"/>
                <w:szCs w:val="21"/>
              </w:rPr>
            </w:pPr>
          </w:p>
        </w:tc>
        <w:tc>
          <w:tcPr>
            <w:tcW w:w="1407" w:type="dxa"/>
            <w:noWrap w:val="0"/>
            <w:vAlign w:val="center"/>
          </w:tcPr>
          <w:p w14:paraId="3C8FC7A5">
            <w:pPr>
              <w:ind w:firstLine="0" w:firstLineChars="0"/>
              <w:rPr>
                <w:rFonts w:hint="eastAsia" w:ascii="宋体" w:hAnsi="宋体" w:cs="宋体"/>
                <w:bCs/>
                <w:color w:val="auto"/>
                <w:sz w:val="21"/>
                <w:szCs w:val="21"/>
              </w:rPr>
            </w:pPr>
          </w:p>
        </w:tc>
      </w:tr>
      <w:tr w14:paraId="0A29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7392F3E9">
            <w:pPr>
              <w:ind w:firstLine="0" w:firstLineChars="0"/>
              <w:jc w:val="center"/>
              <w:rPr>
                <w:rFonts w:hint="eastAsia" w:ascii="宋体" w:hAnsi="宋体" w:cs="宋体"/>
                <w:bCs/>
                <w:color w:val="auto"/>
                <w:sz w:val="21"/>
                <w:szCs w:val="21"/>
              </w:rPr>
            </w:pPr>
          </w:p>
        </w:tc>
        <w:tc>
          <w:tcPr>
            <w:tcW w:w="5019" w:type="dxa"/>
            <w:noWrap w:val="0"/>
            <w:vAlign w:val="center"/>
          </w:tcPr>
          <w:p w14:paraId="0B54EFFC">
            <w:pPr>
              <w:ind w:firstLine="0" w:firstLineChars="0"/>
              <w:rPr>
                <w:rFonts w:hint="eastAsia" w:ascii="宋体" w:hAnsi="宋体" w:cs="宋体"/>
                <w:bCs/>
                <w:color w:val="auto"/>
                <w:sz w:val="21"/>
                <w:szCs w:val="21"/>
              </w:rPr>
            </w:pPr>
            <w:r>
              <w:rPr>
                <w:rFonts w:hint="eastAsia" w:ascii="宋体" w:hAnsi="宋体" w:cs="宋体"/>
                <w:bCs/>
                <w:color w:val="auto"/>
                <w:sz w:val="21"/>
                <w:szCs w:val="21"/>
              </w:rPr>
              <w:t>6.动力电路和控制电路对地绝缘值不超过0.5兆欧；</w:t>
            </w:r>
          </w:p>
        </w:tc>
        <w:tc>
          <w:tcPr>
            <w:tcW w:w="1773" w:type="dxa"/>
            <w:vMerge w:val="continue"/>
            <w:noWrap w:val="0"/>
            <w:vAlign w:val="center"/>
          </w:tcPr>
          <w:p w14:paraId="2A026C3B">
            <w:pPr>
              <w:ind w:firstLine="0" w:firstLineChars="0"/>
              <w:rPr>
                <w:rFonts w:hint="eastAsia" w:ascii="宋体" w:hAnsi="宋体" w:cs="宋体"/>
                <w:bCs/>
                <w:color w:val="auto"/>
                <w:sz w:val="21"/>
                <w:szCs w:val="21"/>
              </w:rPr>
            </w:pPr>
          </w:p>
        </w:tc>
        <w:tc>
          <w:tcPr>
            <w:tcW w:w="1407" w:type="dxa"/>
            <w:noWrap w:val="0"/>
            <w:vAlign w:val="center"/>
          </w:tcPr>
          <w:p w14:paraId="3791D995">
            <w:pPr>
              <w:ind w:firstLine="0" w:firstLineChars="0"/>
              <w:rPr>
                <w:rFonts w:hint="eastAsia" w:ascii="宋体" w:hAnsi="宋体" w:cs="宋体"/>
                <w:bCs/>
                <w:color w:val="auto"/>
                <w:sz w:val="21"/>
                <w:szCs w:val="21"/>
              </w:rPr>
            </w:pPr>
          </w:p>
        </w:tc>
      </w:tr>
      <w:tr w14:paraId="08AE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810" w:type="dxa"/>
            <w:vMerge w:val="restart"/>
            <w:noWrap w:val="0"/>
            <w:vAlign w:val="center"/>
          </w:tcPr>
          <w:p w14:paraId="2AA22CE3">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（10）机构油类</w:t>
            </w:r>
          </w:p>
        </w:tc>
        <w:tc>
          <w:tcPr>
            <w:tcW w:w="5019" w:type="dxa"/>
            <w:noWrap w:val="0"/>
            <w:vAlign w:val="center"/>
          </w:tcPr>
          <w:p w14:paraId="73DE15E1">
            <w:pPr>
              <w:ind w:firstLine="0" w:firstLineChars="0"/>
              <w:rPr>
                <w:rFonts w:hint="eastAsia" w:ascii="宋体" w:hAnsi="宋体" w:cs="宋体"/>
                <w:bCs/>
                <w:color w:val="auto"/>
                <w:sz w:val="21"/>
                <w:szCs w:val="21"/>
              </w:rPr>
            </w:pPr>
            <w:r>
              <w:rPr>
                <w:rFonts w:hint="eastAsia" w:ascii="宋体" w:hAnsi="宋体" w:cs="宋体"/>
                <w:bCs/>
                <w:color w:val="auto"/>
                <w:sz w:val="21"/>
                <w:szCs w:val="21"/>
              </w:rPr>
              <w:t>1.减速机、卷扬机、回转机构、液压顶升系统部件齐全、工作正常；</w:t>
            </w:r>
          </w:p>
        </w:tc>
        <w:tc>
          <w:tcPr>
            <w:tcW w:w="1773" w:type="dxa"/>
            <w:vMerge w:val="restart"/>
            <w:noWrap w:val="0"/>
            <w:vAlign w:val="center"/>
          </w:tcPr>
          <w:p w14:paraId="408A4ACE">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52C3D473">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6619A196">
            <w:pPr>
              <w:ind w:firstLine="0" w:firstLineChars="0"/>
              <w:rPr>
                <w:rFonts w:hint="eastAsia" w:ascii="宋体" w:hAnsi="宋体" w:cs="宋体"/>
                <w:bCs/>
                <w:color w:val="auto"/>
                <w:sz w:val="21"/>
                <w:szCs w:val="21"/>
              </w:rPr>
            </w:pPr>
          </w:p>
        </w:tc>
      </w:tr>
      <w:tr w14:paraId="3E10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6A38B358">
            <w:pPr>
              <w:ind w:firstLine="0" w:firstLineChars="0"/>
              <w:jc w:val="center"/>
              <w:rPr>
                <w:rFonts w:hint="eastAsia" w:ascii="宋体" w:hAnsi="宋体" w:cs="宋体"/>
                <w:bCs/>
                <w:color w:val="auto"/>
                <w:sz w:val="21"/>
                <w:szCs w:val="21"/>
              </w:rPr>
            </w:pPr>
          </w:p>
        </w:tc>
        <w:tc>
          <w:tcPr>
            <w:tcW w:w="5019" w:type="dxa"/>
            <w:noWrap w:val="0"/>
            <w:vAlign w:val="center"/>
          </w:tcPr>
          <w:p w14:paraId="0A6029D1">
            <w:pPr>
              <w:ind w:firstLine="0" w:firstLineChars="0"/>
              <w:rPr>
                <w:rFonts w:hint="eastAsia" w:ascii="宋体" w:hAnsi="宋体" w:cs="宋体"/>
                <w:bCs/>
                <w:color w:val="auto"/>
                <w:sz w:val="21"/>
                <w:szCs w:val="21"/>
              </w:rPr>
            </w:pPr>
            <w:r>
              <w:rPr>
                <w:rFonts w:hint="eastAsia" w:ascii="宋体" w:hAnsi="宋体" w:cs="宋体"/>
                <w:bCs/>
                <w:color w:val="auto"/>
                <w:sz w:val="21"/>
                <w:szCs w:val="21"/>
              </w:rPr>
              <w:t>2.传动部位有防护罩；</w:t>
            </w:r>
          </w:p>
        </w:tc>
        <w:tc>
          <w:tcPr>
            <w:tcW w:w="1773" w:type="dxa"/>
            <w:vMerge w:val="continue"/>
            <w:noWrap w:val="0"/>
            <w:vAlign w:val="center"/>
          </w:tcPr>
          <w:p w14:paraId="13D72CA9">
            <w:pPr>
              <w:ind w:firstLine="0" w:firstLineChars="0"/>
              <w:rPr>
                <w:rFonts w:hint="eastAsia" w:ascii="宋体" w:hAnsi="宋体" w:cs="宋体"/>
                <w:bCs/>
                <w:color w:val="auto"/>
                <w:sz w:val="21"/>
                <w:szCs w:val="21"/>
              </w:rPr>
            </w:pPr>
          </w:p>
        </w:tc>
        <w:tc>
          <w:tcPr>
            <w:tcW w:w="1407" w:type="dxa"/>
            <w:noWrap w:val="0"/>
            <w:vAlign w:val="center"/>
          </w:tcPr>
          <w:p w14:paraId="55713AA2">
            <w:pPr>
              <w:ind w:firstLine="0" w:firstLineChars="0"/>
              <w:rPr>
                <w:rFonts w:hint="eastAsia" w:ascii="宋体" w:hAnsi="宋体" w:cs="宋体"/>
                <w:bCs/>
                <w:color w:val="auto"/>
                <w:sz w:val="21"/>
                <w:szCs w:val="21"/>
              </w:rPr>
            </w:pPr>
          </w:p>
        </w:tc>
      </w:tr>
      <w:tr w14:paraId="1F1E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14:paraId="2190EA4E">
            <w:pPr>
              <w:ind w:firstLine="0" w:firstLineChars="0"/>
              <w:jc w:val="center"/>
              <w:rPr>
                <w:rFonts w:hint="eastAsia" w:ascii="宋体" w:hAnsi="宋体" w:cs="宋体"/>
                <w:bCs/>
                <w:color w:val="auto"/>
                <w:sz w:val="21"/>
                <w:szCs w:val="21"/>
              </w:rPr>
            </w:pPr>
          </w:p>
        </w:tc>
        <w:tc>
          <w:tcPr>
            <w:tcW w:w="5019" w:type="dxa"/>
            <w:noWrap w:val="0"/>
            <w:vAlign w:val="center"/>
          </w:tcPr>
          <w:p w14:paraId="32C5BA2F">
            <w:pPr>
              <w:ind w:firstLine="0" w:firstLineChars="0"/>
              <w:rPr>
                <w:rFonts w:hint="eastAsia" w:ascii="宋体" w:hAnsi="宋体" w:cs="宋体"/>
                <w:bCs/>
                <w:color w:val="auto"/>
                <w:sz w:val="21"/>
                <w:szCs w:val="21"/>
              </w:rPr>
            </w:pPr>
            <w:r>
              <w:rPr>
                <w:rFonts w:hint="eastAsia" w:ascii="宋体" w:hAnsi="宋体" w:cs="宋体"/>
                <w:bCs/>
                <w:color w:val="auto"/>
                <w:sz w:val="21"/>
                <w:szCs w:val="21"/>
              </w:rPr>
              <w:t>3.油箱有足够容量；</w:t>
            </w:r>
          </w:p>
        </w:tc>
        <w:tc>
          <w:tcPr>
            <w:tcW w:w="1773" w:type="dxa"/>
            <w:vMerge w:val="continue"/>
            <w:noWrap w:val="0"/>
            <w:vAlign w:val="center"/>
          </w:tcPr>
          <w:p w14:paraId="2ECC0EB5">
            <w:pPr>
              <w:ind w:firstLine="0" w:firstLineChars="0"/>
              <w:rPr>
                <w:rFonts w:hint="eastAsia" w:ascii="宋体" w:hAnsi="宋体" w:cs="宋体"/>
                <w:bCs/>
                <w:color w:val="auto"/>
                <w:sz w:val="21"/>
                <w:szCs w:val="21"/>
              </w:rPr>
            </w:pPr>
          </w:p>
        </w:tc>
        <w:tc>
          <w:tcPr>
            <w:tcW w:w="1407" w:type="dxa"/>
            <w:noWrap w:val="0"/>
            <w:vAlign w:val="center"/>
          </w:tcPr>
          <w:p w14:paraId="39C8352B">
            <w:pPr>
              <w:ind w:firstLine="0" w:firstLineChars="0"/>
              <w:rPr>
                <w:rFonts w:hint="eastAsia" w:ascii="宋体" w:hAnsi="宋体" w:cs="宋体"/>
                <w:bCs/>
                <w:color w:val="auto"/>
                <w:sz w:val="21"/>
                <w:szCs w:val="21"/>
              </w:rPr>
            </w:pPr>
          </w:p>
        </w:tc>
      </w:tr>
      <w:tr w14:paraId="6A4B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391C8DD8">
            <w:pPr>
              <w:ind w:firstLine="0" w:firstLineChars="0"/>
              <w:jc w:val="center"/>
              <w:rPr>
                <w:rFonts w:hint="eastAsia" w:ascii="宋体" w:hAnsi="宋体" w:cs="宋体"/>
                <w:bCs/>
                <w:color w:val="auto"/>
                <w:sz w:val="21"/>
                <w:szCs w:val="21"/>
              </w:rPr>
            </w:pPr>
          </w:p>
        </w:tc>
        <w:tc>
          <w:tcPr>
            <w:tcW w:w="5019" w:type="dxa"/>
            <w:noWrap w:val="0"/>
            <w:vAlign w:val="center"/>
          </w:tcPr>
          <w:p w14:paraId="20B8B83A">
            <w:pPr>
              <w:ind w:firstLine="0" w:firstLineChars="0"/>
              <w:rPr>
                <w:rFonts w:hint="eastAsia" w:ascii="宋体" w:hAnsi="宋体" w:cs="宋体"/>
                <w:bCs/>
                <w:color w:val="auto"/>
                <w:sz w:val="21"/>
                <w:szCs w:val="21"/>
              </w:rPr>
            </w:pPr>
            <w:r>
              <w:rPr>
                <w:rFonts w:hint="eastAsia" w:ascii="宋体" w:hAnsi="宋体" w:cs="宋体"/>
                <w:bCs/>
                <w:color w:val="auto"/>
                <w:sz w:val="21"/>
                <w:szCs w:val="21"/>
              </w:rPr>
              <w:t xml:space="preserve">4.油路无泄露、堵塞现象。 </w:t>
            </w:r>
          </w:p>
        </w:tc>
        <w:tc>
          <w:tcPr>
            <w:tcW w:w="1773" w:type="dxa"/>
            <w:vMerge w:val="continue"/>
            <w:noWrap w:val="0"/>
            <w:vAlign w:val="center"/>
          </w:tcPr>
          <w:p w14:paraId="299C7D04">
            <w:pPr>
              <w:ind w:firstLine="0" w:firstLineChars="0"/>
              <w:rPr>
                <w:rFonts w:hint="eastAsia" w:ascii="宋体" w:hAnsi="宋体" w:cs="宋体"/>
                <w:bCs/>
                <w:color w:val="auto"/>
                <w:sz w:val="21"/>
                <w:szCs w:val="21"/>
              </w:rPr>
            </w:pPr>
          </w:p>
        </w:tc>
        <w:tc>
          <w:tcPr>
            <w:tcW w:w="1407" w:type="dxa"/>
            <w:noWrap w:val="0"/>
            <w:vAlign w:val="center"/>
          </w:tcPr>
          <w:p w14:paraId="42FD0DA7">
            <w:pPr>
              <w:ind w:firstLine="0" w:firstLineChars="0"/>
              <w:rPr>
                <w:rFonts w:hint="eastAsia" w:ascii="宋体" w:hAnsi="宋体" w:cs="宋体"/>
                <w:bCs/>
                <w:color w:val="auto"/>
                <w:sz w:val="21"/>
                <w:szCs w:val="21"/>
              </w:rPr>
            </w:pPr>
          </w:p>
        </w:tc>
      </w:tr>
      <w:tr w14:paraId="0ED3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14:paraId="7CAEA763">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（11）制</w:t>
            </w:r>
          </w:p>
          <w:p w14:paraId="5CB8EDB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动</w:t>
            </w:r>
          </w:p>
          <w:p w14:paraId="6F99212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器</w:t>
            </w:r>
          </w:p>
        </w:tc>
        <w:tc>
          <w:tcPr>
            <w:tcW w:w="5019" w:type="dxa"/>
            <w:noWrap w:val="0"/>
            <w:vAlign w:val="center"/>
          </w:tcPr>
          <w:p w14:paraId="27143320">
            <w:pPr>
              <w:ind w:firstLine="0" w:firstLineChars="0"/>
              <w:rPr>
                <w:rFonts w:hint="eastAsia" w:ascii="宋体" w:hAnsi="宋体" w:cs="宋体"/>
                <w:bCs/>
                <w:color w:val="auto"/>
                <w:sz w:val="21"/>
                <w:szCs w:val="21"/>
              </w:rPr>
            </w:pPr>
            <w:r>
              <w:rPr>
                <w:rFonts w:hint="eastAsia" w:ascii="宋体" w:hAnsi="宋体" w:cs="宋体"/>
                <w:bCs/>
                <w:color w:val="auto"/>
                <w:sz w:val="21"/>
                <w:szCs w:val="21"/>
              </w:rPr>
              <w:t>1.无可见裂纹;</w:t>
            </w:r>
          </w:p>
        </w:tc>
        <w:tc>
          <w:tcPr>
            <w:tcW w:w="1773" w:type="dxa"/>
            <w:vMerge w:val="restart"/>
            <w:noWrap w:val="0"/>
            <w:vAlign w:val="center"/>
          </w:tcPr>
          <w:p w14:paraId="6118C774">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GB</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5144-2006</w:t>
            </w:r>
          </w:p>
          <w:p w14:paraId="030863B1">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12DD20B3">
            <w:pPr>
              <w:ind w:firstLine="0" w:firstLineChars="0"/>
              <w:rPr>
                <w:rFonts w:hint="eastAsia" w:ascii="宋体" w:hAnsi="宋体" w:cs="宋体"/>
                <w:bCs/>
                <w:color w:val="auto"/>
                <w:sz w:val="21"/>
                <w:szCs w:val="21"/>
              </w:rPr>
            </w:pPr>
          </w:p>
        </w:tc>
      </w:tr>
      <w:tr w14:paraId="0618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810" w:type="dxa"/>
            <w:vMerge w:val="continue"/>
            <w:noWrap w:val="0"/>
            <w:vAlign w:val="center"/>
          </w:tcPr>
          <w:p w14:paraId="65B742B4">
            <w:pPr>
              <w:ind w:firstLine="0" w:firstLineChars="0"/>
              <w:jc w:val="center"/>
              <w:rPr>
                <w:rFonts w:hint="eastAsia" w:ascii="宋体" w:hAnsi="宋体" w:cs="宋体"/>
                <w:bCs/>
                <w:color w:val="auto"/>
                <w:sz w:val="21"/>
                <w:szCs w:val="21"/>
              </w:rPr>
            </w:pPr>
          </w:p>
        </w:tc>
        <w:tc>
          <w:tcPr>
            <w:tcW w:w="5019" w:type="dxa"/>
            <w:noWrap w:val="0"/>
            <w:vAlign w:val="center"/>
          </w:tcPr>
          <w:p w14:paraId="6023928A">
            <w:pPr>
              <w:ind w:firstLine="0" w:firstLineChars="0"/>
              <w:rPr>
                <w:rFonts w:hint="eastAsia" w:ascii="宋体" w:hAnsi="宋体" w:cs="宋体"/>
                <w:bCs/>
                <w:color w:val="auto"/>
                <w:sz w:val="21"/>
                <w:szCs w:val="21"/>
              </w:rPr>
            </w:pPr>
            <w:r>
              <w:rPr>
                <w:rFonts w:hint="eastAsia" w:ascii="宋体" w:hAnsi="宋体" w:cs="宋体"/>
                <w:bCs/>
                <w:color w:val="auto"/>
                <w:sz w:val="21"/>
                <w:szCs w:val="21"/>
              </w:rPr>
              <w:t>2.制动块摩擦衬垫磨损量未达原厚度的50%;</w:t>
            </w:r>
          </w:p>
        </w:tc>
        <w:tc>
          <w:tcPr>
            <w:tcW w:w="1773" w:type="dxa"/>
            <w:vMerge w:val="continue"/>
            <w:noWrap w:val="0"/>
            <w:vAlign w:val="center"/>
          </w:tcPr>
          <w:p w14:paraId="3A0090E1">
            <w:pPr>
              <w:ind w:firstLine="0" w:firstLineChars="0"/>
              <w:rPr>
                <w:rFonts w:hint="eastAsia" w:ascii="宋体" w:hAnsi="宋体" w:cs="宋体"/>
                <w:bCs/>
                <w:color w:val="auto"/>
                <w:sz w:val="21"/>
                <w:szCs w:val="21"/>
              </w:rPr>
            </w:pPr>
          </w:p>
        </w:tc>
        <w:tc>
          <w:tcPr>
            <w:tcW w:w="1407" w:type="dxa"/>
            <w:noWrap w:val="0"/>
            <w:vAlign w:val="center"/>
          </w:tcPr>
          <w:p w14:paraId="146D4D9F">
            <w:pPr>
              <w:ind w:firstLine="0" w:firstLineChars="0"/>
              <w:rPr>
                <w:rFonts w:hint="eastAsia" w:ascii="宋体" w:hAnsi="宋体" w:cs="宋体"/>
                <w:bCs/>
                <w:color w:val="auto"/>
                <w:sz w:val="21"/>
                <w:szCs w:val="21"/>
              </w:rPr>
            </w:pPr>
          </w:p>
        </w:tc>
      </w:tr>
      <w:tr w14:paraId="7679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continue"/>
            <w:noWrap w:val="0"/>
            <w:vAlign w:val="center"/>
          </w:tcPr>
          <w:p w14:paraId="7060529B">
            <w:pPr>
              <w:ind w:firstLine="0" w:firstLineChars="0"/>
              <w:jc w:val="center"/>
              <w:rPr>
                <w:rFonts w:hint="eastAsia" w:ascii="宋体" w:hAnsi="宋体" w:cs="宋体"/>
                <w:bCs/>
                <w:color w:val="auto"/>
                <w:sz w:val="21"/>
                <w:szCs w:val="21"/>
              </w:rPr>
            </w:pPr>
          </w:p>
        </w:tc>
        <w:tc>
          <w:tcPr>
            <w:tcW w:w="5019" w:type="dxa"/>
            <w:noWrap w:val="0"/>
            <w:vAlign w:val="center"/>
          </w:tcPr>
          <w:p w14:paraId="09282801">
            <w:pPr>
              <w:ind w:firstLine="0" w:firstLineChars="0"/>
              <w:rPr>
                <w:rFonts w:hint="eastAsia" w:ascii="宋体" w:hAnsi="宋体" w:cs="宋体"/>
                <w:bCs/>
                <w:color w:val="auto"/>
                <w:sz w:val="21"/>
                <w:szCs w:val="21"/>
              </w:rPr>
            </w:pPr>
            <w:r>
              <w:rPr>
                <w:rFonts w:hint="eastAsia" w:ascii="宋体" w:hAnsi="宋体" w:cs="宋体"/>
                <w:bCs/>
                <w:color w:val="auto"/>
                <w:sz w:val="21"/>
                <w:szCs w:val="21"/>
              </w:rPr>
              <w:t>3.制动轮表面磨损量未达1.5 mm ~2mm;</w:t>
            </w:r>
          </w:p>
        </w:tc>
        <w:tc>
          <w:tcPr>
            <w:tcW w:w="1773" w:type="dxa"/>
            <w:vMerge w:val="continue"/>
            <w:noWrap w:val="0"/>
            <w:vAlign w:val="center"/>
          </w:tcPr>
          <w:p w14:paraId="60622197">
            <w:pPr>
              <w:ind w:firstLine="0" w:firstLineChars="0"/>
              <w:rPr>
                <w:rFonts w:hint="eastAsia" w:ascii="宋体" w:hAnsi="宋体" w:cs="宋体"/>
                <w:bCs/>
                <w:color w:val="auto"/>
                <w:sz w:val="21"/>
                <w:szCs w:val="21"/>
              </w:rPr>
            </w:pPr>
          </w:p>
        </w:tc>
        <w:tc>
          <w:tcPr>
            <w:tcW w:w="1407" w:type="dxa"/>
            <w:noWrap w:val="0"/>
            <w:vAlign w:val="center"/>
          </w:tcPr>
          <w:p w14:paraId="403CB291">
            <w:pPr>
              <w:ind w:firstLine="0" w:firstLineChars="0"/>
              <w:rPr>
                <w:rFonts w:hint="eastAsia" w:ascii="宋体" w:hAnsi="宋体" w:cs="宋体"/>
                <w:bCs/>
                <w:color w:val="auto"/>
                <w:sz w:val="21"/>
                <w:szCs w:val="21"/>
              </w:rPr>
            </w:pPr>
          </w:p>
        </w:tc>
      </w:tr>
      <w:tr w14:paraId="45AF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10" w:type="dxa"/>
            <w:vMerge w:val="continue"/>
            <w:noWrap w:val="0"/>
            <w:vAlign w:val="center"/>
          </w:tcPr>
          <w:p w14:paraId="2A734A1E">
            <w:pPr>
              <w:ind w:firstLine="0" w:firstLineChars="0"/>
              <w:jc w:val="center"/>
              <w:rPr>
                <w:rFonts w:hint="eastAsia" w:ascii="宋体" w:hAnsi="宋体" w:cs="宋体"/>
                <w:bCs/>
                <w:color w:val="auto"/>
                <w:sz w:val="21"/>
                <w:szCs w:val="21"/>
              </w:rPr>
            </w:pPr>
          </w:p>
        </w:tc>
        <w:tc>
          <w:tcPr>
            <w:tcW w:w="5019" w:type="dxa"/>
            <w:noWrap w:val="0"/>
            <w:vAlign w:val="center"/>
          </w:tcPr>
          <w:p w14:paraId="659CA3B0">
            <w:pPr>
              <w:ind w:firstLine="0" w:firstLineChars="0"/>
              <w:rPr>
                <w:rFonts w:hint="eastAsia" w:ascii="宋体" w:hAnsi="宋体" w:cs="宋体"/>
                <w:bCs/>
                <w:color w:val="auto"/>
                <w:sz w:val="21"/>
                <w:szCs w:val="21"/>
              </w:rPr>
            </w:pPr>
            <w:r>
              <w:rPr>
                <w:rFonts w:hint="eastAsia" w:ascii="宋体" w:hAnsi="宋体" w:cs="宋体"/>
                <w:bCs/>
                <w:color w:val="auto"/>
                <w:sz w:val="21"/>
                <w:szCs w:val="21"/>
              </w:rPr>
              <w:t>4.弹簧未出现塑性变形;</w:t>
            </w:r>
          </w:p>
        </w:tc>
        <w:tc>
          <w:tcPr>
            <w:tcW w:w="1773" w:type="dxa"/>
            <w:vMerge w:val="continue"/>
            <w:noWrap w:val="0"/>
            <w:vAlign w:val="center"/>
          </w:tcPr>
          <w:p w14:paraId="0FD7AD37">
            <w:pPr>
              <w:ind w:firstLine="0" w:firstLineChars="0"/>
              <w:rPr>
                <w:rFonts w:hint="eastAsia" w:ascii="宋体" w:hAnsi="宋体" w:cs="宋体"/>
                <w:bCs/>
                <w:color w:val="auto"/>
                <w:sz w:val="21"/>
                <w:szCs w:val="21"/>
              </w:rPr>
            </w:pPr>
          </w:p>
        </w:tc>
        <w:tc>
          <w:tcPr>
            <w:tcW w:w="1407" w:type="dxa"/>
            <w:noWrap w:val="0"/>
            <w:vAlign w:val="center"/>
          </w:tcPr>
          <w:p w14:paraId="0973F99C">
            <w:pPr>
              <w:ind w:firstLine="0" w:firstLineChars="0"/>
              <w:rPr>
                <w:rFonts w:hint="eastAsia" w:ascii="宋体" w:hAnsi="宋体" w:cs="宋体"/>
                <w:bCs/>
                <w:color w:val="auto"/>
                <w:sz w:val="21"/>
                <w:szCs w:val="21"/>
              </w:rPr>
            </w:pPr>
          </w:p>
        </w:tc>
      </w:tr>
      <w:tr w14:paraId="78C9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14:paraId="126EB66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（12）安</w:t>
            </w:r>
          </w:p>
          <w:p w14:paraId="381D7432">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全</w:t>
            </w:r>
          </w:p>
          <w:p w14:paraId="3CDBCE7E">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距</w:t>
            </w:r>
          </w:p>
          <w:p w14:paraId="29378DB3">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离</w:t>
            </w:r>
          </w:p>
        </w:tc>
        <w:tc>
          <w:tcPr>
            <w:tcW w:w="5019" w:type="dxa"/>
            <w:noWrap w:val="0"/>
            <w:vAlign w:val="center"/>
          </w:tcPr>
          <w:p w14:paraId="6220BE3A">
            <w:pPr>
              <w:ind w:firstLine="0" w:firstLineChars="0"/>
              <w:rPr>
                <w:rFonts w:hint="eastAsia" w:ascii="宋体" w:hAnsi="宋体" w:cs="宋体"/>
                <w:bCs/>
                <w:color w:val="auto"/>
                <w:sz w:val="21"/>
                <w:szCs w:val="21"/>
              </w:rPr>
            </w:pPr>
            <w:r>
              <w:rPr>
                <w:rFonts w:hint="eastAsia" w:ascii="宋体" w:hAnsi="宋体" w:cs="宋体"/>
                <w:bCs/>
                <w:color w:val="auto"/>
                <w:sz w:val="21"/>
                <w:szCs w:val="21"/>
              </w:rPr>
              <w:t>1.与建筑物周围施工设施之间距离≥0.5米；</w:t>
            </w:r>
          </w:p>
        </w:tc>
        <w:tc>
          <w:tcPr>
            <w:tcW w:w="1773" w:type="dxa"/>
            <w:vMerge w:val="restart"/>
            <w:noWrap w:val="0"/>
            <w:vAlign w:val="center"/>
          </w:tcPr>
          <w:p w14:paraId="30F4D8DB">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p w14:paraId="4D811DF8">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160-20</w:t>
            </w:r>
            <w:r>
              <w:rPr>
                <w:rFonts w:hint="eastAsia" w:ascii="宋体" w:hAnsi="宋体" w:cs="宋体"/>
                <w:bCs/>
                <w:color w:val="auto"/>
                <w:sz w:val="21"/>
                <w:szCs w:val="21"/>
                <w:lang w:val="en-US" w:eastAsia="zh-CN"/>
              </w:rPr>
              <w:t>16</w:t>
            </w:r>
          </w:p>
        </w:tc>
        <w:tc>
          <w:tcPr>
            <w:tcW w:w="1407" w:type="dxa"/>
            <w:noWrap w:val="0"/>
            <w:vAlign w:val="center"/>
          </w:tcPr>
          <w:p w14:paraId="283044A7">
            <w:pPr>
              <w:ind w:firstLine="0" w:firstLineChars="0"/>
              <w:rPr>
                <w:rFonts w:hint="eastAsia" w:ascii="宋体" w:hAnsi="宋体" w:cs="宋体"/>
                <w:bCs/>
                <w:color w:val="auto"/>
                <w:sz w:val="21"/>
                <w:szCs w:val="21"/>
              </w:rPr>
            </w:pPr>
          </w:p>
        </w:tc>
      </w:tr>
      <w:tr w14:paraId="5A5F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670D4BF2">
            <w:pPr>
              <w:ind w:firstLine="0" w:firstLineChars="0"/>
              <w:jc w:val="center"/>
              <w:rPr>
                <w:rFonts w:hint="eastAsia" w:ascii="宋体" w:hAnsi="宋体" w:cs="宋体"/>
                <w:bCs/>
                <w:color w:val="auto"/>
                <w:sz w:val="21"/>
                <w:szCs w:val="21"/>
              </w:rPr>
            </w:pPr>
          </w:p>
        </w:tc>
        <w:tc>
          <w:tcPr>
            <w:tcW w:w="5019" w:type="dxa"/>
            <w:noWrap w:val="0"/>
            <w:vAlign w:val="center"/>
          </w:tcPr>
          <w:p w14:paraId="4C51757E">
            <w:pPr>
              <w:ind w:firstLine="0" w:firstLineChars="0"/>
              <w:rPr>
                <w:rFonts w:hint="eastAsia" w:ascii="宋体" w:hAnsi="宋体" w:cs="宋体"/>
                <w:bCs/>
                <w:color w:val="auto"/>
                <w:sz w:val="21"/>
                <w:szCs w:val="21"/>
              </w:rPr>
            </w:pPr>
            <w:r>
              <w:rPr>
                <w:rFonts w:hint="eastAsia" w:ascii="宋体" w:hAnsi="宋体" w:cs="宋体"/>
                <w:bCs/>
                <w:color w:val="auto"/>
                <w:sz w:val="21"/>
                <w:szCs w:val="21"/>
              </w:rPr>
              <w:t>2.多塔作业相互间应符合要求，有防碰撞措施；</w:t>
            </w:r>
          </w:p>
        </w:tc>
        <w:tc>
          <w:tcPr>
            <w:tcW w:w="1773" w:type="dxa"/>
            <w:vMerge w:val="continue"/>
            <w:noWrap w:val="0"/>
            <w:vAlign w:val="center"/>
          </w:tcPr>
          <w:p w14:paraId="2E8E93E1">
            <w:pPr>
              <w:ind w:firstLine="0" w:firstLineChars="0"/>
              <w:rPr>
                <w:rFonts w:hint="eastAsia" w:ascii="宋体" w:hAnsi="宋体" w:cs="宋体"/>
                <w:bCs/>
                <w:color w:val="auto"/>
                <w:sz w:val="21"/>
                <w:szCs w:val="21"/>
              </w:rPr>
            </w:pPr>
          </w:p>
        </w:tc>
        <w:tc>
          <w:tcPr>
            <w:tcW w:w="1407" w:type="dxa"/>
            <w:noWrap w:val="0"/>
            <w:vAlign w:val="center"/>
          </w:tcPr>
          <w:p w14:paraId="43D0D68C">
            <w:pPr>
              <w:ind w:firstLine="0" w:firstLineChars="0"/>
              <w:rPr>
                <w:rFonts w:hint="eastAsia" w:ascii="宋体" w:hAnsi="宋体" w:cs="宋体"/>
                <w:bCs/>
                <w:color w:val="auto"/>
                <w:sz w:val="21"/>
                <w:szCs w:val="21"/>
              </w:rPr>
            </w:pPr>
          </w:p>
        </w:tc>
      </w:tr>
      <w:tr w14:paraId="1D8F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810" w:type="dxa"/>
            <w:vMerge w:val="continue"/>
            <w:noWrap w:val="0"/>
            <w:vAlign w:val="center"/>
          </w:tcPr>
          <w:p w14:paraId="46F233B8">
            <w:pPr>
              <w:ind w:firstLine="0" w:firstLineChars="0"/>
              <w:jc w:val="center"/>
              <w:rPr>
                <w:rFonts w:hint="eastAsia" w:ascii="宋体" w:hAnsi="宋体" w:cs="宋体"/>
                <w:bCs/>
                <w:color w:val="auto"/>
                <w:sz w:val="21"/>
                <w:szCs w:val="21"/>
              </w:rPr>
            </w:pPr>
          </w:p>
        </w:tc>
        <w:tc>
          <w:tcPr>
            <w:tcW w:w="5019" w:type="dxa"/>
            <w:noWrap w:val="0"/>
            <w:vAlign w:val="center"/>
          </w:tcPr>
          <w:p w14:paraId="6DF9C85E">
            <w:pPr>
              <w:ind w:firstLine="0" w:firstLineChars="0"/>
              <w:rPr>
                <w:rFonts w:hint="eastAsia" w:ascii="宋体" w:hAnsi="宋体" w:cs="宋体"/>
                <w:bCs/>
                <w:color w:val="auto"/>
                <w:sz w:val="21"/>
                <w:szCs w:val="21"/>
              </w:rPr>
            </w:pPr>
            <w:r>
              <w:rPr>
                <w:rFonts w:hint="eastAsia" w:ascii="宋体" w:hAnsi="宋体" w:cs="宋体"/>
                <w:bCs/>
                <w:color w:val="auto"/>
                <w:sz w:val="21"/>
                <w:szCs w:val="21"/>
              </w:rPr>
              <w:t>3.各部位与外电线路保持安全距离，达不到要求的必须按规定采取防护措施，防护措施应达到电业部门规定要求。</w:t>
            </w:r>
          </w:p>
        </w:tc>
        <w:tc>
          <w:tcPr>
            <w:tcW w:w="1773" w:type="dxa"/>
            <w:vMerge w:val="continue"/>
            <w:noWrap w:val="0"/>
            <w:vAlign w:val="center"/>
          </w:tcPr>
          <w:p w14:paraId="0C1AA612">
            <w:pPr>
              <w:ind w:firstLine="0" w:firstLineChars="0"/>
              <w:rPr>
                <w:rFonts w:hint="eastAsia" w:ascii="宋体" w:hAnsi="宋体" w:cs="宋体"/>
                <w:bCs/>
                <w:color w:val="auto"/>
                <w:sz w:val="21"/>
                <w:szCs w:val="21"/>
              </w:rPr>
            </w:pPr>
          </w:p>
        </w:tc>
        <w:tc>
          <w:tcPr>
            <w:tcW w:w="1407" w:type="dxa"/>
            <w:noWrap w:val="0"/>
            <w:vAlign w:val="center"/>
          </w:tcPr>
          <w:p w14:paraId="55547427">
            <w:pPr>
              <w:ind w:firstLine="0" w:firstLineChars="0"/>
              <w:rPr>
                <w:rFonts w:hint="eastAsia" w:ascii="宋体" w:hAnsi="宋体" w:cs="宋体"/>
                <w:bCs/>
                <w:color w:val="auto"/>
                <w:sz w:val="21"/>
                <w:szCs w:val="21"/>
              </w:rPr>
            </w:pPr>
          </w:p>
        </w:tc>
      </w:tr>
      <w:tr w14:paraId="201A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14:paraId="1866AFA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（13）卷</w:t>
            </w:r>
          </w:p>
          <w:p w14:paraId="5DCF9F3B">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筒</w:t>
            </w:r>
          </w:p>
          <w:p w14:paraId="28D032B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滑</w:t>
            </w:r>
          </w:p>
          <w:p w14:paraId="72EA0F7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轮</w:t>
            </w:r>
          </w:p>
        </w:tc>
        <w:tc>
          <w:tcPr>
            <w:tcW w:w="5019" w:type="dxa"/>
            <w:noWrap w:val="0"/>
            <w:vAlign w:val="center"/>
          </w:tcPr>
          <w:p w14:paraId="36C2BF8D">
            <w:pPr>
              <w:ind w:firstLine="0" w:firstLineChars="0"/>
              <w:rPr>
                <w:rFonts w:hint="eastAsia" w:ascii="宋体" w:hAnsi="宋体" w:cs="宋体"/>
                <w:bCs/>
                <w:color w:val="auto"/>
                <w:sz w:val="21"/>
                <w:szCs w:val="21"/>
              </w:rPr>
            </w:pPr>
            <w:r>
              <w:rPr>
                <w:rFonts w:hint="eastAsia" w:ascii="宋体" w:hAnsi="宋体" w:cs="宋体"/>
                <w:bCs/>
                <w:color w:val="auto"/>
                <w:sz w:val="21"/>
                <w:szCs w:val="21"/>
              </w:rPr>
              <w:t>1.卷筒两侧边沿的高度大于钢丝绳直径2倍；</w:t>
            </w:r>
          </w:p>
        </w:tc>
        <w:tc>
          <w:tcPr>
            <w:tcW w:w="1773" w:type="dxa"/>
            <w:vMerge w:val="restart"/>
            <w:noWrap w:val="0"/>
            <w:vAlign w:val="center"/>
          </w:tcPr>
          <w:p w14:paraId="082379C8">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GBT</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13752</w:t>
            </w:r>
            <w:r>
              <w:rPr>
                <w:rFonts w:hint="eastAsia" w:ascii="宋体" w:hAnsi="宋体" w:cs="宋体"/>
                <w:bCs/>
                <w:color w:val="auto"/>
                <w:sz w:val="21"/>
                <w:szCs w:val="21"/>
                <w:lang w:val="en-US" w:eastAsia="zh-CN"/>
              </w:rPr>
              <w:t>-2017</w:t>
            </w:r>
          </w:p>
          <w:p w14:paraId="17281B9B">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160-20</w:t>
            </w:r>
            <w:r>
              <w:rPr>
                <w:rFonts w:hint="eastAsia" w:ascii="宋体" w:hAnsi="宋体" w:cs="宋体"/>
                <w:bCs/>
                <w:color w:val="auto"/>
                <w:sz w:val="21"/>
                <w:szCs w:val="21"/>
                <w:lang w:val="en-US" w:eastAsia="zh-CN"/>
              </w:rPr>
              <w:t>16</w:t>
            </w:r>
          </w:p>
        </w:tc>
        <w:tc>
          <w:tcPr>
            <w:tcW w:w="1407" w:type="dxa"/>
            <w:noWrap w:val="0"/>
            <w:vAlign w:val="center"/>
          </w:tcPr>
          <w:p w14:paraId="2ADEC311">
            <w:pPr>
              <w:ind w:firstLine="0" w:firstLineChars="0"/>
              <w:rPr>
                <w:rFonts w:hint="eastAsia" w:ascii="宋体" w:hAnsi="宋体" w:cs="宋体"/>
                <w:bCs/>
                <w:color w:val="auto"/>
                <w:sz w:val="21"/>
                <w:szCs w:val="21"/>
              </w:rPr>
            </w:pPr>
          </w:p>
        </w:tc>
      </w:tr>
      <w:tr w14:paraId="6559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69780781">
            <w:pPr>
              <w:ind w:firstLine="0" w:firstLineChars="0"/>
              <w:jc w:val="center"/>
              <w:rPr>
                <w:rFonts w:hint="eastAsia" w:ascii="宋体" w:hAnsi="宋体" w:cs="宋体"/>
                <w:bCs/>
                <w:color w:val="auto"/>
                <w:sz w:val="21"/>
                <w:szCs w:val="21"/>
              </w:rPr>
            </w:pPr>
          </w:p>
        </w:tc>
        <w:tc>
          <w:tcPr>
            <w:tcW w:w="5019" w:type="dxa"/>
            <w:noWrap w:val="0"/>
            <w:vAlign w:val="center"/>
          </w:tcPr>
          <w:p w14:paraId="06B3196C">
            <w:pPr>
              <w:ind w:firstLine="0" w:firstLineChars="0"/>
              <w:rPr>
                <w:rFonts w:hint="eastAsia" w:ascii="宋体" w:hAnsi="宋体" w:cs="宋体"/>
                <w:bCs/>
                <w:color w:val="auto"/>
                <w:sz w:val="21"/>
                <w:szCs w:val="21"/>
              </w:rPr>
            </w:pPr>
            <w:r>
              <w:rPr>
                <w:rFonts w:hint="eastAsia" w:ascii="宋体" w:hAnsi="宋体" w:cs="宋体"/>
                <w:bCs/>
                <w:color w:val="auto"/>
                <w:sz w:val="21"/>
                <w:szCs w:val="21"/>
              </w:rPr>
              <w:t>2.卷筒上的钢丝绳至少保留3圈；</w:t>
            </w:r>
          </w:p>
        </w:tc>
        <w:tc>
          <w:tcPr>
            <w:tcW w:w="1773" w:type="dxa"/>
            <w:vMerge w:val="continue"/>
            <w:noWrap w:val="0"/>
            <w:vAlign w:val="center"/>
          </w:tcPr>
          <w:p w14:paraId="527DC5EB">
            <w:pPr>
              <w:ind w:firstLine="0" w:firstLineChars="0"/>
              <w:rPr>
                <w:rFonts w:hint="eastAsia" w:ascii="宋体" w:hAnsi="宋体" w:cs="宋体"/>
                <w:bCs/>
                <w:color w:val="auto"/>
                <w:sz w:val="21"/>
                <w:szCs w:val="21"/>
              </w:rPr>
            </w:pPr>
          </w:p>
        </w:tc>
        <w:tc>
          <w:tcPr>
            <w:tcW w:w="1407" w:type="dxa"/>
            <w:noWrap w:val="0"/>
            <w:vAlign w:val="center"/>
          </w:tcPr>
          <w:p w14:paraId="776943C4">
            <w:pPr>
              <w:ind w:firstLine="0" w:firstLineChars="0"/>
              <w:rPr>
                <w:rFonts w:hint="eastAsia" w:ascii="宋体" w:hAnsi="宋体" w:cs="宋体"/>
                <w:bCs/>
                <w:color w:val="auto"/>
                <w:sz w:val="21"/>
                <w:szCs w:val="21"/>
              </w:rPr>
            </w:pPr>
          </w:p>
        </w:tc>
      </w:tr>
      <w:tr w14:paraId="438D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810" w:type="dxa"/>
            <w:vMerge w:val="continue"/>
            <w:noWrap w:val="0"/>
            <w:vAlign w:val="center"/>
          </w:tcPr>
          <w:p w14:paraId="568ACB16">
            <w:pPr>
              <w:ind w:firstLine="0" w:firstLineChars="0"/>
              <w:jc w:val="center"/>
              <w:rPr>
                <w:rFonts w:hint="eastAsia" w:ascii="宋体" w:hAnsi="宋体" w:cs="宋体"/>
                <w:bCs/>
                <w:color w:val="auto"/>
                <w:sz w:val="21"/>
                <w:szCs w:val="21"/>
              </w:rPr>
            </w:pPr>
          </w:p>
        </w:tc>
        <w:tc>
          <w:tcPr>
            <w:tcW w:w="5019" w:type="dxa"/>
            <w:noWrap w:val="0"/>
            <w:vAlign w:val="center"/>
          </w:tcPr>
          <w:p w14:paraId="44006613">
            <w:pPr>
              <w:ind w:firstLine="0" w:firstLineChars="0"/>
              <w:rPr>
                <w:rFonts w:hint="eastAsia" w:ascii="宋体" w:hAnsi="宋体" w:cs="宋体"/>
                <w:bCs/>
                <w:color w:val="auto"/>
                <w:sz w:val="21"/>
                <w:szCs w:val="21"/>
              </w:rPr>
            </w:pPr>
            <w:r>
              <w:rPr>
                <w:rFonts w:hint="eastAsia" w:ascii="宋体" w:hAnsi="宋体" w:cs="宋体"/>
                <w:bCs/>
                <w:color w:val="auto"/>
                <w:sz w:val="21"/>
                <w:szCs w:val="21"/>
              </w:rPr>
              <w:t>3.滑轮应设有防绳跳槽装置，且与滑轮最外沿间隙不得超过钢丝绳直径的20％；</w:t>
            </w:r>
          </w:p>
        </w:tc>
        <w:tc>
          <w:tcPr>
            <w:tcW w:w="1773" w:type="dxa"/>
            <w:vMerge w:val="continue"/>
            <w:noWrap w:val="0"/>
            <w:vAlign w:val="center"/>
          </w:tcPr>
          <w:p w14:paraId="430D9D7A">
            <w:pPr>
              <w:ind w:firstLine="0" w:firstLineChars="0"/>
              <w:rPr>
                <w:rFonts w:hint="eastAsia" w:ascii="宋体" w:hAnsi="宋体" w:cs="宋体"/>
                <w:bCs/>
                <w:color w:val="auto"/>
                <w:sz w:val="21"/>
                <w:szCs w:val="21"/>
              </w:rPr>
            </w:pPr>
          </w:p>
        </w:tc>
        <w:tc>
          <w:tcPr>
            <w:tcW w:w="1407" w:type="dxa"/>
            <w:noWrap w:val="0"/>
            <w:vAlign w:val="center"/>
          </w:tcPr>
          <w:p w14:paraId="13900887">
            <w:pPr>
              <w:ind w:firstLine="0" w:firstLineChars="0"/>
              <w:rPr>
                <w:rFonts w:hint="eastAsia" w:ascii="宋体" w:hAnsi="宋体" w:cs="宋体"/>
                <w:bCs/>
                <w:color w:val="auto"/>
                <w:sz w:val="21"/>
                <w:szCs w:val="21"/>
              </w:rPr>
            </w:pPr>
          </w:p>
        </w:tc>
      </w:tr>
      <w:tr w14:paraId="7EBF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0D775A00">
            <w:pPr>
              <w:ind w:firstLine="0" w:firstLineChars="0"/>
              <w:jc w:val="center"/>
              <w:rPr>
                <w:rFonts w:hint="eastAsia" w:ascii="宋体" w:hAnsi="宋体" w:cs="宋体"/>
                <w:bCs/>
                <w:color w:val="auto"/>
                <w:sz w:val="21"/>
                <w:szCs w:val="21"/>
              </w:rPr>
            </w:pPr>
          </w:p>
        </w:tc>
        <w:tc>
          <w:tcPr>
            <w:tcW w:w="5019" w:type="dxa"/>
            <w:noWrap w:val="0"/>
            <w:vAlign w:val="center"/>
          </w:tcPr>
          <w:p w14:paraId="3A9801E0">
            <w:pPr>
              <w:ind w:firstLine="0" w:firstLineChars="0"/>
              <w:rPr>
                <w:rFonts w:hint="eastAsia" w:ascii="宋体" w:hAnsi="宋体" w:cs="宋体"/>
                <w:bCs/>
                <w:color w:val="auto"/>
                <w:sz w:val="21"/>
                <w:szCs w:val="21"/>
              </w:rPr>
            </w:pPr>
            <w:r>
              <w:rPr>
                <w:rFonts w:hint="eastAsia" w:ascii="宋体" w:hAnsi="宋体" w:cs="宋体"/>
                <w:bCs/>
                <w:color w:val="auto"/>
                <w:sz w:val="21"/>
                <w:szCs w:val="21"/>
              </w:rPr>
              <w:t>4.滑轮转动灵活、无卡塞现象。</w:t>
            </w:r>
          </w:p>
        </w:tc>
        <w:tc>
          <w:tcPr>
            <w:tcW w:w="1773" w:type="dxa"/>
            <w:vMerge w:val="continue"/>
            <w:noWrap w:val="0"/>
            <w:vAlign w:val="center"/>
          </w:tcPr>
          <w:p w14:paraId="1E605F56">
            <w:pPr>
              <w:ind w:firstLine="0" w:firstLineChars="0"/>
              <w:rPr>
                <w:rFonts w:hint="eastAsia" w:ascii="宋体" w:hAnsi="宋体" w:cs="宋体"/>
                <w:bCs/>
                <w:color w:val="auto"/>
                <w:sz w:val="21"/>
                <w:szCs w:val="21"/>
              </w:rPr>
            </w:pPr>
          </w:p>
        </w:tc>
        <w:tc>
          <w:tcPr>
            <w:tcW w:w="1407" w:type="dxa"/>
            <w:noWrap w:val="0"/>
            <w:vAlign w:val="center"/>
          </w:tcPr>
          <w:p w14:paraId="72EDF1D7">
            <w:pPr>
              <w:ind w:firstLine="0" w:firstLineChars="0"/>
              <w:rPr>
                <w:rFonts w:hint="eastAsia" w:ascii="宋体" w:hAnsi="宋体" w:cs="宋体"/>
                <w:bCs/>
                <w:color w:val="auto"/>
                <w:sz w:val="21"/>
                <w:szCs w:val="21"/>
              </w:rPr>
            </w:pPr>
          </w:p>
        </w:tc>
      </w:tr>
      <w:tr w14:paraId="6F40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810" w:type="dxa"/>
            <w:noWrap w:val="0"/>
            <w:vAlign w:val="center"/>
          </w:tcPr>
          <w:p w14:paraId="06F2607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（14）持证上岗</w:t>
            </w:r>
          </w:p>
        </w:tc>
        <w:tc>
          <w:tcPr>
            <w:tcW w:w="5019" w:type="dxa"/>
            <w:noWrap w:val="0"/>
            <w:vAlign w:val="center"/>
          </w:tcPr>
          <w:p w14:paraId="676A5AA4">
            <w:pPr>
              <w:ind w:firstLine="0" w:firstLineChars="0"/>
              <w:rPr>
                <w:rFonts w:hint="eastAsia" w:ascii="宋体" w:hAnsi="宋体" w:cs="宋体"/>
                <w:bCs/>
                <w:color w:val="auto"/>
                <w:sz w:val="21"/>
                <w:szCs w:val="21"/>
              </w:rPr>
            </w:pPr>
            <w:r>
              <w:rPr>
                <w:rFonts w:hint="eastAsia" w:ascii="宋体" w:hAnsi="宋体" w:cs="宋体"/>
                <w:bCs/>
                <w:color w:val="auto"/>
                <w:sz w:val="21"/>
                <w:szCs w:val="21"/>
              </w:rPr>
              <w:t>1.使用过程中塔吊司机必须持证上岗。</w:t>
            </w:r>
          </w:p>
        </w:tc>
        <w:tc>
          <w:tcPr>
            <w:tcW w:w="1773" w:type="dxa"/>
            <w:noWrap w:val="0"/>
            <w:vAlign w:val="center"/>
          </w:tcPr>
          <w:p w14:paraId="0ECB6568">
            <w:pPr>
              <w:ind w:firstLine="0" w:firstLineChars="0"/>
              <w:rPr>
                <w:rFonts w:hint="eastAsia" w:ascii="宋体" w:hAnsi="宋体" w:cs="宋体"/>
                <w:bCs/>
                <w:color w:val="auto"/>
                <w:sz w:val="21"/>
                <w:szCs w:val="21"/>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tc>
        <w:tc>
          <w:tcPr>
            <w:tcW w:w="1407" w:type="dxa"/>
            <w:noWrap w:val="0"/>
            <w:vAlign w:val="center"/>
          </w:tcPr>
          <w:p w14:paraId="382B4612">
            <w:pPr>
              <w:ind w:firstLine="0" w:firstLineChars="0"/>
              <w:rPr>
                <w:rFonts w:hint="eastAsia" w:ascii="宋体" w:hAnsi="宋体" w:cs="宋体"/>
                <w:bCs/>
                <w:color w:val="auto"/>
                <w:sz w:val="21"/>
                <w:szCs w:val="21"/>
              </w:rPr>
            </w:pPr>
          </w:p>
        </w:tc>
      </w:tr>
      <w:tr w14:paraId="05CD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5" w:hRule="atLeast"/>
          <w:jc w:val="center"/>
        </w:trPr>
        <w:tc>
          <w:tcPr>
            <w:tcW w:w="810" w:type="dxa"/>
            <w:tcBorders>
              <w:bottom w:val="single" w:color="auto" w:sz="4" w:space="0"/>
            </w:tcBorders>
            <w:noWrap w:val="0"/>
            <w:vAlign w:val="center"/>
          </w:tcPr>
          <w:p w14:paraId="14BA152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（15）</w:t>
            </w:r>
          </w:p>
          <w:p w14:paraId="0CD2CD6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检查结论及整改措施</w:t>
            </w:r>
          </w:p>
        </w:tc>
        <w:tc>
          <w:tcPr>
            <w:tcW w:w="8199" w:type="dxa"/>
            <w:gridSpan w:val="3"/>
            <w:tcBorders>
              <w:bottom w:val="single" w:color="auto" w:sz="4" w:space="0"/>
            </w:tcBorders>
            <w:noWrap w:val="0"/>
            <w:vAlign w:val="top"/>
          </w:tcPr>
          <w:p w14:paraId="324DFB94">
            <w:pPr>
              <w:ind w:firstLine="0" w:firstLineChars="0"/>
              <w:rPr>
                <w:rFonts w:hint="eastAsia" w:ascii="宋体" w:hAnsi="宋体" w:cs="宋体"/>
                <w:bCs/>
                <w:color w:val="auto"/>
                <w:sz w:val="21"/>
                <w:szCs w:val="21"/>
              </w:rPr>
            </w:pPr>
          </w:p>
          <w:p w14:paraId="2C0E1B0F">
            <w:pPr>
              <w:ind w:firstLine="0" w:firstLineChars="0"/>
              <w:rPr>
                <w:rFonts w:hint="eastAsia" w:ascii="宋体" w:hAnsi="宋体" w:cs="宋体"/>
                <w:bCs/>
                <w:color w:val="auto"/>
                <w:sz w:val="21"/>
                <w:szCs w:val="21"/>
              </w:rPr>
            </w:pPr>
          </w:p>
          <w:p w14:paraId="378DB60B">
            <w:pPr>
              <w:ind w:firstLine="0" w:firstLineChars="0"/>
              <w:rPr>
                <w:rFonts w:hint="eastAsia" w:ascii="宋体" w:hAnsi="宋体" w:cs="宋体"/>
                <w:bCs/>
                <w:color w:val="auto"/>
                <w:sz w:val="21"/>
                <w:szCs w:val="21"/>
              </w:rPr>
            </w:pPr>
          </w:p>
          <w:p w14:paraId="147405B7">
            <w:pPr>
              <w:ind w:firstLine="0" w:firstLineChars="0"/>
              <w:rPr>
                <w:rFonts w:hint="eastAsia" w:ascii="宋体" w:hAnsi="宋体" w:cs="宋体"/>
                <w:bCs/>
                <w:color w:val="auto"/>
                <w:sz w:val="21"/>
                <w:szCs w:val="21"/>
              </w:rPr>
            </w:pPr>
          </w:p>
        </w:tc>
      </w:tr>
    </w:tbl>
    <w:p w14:paraId="5929AE76">
      <w:pPr>
        <w:rPr>
          <w:rFonts w:hint="eastAsia"/>
          <w:color w:val="auto"/>
        </w:rPr>
        <w:sectPr>
          <w:headerReference r:id="rId18" w:type="default"/>
          <w:footerReference r:id="rId19" w:type="default"/>
          <w:pgSz w:w="11906" w:h="16838"/>
          <w:pgMar w:top="1440" w:right="1134" w:bottom="1440" w:left="1797" w:header="851" w:footer="992" w:gutter="0"/>
          <w:pgNumType w:fmt="decimal"/>
          <w:cols w:space="720" w:num="1"/>
          <w:docGrid w:type="linesAndChars" w:linePitch="326" w:charSpace="0"/>
        </w:sectPr>
      </w:pPr>
    </w:p>
    <w:p w14:paraId="3ED24F8E">
      <w:pPr>
        <w:pStyle w:val="3"/>
        <w:numPr>
          <w:ilvl w:val="1"/>
          <w:numId w:val="0"/>
        </w:numPr>
        <w:tabs>
          <w:tab w:val="left" w:pos="0"/>
        </w:tabs>
        <w:rPr>
          <w:rFonts w:ascii="Times New Roman" w:hAnsi="Times New Roman"/>
          <w:color w:val="auto"/>
          <w:sz w:val="24"/>
          <w:szCs w:val="24"/>
        </w:rPr>
      </w:pPr>
      <w:bookmarkStart w:id="258" w:name="_Toc10409830"/>
      <w:bookmarkStart w:id="259" w:name="_Toc21356"/>
      <w:bookmarkStart w:id="260" w:name="_Toc109137386"/>
      <w:r>
        <w:rPr>
          <w:rFonts w:hint="eastAsia"/>
          <w:color w:val="auto"/>
          <w:szCs w:val="24"/>
          <w:lang w:val="en-US" w:eastAsia="zh-CN"/>
        </w:rPr>
        <w:t>8.3</w:t>
      </w:r>
      <w:r>
        <w:rPr>
          <w:rFonts w:hint="eastAsia"/>
          <w:color w:val="auto"/>
          <w:szCs w:val="24"/>
        </w:rPr>
        <w:t>电气要求</w:t>
      </w:r>
      <w:bookmarkEnd w:id="258"/>
      <w:bookmarkEnd w:id="259"/>
      <w:bookmarkEnd w:id="260"/>
    </w:p>
    <w:p w14:paraId="01E36B92">
      <w:pPr>
        <w:ind w:firstLine="480"/>
        <w:rPr>
          <w:rFonts w:ascii="Times New Roman" w:hAnsi="Times New Roman"/>
          <w:color w:val="auto"/>
          <w:szCs w:val="24"/>
        </w:rPr>
      </w:pPr>
      <w:r>
        <w:rPr>
          <w:rFonts w:hint="eastAsia" w:ascii="Times New Roman" w:hAnsi="Times New Roman"/>
          <w:color w:val="auto"/>
          <w:szCs w:val="24"/>
        </w:rPr>
        <w:t>起重机电气系统的设计符合《起重机设计规范》</w:t>
      </w:r>
      <w:r>
        <w:rPr>
          <w:rFonts w:hint="eastAsia" w:ascii="Times New Roman" w:hAnsi="Times New Roman"/>
          <w:color w:val="auto"/>
          <w:szCs w:val="24"/>
          <w:lang w:eastAsia="zh-CN"/>
        </w:rPr>
        <w:t>（</w:t>
      </w:r>
      <w:r>
        <w:rPr>
          <w:rFonts w:ascii="Times New Roman" w:hAnsi="Times New Roman"/>
          <w:color w:val="auto"/>
          <w:szCs w:val="24"/>
        </w:rPr>
        <w:t>GB3811-2008</w:t>
      </w:r>
      <w:r>
        <w:rPr>
          <w:rFonts w:hint="eastAsia" w:ascii="Times New Roman" w:hAnsi="Times New Roman"/>
          <w:color w:val="auto"/>
          <w:szCs w:val="24"/>
          <w:lang w:eastAsia="zh-CN"/>
        </w:rPr>
        <w:t>）</w:t>
      </w:r>
      <w:r>
        <w:rPr>
          <w:rFonts w:hint="eastAsia" w:ascii="Times New Roman" w:hAnsi="Times New Roman"/>
          <w:color w:val="auto"/>
          <w:szCs w:val="24"/>
        </w:rPr>
        <w:t>和《起重机械安全规程》</w:t>
      </w:r>
      <w:r>
        <w:rPr>
          <w:rFonts w:hint="eastAsia" w:ascii="Times New Roman" w:hAnsi="Times New Roman"/>
          <w:color w:val="auto"/>
          <w:szCs w:val="24"/>
          <w:lang w:eastAsia="zh-CN"/>
        </w:rPr>
        <w:t>（</w:t>
      </w:r>
      <w:r>
        <w:rPr>
          <w:rFonts w:ascii="Times New Roman" w:hAnsi="Times New Roman"/>
          <w:color w:val="auto"/>
          <w:szCs w:val="24"/>
        </w:rPr>
        <w:t>GB</w:t>
      </w:r>
      <w:r>
        <w:rPr>
          <w:rFonts w:hint="eastAsia" w:ascii="Times New Roman" w:hAnsi="Times New Roman"/>
          <w:color w:val="auto"/>
          <w:szCs w:val="24"/>
          <w:lang w:val="en-US" w:eastAsia="zh-CN"/>
        </w:rPr>
        <w:t xml:space="preserve"> </w:t>
      </w:r>
      <w:r>
        <w:rPr>
          <w:rFonts w:ascii="Times New Roman" w:hAnsi="Times New Roman"/>
          <w:color w:val="auto"/>
          <w:szCs w:val="24"/>
        </w:rPr>
        <w:t>6067</w:t>
      </w:r>
      <w:r>
        <w:rPr>
          <w:rFonts w:hint="eastAsia" w:ascii="Times New Roman" w:hAnsi="Times New Roman"/>
          <w:color w:val="auto"/>
          <w:szCs w:val="24"/>
          <w:lang w:val="en-US" w:eastAsia="zh-CN"/>
        </w:rPr>
        <w:t>.1</w:t>
      </w:r>
      <w:r>
        <w:rPr>
          <w:rFonts w:ascii="Times New Roman" w:hAnsi="Times New Roman"/>
          <w:color w:val="auto"/>
          <w:szCs w:val="24"/>
        </w:rPr>
        <w:t>-2010</w:t>
      </w:r>
      <w:r>
        <w:rPr>
          <w:rFonts w:hint="eastAsia" w:ascii="Times New Roman" w:hAnsi="Times New Roman"/>
          <w:color w:val="auto"/>
          <w:szCs w:val="24"/>
          <w:lang w:eastAsia="zh-CN"/>
        </w:rPr>
        <w:t>）</w:t>
      </w:r>
      <w:r>
        <w:rPr>
          <w:rFonts w:hint="eastAsia" w:ascii="Times New Roman" w:hAnsi="Times New Roman"/>
          <w:color w:val="auto"/>
          <w:szCs w:val="24"/>
        </w:rPr>
        <w:t>的各项规定。起重机的电气设备能够保证机械的传动性能、电气的监控及保护性能安全、准确和可靠。在起重机发生紧急情况下，操作人员能够在司机室切断电源</w:t>
      </w:r>
      <w:r>
        <w:rPr>
          <w:rFonts w:ascii="Times New Roman" w:hAnsi="Times New Roman"/>
          <w:color w:val="auto"/>
          <w:szCs w:val="24"/>
        </w:rPr>
        <w:t>,</w:t>
      </w:r>
      <w:r>
        <w:rPr>
          <w:rFonts w:hint="eastAsia" w:ascii="Times New Roman" w:hAnsi="Times New Roman"/>
          <w:color w:val="auto"/>
          <w:szCs w:val="24"/>
        </w:rPr>
        <w:t>安全停车。</w:t>
      </w:r>
    </w:p>
    <w:p w14:paraId="23C2B8FD">
      <w:pPr>
        <w:ind w:firstLine="480"/>
        <w:rPr>
          <w:rFonts w:ascii="Times New Roman" w:hAnsi="Times New Roman"/>
          <w:color w:val="auto"/>
          <w:szCs w:val="24"/>
        </w:rPr>
      </w:pPr>
      <w:r>
        <w:rPr>
          <w:rFonts w:hint="eastAsia" w:ascii="Times New Roman" w:hAnsi="Times New Roman"/>
          <w:color w:val="auto"/>
          <w:szCs w:val="24"/>
        </w:rPr>
        <w:t>1）供电：</w:t>
      </w:r>
    </w:p>
    <w:p w14:paraId="5C152C8C">
      <w:pPr>
        <w:ind w:firstLine="480"/>
        <w:rPr>
          <w:rFonts w:ascii="Times New Roman" w:hAnsi="Times New Roman"/>
          <w:color w:val="auto"/>
          <w:szCs w:val="24"/>
        </w:rPr>
      </w:pPr>
      <w:r>
        <w:rPr>
          <w:rFonts w:hint="eastAsia" w:ascii="Times New Roman" w:hAnsi="Times New Roman"/>
          <w:color w:val="auto"/>
          <w:szCs w:val="24"/>
        </w:rPr>
        <w:t>起重机供电电源为三相交流电源</w:t>
      </w:r>
      <w:r>
        <w:rPr>
          <w:rFonts w:ascii="Times New Roman" w:hAnsi="Times New Roman"/>
          <w:color w:val="auto"/>
          <w:szCs w:val="24"/>
        </w:rPr>
        <w:t>,</w:t>
      </w:r>
      <w:r>
        <w:rPr>
          <w:rFonts w:hint="eastAsia" w:ascii="Times New Roman" w:hAnsi="Times New Roman"/>
          <w:color w:val="auto"/>
          <w:szCs w:val="24"/>
        </w:rPr>
        <w:t>电压</w:t>
      </w:r>
      <w:r>
        <w:rPr>
          <w:rFonts w:ascii="Times New Roman" w:hAnsi="Times New Roman"/>
          <w:color w:val="auto"/>
          <w:szCs w:val="24"/>
        </w:rPr>
        <w:t>380V</w:t>
      </w:r>
      <w:r>
        <w:rPr>
          <w:rFonts w:hint="eastAsia" w:ascii="Times New Roman" w:hAnsi="Times New Roman"/>
          <w:color w:val="auto"/>
          <w:szCs w:val="24"/>
        </w:rPr>
        <w:t>±</w:t>
      </w:r>
      <w:r>
        <w:rPr>
          <w:rFonts w:ascii="Times New Roman" w:hAnsi="Times New Roman"/>
          <w:color w:val="auto"/>
          <w:szCs w:val="24"/>
        </w:rPr>
        <w:t>10%,</w:t>
      </w:r>
      <w:r>
        <w:rPr>
          <w:rFonts w:hint="eastAsia" w:ascii="Times New Roman" w:hAnsi="Times New Roman"/>
          <w:color w:val="auto"/>
          <w:szCs w:val="24"/>
        </w:rPr>
        <w:t>频率</w:t>
      </w:r>
      <w:r>
        <w:rPr>
          <w:rFonts w:ascii="Times New Roman" w:hAnsi="Times New Roman"/>
          <w:color w:val="auto"/>
          <w:szCs w:val="24"/>
        </w:rPr>
        <w:t>50HZ</w:t>
      </w:r>
      <w:r>
        <w:rPr>
          <w:rFonts w:hint="eastAsia" w:ascii="Times New Roman" w:hAnsi="Times New Roman"/>
          <w:color w:val="auto"/>
          <w:szCs w:val="24"/>
        </w:rPr>
        <w:t>。</w:t>
      </w:r>
    </w:p>
    <w:p w14:paraId="577F1081">
      <w:pPr>
        <w:ind w:firstLine="480"/>
        <w:rPr>
          <w:rFonts w:ascii="Times New Roman" w:hAnsi="Times New Roman"/>
          <w:color w:val="auto"/>
          <w:szCs w:val="24"/>
        </w:rPr>
      </w:pPr>
      <w:r>
        <w:rPr>
          <w:rFonts w:hint="eastAsia" w:ascii="Times New Roman" w:hAnsi="Times New Roman"/>
          <w:color w:val="auto"/>
          <w:szCs w:val="24"/>
        </w:rPr>
        <w:t>2）电气保护：</w:t>
      </w:r>
    </w:p>
    <w:p w14:paraId="320C81AB">
      <w:pPr>
        <w:ind w:firstLine="480"/>
        <w:rPr>
          <w:rFonts w:ascii="Times New Roman" w:hAnsi="Times New Roman"/>
          <w:color w:val="auto"/>
          <w:szCs w:val="24"/>
        </w:rPr>
      </w:pPr>
      <w:r>
        <w:rPr>
          <w:rFonts w:hint="eastAsia" w:ascii="Times New Roman" w:hAnsi="Times New Roman"/>
          <w:color w:val="auto"/>
          <w:szCs w:val="24"/>
        </w:rPr>
        <w:t>短路及过载保护：</w:t>
      </w:r>
    </w:p>
    <w:p w14:paraId="751B4B02">
      <w:pPr>
        <w:ind w:firstLine="480"/>
        <w:rPr>
          <w:rFonts w:ascii="Times New Roman" w:hAnsi="Times New Roman"/>
          <w:color w:val="auto"/>
          <w:szCs w:val="24"/>
        </w:rPr>
      </w:pPr>
      <w:r>
        <w:rPr>
          <w:rFonts w:hint="eastAsia" w:ascii="Times New Roman" w:hAnsi="Times New Roman"/>
          <w:color w:val="auto"/>
          <w:szCs w:val="24"/>
        </w:rPr>
        <w:t>起重机总受电屏、控制屏进出电源设置断路器、控制回路设置小容量断路器，使各机构在短路，过载等事故状态下，迅速与电源脱离</w:t>
      </w:r>
      <w:r>
        <w:rPr>
          <w:rFonts w:ascii="Times New Roman" w:hAnsi="Times New Roman"/>
          <w:color w:val="auto"/>
          <w:szCs w:val="24"/>
        </w:rPr>
        <w:t>,</w:t>
      </w:r>
      <w:r>
        <w:rPr>
          <w:rFonts w:hint="eastAsia" w:ascii="Times New Roman" w:hAnsi="Times New Roman"/>
          <w:color w:val="auto"/>
          <w:szCs w:val="24"/>
        </w:rPr>
        <w:t>以达到保护设备及人机安全的目的。</w:t>
      </w:r>
    </w:p>
    <w:p w14:paraId="718D3113">
      <w:pPr>
        <w:ind w:firstLine="480"/>
        <w:rPr>
          <w:rFonts w:ascii="Times New Roman" w:hAnsi="Times New Roman"/>
          <w:color w:val="auto"/>
          <w:szCs w:val="24"/>
        </w:rPr>
      </w:pPr>
      <w:r>
        <w:rPr>
          <w:rFonts w:hint="eastAsia" w:ascii="Times New Roman" w:hAnsi="Times New Roman"/>
          <w:color w:val="auto"/>
          <w:szCs w:val="24"/>
        </w:rPr>
        <w:t>3）失压保护：</w:t>
      </w:r>
    </w:p>
    <w:p w14:paraId="65F848E3">
      <w:pPr>
        <w:ind w:firstLine="480"/>
        <w:rPr>
          <w:rFonts w:ascii="Times New Roman" w:hAnsi="Times New Roman"/>
          <w:color w:val="auto"/>
          <w:szCs w:val="24"/>
        </w:rPr>
      </w:pPr>
      <w:r>
        <w:rPr>
          <w:rFonts w:hint="eastAsia" w:ascii="Times New Roman" w:hAnsi="Times New Roman"/>
          <w:color w:val="auto"/>
          <w:szCs w:val="24"/>
        </w:rPr>
        <w:t>在总受电屏及机构控制屏中，用线路接触器作为失压保护装置，当供电电源中断时</w:t>
      </w:r>
      <w:r>
        <w:rPr>
          <w:rFonts w:ascii="Times New Roman" w:hAnsi="Times New Roman"/>
          <w:color w:val="auto"/>
          <w:szCs w:val="24"/>
        </w:rPr>
        <w:t>,</w:t>
      </w:r>
      <w:r>
        <w:rPr>
          <w:rFonts w:hint="eastAsia" w:ascii="Times New Roman" w:hAnsi="Times New Roman"/>
          <w:color w:val="auto"/>
          <w:szCs w:val="24"/>
        </w:rPr>
        <w:t>能够自动断开电源。</w:t>
      </w:r>
    </w:p>
    <w:p w14:paraId="32425AD7">
      <w:pPr>
        <w:ind w:firstLine="480"/>
        <w:rPr>
          <w:rFonts w:ascii="Times New Roman" w:hAnsi="Times New Roman"/>
          <w:color w:val="auto"/>
          <w:szCs w:val="24"/>
        </w:rPr>
      </w:pPr>
      <w:r>
        <w:rPr>
          <w:rFonts w:hint="eastAsia" w:ascii="Times New Roman" w:hAnsi="Times New Roman"/>
          <w:color w:val="auto"/>
          <w:szCs w:val="24"/>
        </w:rPr>
        <w:t>4）零位保护：</w:t>
      </w:r>
    </w:p>
    <w:p w14:paraId="79D7F7B1">
      <w:pPr>
        <w:ind w:firstLine="480"/>
        <w:rPr>
          <w:rFonts w:ascii="Times New Roman" w:hAnsi="Times New Roman"/>
          <w:color w:val="auto"/>
          <w:szCs w:val="24"/>
        </w:rPr>
      </w:pPr>
      <w:r>
        <w:rPr>
          <w:rFonts w:hint="eastAsia" w:ascii="Times New Roman" w:hAnsi="Times New Roman"/>
          <w:color w:val="auto"/>
          <w:szCs w:val="24"/>
        </w:rPr>
        <w:t>司机室的联动台凸轮控制器手柄上设有零位连锁，达到零位的目的。即当起重机开始运转前和失压恢复供电时，必须将控制器的手柄置于零位，各机构的电动机才能启动工作。</w:t>
      </w:r>
    </w:p>
    <w:p w14:paraId="77FFCE2F">
      <w:pPr>
        <w:ind w:firstLine="480"/>
        <w:rPr>
          <w:rFonts w:ascii="Times New Roman" w:hAnsi="Times New Roman"/>
          <w:color w:val="auto"/>
          <w:szCs w:val="24"/>
        </w:rPr>
      </w:pPr>
      <w:r>
        <w:rPr>
          <w:rFonts w:ascii="Times New Roman" w:hAnsi="Times New Roman"/>
          <w:color w:val="auto"/>
          <w:szCs w:val="24"/>
        </w:rPr>
        <w:t>5</w:t>
      </w:r>
      <w:r>
        <w:rPr>
          <w:rFonts w:hint="eastAsia" w:ascii="Times New Roman" w:hAnsi="Times New Roman"/>
          <w:color w:val="auto"/>
          <w:szCs w:val="24"/>
        </w:rPr>
        <w:t>）紧急断电保护：</w:t>
      </w:r>
    </w:p>
    <w:p w14:paraId="3BD231B1">
      <w:pPr>
        <w:ind w:firstLine="480"/>
        <w:rPr>
          <w:rFonts w:ascii="Times New Roman" w:hAnsi="Times New Roman"/>
          <w:color w:val="auto"/>
          <w:szCs w:val="24"/>
        </w:rPr>
      </w:pPr>
      <w:r>
        <w:rPr>
          <w:rFonts w:hint="eastAsia" w:ascii="Times New Roman" w:hAnsi="Times New Roman"/>
          <w:color w:val="auto"/>
          <w:szCs w:val="24"/>
        </w:rPr>
        <w:t>司机室内设有紧急断电按钮，当起重机发生紧急情况时，随时方便地切断控制回路电源，从而使主回路断电，确保起重机的安全运行。</w:t>
      </w:r>
    </w:p>
    <w:p w14:paraId="2134C394">
      <w:pPr>
        <w:ind w:firstLine="480"/>
        <w:rPr>
          <w:rFonts w:ascii="Times New Roman" w:hAnsi="Times New Roman"/>
          <w:color w:val="auto"/>
          <w:szCs w:val="24"/>
        </w:rPr>
      </w:pPr>
      <w:r>
        <w:rPr>
          <w:rFonts w:hint="eastAsia" w:ascii="Times New Roman" w:hAnsi="Times New Roman"/>
          <w:color w:val="auto"/>
          <w:szCs w:val="24"/>
        </w:rPr>
        <w:t>6）起升行程限位保护：</w:t>
      </w:r>
    </w:p>
    <w:p w14:paraId="004F88E1">
      <w:pPr>
        <w:ind w:firstLine="480"/>
        <w:rPr>
          <w:rFonts w:ascii="Times New Roman" w:hAnsi="Times New Roman"/>
          <w:color w:val="auto"/>
          <w:szCs w:val="24"/>
        </w:rPr>
      </w:pPr>
      <w:r>
        <w:rPr>
          <w:rFonts w:hint="eastAsia" w:ascii="Times New Roman" w:hAnsi="Times New Roman"/>
          <w:color w:val="auto"/>
          <w:szCs w:val="24"/>
        </w:rPr>
        <w:t>起升启动加软启动，起升机构设有双限位开关，可保证吊钩上升到极限位置时切断电源，大车、电葫芦运行到极限位置时切断控制回路电源，使主回路断电，从而达到减速和停车的目的，确保起重机的安全运行。</w:t>
      </w:r>
    </w:p>
    <w:p w14:paraId="6E5235E6">
      <w:pPr>
        <w:ind w:firstLine="480"/>
        <w:rPr>
          <w:rFonts w:ascii="Times New Roman" w:hAnsi="Times New Roman"/>
          <w:color w:val="auto"/>
          <w:szCs w:val="24"/>
        </w:rPr>
      </w:pPr>
      <w:r>
        <w:rPr>
          <w:rFonts w:hint="eastAsia" w:ascii="Times New Roman" w:hAnsi="Times New Roman"/>
          <w:color w:val="auto"/>
          <w:szCs w:val="24"/>
        </w:rPr>
        <w:t>7）开关保护：</w:t>
      </w:r>
    </w:p>
    <w:p w14:paraId="6949CD8B">
      <w:pPr>
        <w:ind w:firstLine="480"/>
        <w:rPr>
          <w:rFonts w:ascii="Times New Roman" w:hAnsi="Times New Roman"/>
          <w:color w:val="auto"/>
          <w:szCs w:val="24"/>
        </w:rPr>
      </w:pPr>
      <w:r>
        <w:rPr>
          <w:rFonts w:hint="eastAsia" w:ascii="Times New Roman" w:hAnsi="Times New Roman"/>
          <w:color w:val="auto"/>
          <w:szCs w:val="24"/>
        </w:rPr>
        <w:t>应设有安全开关。当其中任意一个安全开关断开时，总接触器即自动断开，可避免造成事故。大车上车塔设联系按钮。</w:t>
      </w:r>
    </w:p>
    <w:p w14:paraId="0EB2B3C1">
      <w:pPr>
        <w:ind w:firstLine="480"/>
        <w:rPr>
          <w:rFonts w:ascii="Times New Roman" w:hAnsi="Times New Roman"/>
          <w:color w:val="auto"/>
          <w:szCs w:val="24"/>
        </w:rPr>
      </w:pPr>
      <w:r>
        <w:rPr>
          <w:rFonts w:hint="eastAsia" w:ascii="Times New Roman" w:hAnsi="Times New Roman"/>
          <w:color w:val="auto"/>
          <w:szCs w:val="24"/>
        </w:rPr>
        <w:t>8）超载保护：</w:t>
      </w:r>
    </w:p>
    <w:p w14:paraId="58FC1241">
      <w:pPr>
        <w:ind w:firstLine="480"/>
        <w:rPr>
          <w:rFonts w:ascii="Times New Roman" w:hAnsi="Times New Roman"/>
          <w:color w:val="auto"/>
          <w:szCs w:val="24"/>
        </w:rPr>
      </w:pPr>
      <w:r>
        <w:rPr>
          <w:rFonts w:hint="eastAsia" w:ascii="Times New Roman" w:hAnsi="Times New Roman"/>
          <w:color w:val="auto"/>
          <w:szCs w:val="24"/>
        </w:rPr>
        <w:t>起升机构配置超载限制器，具有报警功能，当载荷达到额定起重量的</w:t>
      </w:r>
      <w:r>
        <w:rPr>
          <w:rFonts w:ascii="Times New Roman" w:hAnsi="Times New Roman"/>
          <w:color w:val="auto"/>
          <w:szCs w:val="24"/>
        </w:rPr>
        <w:t>90</w:t>
      </w:r>
      <w:r>
        <w:rPr>
          <w:rFonts w:hint="eastAsia" w:ascii="Times New Roman" w:hAnsi="Times New Roman"/>
          <w:color w:val="auto"/>
          <w:szCs w:val="24"/>
        </w:rPr>
        <w:t>％时，能发出提示性报警信号，当起重量超过额定起重量时，能自动切断起升动力源，并发出禁止性报警信号。</w:t>
      </w:r>
    </w:p>
    <w:p w14:paraId="471A8743">
      <w:pPr>
        <w:ind w:firstLine="480"/>
        <w:rPr>
          <w:rFonts w:ascii="Times New Roman" w:hAnsi="Times New Roman"/>
          <w:color w:val="auto"/>
          <w:szCs w:val="24"/>
        </w:rPr>
      </w:pPr>
      <w:r>
        <w:rPr>
          <w:rFonts w:hint="eastAsia" w:ascii="Times New Roman" w:hAnsi="Times New Roman"/>
          <w:color w:val="auto"/>
          <w:szCs w:val="24"/>
        </w:rPr>
        <w:t>控制柜</w:t>
      </w:r>
      <w:r>
        <w:rPr>
          <w:rFonts w:ascii="Times New Roman" w:hAnsi="Times New Roman"/>
          <w:color w:val="auto"/>
          <w:szCs w:val="24"/>
        </w:rPr>
        <w:t>,</w:t>
      </w:r>
      <w:r>
        <w:rPr>
          <w:rFonts w:hint="eastAsia" w:ascii="Times New Roman" w:hAnsi="Times New Roman"/>
          <w:color w:val="auto"/>
          <w:szCs w:val="24"/>
        </w:rPr>
        <w:t>端子箱防护等级</w:t>
      </w:r>
      <w:r>
        <w:rPr>
          <w:rFonts w:ascii="Times New Roman" w:hAnsi="Times New Roman"/>
          <w:color w:val="auto"/>
          <w:szCs w:val="24"/>
        </w:rPr>
        <w:t>IP55</w:t>
      </w:r>
      <w:r>
        <w:rPr>
          <w:rFonts w:hint="eastAsia" w:ascii="Times New Roman" w:hAnsi="Times New Roman"/>
          <w:color w:val="auto"/>
          <w:szCs w:val="24"/>
        </w:rPr>
        <w:t>，端子箱采用下部或侧部进线上部做防雨，槽盖加防脱落装置。</w:t>
      </w:r>
    </w:p>
    <w:p w14:paraId="6F91F9BA">
      <w:pPr>
        <w:ind w:firstLine="480"/>
        <w:rPr>
          <w:rFonts w:hint="eastAsia" w:ascii="Times New Roman" w:hAnsi="Times New Roman"/>
          <w:color w:val="auto"/>
          <w:szCs w:val="24"/>
        </w:rPr>
      </w:pPr>
      <w:r>
        <w:rPr>
          <w:rFonts w:hint="eastAsia" w:ascii="Times New Roman" w:hAnsi="Times New Roman"/>
          <w:color w:val="auto"/>
          <w:szCs w:val="24"/>
        </w:rPr>
        <w:t>9）操纵方式：</w:t>
      </w:r>
    </w:p>
    <w:p w14:paraId="718EA6DD">
      <w:pPr>
        <w:ind w:firstLine="480"/>
        <w:rPr>
          <w:rFonts w:ascii="Times New Roman" w:hAnsi="Times New Roman"/>
          <w:color w:val="auto"/>
          <w:szCs w:val="24"/>
        </w:rPr>
      </w:pPr>
      <w:r>
        <w:rPr>
          <w:rFonts w:hint="eastAsia" w:ascii="Times New Roman" w:hAnsi="Times New Roman"/>
          <w:color w:val="auto"/>
          <w:szCs w:val="24"/>
        </w:rPr>
        <w:t>司机室设有总电源和控制电源开关状态信号指示灯。</w:t>
      </w:r>
    </w:p>
    <w:p w14:paraId="28F0E1A1">
      <w:pPr>
        <w:ind w:firstLine="480"/>
        <w:rPr>
          <w:rFonts w:ascii="Times New Roman" w:hAnsi="Times New Roman"/>
          <w:color w:val="auto"/>
          <w:szCs w:val="24"/>
        </w:rPr>
      </w:pPr>
      <w:r>
        <w:rPr>
          <w:rFonts w:hint="eastAsia" w:ascii="Times New Roman" w:hAnsi="Times New Roman"/>
          <w:color w:val="auto"/>
          <w:szCs w:val="24"/>
        </w:rPr>
        <w:t>司机室设置交流</w:t>
      </w:r>
      <w:r>
        <w:rPr>
          <w:rFonts w:ascii="Times New Roman" w:hAnsi="Times New Roman"/>
          <w:color w:val="auto"/>
          <w:szCs w:val="24"/>
        </w:rPr>
        <w:t>220V</w:t>
      </w:r>
      <w:r>
        <w:rPr>
          <w:rFonts w:hint="eastAsia" w:ascii="Times New Roman" w:hAnsi="Times New Roman"/>
          <w:color w:val="auto"/>
          <w:szCs w:val="24"/>
        </w:rPr>
        <w:t>电源插座及三相</w:t>
      </w:r>
      <w:r>
        <w:rPr>
          <w:rFonts w:ascii="Times New Roman" w:hAnsi="Times New Roman"/>
          <w:color w:val="auto"/>
          <w:szCs w:val="24"/>
        </w:rPr>
        <w:t>380V</w:t>
      </w:r>
      <w:r>
        <w:rPr>
          <w:rFonts w:hint="eastAsia" w:ascii="Times New Roman" w:hAnsi="Times New Roman"/>
          <w:color w:val="auto"/>
          <w:szCs w:val="24"/>
        </w:rPr>
        <w:t>电源，备接其它电气设备。</w:t>
      </w:r>
    </w:p>
    <w:p w14:paraId="2B65C479">
      <w:pPr>
        <w:ind w:firstLine="480"/>
        <w:rPr>
          <w:rFonts w:ascii="Times New Roman" w:hAnsi="Times New Roman"/>
          <w:color w:val="auto"/>
          <w:szCs w:val="24"/>
        </w:rPr>
      </w:pPr>
      <w:r>
        <w:rPr>
          <w:rFonts w:hint="eastAsia" w:ascii="Times New Roman" w:hAnsi="Times New Roman"/>
          <w:color w:val="auto"/>
          <w:szCs w:val="24"/>
        </w:rPr>
        <w:t>司机室设有</w:t>
      </w:r>
      <w:r>
        <w:rPr>
          <w:rFonts w:ascii="Times New Roman" w:hAnsi="Times New Roman"/>
          <w:color w:val="auto"/>
          <w:szCs w:val="24"/>
        </w:rPr>
        <w:t>36V</w:t>
      </w:r>
      <w:r>
        <w:rPr>
          <w:rFonts w:hint="eastAsia" w:ascii="Times New Roman" w:hAnsi="Times New Roman"/>
          <w:color w:val="auto"/>
          <w:szCs w:val="24"/>
        </w:rPr>
        <w:t>插座，以便于检修作业。</w:t>
      </w:r>
    </w:p>
    <w:p w14:paraId="27C185E9">
      <w:pPr>
        <w:ind w:firstLine="480"/>
        <w:rPr>
          <w:rFonts w:ascii="Times New Roman" w:hAnsi="Times New Roman"/>
          <w:color w:val="auto"/>
          <w:szCs w:val="24"/>
        </w:rPr>
      </w:pPr>
      <w:r>
        <w:rPr>
          <w:rFonts w:hint="eastAsia" w:ascii="Times New Roman" w:hAnsi="Times New Roman"/>
          <w:color w:val="auto"/>
          <w:szCs w:val="24"/>
        </w:rPr>
        <w:t>司机室用交流</w:t>
      </w:r>
      <w:r>
        <w:rPr>
          <w:rFonts w:ascii="Times New Roman" w:hAnsi="Times New Roman"/>
          <w:color w:val="auto"/>
          <w:szCs w:val="24"/>
        </w:rPr>
        <w:t>220V/40W</w:t>
      </w:r>
      <w:r>
        <w:rPr>
          <w:rFonts w:hint="eastAsia" w:ascii="Times New Roman" w:hAnsi="Times New Roman"/>
          <w:color w:val="auto"/>
          <w:szCs w:val="24"/>
        </w:rPr>
        <w:t>荧光灯具照明，以满足照度不低于</w:t>
      </w:r>
      <w:r>
        <w:rPr>
          <w:rFonts w:ascii="Times New Roman" w:hAnsi="Times New Roman"/>
          <w:color w:val="auto"/>
          <w:szCs w:val="24"/>
        </w:rPr>
        <w:t>200LX</w:t>
      </w:r>
      <w:r>
        <w:rPr>
          <w:rFonts w:hint="eastAsia" w:ascii="Times New Roman" w:hAnsi="Times New Roman"/>
          <w:color w:val="auto"/>
          <w:szCs w:val="24"/>
        </w:rPr>
        <w:t>的要求。</w:t>
      </w:r>
    </w:p>
    <w:p w14:paraId="1CA1D932">
      <w:pPr>
        <w:ind w:firstLine="480"/>
        <w:rPr>
          <w:rFonts w:ascii="Times New Roman" w:hAnsi="Times New Roman"/>
          <w:color w:val="auto"/>
          <w:szCs w:val="24"/>
        </w:rPr>
      </w:pPr>
      <w:r>
        <w:rPr>
          <w:rFonts w:hint="eastAsia" w:ascii="Times New Roman" w:hAnsi="Times New Roman"/>
          <w:color w:val="auto"/>
          <w:szCs w:val="24"/>
        </w:rPr>
        <w:t>1</w:t>
      </w:r>
      <w:r>
        <w:rPr>
          <w:rFonts w:ascii="Times New Roman" w:hAnsi="Times New Roman"/>
          <w:color w:val="auto"/>
          <w:szCs w:val="24"/>
        </w:rPr>
        <w:t>0</w:t>
      </w:r>
      <w:r>
        <w:rPr>
          <w:rFonts w:hint="eastAsia" w:ascii="Times New Roman" w:hAnsi="Times New Roman"/>
          <w:color w:val="auto"/>
          <w:szCs w:val="24"/>
        </w:rPr>
        <w:t>）照明信号：</w:t>
      </w:r>
    </w:p>
    <w:p w14:paraId="5B5A856D">
      <w:pPr>
        <w:ind w:firstLine="480"/>
        <w:rPr>
          <w:rFonts w:ascii="Times New Roman" w:hAnsi="Times New Roman"/>
          <w:color w:val="auto"/>
          <w:szCs w:val="24"/>
        </w:rPr>
      </w:pPr>
      <w:r>
        <w:rPr>
          <w:rFonts w:hint="eastAsia" w:ascii="Times New Roman" w:hAnsi="Times New Roman"/>
          <w:color w:val="auto"/>
          <w:szCs w:val="24"/>
        </w:rPr>
        <w:t>照明及信号部分设有专用的隔离变压器。原边进线电压为交流</w:t>
      </w:r>
      <w:r>
        <w:rPr>
          <w:rFonts w:ascii="Times New Roman" w:hAnsi="Times New Roman"/>
          <w:color w:val="auto"/>
          <w:szCs w:val="24"/>
        </w:rPr>
        <w:t>380V</w:t>
      </w:r>
      <w:r>
        <w:rPr>
          <w:rFonts w:hint="eastAsia" w:ascii="Times New Roman" w:hAnsi="Times New Roman"/>
          <w:color w:val="auto"/>
          <w:szCs w:val="24"/>
        </w:rPr>
        <w:t>，副边出线电压为交流</w:t>
      </w:r>
      <w:r>
        <w:rPr>
          <w:rFonts w:ascii="Times New Roman" w:hAnsi="Times New Roman"/>
          <w:color w:val="auto"/>
          <w:szCs w:val="24"/>
        </w:rPr>
        <w:t>220V</w:t>
      </w:r>
      <w:r>
        <w:rPr>
          <w:rFonts w:hint="eastAsia" w:ascii="Times New Roman" w:hAnsi="Times New Roman"/>
          <w:color w:val="auto"/>
          <w:szCs w:val="24"/>
        </w:rPr>
        <w:t>，交流</w:t>
      </w:r>
      <w:r>
        <w:rPr>
          <w:rFonts w:ascii="Times New Roman" w:hAnsi="Times New Roman"/>
          <w:color w:val="auto"/>
          <w:szCs w:val="24"/>
        </w:rPr>
        <w:t>36V</w:t>
      </w:r>
      <w:r>
        <w:rPr>
          <w:rFonts w:hint="eastAsia" w:ascii="Times New Roman" w:hAnsi="Times New Roman"/>
          <w:color w:val="auto"/>
          <w:szCs w:val="24"/>
        </w:rPr>
        <w:t>。交流</w:t>
      </w:r>
      <w:r>
        <w:rPr>
          <w:rFonts w:ascii="Times New Roman" w:hAnsi="Times New Roman"/>
          <w:color w:val="auto"/>
          <w:szCs w:val="24"/>
        </w:rPr>
        <w:t>220V</w:t>
      </w:r>
      <w:r>
        <w:rPr>
          <w:rFonts w:hint="eastAsia" w:ascii="Times New Roman" w:hAnsi="Times New Roman"/>
          <w:color w:val="auto"/>
          <w:szCs w:val="24"/>
        </w:rPr>
        <w:t>为起重机照明电源；交流</w:t>
      </w:r>
      <w:r>
        <w:rPr>
          <w:rFonts w:ascii="Times New Roman" w:hAnsi="Times New Roman"/>
          <w:color w:val="auto"/>
          <w:szCs w:val="24"/>
        </w:rPr>
        <w:t>36V</w:t>
      </w:r>
      <w:r>
        <w:rPr>
          <w:rFonts w:hint="eastAsia" w:ascii="Times New Roman" w:hAnsi="Times New Roman"/>
          <w:color w:val="auto"/>
          <w:szCs w:val="24"/>
        </w:rPr>
        <w:t>为起重机安全信号和检修电源。照明变压器从主接触器上端引线，以保证主接触器断电时，照明回路不断电。</w:t>
      </w:r>
    </w:p>
    <w:p w14:paraId="2933164E">
      <w:pPr>
        <w:ind w:firstLine="480"/>
        <w:rPr>
          <w:rFonts w:ascii="Times New Roman" w:hAnsi="Times New Roman"/>
          <w:color w:val="auto"/>
          <w:szCs w:val="24"/>
        </w:rPr>
      </w:pPr>
      <w:r>
        <w:rPr>
          <w:rFonts w:hint="eastAsia" w:ascii="Times New Roman" w:hAnsi="Times New Roman"/>
          <w:color w:val="auto"/>
          <w:szCs w:val="24"/>
        </w:rPr>
        <w:t>设有报警装置</w:t>
      </w:r>
      <w:r>
        <w:rPr>
          <w:rFonts w:ascii="Times New Roman" w:hAnsi="Times New Roman"/>
          <w:color w:val="auto"/>
          <w:szCs w:val="24"/>
        </w:rPr>
        <w:t>,</w:t>
      </w:r>
      <w:r>
        <w:rPr>
          <w:rFonts w:hint="eastAsia" w:ascii="Times New Roman" w:hAnsi="Times New Roman"/>
          <w:color w:val="auto"/>
          <w:szCs w:val="24"/>
        </w:rPr>
        <w:t>开车时起提示作用。</w:t>
      </w:r>
    </w:p>
    <w:p w14:paraId="54F7C636">
      <w:pPr>
        <w:ind w:firstLine="480"/>
        <w:rPr>
          <w:rFonts w:ascii="Times New Roman" w:hAnsi="Times New Roman"/>
          <w:color w:val="auto"/>
          <w:szCs w:val="24"/>
        </w:rPr>
      </w:pPr>
      <w:r>
        <w:rPr>
          <w:rFonts w:hint="eastAsia" w:ascii="Times New Roman" w:hAnsi="Times New Roman"/>
          <w:color w:val="auto"/>
          <w:szCs w:val="24"/>
        </w:rPr>
        <w:t>1</w:t>
      </w:r>
      <w:r>
        <w:rPr>
          <w:rFonts w:ascii="Times New Roman" w:hAnsi="Times New Roman"/>
          <w:color w:val="auto"/>
          <w:szCs w:val="24"/>
        </w:rPr>
        <w:t>1</w:t>
      </w:r>
      <w:r>
        <w:rPr>
          <w:rFonts w:hint="eastAsia" w:ascii="Times New Roman" w:hAnsi="Times New Roman"/>
          <w:color w:val="auto"/>
          <w:szCs w:val="24"/>
        </w:rPr>
        <w:t>）其它：</w:t>
      </w:r>
    </w:p>
    <w:p w14:paraId="19DFAD5E">
      <w:pPr>
        <w:ind w:firstLine="480"/>
        <w:rPr>
          <w:rFonts w:ascii="Times New Roman" w:hAnsi="Times New Roman"/>
          <w:color w:val="auto"/>
          <w:szCs w:val="24"/>
        </w:rPr>
      </w:pPr>
      <w:r>
        <w:rPr>
          <w:rFonts w:hint="eastAsia" w:ascii="Times New Roman" w:hAnsi="Times New Roman"/>
          <w:color w:val="auto"/>
          <w:szCs w:val="24"/>
        </w:rPr>
        <w:t>总受电屏和各机构控制屏中的布线采用铜导线和铜排。</w:t>
      </w:r>
    </w:p>
    <w:p w14:paraId="55430378">
      <w:pPr>
        <w:ind w:firstLine="480"/>
        <w:rPr>
          <w:rFonts w:ascii="Times New Roman" w:hAnsi="Times New Roman"/>
          <w:color w:val="auto"/>
          <w:szCs w:val="24"/>
        </w:rPr>
      </w:pPr>
      <w:r>
        <w:rPr>
          <w:rFonts w:hint="eastAsia" w:ascii="Times New Roman" w:hAnsi="Times New Roman"/>
          <w:color w:val="auto"/>
          <w:szCs w:val="24"/>
        </w:rPr>
        <w:t>按照防雷要求设置避雷装置。</w:t>
      </w:r>
    </w:p>
    <w:p w14:paraId="195C4E31">
      <w:pPr>
        <w:pStyle w:val="3"/>
        <w:numPr>
          <w:ilvl w:val="1"/>
          <w:numId w:val="0"/>
        </w:numPr>
        <w:tabs>
          <w:tab w:val="left" w:pos="0"/>
        </w:tabs>
        <w:rPr>
          <w:color w:val="auto"/>
          <w:szCs w:val="24"/>
        </w:rPr>
      </w:pPr>
      <w:bookmarkStart w:id="261" w:name="_Toc10409831"/>
      <w:bookmarkStart w:id="262" w:name="_Toc11550"/>
      <w:bookmarkStart w:id="263" w:name="_Toc109137387"/>
      <w:r>
        <w:rPr>
          <w:rFonts w:hint="eastAsia"/>
          <w:color w:val="auto"/>
          <w:szCs w:val="24"/>
          <w:lang w:val="en-US" w:eastAsia="zh-CN"/>
        </w:rPr>
        <w:t>8.4</w:t>
      </w:r>
      <w:r>
        <w:rPr>
          <w:rFonts w:hint="eastAsia"/>
          <w:color w:val="auto"/>
          <w:szCs w:val="24"/>
        </w:rPr>
        <w:t>焊接要求</w:t>
      </w:r>
      <w:bookmarkEnd w:id="261"/>
      <w:bookmarkEnd w:id="262"/>
      <w:bookmarkEnd w:id="263"/>
    </w:p>
    <w:p w14:paraId="01162895">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1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①</w:t>
      </w:r>
      <w:r>
        <w:rPr>
          <w:rFonts w:ascii="Times New Roman" w:hAnsi="Times New Roman"/>
          <w:color w:val="auto"/>
          <w:szCs w:val="24"/>
        </w:rPr>
        <w:fldChar w:fldCharType="end"/>
      </w:r>
      <w:r>
        <w:rPr>
          <w:rFonts w:ascii="Times New Roman" w:hAnsi="Times New Roman"/>
          <w:color w:val="auto"/>
          <w:szCs w:val="24"/>
        </w:rPr>
        <w:t>焊缝外部检查不得有目测可见的裂纹</w:t>
      </w:r>
      <w:r>
        <w:rPr>
          <w:rFonts w:hint="eastAsia" w:ascii="Times New Roman" w:hAnsi="Times New Roman"/>
          <w:color w:val="auto"/>
          <w:szCs w:val="24"/>
        </w:rPr>
        <w:t>、</w:t>
      </w:r>
      <w:r>
        <w:rPr>
          <w:rFonts w:ascii="Times New Roman" w:hAnsi="Times New Roman"/>
          <w:color w:val="auto"/>
          <w:szCs w:val="24"/>
        </w:rPr>
        <w:t>气孔</w:t>
      </w:r>
      <w:r>
        <w:rPr>
          <w:rFonts w:hint="eastAsia" w:ascii="Times New Roman" w:hAnsi="Times New Roman"/>
          <w:color w:val="auto"/>
          <w:szCs w:val="24"/>
        </w:rPr>
        <w:t>、</w:t>
      </w:r>
      <w:r>
        <w:rPr>
          <w:rFonts w:ascii="Times New Roman" w:hAnsi="Times New Roman"/>
          <w:color w:val="auto"/>
          <w:szCs w:val="24"/>
        </w:rPr>
        <w:t>固体夹杂</w:t>
      </w:r>
      <w:r>
        <w:rPr>
          <w:rFonts w:hint="eastAsia" w:ascii="Times New Roman" w:hAnsi="Times New Roman"/>
          <w:color w:val="auto"/>
          <w:szCs w:val="24"/>
        </w:rPr>
        <w:t>、</w:t>
      </w:r>
      <w:r>
        <w:rPr>
          <w:rFonts w:ascii="Times New Roman" w:hAnsi="Times New Roman"/>
          <w:color w:val="auto"/>
          <w:szCs w:val="24"/>
        </w:rPr>
        <w:t>未熔合</w:t>
      </w:r>
      <w:r>
        <w:rPr>
          <w:rFonts w:hint="eastAsia" w:ascii="Times New Roman" w:hAnsi="Times New Roman"/>
          <w:color w:val="auto"/>
          <w:szCs w:val="24"/>
        </w:rPr>
        <w:t>、</w:t>
      </w:r>
      <w:r>
        <w:rPr>
          <w:rFonts w:ascii="Times New Roman" w:hAnsi="Times New Roman"/>
          <w:color w:val="auto"/>
          <w:szCs w:val="24"/>
        </w:rPr>
        <w:t>未焊透等明显缺陷。</w:t>
      </w:r>
    </w:p>
    <w:p w14:paraId="4E21789B">
      <w:pPr>
        <w:ind w:firstLine="480"/>
        <w:rPr>
          <w:rFonts w:ascii="Times New Roman" w:hAnsi="Times New Roman"/>
          <w:color w:val="auto"/>
          <w:szCs w:val="24"/>
          <w:highlight w:val="none"/>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2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②</w:t>
      </w:r>
      <w:r>
        <w:rPr>
          <w:rFonts w:ascii="Times New Roman" w:hAnsi="Times New Roman"/>
          <w:color w:val="auto"/>
          <w:szCs w:val="24"/>
        </w:rPr>
        <w:fldChar w:fldCharType="end"/>
      </w:r>
      <w:r>
        <w:rPr>
          <w:rFonts w:ascii="Times New Roman" w:hAnsi="Times New Roman"/>
          <w:color w:val="auto"/>
          <w:szCs w:val="24"/>
        </w:rPr>
        <w:t>制造过程中焊接质量要求：</w:t>
      </w:r>
      <w:r>
        <w:rPr>
          <w:rFonts w:hint="eastAsia" w:ascii="Times New Roman" w:hAnsi="Times New Roman"/>
          <w:color w:val="auto"/>
          <w:szCs w:val="24"/>
        </w:rPr>
        <w:t>预埋</w:t>
      </w:r>
      <w:r>
        <w:rPr>
          <w:rFonts w:ascii="Times New Roman" w:hAnsi="Times New Roman"/>
          <w:color w:val="auto"/>
          <w:szCs w:val="24"/>
        </w:rPr>
        <w:t>支腿、</w:t>
      </w:r>
      <w:r>
        <w:rPr>
          <w:rFonts w:hint="eastAsia" w:ascii="Times New Roman" w:hAnsi="Times New Roman"/>
          <w:color w:val="auto"/>
          <w:szCs w:val="24"/>
        </w:rPr>
        <w:t>顶升套架、回转总在、塔顶等</w:t>
      </w:r>
      <w:r>
        <w:rPr>
          <w:rFonts w:ascii="Times New Roman" w:hAnsi="Times New Roman"/>
          <w:color w:val="auto"/>
          <w:szCs w:val="24"/>
        </w:rPr>
        <w:t>受拉区的对接焊缝</w:t>
      </w:r>
      <w:r>
        <w:rPr>
          <w:rFonts w:hint="eastAsia" w:ascii="Times New Roman" w:hAnsi="Times New Roman"/>
          <w:color w:val="auto"/>
          <w:szCs w:val="24"/>
        </w:rPr>
        <w:t>表面质量</w:t>
      </w:r>
      <w:r>
        <w:rPr>
          <w:rFonts w:ascii="Times New Roman" w:hAnsi="Times New Roman"/>
          <w:color w:val="auto"/>
          <w:szCs w:val="24"/>
        </w:rPr>
        <w:t>应</w:t>
      </w:r>
      <w:r>
        <w:rPr>
          <w:rFonts w:hint="eastAsia" w:ascii="Times New Roman" w:hAnsi="Times New Roman"/>
          <w:color w:val="auto"/>
          <w:szCs w:val="24"/>
        </w:rPr>
        <w:t>达到</w:t>
      </w:r>
      <w:r>
        <w:rPr>
          <w:rFonts w:hint="eastAsia" w:ascii="Times New Roman" w:hAnsi="Times New Roman"/>
          <w:color w:val="auto"/>
          <w:szCs w:val="24"/>
          <w:highlight w:val="none"/>
        </w:rPr>
        <w:t>《钢的弧焊接头 缺陷质量分析指南》（GB/T</w:t>
      </w:r>
      <w:r>
        <w:rPr>
          <w:rFonts w:hint="eastAsia" w:ascii="Times New Roman" w:hAnsi="Times New Roman"/>
          <w:color w:val="auto"/>
          <w:szCs w:val="24"/>
          <w:highlight w:val="none"/>
          <w:lang w:val="en-US" w:eastAsia="zh-CN"/>
        </w:rPr>
        <w:t xml:space="preserve"> </w:t>
      </w:r>
      <w:r>
        <w:rPr>
          <w:rFonts w:hint="eastAsia" w:ascii="Times New Roman" w:hAnsi="Times New Roman"/>
          <w:color w:val="auto"/>
          <w:szCs w:val="24"/>
          <w:highlight w:val="none"/>
        </w:rPr>
        <w:t>19418-2003）中的“B”级，焊缝内部质量应</w:t>
      </w:r>
      <w:r>
        <w:rPr>
          <w:rFonts w:ascii="Times New Roman" w:hAnsi="Times New Roman"/>
          <w:color w:val="auto"/>
          <w:szCs w:val="24"/>
          <w:highlight w:val="none"/>
        </w:rPr>
        <w:t>进行无损探伤，射线探伤时应不低于</w:t>
      </w:r>
      <w:r>
        <w:rPr>
          <w:rFonts w:hint="eastAsia" w:ascii="Times New Roman" w:hAnsi="Times New Roman"/>
          <w:color w:val="auto"/>
          <w:szCs w:val="24"/>
          <w:highlight w:val="none"/>
        </w:rPr>
        <w:t>《金属融化焊接接头射线照相》（</w:t>
      </w:r>
      <w:r>
        <w:rPr>
          <w:rFonts w:ascii="Times New Roman" w:hAnsi="Times New Roman"/>
          <w:color w:val="auto"/>
          <w:szCs w:val="24"/>
          <w:highlight w:val="none"/>
        </w:rPr>
        <w:t>GB</w:t>
      </w:r>
      <w:r>
        <w:rPr>
          <w:rFonts w:hint="eastAsia" w:ascii="Times New Roman" w:hAnsi="Times New Roman"/>
          <w:color w:val="auto"/>
          <w:szCs w:val="24"/>
          <w:highlight w:val="none"/>
          <w:lang w:val="en-US" w:eastAsia="zh-CN"/>
        </w:rPr>
        <w:t xml:space="preserve">/T </w:t>
      </w:r>
      <w:r>
        <w:rPr>
          <w:rFonts w:ascii="Times New Roman" w:hAnsi="Times New Roman"/>
          <w:color w:val="auto"/>
          <w:szCs w:val="24"/>
          <w:highlight w:val="none"/>
        </w:rPr>
        <w:t>3323</w:t>
      </w:r>
      <w:r>
        <w:rPr>
          <w:rFonts w:hint="eastAsia" w:ascii="Times New Roman" w:hAnsi="Times New Roman"/>
          <w:color w:val="auto"/>
          <w:szCs w:val="24"/>
          <w:highlight w:val="none"/>
          <w:lang w:val="en-US" w:eastAsia="zh-CN"/>
        </w:rPr>
        <w:t>.1</w:t>
      </w:r>
      <w:r>
        <w:rPr>
          <w:rFonts w:hint="eastAsia" w:ascii="Times New Roman" w:hAnsi="Times New Roman"/>
          <w:color w:val="auto"/>
          <w:szCs w:val="24"/>
          <w:highlight w:val="none"/>
        </w:rPr>
        <w:t>-20</w:t>
      </w:r>
      <w:r>
        <w:rPr>
          <w:rFonts w:hint="eastAsia" w:ascii="Times New Roman" w:hAnsi="Times New Roman"/>
          <w:color w:val="auto"/>
          <w:szCs w:val="24"/>
          <w:highlight w:val="none"/>
          <w:lang w:val="en-US" w:eastAsia="zh-CN"/>
        </w:rPr>
        <w:t>19</w:t>
      </w:r>
      <w:r>
        <w:rPr>
          <w:rFonts w:hint="eastAsia" w:ascii="Times New Roman" w:hAnsi="Times New Roman"/>
          <w:color w:val="auto"/>
          <w:szCs w:val="24"/>
          <w:highlight w:val="none"/>
        </w:rPr>
        <w:t>）</w:t>
      </w:r>
      <w:r>
        <w:rPr>
          <w:rFonts w:ascii="Times New Roman" w:hAnsi="Times New Roman"/>
          <w:color w:val="auto"/>
          <w:szCs w:val="24"/>
          <w:highlight w:val="none"/>
        </w:rPr>
        <w:t>中规定的Ⅱ级，超声波探伤时应不低于</w:t>
      </w:r>
      <w:r>
        <w:rPr>
          <w:rFonts w:hint="eastAsia" w:ascii="Times New Roman" w:hAnsi="Times New Roman"/>
          <w:color w:val="auto"/>
          <w:szCs w:val="24"/>
          <w:highlight w:val="none"/>
        </w:rPr>
        <w:t>《钢结构超声波探伤及质量分级法》（</w:t>
      </w:r>
      <w:r>
        <w:rPr>
          <w:rFonts w:ascii="Times New Roman" w:hAnsi="Times New Roman"/>
          <w:color w:val="auto"/>
          <w:szCs w:val="24"/>
          <w:highlight w:val="none"/>
        </w:rPr>
        <w:t>J</w:t>
      </w:r>
      <w:r>
        <w:rPr>
          <w:rFonts w:hint="eastAsia" w:ascii="Times New Roman" w:hAnsi="Times New Roman"/>
          <w:color w:val="auto"/>
          <w:szCs w:val="24"/>
          <w:highlight w:val="none"/>
        </w:rPr>
        <w:t>G/T</w:t>
      </w:r>
      <w:r>
        <w:rPr>
          <w:rFonts w:hint="eastAsia" w:ascii="Times New Roman" w:hAnsi="Times New Roman"/>
          <w:color w:val="auto"/>
          <w:szCs w:val="24"/>
          <w:highlight w:val="none"/>
          <w:lang w:val="en-US" w:eastAsia="zh-CN"/>
        </w:rPr>
        <w:t xml:space="preserve"> </w:t>
      </w:r>
      <w:r>
        <w:rPr>
          <w:rFonts w:hint="eastAsia" w:ascii="Times New Roman" w:hAnsi="Times New Roman"/>
          <w:color w:val="auto"/>
          <w:szCs w:val="24"/>
          <w:highlight w:val="none"/>
        </w:rPr>
        <w:t>203-2007）</w:t>
      </w:r>
      <w:r>
        <w:rPr>
          <w:rFonts w:ascii="Times New Roman" w:hAnsi="Times New Roman"/>
          <w:color w:val="auto"/>
          <w:szCs w:val="24"/>
          <w:highlight w:val="none"/>
        </w:rPr>
        <w:t>中规定的I级。</w:t>
      </w:r>
    </w:p>
    <w:p w14:paraId="203F068D">
      <w:pPr>
        <w:pStyle w:val="3"/>
        <w:numPr>
          <w:ilvl w:val="1"/>
          <w:numId w:val="0"/>
        </w:numPr>
        <w:tabs>
          <w:tab w:val="left" w:pos="0"/>
        </w:tabs>
        <w:rPr>
          <w:color w:val="auto"/>
          <w:szCs w:val="24"/>
          <w:highlight w:val="none"/>
        </w:rPr>
      </w:pPr>
      <w:bookmarkStart w:id="264" w:name="_Toc109137388"/>
      <w:bookmarkStart w:id="265" w:name="_Toc10409832"/>
      <w:bookmarkStart w:id="266" w:name="_Toc24581"/>
      <w:r>
        <w:rPr>
          <w:rFonts w:hint="eastAsia"/>
          <w:color w:val="auto"/>
          <w:szCs w:val="24"/>
          <w:highlight w:val="none"/>
          <w:lang w:val="en-US" w:eastAsia="zh-CN"/>
        </w:rPr>
        <w:t>8.5</w:t>
      </w:r>
      <w:r>
        <w:rPr>
          <w:rFonts w:hint="eastAsia"/>
          <w:color w:val="auto"/>
          <w:szCs w:val="24"/>
          <w:highlight w:val="none"/>
        </w:rPr>
        <w:t>螺栓连接要求</w:t>
      </w:r>
      <w:bookmarkEnd w:id="264"/>
      <w:bookmarkEnd w:id="265"/>
      <w:bookmarkEnd w:id="266"/>
    </w:p>
    <w:p w14:paraId="22DA1178">
      <w:pPr>
        <w:ind w:firstLine="480"/>
        <w:rPr>
          <w:rFonts w:ascii="Times New Roman" w:hAnsi="Times New Roman"/>
          <w:color w:val="auto"/>
          <w:szCs w:val="24"/>
          <w:highlight w:val="none"/>
        </w:rPr>
      </w:pPr>
      <w:r>
        <w:rPr>
          <w:rFonts w:hint="eastAsia" w:ascii="Times New Roman" w:hAnsi="Times New Roman"/>
          <w:color w:val="auto"/>
          <w:szCs w:val="24"/>
          <w:highlight w:val="none"/>
        </w:rPr>
        <w:t>1）</w:t>
      </w:r>
      <w:r>
        <w:rPr>
          <w:rFonts w:ascii="Times New Roman" w:hAnsi="Times New Roman"/>
          <w:color w:val="auto"/>
          <w:szCs w:val="24"/>
          <w:highlight w:val="none"/>
        </w:rPr>
        <w:t>钢结构采用高强度螺栓完成构件的连接时，其连接接头应符合</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钢结构高强度螺栓连接技术规程</w:t>
      </w:r>
      <w:r>
        <w:rPr>
          <w:rFonts w:hint="eastAsia" w:ascii="Times New Roman" w:hAnsi="Times New Roman"/>
          <w:color w:val="auto"/>
          <w:szCs w:val="24"/>
          <w:highlight w:val="none"/>
          <w:lang w:eastAsia="zh-CN"/>
        </w:rPr>
        <w:t>》（</w:t>
      </w:r>
      <w:r>
        <w:rPr>
          <w:rFonts w:ascii="Times New Roman" w:hAnsi="Times New Roman"/>
          <w:color w:val="auto"/>
          <w:szCs w:val="24"/>
          <w:highlight w:val="none"/>
        </w:rPr>
        <w:t>JGJ</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82</w:t>
      </w:r>
      <w:r>
        <w:rPr>
          <w:rFonts w:hint="eastAsia" w:ascii="Times New Roman" w:hAnsi="Times New Roman"/>
          <w:color w:val="auto"/>
          <w:szCs w:val="24"/>
          <w:highlight w:val="none"/>
          <w:lang w:val="en-US" w:eastAsia="zh-CN"/>
        </w:rPr>
        <w:t>-2011</w:t>
      </w:r>
      <w:r>
        <w:rPr>
          <w:rFonts w:hint="eastAsia" w:ascii="Times New Roman" w:hAnsi="Times New Roman"/>
          <w:color w:val="auto"/>
          <w:szCs w:val="24"/>
          <w:highlight w:val="none"/>
          <w:lang w:eastAsia="zh-CN"/>
        </w:rPr>
        <w:t>）</w:t>
      </w:r>
      <w:r>
        <w:rPr>
          <w:rFonts w:ascii="Times New Roman" w:hAnsi="Times New Roman"/>
          <w:color w:val="auto"/>
          <w:szCs w:val="24"/>
          <w:highlight w:val="none"/>
        </w:rPr>
        <w:t>的规定。</w:t>
      </w:r>
    </w:p>
    <w:p w14:paraId="480A21CF">
      <w:pPr>
        <w:ind w:firstLine="480"/>
        <w:rPr>
          <w:rFonts w:ascii="Times New Roman" w:hAnsi="Times New Roman"/>
          <w:color w:val="auto"/>
          <w:szCs w:val="24"/>
          <w:highlight w:val="none"/>
        </w:rPr>
      </w:pPr>
      <w:r>
        <w:rPr>
          <w:rFonts w:ascii="Times New Roman" w:hAnsi="Times New Roman"/>
          <w:color w:val="auto"/>
          <w:szCs w:val="24"/>
          <w:highlight w:val="none"/>
        </w:rPr>
        <w:t>2</w:t>
      </w:r>
      <w:r>
        <w:rPr>
          <w:rFonts w:hint="eastAsia" w:ascii="Times New Roman" w:hAnsi="Times New Roman"/>
          <w:color w:val="auto"/>
          <w:szCs w:val="24"/>
          <w:highlight w:val="none"/>
        </w:rPr>
        <w:t>）</w:t>
      </w:r>
      <w:r>
        <w:rPr>
          <w:rFonts w:ascii="Times New Roman" w:hAnsi="Times New Roman"/>
          <w:color w:val="auto"/>
          <w:szCs w:val="24"/>
          <w:highlight w:val="none"/>
        </w:rPr>
        <w:t>大六角头高强度螺栓接头所用螺栓、螺母、垫圈及其技术要求应分别符合</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钢结构用高强度大六角螺栓</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1228</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钢结构用高强度大六角螺母</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1229</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钢结构用高强度垫圈</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1230</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钢结构用高强度大六角螺栓、大六角螺母、垫圈技术条件</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1231</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的规定。</w:t>
      </w:r>
    </w:p>
    <w:p w14:paraId="5539E241">
      <w:pPr>
        <w:ind w:firstLine="480"/>
        <w:rPr>
          <w:rFonts w:ascii="Times New Roman" w:hAnsi="Times New Roman"/>
          <w:color w:val="auto"/>
          <w:szCs w:val="24"/>
        </w:rPr>
      </w:pPr>
      <w:r>
        <w:rPr>
          <w:rFonts w:ascii="Times New Roman" w:hAnsi="Times New Roman"/>
          <w:color w:val="auto"/>
          <w:szCs w:val="24"/>
        </w:rPr>
        <w:t>3</w:t>
      </w:r>
      <w:r>
        <w:rPr>
          <w:rFonts w:hint="eastAsia" w:ascii="Times New Roman" w:hAnsi="Times New Roman"/>
          <w:color w:val="auto"/>
          <w:szCs w:val="24"/>
        </w:rPr>
        <w:t>）必须根据说明书的要求作业。</w:t>
      </w:r>
    </w:p>
    <w:p w14:paraId="3CDCD982">
      <w:pPr>
        <w:pStyle w:val="3"/>
        <w:numPr>
          <w:ilvl w:val="1"/>
          <w:numId w:val="0"/>
        </w:numPr>
        <w:tabs>
          <w:tab w:val="left" w:pos="0"/>
        </w:tabs>
        <w:rPr>
          <w:color w:val="auto"/>
          <w:szCs w:val="24"/>
        </w:rPr>
      </w:pPr>
      <w:bookmarkStart w:id="267" w:name="_Toc30598"/>
      <w:bookmarkStart w:id="268" w:name="_Toc10409833"/>
      <w:bookmarkStart w:id="269" w:name="_Toc109137389"/>
      <w:r>
        <w:rPr>
          <w:rFonts w:hint="eastAsia"/>
          <w:color w:val="auto"/>
          <w:szCs w:val="24"/>
          <w:lang w:val="en-US" w:eastAsia="zh-CN"/>
        </w:rPr>
        <w:t>8.6</w:t>
      </w:r>
      <w:r>
        <w:rPr>
          <w:rFonts w:hint="eastAsia"/>
          <w:color w:val="auto"/>
          <w:szCs w:val="24"/>
        </w:rPr>
        <w:t>防雷接地要求</w:t>
      </w:r>
      <w:bookmarkEnd w:id="267"/>
      <w:bookmarkEnd w:id="268"/>
      <w:bookmarkEnd w:id="269"/>
    </w:p>
    <w:p w14:paraId="2A1508EB">
      <w:pPr>
        <w:ind w:firstLine="480"/>
        <w:rPr>
          <w:rFonts w:ascii="Times New Roman" w:hAnsi="Times New Roman"/>
          <w:color w:val="auto"/>
          <w:szCs w:val="24"/>
        </w:rPr>
      </w:pPr>
      <w:r>
        <w:rPr>
          <w:rFonts w:hint="eastAsia" w:ascii="Times New Roman" w:hAnsi="Times New Roman"/>
          <w:color w:val="auto"/>
          <w:szCs w:val="24"/>
        </w:rPr>
        <w:t>1）塔机的接地：</w:t>
      </w:r>
    </w:p>
    <w:p w14:paraId="25C1EBF8">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1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①</w:t>
      </w:r>
      <w:r>
        <w:rPr>
          <w:rFonts w:ascii="Times New Roman" w:hAnsi="Times New Roman"/>
          <w:color w:val="auto"/>
          <w:szCs w:val="24"/>
        </w:rPr>
        <w:fldChar w:fldCharType="end"/>
      </w:r>
      <w:r>
        <w:rPr>
          <w:rFonts w:hint="eastAsia" w:ascii="Times New Roman" w:hAnsi="Times New Roman"/>
          <w:color w:val="auto"/>
          <w:szCs w:val="24"/>
        </w:rPr>
        <w:t>塔机的金属结构及所有电气设备的金属外壳，电缆金属外皮和变压器的低压侧均有可靠的接地。</w:t>
      </w:r>
    </w:p>
    <w:p w14:paraId="2DC9E760">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2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②</w:t>
      </w:r>
      <w:r>
        <w:rPr>
          <w:rFonts w:ascii="Times New Roman" w:hAnsi="Times New Roman"/>
          <w:color w:val="auto"/>
          <w:szCs w:val="24"/>
        </w:rPr>
        <w:fldChar w:fldCharType="end"/>
      </w:r>
      <w:r>
        <w:rPr>
          <w:rFonts w:hint="eastAsia" w:ascii="Times New Roman" w:hAnsi="Times New Roman"/>
          <w:color w:val="auto"/>
          <w:szCs w:val="24"/>
        </w:rPr>
        <w:t>接地线连接用不小于</w:t>
      </w:r>
      <w:r>
        <w:rPr>
          <w:rFonts w:ascii="Times New Roman" w:hAnsi="Times New Roman"/>
          <w:color w:val="auto"/>
          <w:szCs w:val="24"/>
        </w:rPr>
        <w:t>150mm</w:t>
      </w:r>
      <w:r>
        <w:rPr>
          <w:rFonts w:ascii="Times New Roman" w:hAnsi="Times New Roman"/>
          <w:color w:val="auto"/>
          <w:szCs w:val="24"/>
          <w:vertAlign w:val="superscript"/>
        </w:rPr>
        <w:t>2</w:t>
      </w:r>
      <w:r>
        <w:rPr>
          <w:rFonts w:hint="eastAsia" w:ascii="Times New Roman" w:hAnsi="Times New Roman"/>
          <w:color w:val="auto"/>
          <w:szCs w:val="24"/>
        </w:rPr>
        <w:t>扁钢或</w:t>
      </w:r>
      <w:r>
        <w:rPr>
          <w:rFonts w:ascii="Times New Roman" w:hAnsi="Times New Roman"/>
          <w:color w:val="auto"/>
          <w:szCs w:val="24"/>
        </w:rPr>
        <w:t>10 mm</w:t>
      </w:r>
      <w:r>
        <w:rPr>
          <w:rFonts w:ascii="Times New Roman" w:hAnsi="Times New Roman"/>
          <w:color w:val="auto"/>
          <w:szCs w:val="24"/>
          <w:vertAlign w:val="superscript"/>
        </w:rPr>
        <w:t>2</w:t>
      </w:r>
      <w:r>
        <w:rPr>
          <w:rFonts w:hint="eastAsia" w:ascii="Times New Roman" w:hAnsi="Times New Roman"/>
          <w:color w:val="auto"/>
          <w:szCs w:val="24"/>
        </w:rPr>
        <w:t>的铜线，用焊接法连接。</w:t>
      </w:r>
    </w:p>
    <w:p w14:paraId="64C2EA89">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3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③</w:t>
      </w:r>
      <w:r>
        <w:rPr>
          <w:rFonts w:ascii="Times New Roman" w:hAnsi="Times New Roman"/>
          <w:color w:val="auto"/>
          <w:szCs w:val="24"/>
        </w:rPr>
        <w:fldChar w:fldCharType="end"/>
      </w:r>
      <w:r>
        <w:rPr>
          <w:rFonts w:hint="eastAsia" w:ascii="Times New Roman" w:hAnsi="Times New Roman"/>
          <w:color w:val="auto"/>
          <w:szCs w:val="24"/>
        </w:rPr>
        <w:t>要求接地电阻≤4</w:t>
      </w:r>
      <w:r>
        <w:rPr>
          <w:rFonts w:hint="default" w:ascii="Times New Roman" w:hAnsi="Times New Roman" w:cs="Times New Roman"/>
          <w:color w:val="auto"/>
          <w:szCs w:val="24"/>
        </w:rPr>
        <w:t>Ω</w:t>
      </w:r>
      <w:r>
        <w:rPr>
          <w:rFonts w:hint="eastAsia" w:ascii="Times New Roman" w:hAnsi="Times New Roman"/>
          <w:color w:val="auto"/>
          <w:szCs w:val="24"/>
        </w:rPr>
        <w:t>，</w:t>
      </w:r>
      <w:r>
        <w:rPr>
          <w:rFonts w:ascii="Times New Roman" w:hAnsi="Times New Roman"/>
          <w:color w:val="auto"/>
          <w:szCs w:val="24"/>
        </w:rPr>
        <w:t>同时</w:t>
      </w:r>
      <w:r>
        <w:rPr>
          <w:rFonts w:hint="eastAsia" w:ascii="Times New Roman" w:hAnsi="Times New Roman"/>
          <w:color w:val="auto"/>
          <w:szCs w:val="24"/>
        </w:rPr>
        <w:t>起重机上任何一点的接地电阻均不大于4</w:t>
      </w:r>
      <w:r>
        <w:rPr>
          <w:rFonts w:hint="default" w:ascii="Times New Roman" w:hAnsi="Times New Roman" w:cs="Times New Roman"/>
          <w:color w:val="auto"/>
          <w:szCs w:val="24"/>
        </w:rPr>
        <w:t>Ω</w:t>
      </w:r>
      <w:r>
        <w:rPr>
          <w:rFonts w:hint="eastAsia" w:ascii="Times New Roman" w:hAnsi="Times New Roman"/>
          <w:color w:val="auto"/>
          <w:szCs w:val="24"/>
        </w:rPr>
        <w:t>。</w:t>
      </w:r>
    </w:p>
    <w:p w14:paraId="61286D6C">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）接地方式</w:t>
      </w:r>
    </w:p>
    <w:p w14:paraId="2C0DF971">
      <w:pPr>
        <w:ind w:firstLine="480"/>
        <w:rPr>
          <w:rFonts w:ascii="Times New Roman" w:hAnsi="Times New Roman"/>
          <w:color w:val="auto"/>
          <w:szCs w:val="24"/>
        </w:rPr>
      </w:pPr>
      <w:r>
        <w:rPr>
          <w:rFonts w:ascii="Times New Roman" w:hAnsi="Times New Roman"/>
          <w:color w:val="auto"/>
        </w:rPr>
        <w:fldChar w:fldCharType="begin"/>
      </w:r>
      <w:r>
        <w:rPr>
          <w:rFonts w:ascii="Times New Roman" w:hAnsi="Times New Roman"/>
          <w:color w:val="auto"/>
        </w:rPr>
        <w:instrText xml:space="preserve"> </w:instrText>
      </w:r>
      <w:r>
        <w:rPr>
          <w:rFonts w:hint="eastAsia" w:ascii="Times New Roman" w:hAnsi="Times New Roman"/>
          <w:color w:val="auto"/>
        </w:rPr>
        <w:instrText xml:space="preserve">= 1 \* GB3</w:instrText>
      </w:r>
      <w:r>
        <w:rPr>
          <w:rFonts w:ascii="Times New Roman" w:hAnsi="Times New Roman"/>
          <w:color w:val="auto"/>
        </w:rPr>
        <w:instrText xml:space="preserve"> </w:instrText>
      </w:r>
      <w:r>
        <w:rPr>
          <w:rFonts w:ascii="Times New Roman" w:hAnsi="Times New Roman"/>
          <w:color w:val="auto"/>
        </w:rPr>
        <w:fldChar w:fldCharType="separate"/>
      </w:r>
      <w:r>
        <w:rPr>
          <w:rFonts w:hint="eastAsia" w:ascii="Times New Roman" w:hAnsi="Times New Roman"/>
          <w:color w:val="auto"/>
        </w:rPr>
        <w:t>①</w:t>
      </w:r>
      <w:r>
        <w:rPr>
          <w:rFonts w:ascii="Times New Roman" w:hAnsi="Times New Roman"/>
          <w:color w:val="auto"/>
        </w:rPr>
        <w:fldChar w:fldCharType="end"/>
      </w:r>
      <w:r>
        <w:rPr>
          <w:rFonts w:hint="eastAsia" w:ascii="Times New Roman" w:hAnsi="Times New Roman"/>
          <w:color w:val="auto"/>
        </w:rPr>
        <w:t>采用长2.3米截面积为150mm2的钢管埋入地下2.5米处，再用50×5mm2镀锌扁钢充分焊接引出地表作接地母线，最后采用10mm2多股铜导线连接钢轨与接地母线</w:t>
      </w:r>
      <w:r>
        <w:rPr>
          <w:rFonts w:hint="eastAsia" w:ascii="Times New Roman" w:hAnsi="Times New Roman"/>
          <w:color w:val="auto"/>
          <w:szCs w:val="24"/>
        </w:rPr>
        <w:t>。</w:t>
      </w:r>
    </w:p>
    <w:p w14:paraId="5EA0E6D0">
      <w:pPr>
        <w:ind w:firstLine="480"/>
        <w:rPr>
          <w:rFonts w:ascii="Times New Roman" w:hAnsi="Times New Roman"/>
          <w:color w:val="auto"/>
          <w:szCs w:val="24"/>
        </w:rPr>
      </w:pPr>
      <w:r>
        <w:rPr>
          <w:rFonts w:ascii="Times New Roman" w:hAnsi="Times New Roman"/>
          <w:color w:val="auto"/>
          <w:szCs w:val="24"/>
        </w:rPr>
        <w:t>3</w:t>
      </w:r>
      <w:r>
        <w:rPr>
          <w:rFonts w:hint="eastAsia" w:ascii="Times New Roman" w:hAnsi="Times New Roman"/>
          <w:color w:val="auto"/>
          <w:szCs w:val="24"/>
        </w:rPr>
        <w:t>）防雷接地</w:t>
      </w:r>
      <w:r>
        <w:rPr>
          <w:rFonts w:hint="eastAsia" w:ascii="Times New Roman" w:hAnsi="Times New Roman"/>
          <w:color w:val="auto"/>
        </w:rPr>
        <w:t>具体内容：</w:t>
      </w:r>
    </w:p>
    <w:p w14:paraId="4781B52E">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1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①</w:t>
      </w:r>
      <w:r>
        <w:rPr>
          <w:rFonts w:ascii="Times New Roman" w:hAnsi="Times New Roman"/>
          <w:color w:val="auto"/>
          <w:szCs w:val="24"/>
        </w:rPr>
        <w:fldChar w:fldCharType="end"/>
      </w:r>
      <w:r>
        <w:rPr>
          <w:rFonts w:ascii="Times New Roman" w:hAnsi="Times New Roman"/>
          <w:color w:val="auto"/>
          <w:szCs w:val="24"/>
        </w:rPr>
        <w:t>防雷接地装置由接闪器、引下线、接地装置组成。</w:t>
      </w:r>
    </w:p>
    <w:p w14:paraId="20DCD0CB">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2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②</w:t>
      </w:r>
      <w:r>
        <w:rPr>
          <w:rFonts w:ascii="Times New Roman" w:hAnsi="Times New Roman"/>
          <w:color w:val="auto"/>
          <w:szCs w:val="24"/>
        </w:rPr>
        <w:fldChar w:fldCharType="end"/>
      </w:r>
      <w:r>
        <w:rPr>
          <w:rFonts w:ascii="Times New Roman" w:hAnsi="Times New Roman"/>
          <w:color w:val="auto"/>
          <w:szCs w:val="24"/>
        </w:rPr>
        <w:t>建筑物内的设备、管道构架等主要金属物和防侧击雷的塔窗、栏杆以及屋面的金属物体必须接地焊接。</w:t>
      </w:r>
    </w:p>
    <w:p w14:paraId="72B24599">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3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③</w:t>
      </w:r>
      <w:r>
        <w:rPr>
          <w:rFonts w:ascii="Times New Roman" w:hAnsi="Times New Roman"/>
          <w:color w:val="auto"/>
          <w:szCs w:val="24"/>
        </w:rPr>
        <w:fldChar w:fldCharType="end"/>
      </w:r>
      <w:r>
        <w:rPr>
          <w:rFonts w:ascii="Times New Roman" w:hAnsi="Times New Roman"/>
          <w:color w:val="auto"/>
          <w:szCs w:val="24"/>
        </w:rPr>
        <w:t>防雷接地体应采取焊接方法：</w:t>
      </w:r>
    </w:p>
    <w:p w14:paraId="097E27E1">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4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④</w:t>
      </w:r>
      <w:r>
        <w:rPr>
          <w:rFonts w:ascii="Times New Roman" w:hAnsi="Times New Roman"/>
          <w:color w:val="auto"/>
          <w:szCs w:val="24"/>
        </w:rPr>
        <w:fldChar w:fldCharType="end"/>
      </w:r>
      <w:r>
        <w:rPr>
          <w:rFonts w:ascii="Times New Roman" w:hAnsi="Times New Roman"/>
          <w:color w:val="auto"/>
          <w:szCs w:val="24"/>
        </w:rPr>
        <w:t>使用金属管作接地体时应在其串接部位焊接角形金属跨接线；</w:t>
      </w:r>
    </w:p>
    <w:p w14:paraId="67E1BFD6">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5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⑤</w:t>
      </w:r>
      <w:r>
        <w:rPr>
          <w:rFonts w:ascii="Times New Roman" w:hAnsi="Times New Roman"/>
          <w:color w:val="auto"/>
          <w:szCs w:val="24"/>
        </w:rPr>
        <w:fldChar w:fldCharType="end"/>
      </w:r>
      <w:r>
        <w:rPr>
          <w:rFonts w:ascii="Times New Roman" w:hAnsi="Times New Roman"/>
          <w:color w:val="auto"/>
          <w:szCs w:val="24"/>
        </w:rPr>
        <w:t>钢筋与钢筋交叉要用一条短圆钢进行跨接焊接，焊接长度不小于圆钢直径的6倍，圆钢同扁钢的焊接必须进行三面焊接；</w:t>
      </w:r>
    </w:p>
    <w:p w14:paraId="7BD3B09D">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6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⑥</w:t>
      </w:r>
      <w:r>
        <w:rPr>
          <w:rFonts w:ascii="Times New Roman" w:hAnsi="Times New Roman"/>
          <w:color w:val="auto"/>
          <w:szCs w:val="24"/>
        </w:rPr>
        <w:fldChar w:fldCharType="end"/>
      </w:r>
      <w:r>
        <w:rPr>
          <w:rFonts w:ascii="Times New Roman" w:hAnsi="Times New Roman"/>
          <w:color w:val="auto"/>
          <w:szCs w:val="24"/>
        </w:rPr>
        <w:t>焊接处焊缝应饱满，要有足够的机械强度，不得有灰渣，咬肉裂纹虚焊气孔等缺陷，焊接处的药皮应敲净。 接地体采取搭焊接时。其搭接长度必须符合以下要求：</w:t>
      </w:r>
      <w:r>
        <w:rPr>
          <w:rFonts w:hint="eastAsia" w:ascii="Times New Roman" w:hAnsi="Times New Roman"/>
          <w:color w:val="auto"/>
          <w:szCs w:val="24"/>
        </w:rPr>
        <w:t>①</w:t>
      </w:r>
      <w:r>
        <w:rPr>
          <w:rFonts w:ascii="Times New Roman" w:hAnsi="Times New Roman"/>
          <w:color w:val="auto"/>
          <w:szCs w:val="24"/>
        </w:rPr>
        <w:t>扁钢为其宽的2倍以上；（三个棱边焊接）</w:t>
      </w:r>
      <w:r>
        <w:rPr>
          <w:rFonts w:hint="eastAsia" w:ascii="Times New Roman" w:hAnsi="Times New Roman"/>
          <w:color w:val="auto"/>
          <w:szCs w:val="24"/>
        </w:rPr>
        <w:t>②</w:t>
      </w:r>
      <w:r>
        <w:rPr>
          <w:rFonts w:ascii="Times New Roman" w:hAnsi="Times New Roman"/>
          <w:color w:val="auto"/>
          <w:szCs w:val="24"/>
        </w:rPr>
        <w:t>圆钢为其直径的6倍以上；（双面焊接）</w:t>
      </w:r>
      <w:r>
        <w:rPr>
          <w:rFonts w:hint="eastAsia" w:ascii="Times New Roman" w:hAnsi="Times New Roman"/>
          <w:color w:val="auto"/>
          <w:szCs w:val="24"/>
        </w:rPr>
        <w:t>③</w:t>
      </w:r>
      <w:r>
        <w:rPr>
          <w:rFonts w:ascii="Times New Roman" w:hAnsi="Times New Roman"/>
          <w:color w:val="auto"/>
          <w:szCs w:val="24"/>
        </w:rPr>
        <w:t>圆钢和扁钢连接，其长度为圆钢直径的6倍。（三面焊接）</w:t>
      </w:r>
      <w:r>
        <w:rPr>
          <w:rFonts w:hint="eastAsia" w:ascii="Times New Roman" w:hAnsi="Times New Roman"/>
          <w:color w:val="auto"/>
          <w:szCs w:val="24"/>
        </w:rPr>
        <w:t>。</w:t>
      </w:r>
    </w:p>
    <w:p w14:paraId="5B2F7DB0">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7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⑦</w:t>
      </w:r>
      <w:r>
        <w:rPr>
          <w:rFonts w:ascii="Times New Roman" w:hAnsi="Times New Roman"/>
          <w:color w:val="auto"/>
          <w:szCs w:val="24"/>
        </w:rPr>
        <w:fldChar w:fldCharType="end"/>
      </w:r>
      <w:r>
        <w:rPr>
          <w:rFonts w:ascii="Times New Roman" w:hAnsi="Times New Roman"/>
          <w:color w:val="auto"/>
          <w:szCs w:val="24"/>
        </w:rPr>
        <w:t>人工接地体应采用圆钢、扁钢、角钢、钢管等金属材料，必须符合以下要求：</w:t>
      </w:r>
      <w:r>
        <w:rPr>
          <w:rFonts w:hint="eastAsia" w:ascii="Times New Roman" w:hAnsi="Times New Roman"/>
          <w:color w:val="auto"/>
          <w:szCs w:val="24"/>
        </w:rPr>
        <w:t>①</w:t>
      </w:r>
      <w:r>
        <w:rPr>
          <w:rFonts w:ascii="Times New Roman" w:hAnsi="Times New Roman"/>
          <w:color w:val="auto"/>
          <w:szCs w:val="24"/>
        </w:rPr>
        <w:t>圆钢直径不小于10mm；</w:t>
      </w:r>
      <w:r>
        <w:rPr>
          <w:rFonts w:hint="eastAsia" w:ascii="Times New Roman" w:hAnsi="Times New Roman"/>
          <w:color w:val="auto"/>
          <w:szCs w:val="24"/>
        </w:rPr>
        <w:t>②</w:t>
      </w:r>
      <w:r>
        <w:rPr>
          <w:rFonts w:ascii="Times New Roman" w:hAnsi="Times New Roman"/>
          <w:color w:val="auto"/>
          <w:szCs w:val="24"/>
        </w:rPr>
        <w:t>扁钢截面不小于100平方毫米，厚度不小于4毫米；</w:t>
      </w:r>
      <w:r>
        <w:rPr>
          <w:rFonts w:hint="eastAsia" w:ascii="Times New Roman" w:hAnsi="Times New Roman"/>
          <w:color w:val="auto"/>
          <w:szCs w:val="24"/>
        </w:rPr>
        <w:t>③</w:t>
      </w:r>
      <w:r>
        <w:rPr>
          <w:rFonts w:ascii="Times New Roman" w:hAnsi="Times New Roman"/>
          <w:color w:val="auto"/>
          <w:szCs w:val="24"/>
        </w:rPr>
        <w:t>角钢厚度不小于4毫米；</w:t>
      </w:r>
      <w:r>
        <w:rPr>
          <w:rFonts w:hint="eastAsia" w:ascii="Times New Roman" w:hAnsi="Times New Roman"/>
          <w:color w:val="auto"/>
          <w:szCs w:val="24"/>
        </w:rPr>
        <w:t>④</w:t>
      </w:r>
      <w:r>
        <w:rPr>
          <w:rFonts w:ascii="Times New Roman" w:hAnsi="Times New Roman"/>
          <w:color w:val="auto"/>
          <w:szCs w:val="24"/>
        </w:rPr>
        <w:t>钢管壁厚不小于3.5毫米。</w:t>
      </w:r>
    </w:p>
    <w:p w14:paraId="3C389CE7">
      <w:pPr>
        <w:pStyle w:val="3"/>
        <w:numPr>
          <w:ilvl w:val="1"/>
          <w:numId w:val="0"/>
        </w:numPr>
        <w:tabs>
          <w:tab w:val="left" w:pos="0"/>
        </w:tabs>
        <w:rPr>
          <w:color w:val="auto"/>
          <w:szCs w:val="24"/>
        </w:rPr>
      </w:pPr>
      <w:bookmarkStart w:id="270" w:name="_Toc109137390"/>
      <w:bookmarkStart w:id="271" w:name="_Toc4053"/>
      <w:bookmarkStart w:id="272" w:name="_Toc10409834"/>
      <w:r>
        <w:rPr>
          <w:rFonts w:hint="eastAsia"/>
          <w:color w:val="auto"/>
          <w:szCs w:val="24"/>
          <w:lang w:val="en-US" w:eastAsia="zh-CN"/>
        </w:rPr>
        <w:t>8.7</w:t>
      </w:r>
      <w:r>
        <w:rPr>
          <w:rFonts w:hint="eastAsia"/>
          <w:color w:val="auto"/>
          <w:szCs w:val="24"/>
        </w:rPr>
        <w:t>整体噪声要求</w:t>
      </w:r>
      <w:bookmarkEnd w:id="270"/>
      <w:bookmarkEnd w:id="271"/>
      <w:bookmarkEnd w:id="272"/>
    </w:p>
    <w:p w14:paraId="1B3916A6">
      <w:pPr>
        <w:ind w:firstLine="480"/>
        <w:rPr>
          <w:rFonts w:ascii="Times New Roman" w:hAnsi="Times New Roman"/>
          <w:color w:val="auto"/>
          <w:szCs w:val="24"/>
        </w:rPr>
      </w:pPr>
      <w:r>
        <w:rPr>
          <w:rFonts w:hint="eastAsia" w:ascii="Times New Roman" w:hAnsi="Times New Roman"/>
          <w:color w:val="auto"/>
          <w:szCs w:val="24"/>
        </w:rPr>
        <w:t>在起吊额定载荷，同时开动小车变幅和起升机构，但需控制速度。在操作座椅处用声级计A档读数测噪声，测试时脉冲声峰值除外。总噪声与背景噪声之差应大于3dB（A）。总噪声值减去表</w:t>
      </w:r>
      <w:r>
        <w:rPr>
          <w:rFonts w:ascii="Times New Roman" w:hAnsi="Times New Roman"/>
          <w:color w:val="auto"/>
          <w:szCs w:val="24"/>
        </w:rPr>
        <w:t>7.6-1</w:t>
      </w:r>
      <w:r>
        <w:rPr>
          <w:rFonts w:hint="eastAsia" w:ascii="Times New Roman" w:hAnsi="Times New Roman"/>
          <w:color w:val="auto"/>
          <w:szCs w:val="24"/>
        </w:rPr>
        <w:t>（背景噪声修正值）所列的修正值即为实际噪声，然后取三次的平均值。</w:t>
      </w:r>
    </w:p>
    <w:p w14:paraId="7D5AF5B3">
      <w:pPr>
        <w:pStyle w:val="3"/>
        <w:numPr>
          <w:ilvl w:val="1"/>
          <w:numId w:val="0"/>
        </w:numPr>
        <w:tabs>
          <w:tab w:val="left" w:pos="0"/>
        </w:tabs>
        <w:rPr>
          <w:color w:val="auto"/>
          <w:szCs w:val="24"/>
        </w:rPr>
      </w:pPr>
      <w:bookmarkStart w:id="273" w:name="_Toc109137391"/>
      <w:bookmarkStart w:id="274" w:name="_Toc7204"/>
      <w:bookmarkStart w:id="275" w:name="_Toc10409835"/>
      <w:r>
        <w:rPr>
          <w:rFonts w:hint="eastAsia"/>
          <w:color w:val="auto"/>
          <w:szCs w:val="24"/>
          <w:lang w:val="en-US" w:eastAsia="zh-CN"/>
        </w:rPr>
        <w:t>8.8</w:t>
      </w:r>
      <w:r>
        <w:rPr>
          <w:rFonts w:hint="eastAsia"/>
          <w:color w:val="auto"/>
          <w:szCs w:val="24"/>
        </w:rPr>
        <w:t>质量保证措施</w:t>
      </w:r>
      <w:bookmarkEnd w:id="273"/>
      <w:bookmarkEnd w:id="274"/>
      <w:bookmarkEnd w:id="275"/>
    </w:p>
    <w:p w14:paraId="29802CD8">
      <w:pPr>
        <w:ind w:firstLine="480"/>
        <w:rPr>
          <w:rFonts w:ascii="Times New Roman" w:hAnsi="Times New Roman"/>
          <w:color w:val="auto"/>
          <w:szCs w:val="24"/>
        </w:rPr>
      </w:pPr>
      <w:r>
        <w:rPr>
          <w:rFonts w:hint="eastAsia" w:ascii="Times New Roman" w:hAnsi="Times New Roman"/>
          <w:color w:val="auto"/>
          <w:szCs w:val="24"/>
        </w:rPr>
        <w:t>1）严格执行国家现行制作、安装施工验收规范和施工图设计要求及设备说明书提出的有关要求，项目部拟定相应质量计划并规范操作。</w:t>
      </w:r>
    </w:p>
    <w:p w14:paraId="25D42B6C">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项目经理对工程质量管理工作负全面领导责任，项目工程师行使施工质量控制和管理职权。各施工队进行专检、工序检、复检确认，行使质量否决权。施工队兼职质量员进行现场施工质量监督控制，并负责本队自检、互检工作。</w:t>
      </w:r>
    </w:p>
    <w:p w14:paraId="7A97978A">
      <w:pPr>
        <w:ind w:firstLine="480"/>
        <w:rPr>
          <w:rFonts w:ascii="Times New Roman" w:hAnsi="Times New Roman"/>
          <w:color w:val="auto"/>
          <w:szCs w:val="24"/>
        </w:rPr>
      </w:pPr>
      <w:r>
        <w:rPr>
          <w:rFonts w:hint="eastAsia" w:ascii="Times New Roman" w:hAnsi="Times New Roman"/>
          <w:color w:val="auto"/>
          <w:szCs w:val="24"/>
        </w:rPr>
        <w:t>3）实行施工全过程的质量控制。在工程开工前，确定关键工序停工检验点，一般工序实行工序交叉检，上道工序不合格，不得转入下道工序。</w:t>
      </w:r>
    </w:p>
    <w:p w14:paraId="5CC650C0">
      <w:pPr>
        <w:ind w:firstLine="480"/>
        <w:rPr>
          <w:rFonts w:ascii="Times New Roman" w:hAnsi="Times New Roman"/>
          <w:color w:val="auto"/>
          <w:szCs w:val="24"/>
        </w:rPr>
      </w:pPr>
      <w:r>
        <w:rPr>
          <w:rFonts w:hint="eastAsia" w:ascii="Times New Roman" w:hAnsi="Times New Roman"/>
          <w:color w:val="auto"/>
          <w:szCs w:val="24"/>
        </w:rPr>
        <w:t>4）施工队详细填写质量验收检查表，以保证质量施工原始记录的及时、完整和准确。</w:t>
      </w:r>
    </w:p>
    <w:p w14:paraId="5CB1458C">
      <w:pPr>
        <w:ind w:firstLine="480"/>
        <w:rPr>
          <w:rFonts w:ascii="Times New Roman" w:hAnsi="Times New Roman"/>
          <w:color w:val="auto"/>
          <w:szCs w:val="24"/>
        </w:rPr>
      </w:pPr>
      <w:r>
        <w:rPr>
          <w:rFonts w:ascii="Times New Roman" w:hAnsi="Times New Roman"/>
          <w:color w:val="auto"/>
          <w:szCs w:val="24"/>
        </w:rPr>
        <w:t>5</w:t>
      </w:r>
      <w:r>
        <w:rPr>
          <w:rFonts w:hint="eastAsia" w:ascii="Times New Roman" w:hAnsi="Times New Roman"/>
          <w:color w:val="auto"/>
          <w:szCs w:val="24"/>
        </w:rPr>
        <w:t>）项目工程师要按使用单位提供图纸及实测数据，编制施工方案或技术措施，施工前向施工人员作详细的技术交底。</w:t>
      </w:r>
    </w:p>
    <w:p w14:paraId="40F060CE">
      <w:pPr>
        <w:ind w:firstLine="480"/>
        <w:rPr>
          <w:rFonts w:ascii="Times New Roman" w:hAnsi="Times New Roman"/>
          <w:color w:val="auto"/>
          <w:szCs w:val="24"/>
        </w:rPr>
      </w:pPr>
      <w:r>
        <w:rPr>
          <w:rFonts w:ascii="Times New Roman" w:hAnsi="Times New Roman"/>
          <w:color w:val="auto"/>
          <w:szCs w:val="24"/>
        </w:rPr>
        <w:t>6</w:t>
      </w:r>
      <w:r>
        <w:rPr>
          <w:rFonts w:hint="eastAsia" w:ascii="Times New Roman" w:hAnsi="Times New Roman"/>
          <w:color w:val="auto"/>
          <w:szCs w:val="24"/>
        </w:rPr>
        <w:t>）施工使用的水准仪、经纬仪与盒尺等检验器具，必须严格按国家有关要求定期校验和核查，未经检验或过期、失准的计量器具严禁使用。</w:t>
      </w:r>
    </w:p>
    <w:p w14:paraId="03282311">
      <w:pPr>
        <w:ind w:firstLine="480"/>
        <w:rPr>
          <w:rFonts w:ascii="Times New Roman" w:hAnsi="Times New Roman"/>
          <w:color w:val="auto"/>
          <w:szCs w:val="24"/>
        </w:rPr>
      </w:pPr>
      <w:r>
        <w:rPr>
          <w:rFonts w:ascii="Times New Roman" w:hAnsi="Times New Roman"/>
          <w:color w:val="auto"/>
          <w:szCs w:val="24"/>
        </w:rPr>
        <w:t>7</w:t>
      </w:r>
      <w:r>
        <w:rPr>
          <w:rFonts w:hint="eastAsia" w:ascii="Times New Roman" w:hAnsi="Times New Roman"/>
          <w:color w:val="auto"/>
          <w:szCs w:val="24"/>
        </w:rPr>
        <w:t>）各种设备的交接、验收、保管、存放应按有关要求进行。拆卸应视实际情况采取相关措施，保证设备安全。存放保管应按设备材料就按要求进行，认真核对名称、型号、规格、数量。</w:t>
      </w:r>
    </w:p>
    <w:p w14:paraId="033CE7EE">
      <w:pPr>
        <w:ind w:firstLine="480"/>
        <w:rPr>
          <w:rFonts w:ascii="Times New Roman" w:hAnsi="Times New Roman"/>
          <w:color w:val="auto"/>
          <w:szCs w:val="24"/>
        </w:rPr>
      </w:pPr>
      <w:r>
        <w:rPr>
          <w:rFonts w:hint="eastAsia" w:ascii="Times New Roman" w:hAnsi="Times New Roman"/>
          <w:color w:val="auto"/>
          <w:szCs w:val="24"/>
        </w:rPr>
        <w:t>8）经理部应高度重视控制塔机的垂直度，定期检查，以保证塔机长期正常、稳定运行。</w:t>
      </w:r>
    </w:p>
    <w:p w14:paraId="50AE8C9C">
      <w:pPr>
        <w:pStyle w:val="3"/>
        <w:numPr>
          <w:ilvl w:val="1"/>
          <w:numId w:val="0"/>
        </w:numPr>
        <w:tabs>
          <w:tab w:val="left" w:pos="0"/>
        </w:tabs>
        <w:rPr>
          <w:color w:val="auto"/>
          <w:szCs w:val="24"/>
        </w:rPr>
      </w:pPr>
      <w:bookmarkStart w:id="276" w:name="_Toc109137392"/>
      <w:bookmarkStart w:id="277" w:name="_Toc25199"/>
      <w:r>
        <w:rPr>
          <w:rFonts w:hint="eastAsia"/>
          <w:color w:val="auto"/>
          <w:szCs w:val="24"/>
          <w:lang w:val="en-US" w:eastAsia="zh-CN"/>
        </w:rPr>
        <w:t>8.9</w:t>
      </w:r>
      <w:r>
        <w:rPr>
          <w:rFonts w:hint="eastAsia"/>
          <w:color w:val="auto"/>
          <w:szCs w:val="24"/>
        </w:rPr>
        <w:t>工程验收内容</w:t>
      </w:r>
      <w:bookmarkEnd w:id="276"/>
      <w:bookmarkEnd w:id="277"/>
    </w:p>
    <w:p w14:paraId="07F75E2C">
      <w:pPr>
        <w:ind w:firstLine="480"/>
        <w:rPr>
          <w:rFonts w:hint="eastAsia" w:ascii="Times New Roman" w:hAnsi="Times New Roman"/>
          <w:color w:val="auto"/>
          <w:szCs w:val="24"/>
        </w:rPr>
      </w:pPr>
      <w:r>
        <w:rPr>
          <w:rFonts w:hint="eastAsia" w:ascii="Times New Roman" w:hAnsi="Times New Roman"/>
          <w:color w:val="auto"/>
          <w:szCs w:val="24"/>
        </w:rPr>
        <w:t>塔式起重机安装工程验收内容详见表</w:t>
      </w:r>
      <w:r>
        <w:rPr>
          <w:rFonts w:hint="eastAsia"/>
          <w:color w:val="auto"/>
          <w:szCs w:val="24"/>
          <w:lang w:val="en-US" w:eastAsia="zh-CN"/>
        </w:rPr>
        <w:t>8.9</w:t>
      </w:r>
      <w:r>
        <w:rPr>
          <w:rFonts w:ascii="Times New Roman" w:hAnsi="Times New Roman"/>
          <w:color w:val="auto"/>
          <w:szCs w:val="24"/>
        </w:rPr>
        <w:t>-1</w:t>
      </w:r>
      <w:r>
        <w:rPr>
          <w:rFonts w:hint="eastAsia" w:ascii="Times New Roman" w:hAnsi="Times New Roman"/>
          <w:color w:val="auto"/>
          <w:szCs w:val="24"/>
        </w:rPr>
        <w:t>所示：</w:t>
      </w:r>
    </w:p>
    <w:p w14:paraId="10465306">
      <w:pPr>
        <w:ind w:firstLine="422"/>
        <w:jc w:val="center"/>
        <w:rPr>
          <w:rFonts w:ascii="宋体" w:hAnsi="宋体" w:cs="宋体"/>
          <w:bCs/>
          <w:color w:val="auto"/>
          <w:sz w:val="21"/>
          <w:szCs w:val="21"/>
        </w:rPr>
      </w:pPr>
      <w:r>
        <w:rPr>
          <w:rFonts w:hint="eastAsia" w:ascii="宋体" w:hAnsi="宋体" w:cs="宋体"/>
          <w:b/>
          <w:color w:val="auto"/>
          <w:sz w:val="21"/>
          <w:szCs w:val="21"/>
        </w:rPr>
        <w:t>表</w:t>
      </w:r>
      <w:r>
        <w:rPr>
          <w:rFonts w:hint="eastAsia" w:ascii="宋体" w:hAnsi="宋体" w:cs="宋体"/>
          <w:b/>
          <w:color w:val="auto"/>
          <w:sz w:val="21"/>
          <w:szCs w:val="21"/>
          <w:lang w:val="en-US" w:eastAsia="zh-CN"/>
        </w:rPr>
        <w:t>8.9</w:t>
      </w:r>
      <w:r>
        <w:rPr>
          <w:rFonts w:hint="eastAsia" w:ascii="宋体" w:hAnsi="宋体" w:cs="宋体"/>
          <w:b/>
          <w:color w:val="auto"/>
          <w:sz w:val="21"/>
          <w:szCs w:val="21"/>
        </w:rPr>
        <w:t>-1 塔式起重机安装验收表</w:t>
      </w:r>
    </w:p>
    <w:tbl>
      <w:tblPr>
        <w:tblStyle w:val="26"/>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854"/>
        <w:gridCol w:w="1698"/>
        <w:gridCol w:w="1226"/>
        <w:gridCol w:w="743"/>
        <w:gridCol w:w="1282"/>
        <w:gridCol w:w="670"/>
        <w:gridCol w:w="591"/>
        <w:gridCol w:w="845"/>
        <w:gridCol w:w="1095"/>
      </w:tblGrid>
      <w:tr w14:paraId="362C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3FAD6DD1">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工程名称</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37C9EAEF">
            <w:pPr>
              <w:ind w:firstLine="420"/>
              <w:jc w:val="center"/>
              <w:rPr>
                <w:rFonts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0EB4712B">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规格型号</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583301A6">
            <w:pPr>
              <w:ind w:firstLine="420"/>
              <w:jc w:val="both"/>
              <w:rPr>
                <w:rFonts w:hint="eastAsia" w:ascii="宋体" w:hAnsi="宋体" w:eastAsia="宋体" w:cs="宋体"/>
                <w:snapToGrid w:val="0"/>
                <w:color w:val="auto"/>
                <w:sz w:val="21"/>
                <w:szCs w:val="21"/>
                <w:lang w:eastAsia="zh-CN"/>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4487DB2D">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备案编号</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4D26E772">
            <w:pPr>
              <w:ind w:firstLine="420"/>
              <w:jc w:val="center"/>
              <w:rPr>
                <w:rFonts w:ascii="宋体" w:hAnsi="宋体" w:cs="宋体"/>
                <w:snapToGrid w:val="0"/>
                <w:color w:val="auto"/>
                <w:sz w:val="21"/>
                <w:szCs w:val="21"/>
              </w:rPr>
            </w:pPr>
          </w:p>
          <w:p w14:paraId="441D74A4">
            <w:pPr>
              <w:ind w:firstLine="420"/>
              <w:jc w:val="center"/>
              <w:rPr>
                <w:rFonts w:ascii="宋体" w:hAnsi="宋体" w:cs="宋体"/>
                <w:snapToGrid w:val="0"/>
                <w:color w:val="auto"/>
                <w:sz w:val="21"/>
                <w:szCs w:val="21"/>
              </w:rPr>
            </w:pPr>
          </w:p>
        </w:tc>
      </w:tr>
      <w:tr w14:paraId="30B6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69F12FB8">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出厂日期</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58A60FC1">
            <w:pPr>
              <w:ind w:firstLine="420"/>
              <w:jc w:val="center"/>
              <w:rPr>
                <w:rFonts w:hint="eastAsia"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142BE17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制造厂家</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7FA72D0F">
            <w:pPr>
              <w:ind w:firstLine="420"/>
              <w:jc w:val="center"/>
              <w:rPr>
                <w:rFonts w:hint="eastAsia" w:ascii="宋体" w:hAnsi="宋体" w:eastAsia="宋体" w:cs="宋体"/>
                <w:snapToGrid w:val="0"/>
                <w:color w:val="auto"/>
                <w:sz w:val="21"/>
                <w:szCs w:val="21"/>
                <w:lang w:eastAsia="zh-CN"/>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700F7F46">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出租单位</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269A058C">
            <w:pPr>
              <w:ind w:firstLine="0" w:firstLineChars="0"/>
              <w:jc w:val="center"/>
              <w:rPr>
                <w:rFonts w:hint="eastAsia" w:ascii="宋体" w:hAnsi="宋体" w:eastAsia="宋体" w:cs="宋体"/>
                <w:snapToGrid w:val="0"/>
                <w:color w:val="auto"/>
                <w:sz w:val="21"/>
                <w:szCs w:val="21"/>
                <w:lang w:eastAsia="zh-CN"/>
              </w:rPr>
            </w:pPr>
            <w:r>
              <w:rPr>
                <w:rFonts w:hint="eastAsia" w:ascii="宋体" w:hAnsi="宋体" w:cs="宋体"/>
                <w:snapToGrid w:val="0"/>
                <w:color w:val="auto"/>
                <w:sz w:val="21"/>
                <w:szCs w:val="21"/>
                <w:lang w:eastAsia="zh-CN"/>
              </w:rPr>
              <w:t>四川科斗文智能装备有限公司</w:t>
            </w:r>
          </w:p>
        </w:tc>
      </w:tr>
      <w:tr w14:paraId="3F46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051E1343">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安装单位</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203EA0D9">
            <w:pPr>
              <w:ind w:left="0" w:leftChars="0" w:firstLine="0" w:firstLineChars="0"/>
              <w:jc w:val="both"/>
              <w:rPr>
                <w:rFonts w:hint="eastAsia" w:ascii="宋体" w:hAnsi="宋体" w:eastAsia="宋体" w:cs="宋体"/>
                <w:snapToGrid w:val="0"/>
                <w:color w:val="auto"/>
                <w:sz w:val="21"/>
                <w:szCs w:val="21"/>
                <w:lang w:eastAsia="zh-CN"/>
              </w:rPr>
            </w:pPr>
            <w:r>
              <w:rPr>
                <w:rFonts w:hint="eastAsia" w:ascii="宋体" w:hAnsi="宋体" w:cs="宋体"/>
                <w:snapToGrid w:val="0"/>
                <w:color w:val="auto"/>
                <w:sz w:val="21"/>
                <w:szCs w:val="21"/>
                <w:lang w:eastAsia="zh-CN"/>
              </w:rPr>
              <w:t>四川科斗文智能装备有限公司</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5FA95E9F">
            <w:pPr>
              <w:ind w:firstLine="420"/>
              <w:jc w:val="center"/>
              <w:rPr>
                <w:rFonts w:ascii="宋体" w:hAnsi="宋体" w:cs="宋体"/>
                <w:snapToGrid w:val="0"/>
                <w:color w:val="auto"/>
                <w:sz w:val="21"/>
                <w:szCs w:val="21"/>
              </w:rPr>
            </w:pPr>
            <w:r>
              <w:rPr>
                <w:rFonts w:hint="eastAsia" w:ascii="宋体" w:hAnsi="宋体" w:cs="宋体"/>
                <w:snapToGrid w:val="0"/>
                <w:color w:val="auto"/>
                <w:sz w:val="21"/>
                <w:szCs w:val="21"/>
              </w:rPr>
              <w:t>使用单位</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4E16C642">
            <w:pPr>
              <w:ind w:firstLine="420"/>
              <w:jc w:val="center"/>
              <w:rPr>
                <w:rFonts w:ascii="宋体" w:hAnsi="宋体" w:cs="宋体"/>
                <w:snapToGrid w:val="0"/>
                <w:color w:val="auto"/>
                <w:sz w:val="21"/>
                <w:szCs w:val="21"/>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1A946361">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监理单位</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10539C85">
            <w:pPr>
              <w:ind w:firstLine="420"/>
              <w:jc w:val="center"/>
              <w:rPr>
                <w:rFonts w:ascii="宋体" w:hAnsi="宋体" w:cs="宋体"/>
                <w:snapToGrid w:val="0"/>
                <w:color w:val="auto"/>
                <w:sz w:val="21"/>
                <w:szCs w:val="21"/>
              </w:rPr>
            </w:pPr>
          </w:p>
        </w:tc>
      </w:tr>
      <w:tr w14:paraId="50F4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072EB5DF">
            <w:pPr>
              <w:ind w:firstLine="0" w:firstLineChars="0"/>
              <w:jc w:val="center"/>
              <w:rPr>
                <w:rFonts w:ascii="宋体" w:hAnsi="宋体" w:cs="宋体"/>
                <w:snapToGrid w:val="0"/>
                <w:color w:val="auto"/>
                <w:sz w:val="21"/>
                <w:szCs w:val="21"/>
              </w:rPr>
            </w:pPr>
            <w:r>
              <w:rPr>
                <w:rFonts w:hint="eastAsia" w:ascii="宋体" w:hAnsi="宋体" w:cs="宋体"/>
                <w:color w:val="auto"/>
                <w:sz w:val="21"/>
                <w:szCs w:val="21"/>
              </w:rPr>
              <w:t>起重量</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11891D02">
            <w:pPr>
              <w:ind w:firstLine="0" w:firstLineChars="0"/>
              <w:jc w:val="center"/>
              <w:rPr>
                <w:rFonts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11FC36F3">
            <w:pPr>
              <w:ind w:firstLine="0" w:firstLineChars="0"/>
              <w:jc w:val="center"/>
              <w:rPr>
                <w:rFonts w:ascii="宋体" w:hAnsi="宋体" w:cs="宋体"/>
                <w:snapToGrid w:val="0"/>
                <w:color w:val="auto"/>
                <w:sz w:val="21"/>
                <w:szCs w:val="21"/>
              </w:rPr>
            </w:pPr>
            <w:r>
              <w:rPr>
                <w:rFonts w:hint="eastAsia" w:ascii="宋体" w:hAnsi="宋体" w:cs="宋体"/>
                <w:color w:val="auto"/>
                <w:sz w:val="21"/>
                <w:szCs w:val="21"/>
              </w:rPr>
              <w:t>工作级别</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392C7E3E">
            <w:pPr>
              <w:ind w:firstLine="420"/>
              <w:jc w:val="center"/>
              <w:rPr>
                <w:rFonts w:ascii="宋体" w:hAnsi="宋体" w:cs="宋体"/>
                <w:snapToGrid w:val="0"/>
                <w:color w:val="auto"/>
                <w:sz w:val="21"/>
                <w:szCs w:val="21"/>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2204A3F5">
            <w:pPr>
              <w:ind w:firstLine="0" w:firstLineChars="0"/>
              <w:jc w:val="center"/>
              <w:rPr>
                <w:rFonts w:ascii="宋体" w:hAnsi="宋体" w:cs="宋体"/>
                <w:snapToGrid w:val="0"/>
                <w:color w:val="auto"/>
                <w:sz w:val="21"/>
                <w:szCs w:val="21"/>
              </w:rPr>
            </w:pPr>
            <w:r>
              <w:rPr>
                <w:rFonts w:hint="eastAsia" w:ascii="宋体" w:hAnsi="宋体" w:cs="宋体"/>
                <w:color w:val="auto"/>
                <w:sz w:val="21"/>
                <w:szCs w:val="21"/>
              </w:rPr>
              <w:t>跨  度</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4CEE79C6">
            <w:pPr>
              <w:ind w:firstLine="420"/>
              <w:jc w:val="center"/>
              <w:rPr>
                <w:rFonts w:ascii="宋体" w:hAnsi="宋体" w:cs="宋体"/>
                <w:snapToGrid w:val="0"/>
                <w:color w:val="auto"/>
                <w:sz w:val="21"/>
                <w:szCs w:val="21"/>
              </w:rPr>
            </w:pPr>
          </w:p>
          <w:p w14:paraId="1831590A">
            <w:pPr>
              <w:ind w:firstLine="420"/>
              <w:jc w:val="center"/>
              <w:rPr>
                <w:rFonts w:ascii="宋体" w:hAnsi="宋体" w:cs="宋体"/>
                <w:snapToGrid w:val="0"/>
                <w:color w:val="auto"/>
                <w:sz w:val="21"/>
                <w:szCs w:val="21"/>
              </w:rPr>
            </w:pPr>
          </w:p>
        </w:tc>
      </w:tr>
      <w:tr w14:paraId="67B3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5846EC78">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检测单位</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5E85D0BB">
            <w:pPr>
              <w:ind w:firstLine="420"/>
              <w:jc w:val="center"/>
              <w:rPr>
                <w:rFonts w:ascii="宋体" w:hAnsi="宋体" w:cs="宋体"/>
                <w:snapToGrid w:val="0"/>
                <w:color w:val="auto"/>
                <w:sz w:val="21"/>
                <w:szCs w:val="21"/>
              </w:rPr>
            </w:pPr>
          </w:p>
          <w:p w14:paraId="03D36735">
            <w:pPr>
              <w:ind w:firstLine="420"/>
              <w:jc w:val="center"/>
              <w:rPr>
                <w:rFonts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61D47379">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检测报告编号</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17CC0DF3">
            <w:pPr>
              <w:ind w:firstLine="420"/>
              <w:jc w:val="center"/>
              <w:rPr>
                <w:rFonts w:ascii="宋体" w:hAnsi="宋体" w:cs="宋体"/>
                <w:snapToGrid w:val="0"/>
                <w:color w:val="auto"/>
                <w:sz w:val="21"/>
                <w:szCs w:val="21"/>
              </w:rPr>
            </w:pPr>
          </w:p>
          <w:p w14:paraId="2A0AF3CC">
            <w:pPr>
              <w:ind w:firstLine="420"/>
              <w:jc w:val="center"/>
              <w:rPr>
                <w:rFonts w:ascii="宋体" w:hAnsi="宋体" w:cs="宋体"/>
                <w:snapToGrid w:val="0"/>
                <w:color w:val="auto"/>
                <w:sz w:val="21"/>
                <w:szCs w:val="21"/>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2E91FEF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检测日期及结论</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27293024">
            <w:pPr>
              <w:ind w:firstLine="420"/>
              <w:jc w:val="center"/>
              <w:rPr>
                <w:rFonts w:ascii="宋体" w:hAnsi="宋体" w:cs="宋体"/>
                <w:snapToGrid w:val="0"/>
                <w:color w:val="auto"/>
                <w:sz w:val="21"/>
                <w:szCs w:val="21"/>
              </w:rPr>
            </w:pPr>
          </w:p>
        </w:tc>
      </w:tr>
      <w:tr w14:paraId="7E27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19DD9B9">
            <w:pPr>
              <w:ind w:firstLine="420"/>
              <w:jc w:val="center"/>
              <w:rPr>
                <w:rFonts w:ascii="宋体" w:hAnsi="宋体" w:cs="宋体"/>
                <w:color w:val="auto"/>
                <w:sz w:val="21"/>
                <w:szCs w:val="21"/>
              </w:rPr>
            </w:pPr>
            <w:r>
              <w:rPr>
                <w:rFonts w:hint="eastAsia" w:ascii="宋体" w:hAnsi="宋体" w:cs="宋体"/>
                <w:color w:val="auto"/>
                <w:sz w:val="21"/>
                <w:szCs w:val="21"/>
              </w:rPr>
              <w:t>序</w:t>
            </w:r>
          </w:p>
          <w:p w14:paraId="1EA16148">
            <w:pPr>
              <w:ind w:firstLine="420"/>
              <w:jc w:val="center"/>
              <w:rPr>
                <w:rFonts w:ascii="宋体" w:hAnsi="宋体" w:cs="宋体"/>
                <w:color w:val="auto"/>
                <w:sz w:val="21"/>
                <w:szCs w:val="21"/>
              </w:rPr>
            </w:pPr>
            <w:r>
              <w:rPr>
                <w:rFonts w:hint="eastAsia" w:ascii="宋体" w:hAnsi="宋体" w:cs="宋体"/>
                <w:color w:val="auto"/>
                <w:sz w:val="21"/>
                <w:szCs w:val="21"/>
              </w:rPr>
              <w:t>号</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355436CA">
            <w:pPr>
              <w:ind w:firstLine="0" w:firstLineChars="0"/>
              <w:jc w:val="center"/>
              <w:rPr>
                <w:rFonts w:ascii="宋体" w:hAnsi="宋体" w:cs="宋体"/>
                <w:color w:val="auto"/>
                <w:sz w:val="21"/>
                <w:szCs w:val="21"/>
              </w:rPr>
            </w:pPr>
            <w:r>
              <w:rPr>
                <w:rFonts w:hint="eastAsia" w:ascii="宋体" w:hAnsi="宋体" w:cs="宋体"/>
                <w:color w:val="auto"/>
                <w:sz w:val="21"/>
                <w:szCs w:val="21"/>
              </w:rPr>
              <w:t>验收项目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DAC0133">
            <w:pPr>
              <w:ind w:firstLine="1260" w:firstLineChars="600"/>
              <w:jc w:val="center"/>
              <w:rPr>
                <w:rFonts w:ascii="宋体" w:hAnsi="宋体" w:cs="宋体"/>
                <w:snapToGrid w:val="0"/>
                <w:color w:val="auto"/>
                <w:sz w:val="21"/>
                <w:szCs w:val="21"/>
              </w:rPr>
            </w:pPr>
            <w:r>
              <w:rPr>
                <w:rFonts w:hint="eastAsia" w:ascii="宋体" w:hAnsi="宋体" w:cs="宋体"/>
                <w:snapToGrid w:val="0"/>
                <w:color w:val="auto"/>
                <w:sz w:val="21"/>
                <w:szCs w:val="21"/>
              </w:rPr>
              <w:t>验 收 内 容 与 要 求</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250B698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验收结果</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E9F9AE7">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备注</w:t>
            </w:r>
          </w:p>
        </w:tc>
      </w:tr>
      <w:tr w14:paraId="6589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right w:val="single" w:color="auto" w:sz="4" w:space="0"/>
            </w:tcBorders>
            <w:noWrap w:val="0"/>
            <w:vAlign w:val="center"/>
          </w:tcPr>
          <w:p w14:paraId="7750DE57">
            <w:pPr>
              <w:ind w:firstLine="420"/>
              <w:jc w:val="center"/>
              <w:rPr>
                <w:rFonts w:hint="eastAsia" w:ascii="宋体" w:hAnsi="宋体" w:cs="宋体"/>
                <w:color w:val="auto"/>
                <w:sz w:val="21"/>
                <w:szCs w:val="21"/>
              </w:rPr>
            </w:pPr>
            <w:r>
              <w:rPr>
                <w:rFonts w:hint="eastAsia" w:ascii="宋体" w:hAnsi="宋体" w:cs="宋体"/>
                <w:color w:val="auto"/>
                <w:sz w:val="21"/>
                <w:szCs w:val="21"/>
              </w:rPr>
              <w:t>1</w:t>
            </w:r>
          </w:p>
        </w:tc>
        <w:tc>
          <w:tcPr>
            <w:tcW w:w="854" w:type="dxa"/>
            <w:vMerge w:val="restart"/>
            <w:tcBorders>
              <w:top w:val="single" w:color="auto" w:sz="4" w:space="0"/>
              <w:left w:val="single" w:color="auto" w:sz="4" w:space="0"/>
              <w:right w:val="single" w:color="auto" w:sz="4" w:space="0"/>
            </w:tcBorders>
            <w:noWrap w:val="0"/>
            <w:vAlign w:val="center"/>
          </w:tcPr>
          <w:p w14:paraId="6DBF94F6">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1.</w:t>
            </w:r>
          </w:p>
          <w:p w14:paraId="205951FD">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技</w:t>
            </w:r>
          </w:p>
          <w:p w14:paraId="1505CD7B">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术</w:t>
            </w:r>
          </w:p>
          <w:p w14:paraId="7ED0C06D">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资</w:t>
            </w:r>
          </w:p>
          <w:p w14:paraId="5A3D332A">
            <w:pPr>
              <w:ind w:firstLine="340"/>
              <w:jc w:val="center"/>
              <w:rPr>
                <w:rFonts w:hint="eastAsia" w:ascii="宋体" w:hAnsi="宋体" w:cs="宋体"/>
                <w:color w:val="auto"/>
                <w:sz w:val="21"/>
                <w:szCs w:val="21"/>
              </w:rPr>
            </w:pPr>
            <w:r>
              <w:rPr>
                <w:rFonts w:hint="eastAsia" w:ascii="宋体" w:hAnsi="宋体" w:cs="宋体"/>
                <w:color w:val="auto"/>
                <w:spacing w:val="-20"/>
                <w:sz w:val="21"/>
                <w:szCs w:val="21"/>
              </w:rPr>
              <w:t>料</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D3FD548">
            <w:pPr>
              <w:ind w:firstLine="420"/>
              <w:rPr>
                <w:rFonts w:hint="eastAsia" w:ascii="宋体" w:hAnsi="宋体" w:cs="宋体"/>
                <w:snapToGrid w:val="0"/>
                <w:color w:val="auto"/>
                <w:sz w:val="21"/>
                <w:szCs w:val="21"/>
              </w:rPr>
            </w:pPr>
            <w:r>
              <w:rPr>
                <w:rFonts w:hint="eastAsia" w:ascii="宋体" w:hAnsi="宋体" w:cs="宋体"/>
                <w:color w:val="auto"/>
                <w:sz w:val="21"/>
                <w:szCs w:val="21"/>
              </w:rPr>
              <w:t>制造单位应提供特种设备制造（生产）的许可证证明资料、产品出厂合格证、安装使用维护说明书等随机文件；必要时应提供型式试验报告。</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5EC7D7B">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334849B">
            <w:pPr>
              <w:ind w:firstLine="422"/>
              <w:jc w:val="center"/>
              <w:rPr>
                <w:rFonts w:hint="eastAsia" w:ascii="宋体" w:hAnsi="宋体" w:cs="宋体"/>
                <w:b/>
                <w:bCs/>
                <w:snapToGrid w:val="0"/>
                <w:color w:val="auto"/>
                <w:sz w:val="21"/>
                <w:szCs w:val="21"/>
              </w:rPr>
            </w:pPr>
          </w:p>
        </w:tc>
      </w:tr>
      <w:tr w14:paraId="25F1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left w:val="single" w:color="auto" w:sz="4" w:space="0"/>
              <w:bottom w:val="single" w:color="auto" w:sz="4" w:space="0"/>
              <w:right w:val="single" w:color="auto" w:sz="4" w:space="0"/>
            </w:tcBorders>
            <w:noWrap w:val="0"/>
            <w:vAlign w:val="center"/>
          </w:tcPr>
          <w:p w14:paraId="4D610369">
            <w:pPr>
              <w:ind w:firstLine="420"/>
              <w:jc w:val="center"/>
              <w:rPr>
                <w:rFonts w:ascii="宋体" w:hAnsi="宋体" w:cs="宋体"/>
                <w:color w:val="auto"/>
                <w:sz w:val="21"/>
                <w:szCs w:val="21"/>
              </w:rPr>
            </w:pPr>
            <w:r>
              <w:rPr>
                <w:rFonts w:hint="eastAsia" w:ascii="宋体" w:hAnsi="宋体" w:cs="宋体"/>
                <w:color w:val="auto"/>
                <w:sz w:val="21"/>
                <w:szCs w:val="21"/>
              </w:rPr>
              <w:t>2</w:t>
            </w:r>
          </w:p>
        </w:tc>
        <w:tc>
          <w:tcPr>
            <w:tcW w:w="854" w:type="dxa"/>
            <w:vMerge w:val="continue"/>
            <w:tcBorders>
              <w:left w:val="single" w:color="auto" w:sz="4" w:space="0"/>
              <w:bottom w:val="single" w:color="auto" w:sz="4" w:space="0"/>
              <w:right w:val="single" w:color="auto" w:sz="4" w:space="0"/>
            </w:tcBorders>
            <w:noWrap w:val="0"/>
            <w:vAlign w:val="center"/>
          </w:tcPr>
          <w:p w14:paraId="58E2C026">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2FC7608">
            <w:pPr>
              <w:ind w:firstLine="420"/>
              <w:rPr>
                <w:rFonts w:ascii="宋体" w:hAnsi="宋体" w:cs="宋体"/>
                <w:color w:val="auto"/>
                <w:spacing w:val="-12"/>
                <w:sz w:val="21"/>
                <w:szCs w:val="21"/>
              </w:rPr>
            </w:pPr>
            <w:r>
              <w:rPr>
                <w:rFonts w:hint="eastAsia" w:ascii="宋体" w:hAnsi="宋体" w:cs="宋体"/>
                <w:color w:val="auto"/>
                <w:sz w:val="21"/>
                <w:szCs w:val="21"/>
              </w:rPr>
              <w:t>安装单位应提供：</w:t>
            </w:r>
          </w:p>
          <w:p w14:paraId="7FDCBAA6">
            <w:pPr>
              <w:ind w:firstLine="420"/>
              <w:rPr>
                <w:rFonts w:ascii="宋体" w:hAnsi="宋体" w:cs="宋体"/>
                <w:color w:val="auto"/>
                <w:spacing w:val="-12"/>
                <w:sz w:val="21"/>
                <w:szCs w:val="21"/>
              </w:rPr>
            </w:pPr>
            <w:r>
              <w:rPr>
                <w:rFonts w:hint="eastAsia" w:ascii="宋体" w:hAnsi="宋体" w:cs="宋体"/>
                <w:color w:val="auto"/>
                <w:sz w:val="21"/>
                <w:szCs w:val="21"/>
              </w:rPr>
              <w:t>a.安装合同、安装施工方案、施工情况记录和自检报告；</w:t>
            </w:r>
          </w:p>
          <w:p w14:paraId="2CB6CAF4">
            <w:pPr>
              <w:ind w:firstLine="420"/>
              <w:rPr>
                <w:rFonts w:ascii="宋体" w:hAnsi="宋体" w:cs="宋体"/>
                <w:color w:val="auto"/>
                <w:spacing w:val="-12"/>
                <w:sz w:val="21"/>
                <w:szCs w:val="21"/>
              </w:rPr>
            </w:pPr>
            <w:r>
              <w:rPr>
                <w:rFonts w:hint="eastAsia" w:ascii="宋体" w:hAnsi="宋体" w:cs="宋体"/>
                <w:color w:val="auto"/>
                <w:sz w:val="21"/>
                <w:szCs w:val="21"/>
              </w:rPr>
              <w:t>b.基础及轨道等隐蔽工程验收证明；</w:t>
            </w:r>
          </w:p>
          <w:p w14:paraId="435A5185">
            <w:pPr>
              <w:ind w:firstLine="420"/>
              <w:rPr>
                <w:rFonts w:ascii="宋体" w:hAnsi="宋体" w:cs="宋体"/>
                <w:color w:val="auto"/>
                <w:spacing w:val="-12"/>
                <w:sz w:val="21"/>
                <w:szCs w:val="21"/>
              </w:rPr>
            </w:pPr>
            <w:r>
              <w:rPr>
                <w:rFonts w:hint="eastAsia" w:ascii="宋体" w:hAnsi="宋体" w:cs="宋体"/>
                <w:color w:val="auto"/>
                <w:sz w:val="21"/>
                <w:szCs w:val="21"/>
              </w:rPr>
              <w:t>c.安装过程中事故记录与处理报告；</w:t>
            </w:r>
          </w:p>
          <w:p w14:paraId="61543AA0">
            <w:pPr>
              <w:ind w:firstLine="420"/>
              <w:rPr>
                <w:rFonts w:hint="eastAsia" w:ascii="宋体" w:hAnsi="宋体" w:cs="宋体"/>
                <w:snapToGrid w:val="0"/>
                <w:color w:val="auto"/>
                <w:sz w:val="21"/>
                <w:szCs w:val="21"/>
              </w:rPr>
            </w:pPr>
            <w:r>
              <w:rPr>
                <w:rFonts w:hint="eastAsia" w:ascii="宋体" w:hAnsi="宋体" w:cs="宋体"/>
                <w:color w:val="auto"/>
                <w:sz w:val="21"/>
                <w:szCs w:val="21"/>
              </w:rPr>
              <w:t>d.安装过程中经制造单位同意的变更设计的证明文件。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B2247B3">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84B93CF">
            <w:pPr>
              <w:ind w:firstLine="422"/>
              <w:jc w:val="center"/>
              <w:rPr>
                <w:rFonts w:hint="eastAsia" w:ascii="宋体" w:hAnsi="宋体" w:cs="宋体"/>
                <w:b/>
                <w:bCs/>
                <w:snapToGrid w:val="0"/>
                <w:color w:val="auto"/>
                <w:sz w:val="21"/>
                <w:szCs w:val="21"/>
              </w:rPr>
            </w:pPr>
          </w:p>
        </w:tc>
      </w:tr>
      <w:tr w14:paraId="660B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3A1F1B0">
            <w:pPr>
              <w:ind w:firstLine="420"/>
              <w:jc w:val="center"/>
              <w:rPr>
                <w:rFonts w:hint="eastAsia" w:ascii="宋体" w:hAnsi="宋体"/>
                <w:color w:val="auto"/>
                <w:sz w:val="21"/>
                <w:szCs w:val="21"/>
              </w:rPr>
            </w:pPr>
            <w:r>
              <w:rPr>
                <w:rFonts w:hint="eastAsia" w:ascii="宋体" w:hAnsi="宋体"/>
                <w:color w:val="auto"/>
                <w:sz w:val="21"/>
                <w:szCs w:val="21"/>
              </w:rPr>
              <w:t>3</w:t>
            </w:r>
          </w:p>
          <w:p w14:paraId="3721F1E7">
            <w:pPr>
              <w:pStyle w:val="30"/>
              <w:rPr>
                <w:rFonts w:hint="eastAsia" w:hAnsi="宋体"/>
                <w:color w:val="auto"/>
                <w:sz w:val="21"/>
                <w:szCs w:val="21"/>
              </w:rPr>
            </w:pPr>
          </w:p>
          <w:p w14:paraId="390C30E4">
            <w:pPr>
              <w:pStyle w:val="30"/>
              <w:rPr>
                <w:rFonts w:hint="eastAsia" w:hAnsi="宋体"/>
                <w:color w:val="auto"/>
                <w:sz w:val="21"/>
                <w:szCs w:val="21"/>
              </w:rPr>
            </w:pPr>
          </w:p>
          <w:p w14:paraId="071D2371">
            <w:pPr>
              <w:pStyle w:val="30"/>
              <w:rPr>
                <w:rFonts w:hAnsi="宋体"/>
                <w:color w:val="auto"/>
                <w:sz w:val="21"/>
                <w:szCs w:val="21"/>
              </w:rPr>
            </w:pPr>
          </w:p>
        </w:tc>
        <w:tc>
          <w:tcPr>
            <w:tcW w:w="854" w:type="dxa"/>
            <w:vMerge w:val="restart"/>
            <w:tcBorders>
              <w:top w:val="single" w:color="auto" w:sz="4" w:space="0"/>
              <w:left w:val="single" w:color="auto" w:sz="4" w:space="0"/>
              <w:right w:val="single" w:color="auto" w:sz="4" w:space="0"/>
            </w:tcBorders>
            <w:noWrap w:val="0"/>
            <w:vAlign w:val="center"/>
          </w:tcPr>
          <w:p w14:paraId="7FCE482D">
            <w:pPr>
              <w:ind w:firstLine="199" w:firstLineChars="95"/>
              <w:rPr>
                <w:rFonts w:hint="eastAsia" w:ascii="宋体" w:hAnsi="宋体"/>
                <w:color w:val="auto"/>
                <w:sz w:val="21"/>
                <w:szCs w:val="21"/>
              </w:rPr>
            </w:pPr>
            <w:r>
              <w:rPr>
                <w:rFonts w:hint="eastAsia" w:ascii="宋体" w:hAnsi="宋体"/>
                <w:color w:val="auto"/>
                <w:sz w:val="21"/>
                <w:szCs w:val="21"/>
              </w:rPr>
              <w:t>2</w:t>
            </w:r>
            <w:r>
              <w:rPr>
                <w:rFonts w:ascii="宋体" w:hAnsi="宋体"/>
                <w:color w:val="auto"/>
                <w:sz w:val="21"/>
                <w:szCs w:val="21"/>
              </w:rPr>
              <w:t>.</w:t>
            </w:r>
          </w:p>
          <w:p w14:paraId="740CC3C8">
            <w:pPr>
              <w:pStyle w:val="30"/>
              <w:jc w:val="center"/>
              <w:rPr>
                <w:rFonts w:hint="eastAsia" w:hAnsi="宋体"/>
                <w:color w:val="auto"/>
                <w:sz w:val="21"/>
                <w:szCs w:val="21"/>
              </w:rPr>
            </w:pPr>
            <w:r>
              <w:rPr>
                <w:rFonts w:hint="eastAsia" w:hAnsi="宋体"/>
                <w:color w:val="auto"/>
                <w:sz w:val="21"/>
                <w:szCs w:val="21"/>
              </w:rPr>
              <w:t>金</w:t>
            </w:r>
          </w:p>
          <w:p w14:paraId="33A512DE">
            <w:pPr>
              <w:pStyle w:val="30"/>
              <w:jc w:val="center"/>
              <w:rPr>
                <w:rFonts w:hint="eastAsia" w:hAnsi="宋体"/>
                <w:color w:val="auto"/>
                <w:sz w:val="21"/>
                <w:szCs w:val="21"/>
              </w:rPr>
            </w:pPr>
            <w:r>
              <w:rPr>
                <w:rFonts w:hint="eastAsia" w:hAnsi="宋体"/>
                <w:color w:val="auto"/>
                <w:sz w:val="21"/>
                <w:szCs w:val="21"/>
              </w:rPr>
              <w:t>属</w:t>
            </w:r>
          </w:p>
          <w:p w14:paraId="2C64508F">
            <w:pPr>
              <w:pStyle w:val="30"/>
              <w:jc w:val="center"/>
              <w:rPr>
                <w:rFonts w:hint="eastAsia" w:hAnsi="宋体"/>
                <w:color w:val="auto"/>
                <w:sz w:val="21"/>
                <w:szCs w:val="21"/>
              </w:rPr>
            </w:pPr>
            <w:r>
              <w:rPr>
                <w:rFonts w:hint="eastAsia" w:hAnsi="宋体"/>
                <w:color w:val="auto"/>
                <w:sz w:val="21"/>
                <w:szCs w:val="21"/>
              </w:rPr>
              <w:t>结</w:t>
            </w:r>
          </w:p>
          <w:p w14:paraId="325AD0BF">
            <w:pPr>
              <w:pStyle w:val="30"/>
              <w:jc w:val="center"/>
              <w:rPr>
                <w:rFonts w:hint="eastAsia" w:hAnsi="宋体"/>
                <w:color w:val="auto"/>
                <w:sz w:val="21"/>
                <w:szCs w:val="21"/>
              </w:rPr>
            </w:pPr>
            <w:r>
              <w:rPr>
                <w:rFonts w:hint="eastAsia" w:hAnsi="宋体"/>
                <w:color w:val="auto"/>
                <w:sz w:val="21"/>
                <w:szCs w:val="21"/>
              </w:rPr>
              <w:t>构</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25048D0">
            <w:pPr>
              <w:ind w:firstLine="420"/>
              <w:rPr>
                <w:rFonts w:hint="eastAsia" w:ascii="宋体" w:hAnsi="宋体" w:cs="宋体"/>
                <w:snapToGrid w:val="0"/>
                <w:color w:val="auto"/>
                <w:sz w:val="21"/>
                <w:szCs w:val="21"/>
              </w:rPr>
            </w:pPr>
            <w:r>
              <w:rPr>
                <w:rFonts w:hint="eastAsia" w:ascii="宋体" w:hAnsi="宋体" w:cs="宋体"/>
                <w:color w:val="auto"/>
                <w:sz w:val="21"/>
                <w:szCs w:val="21"/>
              </w:rPr>
              <w:t>主要受力构件无整体失稳，无严重断面腐蚀；无影响安全运行的塑性变形；无开裂。整体失稳应报废，严重塑性变形如不能修复应报废，产生裂纹应采取措施防止裂纹扩展，并采取加强或改变应力分布措施；断面腐蚀超过原厚度的10%时应报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C022016">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CEE0A9B">
            <w:pPr>
              <w:ind w:firstLine="422"/>
              <w:jc w:val="center"/>
              <w:rPr>
                <w:rFonts w:hint="eastAsia" w:ascii="宋体" w:hAnsi="宋体" w:cs="宋体"/>
                <w:b/>
                <w:bCs/>
                <w:snapToGrid w:val="0"/>
                <w:color w:val="auto"/>
                <w:sz w:val="21"/>
                <w:szCs w:val="21"/>
              </w:rPr>
            </w:pPr>
          </w:p>
        </w:tc>
      </w:tr>
      <w:tr w14:paraId="3769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10E6241">
            <w:pPr>
              <w:ind w:firstLine="420"/>
              <w:jc w:val="center"/>
              <w:rPr>
                <w:rFonts w:ascii="宋体" w:hAnsi="宋体" w:cs="宋体"/>
                <w:color w:val="auto"/>
                <w:sz w:val="21"/>
                <w:szCs w:val="21"/>
              </w:rPr>
            </w:pPr>
            <w:r>
              <w:rPr>
                <w:rFonts w:hint="eastAsia" w:ascii="宋体" w:hAnsi="宋体" w:cs="宋体"/>
                <w:color w:val="auto"/>
                <w:sz w:val="21"/>
                <w:szCs w:val="21"/>
              </w:rPr>
              <w:t>4</w:t>
            </w:r>
          </w:p>
        </w:tc>
        <w:tc>
          <w:tcPr>
            <w:tcW w:w="854" w:type="dxa"/>
            <w:vMerge w:val="continue"/>
            <w:tcBorders>
              <w:left w:val="single" w:color="auto" w:sz="4" w:space="0"/>
              <w:right w:val="single" w:color="auto" w:sz="4" w:space="0"/>
            </w:tcBorders>
            <w:noWrap w:val="0"/>
            <w:vAlign w:val="center"/>
          </w:tcPr>
          <w:p w14:paraId="19E58E4B">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E1BBA65">
            <w:pPr>
              <w:ind w:firstLine="420"/>
              <w:rPr>
                <w:rFonts w:hint="eastAsia" w:ascii="宋体" w:hAnsi="宋体" w:cs="宋体"/>
                <w:snapToGrid w:val="0"/>
                <w:color w:val="auto"/>
                <w:sz w:val="21"/>
                <w:szCs w:val="21"/>
              </w:rPr>
            </w:pPr>
            <w:r>
              <w:rPr>
                <w:rFonts w:hint="eastAsia" w:ascii="宋体" w:hAnsi="宋体" w:cs="宋体"/>
                <w:color w:val="auto"/>
                <w:sz w:val="21"/>
                <w:szCs w:val="21"/>
              </w:rPr>
              <w:t>重要结构件不应有明显的焊接缺陷，重要部位的联接牢固可靠。</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4A6CD7B">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2AC02D5">
            <w:pPr>
              <w:ind w:firstLine="422"/>
              <w:jc w:val="center"/>
              <w:rPr>
                <w:rFonts w:hint="eastAsia" w:ascii="宋体" w:hAnsi="宋体" w:cs="宋体"/>
                <w:b/>
                <w:bCs/>
                <w:snapToGrid w:val="0"/>
                <w:color w:val="auto"/>
                <w:sz w:val="21"/>
                <w:szCs w:val="21"/>
              </w:rPr>
            </w:pPr>
          </w:p>
        </w:tc>
      </w:tr>
      <w:tr w14:paraId="3545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81939B5">
            <w:pPr>
              <w:ind w:firstLine="420"/>
              <w:jc w:val="center"/>
              <w:rPr>
                <w:rFonts w:ascii="宋体" w:hAnsi="宋体" w:cs="宋体"/>
                <w:color w:val="auto"/>
                <w:sz w:val="21"/>
                <w:szCs w:val="21"/>
              </w:rPr>
            </w:pPr>
            <w:r>
              <w:rPr>
                <w:rFonts w:hint="eastAsia" w:ascii="宋体" w:hAnsi="宋体" w:cs="宋体"/>
                <w:color w:val="auto"/>
                <w:sz w:val="21"/>
                <w:szCs w:val="21"/>
              </w:rPr>
              <w:t>5</w:t>
            </w:r>
          </w:p>
        </w:tc>
        <w:tc>
          <w:tcPr>
            <w:tcW w:w="854" w:type="dxa"/>
            <w:vMerge w:val="continue"/>
            <w:tcBorders>
              <w:left w:val="single" w:color="auto" w:sz="4" w:space="0"/>
              <w:bottom w:val="single" w:color="auto" w:sz="4" w:space="0"/>
              <w:right w:val="single" w:color="auto" w:sz="4" w:space="0"/>
            </w:tcBorders>
            <w:noWrap w:val="0"/>
            <w:vAlign w:val="center"/>
          </w:tcPr>
          <w:p w14:paraId="214774E8">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AAB3AF5">
            <w:pPr>
              <w:ind w:firstLine="420"/>
              <w:rPr>
                <w:rFonts w:hint="eastAsia" w:ascii="宋体" w:hAnsi="宋体" w:cs="宋体"/>
                <w:snapToGrid w:val="0"/>
                <w:color w:val="auto"/>
                <w:sz w:val="21"/>
                <w:szCs w:val="21"/>
              </w:rPr>
            </w:pPr>
            <w:r>
              <w:rPr>
                <w:rFonts w:hint="eastAsia" w:ascii="宋体" w:hAnsi="宋体" w:cs="宋体"/>
                <w:color w:val="auto"/>
                <w:sz w:val="21"/>
                <w:szCs w:val="21"/>
              </w:rPr>
              <w:t>起重机检查、维修、保养需要到达的部位应有安全、方便的通道及作业空间，特殊情况现场做不到的须有等效安全措施。度不低于1.8m，受空间限制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9C60CA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DE4E722">
            <w:pPr>
              <w:ind w:firstLine="422"/>
              <w:jc w:val="center"/>
              <w:rPr>
                <w:rFonts w:hint="eastAsia" w:ascii="宋体" w:hAnsi="宋体" w:cs="宋体"/>
                <w:b/>
                <w:bCs/>
                <w:snapToGrid w:val="0"/>
                <w:color w:val="auto"/>
                <w:sz w:val="21"/>
                <w:szCs w:val="21"/>
              </w:rPr>
            </w:pPr>
          </w:p>
        </w:tc>
      </w:tr>
      <w:tr w14:paraId="1AE6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AD24F00">
            <w:pPr>
              <w:ind w:firstLine="422"/>
              <w:jc w:val="center"/>
              <w:rPr>
                <w:rFonts w:ascii="宋体" w:hAnsi="宋体" w:cs="宋体"/>
                <w:b/>
                <w:bCs/>
                <w:color w:val="auto"/>
                <w:sz w:val="21"/>
                <w:szCs w:val="21"/>
              </w:rPr>
            </w:pPr>
            <w:r>
              <w:rPr>
                <w:rFonts w:hint="eastAsia" w:ascii="宋体" w:hAnsi="宋体" w:cs="宋体"/>
                <w:b/>
                <w:bCs/>
                <w:color w:val="auto"/>
                <w:sz w:val="21"/>
                <w:szCs w:val="21"/>
              </w:rPr>
              <w:t>6</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1D8A21CD">
            <w:pPr>
              <w:ind w:firstLine="420"/>
              <w:jc w:val="center"/>
              <w:rPr>
                <w:rFonts w:hint="eastAsia" w:ascii="宋体" w:hAnsi="宋体" w:cs="宋体"/>
                <w:color w:val="auto"/>
                <w:sz w:val="21"/>
                <w:szCs w:val="21"/>
              </w:rPr>
            </w:pPr>
            <w:r>
              <w:rPr>
                <w:rFonts w:hint="eastAsia" w:ascii="宋体" w:hAnsi="宋体" w:cs="宋体"/>
                <w:color w:val="auto"/>
                <w:sz w:val="21"/>
                <w:szCs w:val="21"/>
              </w:rPr>
              <w:t>3</w:t>
            </w:r>
          </w:p>
          <w:p w14:paraId="6C74BB05">
            <w:pPr>
              <w:ind w:firstLine="420"/>
              <w:jc w:val="center"/>
              <w:rPr>
                <w:rFonts w:hint="eastAsia" w:ascii="宋体" w:hAnsi="宋体" w:cs="宋体"/>
                <w:color w:val="auto"/>
                <w:sz w:val="21"/>
                <w:szCs w:val="21"/>
              </w:rPr>
            </w:pPr>
            <w:r>
              <w:rPr>
                <w:rFonts w:hint="eastAsia" w:ascii="宋体" w:hAnsi="宋体" w:cs="宋体"/>
                <w:color w:val="auto"/>
                <w:sz w:val="21"/>
                <w:szCs w:val="21"/>
              </w:rPr>
              <w:t>多</w:t>
            </w:r>
          </w:p>
          <w:p w14:paraId="386B284E">
            <w:pPr>
              <w:ind w:firstLine="420"/>
              <w:jc w:val="center"/>
              <w:rPr>
                <w:rFonts w:hint="eastAsia" w:ascii="宋体" w:hAnsi="宋体" w:cs="宋体"/>
                <w:color w:val="auto"/>
                <w:sz w:val="21"/>
                <w:szCs w:val="21"/>
              </w:rPr>
            </w:pPr>
            <w:r>
              <w:rPr>
                <w:rFonts w:hint="eastAsia" w:ascii="宋体" w:hAnsi="宋体" w:cs="宋体"/>
                <w:color w:val="auto"/>
                <w:sz w:val="21"/>
                <w:szCs w:val="21"/>
              </w:rPr>
              <w:t>塔</w:t>
            </w:r>
          </w:p>
          <w:p w14:paraId="7CE5F58C">
            <w:pPr>
              <w:ind w:firstLine="420"/>
              <w:jc w:val="center"/>
              <w:rPr>
                <w:rFonts w:hint="eastAsia" w:ascii="宋体" w:hAnsi="宋体" w:cs="宋体"/>
                <w:color w:val="auto"/>
                <w:sz w:val="21"/>
                <w:szCs w:val="21"/>
              </w:rPr>
            </w:pPr>
            <w:r>
              <w:rPr>
                <w:rFonts w:hint="eastAsia" w:ascii="宋体" w:hAnsi="宋体" w:cs="宋体"/>
                <w:color w:val="auto"/>
                <w:sz w:val="21"/>
                <w:szCs w:val="21"/>
              </w:rPr>
              <w:t>作</w:t>
            </w:r>
          </w:p>
          <w:p w14:paraId="3F8A2C9B">
            <w:pPr>
              <w:ind w:firstLine="420"/>
              <w:jc w:val="center"/>
              <w:rPr>
                <w:rFonts w:hint="eastAsia" w:ascii="宋体" w:hAnsi="宋体" w:cs="宋体"/>
                <w:color w:val="auto"/>
                <w:sz w:val="21"/>
                <w:szCs w:val="21"/>
              </w:rPr>
            </w:pPr>
            <w:r>
              <w:rPr>
                <w:rFonts w:hint="eastAsia" w:ascii="宋体" w:hAnsi="宋体" w:cs="宋体"/>
                <w:color w:val="auto"/>
                <w:sz w:val="21"/>
                <w:szCs w:val="21"/>
              </w:rPr>
              <w:t>业</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2907B3A">
            <w:pPr>
              <w:ind w:firstLine="420"/>
              <w:rPr>
                <w:rFonts w:hint="eastAsia" w:ascii="宋体" w:hAnsi="宋体" w:cs="宋体"/>
                <w:b/>
                <w:bCs/>
                <w:snapToGrid w:val="0"/>
                <w:color w:val="auto"/>
                <w:sz w:val="21"/>
                <w:szCs w:val="21"/>
              </w:rPr>
            </w:pPr>
            <w:r>
              <w:rPr>
                <w:rFonts w:hint="eastAsia" w:ascii="宋体" w:hAnsi="宋体" w:cs="宋体"/>
                <w:color w:val="auto"/>
                <w:sz w:val="21"/>
                <w:szCs w:val="21"/>
              </w:rPr>
              <w:t>当多台塔机施工时，必须保证各塔之间的垂直高度不小于2米，起重臂端部距离另一台塔机的塔身不小于2米，严格按照多塔作业的要求施工。</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E60802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6F997B3">
            <w:pPr>
              <w:ind w:firstLine="422"/>
              <w:jc w:val="center"/>
              <w:rPr>
                <w:rFonts w:hint="eastAsia" w:ascii="宋体" w:hAnsi="宋体" w:cs="宋体"/>
                <w:b/>
                <w:bCs/>
                <w:snapToGrid w:val="0"/>
                <w:color w:val="auto"/>
                <w:sz w:val="21"/>
                <w:szCs w:val="21"/>
              </w:rPr>
            </w:pPr>
          </w:p>
        </w:tc>
      </w:tr>
      <w:tr w14:paraId="5B80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D95264F">
            <w:pPr>
              <w:ind w:firstLine="422"/>
              <w:jc w:val="center"/>
              <w:rPr>
                <w:rFonts w:ascii="宋体" w:hAnsi="宋体" w:cs="宋体"/>
                <w:b/>
                <w:bCs/>
                <w:color w:val="auto"/>
                <w:sz w:val="21"/>
                <w:szCs w:val="21"/>
              </w:rPr>
            </w:pPr>
            <w:r>
              <w:rPr>
                <w:rFonts w:hint="eastAsia" w:ascii="宋体" w:hAnsi="宋体" w:cs="宋体"/>
                <w:b/>
                <w:bCs/>
                <w:color w:val="auto"/>
                <w:sz w:val="21"/>
                <w:szCs w:val="21"/>
              </w:rPr>
              <w:t>7</w:t>
            </w:r>
          </w:p>
        </w:tc>
        <w:tc>
          <w:tcPr>
            <w:tcW w:w="854" w:type="dxa"/>
            <w:vMerge w:val="restart"/>
            <w:tcBorders>
              <w:top w:val="single" w:color="auto" w:sz="4" w:space="0"/>
              <w:left w:val="single" w:color="auto" w:sz="4" w:space="0"/>
              <w:right w:val="single" w:color="auto" w:sz="4" w:space="0"/>
            </w:tcBorders>
            <w:noWrap w:val="0"/>
            <w:vAlign w:val="center"/>
          </w:tcPr>
          <w:p w14:paraId="07AB723D">
            <w:pPr>
              <w:ind w:firstLine="420"/>
              <w:jc w:val="center"/>
              <w:rPr>
                <w:rFonts w:hint="eastAsia" w:ascii="宋体" w:hAnsi="宋体" w:cs="宋体"/>
                <w:color w:val="auto"/>
                <w:sz w:val="21"/>
                <w:szCs w:val="21"/>
              </w:rPr>
            </w:pPr>
            <w:r>
              <w:rPr>
                <w:rFonts w:hint="eastAsia" w:ascii="宋体" w:hAnsi="宋体" w:cs="宋体"/>
                <w:color w:val="auto"/>
                <w:sz w:val="21"/>
                <w:szCs w:val="21"/>
              </w:rPr>
              <w:t>4</w:t>
            </w:r>
          </w:p>
          <w:p w14:paraId="69B18035">
            <w:pPr>
              <w:ind w:firstLine="420"/>
              <w:jc w:val="center"/>
              <w:rPr>
                <w:rFonts w:hint="eastAsia" w:ascii="宋体" w:hAnsi="宋体" w:cs="宋体"/>
                <w:color w:val="auto"/>
                <w:sz w:val="21"/>
                <w:szCs w:val="21"/>
              </w:rPr>
            </w:pPr>
            <w:r>
              <w:rPr>
                <w:rFonts w:hint="eastAsia" w:ascii="宋体" w:hAnsi="宋体" w:cs="宋体"/>
                <w:color w:val="auto"/>
                <w:sz w:val="21"/>
                <w:szCs w:val="21"/>
              </w:rPr>
              <w:t>司</w:t>
            </w:r>
          </w:p>
          <w:p w14:paraId="03646700">
            <w:pPr>
              <w:ind w:firstLine="420"/>
              <w:jc w:val="center"/>
              <w:rPr>
                <w:rFonts w:hint="eastAsia" w:ascii="宋体" w:hAnsi="宋体" w:cs="宋体"/>
                <w:color w:val="auto"/>
                <w:sz w:val="21"/>
                <w:szCs w:val="21"/>
              </w:rPr>
            </w:pPr>
            <w:r>
              <w:rPr>
                <w:rFonts w:hint="eastAsia" w:ascii="宋体" w:hAnsi="宋体" w:cs="宋体"/>
                <w:color w:val="auto"/>
                <w:sz w:val="21"/>
                <w:szCs w:val="21"/>
              </w:rPr>
              <w:t>机</w:t>
            </w:r>
          </w:p>
          <w:p w14:paraId="21BE0DFC">
            <w:pPr>
              <w:ind w:firstLine="420"/>
              <w:jc w:val="center"/>
              <w:rPr>
                <w:rFonts w:hint="eastAsia" w:ascii="宋体" w:hAnsi="宋体" w:cs="宋体"/>
                <w:color w:val="auto"/>
                <w:sz w:val="21"/>
                <w:szCs w:val="21"/>
              </w:rPr>
            </w:pPr>
            <w:r>
              <w:rPr>
                <w:rFonts w:hint="eastAsia" w:ascii="宋体" w:hAnsi="宋体" w:cs="宋体"/>
                <w:color w:val="auto"/>
                <w:sz w:val="21"/>
                <w:szCs w:val="21"/>
              </w:rPr>
              <w:t>室</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88C8B52">
            <w:pPr>
              <w:ind w:firstLine="420"/>
              <w:rPr>
                <w:rFonts w:hint="eastAsia" w:ascii="宋体" w:hAnsi="宋体" w:cs="宋体"/>
                <w:b/>
                <w:bCs/>
                <w:snapToGrid w:val="0"/>
                <w:color w:val="auto"/>
                <w:sz w:val="21"/>
                <w:szCs w:val="21"/>
              </w:rPr>
            </w:pPr>
            <w:r>
              <w:rPr>
                <w:rFonts w:hint="eastAsia" w:ascii="宋体" w:hAnsi="宋体" w:cs="宋体"/>
                <w:color w:val="auto"/>
                <w:sz w:val="21"/>
                <w:szCs w:val="21"/>
              </w:rPr>
              <w:t>司机室与下支承的连接的必须牢固可靠，其结构必须有足够的强度和刚度。</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DBA7EB6">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3690F45">
            <w:pPr>
              <w:ind w:firstLine="422"/>
              <w:jc w:val="center"/>
              <w:rPr>
                <w:rFonts w:hint="eastAsia" w:ascii="宋体" w:hAnsi="宋体" w:cs="宋体"/>
                <w:b/>
                <w:bCs/>
                <w:snapToGrid w:val="0"/>
                <w:color w:val="auto"/>
                <w:sz w:val="21"/>
                <w:szCs w:val="21"/>
              </w:rPr>
            </w:pPr>
          </w:p>
        </w:tc>
      </w:tr>
      <w:tr w14:paraId="5B1E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A54FE99">
            <w:pPr>
              <w:ind w:firstLine="422"/>
              <w:jc w:val="center"/>
              <w:rPr>
                <w:rFonts w:ascii="宋体" w:hAnsi="宋体" w:cs="宋体"/>
                <w:b/>
                <w:bCs/>
                <w:color w:val="auto"/>
                <w:sz w:val="21"/>
                <w:szCs w:val="21"/>
              </w:rPr>
            </w:pPr>
            <w:r>
              <w:rPr>
                <w:rFonts w:hint="eastAsia" w:ascii="宋体" w:hAnsi="宋体" w:cs="宋体"/>
                <w:b/>
                <w:bCs/>
                <w:color w:val="auto"/>
                <w:sz w:val="21"/>
                <w:szCs w:val="21"/>
              </w:rPr>
              <w:t>8</w:t>
            </w:r>
          </w:p>
        </w:tc>
        <w:tc>
          <w:tcPr>
            <w:tcW w:w="854" w:type="dxa"/>
            <w:vMerge w:val="continue"/>
            <w:tcBorders>
              <w:left w:val="single" w:color="auto" w:sz="4" w:space="0"/>
              <w:right w:val="single" w:color="auto" w:sz="4" w:space="0"/>
            </w:tcBorders>
            <w:noWrap w:val="0"/>
            <w:vAlign w:val="center"/>
          </w:tcPr>
          <w:p w14:paraId="16BF106F">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29C818F">
            <w:pPr>
              <w:ind w:firstLine="420"/>
              <w:rPr>
                <w:rFonts w:hint="eastAsia" w:ascii="宋体" w:hAnsi="宋体" w:cs="宋体"/>
                <w:color w:val="auto"/>
                <w:sz w:val="21"/>
                <w:szCs w:val="21"/>
              </w:rPr>
            </w:pPr>
            <w:r>
              <w:rPr>
                <w:rFonts w:hint="eastAsia" w:ascii="宋体" w:hAnsi="宋体" w:cs="宋体"/>
                <w:color w:val="auto"/>
                <w:sz w:val="21"/>
                <w:szCs w:val="21"/>
              </w:rPr>
              <w:t>司机室视野良好，玻璃应采用钢化玻璃或夹层玻璃且只能在室内安装。</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D73C33D">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C24085F">
            <w:pPr>
              <w:ind w:firstLine="422"/>
              <w:jc w:val="center"/>
              <w:rPr>
                <w:rFonts w:hint="eastAsia" w:ascii="宋体" w:hAnsi="宋体" w:cs="宋体"/>
                <w:b/>
                <w:bCs/>
                <w:snapToGrid w:val="0"/>
                <w:color w:val="auto"/>
                <w:sz w:val="21"/>
                <w:szCs w:val="21"/>
              </w:rPr>
            </w:pPr>
          </w:p>
        </w:tc>
      </w:tr>
      <w:tr w14:paraId="6FAB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EF2C374">
            <w:pPr>
              <w:ind w:firstLine="422"/>
              <w:jc w:val="center"/>
              <w:rPr>
                <w:rFonts w:ascii="宋体" w:hAnsi="宋体" w:cs="宋体"/>
                <w:b/>
                <w:bCs/>
                <w:color w:val="auto"/>
                <w:sz w:val="21"/>
                <w:szCs w:val="21"/>
              </w:rPr>
            </w:pPr>
            <w:r>
              <w:rPr>
                <w:rFonts w:hint="eastAsia" w:ascii="宋体" w:hAnsi="宋体" w:cs="宋体"/>
                <w:b/>
                <w:bCs/>
                <w:color w:val="auto"/>
                <w:sz w:val="21"/>
                <w:szCs w:val="21"/>
              </w:rPr>
              <w:t>9</w:t>
            </w:r>
          </w:p>
        </w:tc>
        <w:tc>
          <w:tcPr>
            <w:tcW w:w="854" w:type="dxa"/>
            <w:vMerge w:val="continue"/>
            <w:tcBorders>
              <w:left w:val="single" w:color="auto" w:sz="4" w:space="0"/>
              <w:right w:val="single" w:color="auto" w:sz="4" w:space="0"/>
            </w:tcBorders>
            <w:noWrap w:val="0"/>
            <w:vAlign w:val="center"/>
          </w:tcPr>
          <w:p w14:paraId="1952FD53">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B30D884">
            <w:pPr>
              <w:ind w:firstLine="372"/>
              <w:rPr>
                <w:rFonts w:hint="eastAsia" w:ascii="宋体" w:hAnsi="宋体" w:cs="宋体"/>
                <w:color w:val="auto"/>
                <w:sz w:val="21"/>
                <w:szCs w:val="21"/>
              </w:rPr>
            </w:pPr>
            <w:r>
              <w:rPr>
                <w:rFonts w:hint="eastAsia" w:ascii="宋体" w:hAnsi="宋体" w:cs="宋体"/>
                <w:color w:val="auto"/>
                <w:spacing w:val="-12"/>
                <w:sz w:val="21"/>
                <w:szCs w:val="21"/>
              </w:rPr>
              <w:t>司机室内应设通讯联络设备、手提式灭火器、报警装置、电源通断指示，明显处有主要技术参数标牌，</w:t>
            </w:r>
            <w:r>
              <w:rPr>
                <w:rFonts w:hint="eastAsia" w:ascii="宋体" w:hAnsi="宋体" w:cs="宋体"/>
                <w:color w:val="auto"/>
                <w:sz w:val="21"/>
                <w:szCs w:val="21"/>
              </w:rPr>
              <w:t>铺有绝缘地板，塔必须安装锁定装置。</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31B8F24">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E1981A5">
            <w:pPr>
              <w:ind w:firstLine="422"/>
              <w:jc w:val="center"/>
              <w:rPr>
                <w:rFonts w:hint="eastAsia" w:ascii="宋体" w:hAnsi="宋体" w:cs="宋体"/>
                <w:b/>
                <w:bCs/>
                <w:snapToGrid w:val="0"/>
                <w:color w:val="auto"/>
                <w:sz w:val="21"/>
                <w:szCs w:val="21"/>
              </w:rPr>
            </w:pPr>
          </w:p>
        </w:tc>
      </w:tr>
      <w:tr w14:paraId="4B71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A885961">
            <w:pPr>
              <w:ind w:firstLine="422"/>
              <w:jc w:val="center"/>
              <w:rPr>
                <w:rFonts w:ascii="宋体" w:hAnsi="宋体" w:cs="宋体"/>
                <w:b/>
                <w:bCs/>
                <w:color w:val="auto"/>
                <w:sz w:val="21"/>
                <w:szCs w:val="21"/>
              </w:rPr>
            </w:pPr>
            <w:r>
              <w:rPr>
                <w:rFonts w:hint="eastAsia" w:ascii="宋体" w:hAnsi="宋体" w:cs="宋体"/>
                <w:b/>
                <w:bCs/>
                <w:color w:val="auto"/>
                <w:sz w:val="21"/>
                <w:szCs w:val="21"/>
              </w:rPr>
              <w:t>10</w:t>
            </w:r>
          </w:p>
        </w:tc>
        <w:tc>
          <w:tcPr>
            <w:tcW w:w="854" w:type="dxa"/>
            <w:vMerge w:val="continue"/>
            <w:tcBorders>
              <w:left w:val="single" w:color="auto" w:sz="4" w:space="0"/>
              <w:bottom w:val="single" w:color="auto" w:sz="4" w:space="0"/>
              <w:right w:val="single" w:color="auto" w:sz="4" w:space="0"/>
            </w:tcBorders>
            <w:noWrap w:val="0"/>
            <w:vAlign w:val="center"/>
          </w:tcPr>
          <w:p w14:paraId="557DECA6">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B054716">
            <w:pPr>
              <w:ind w:firstLine="420"/>
              <w:rPr>
                <w:rFonts w:hint="eastAsia" w:ascii="宋体" w:hAnsi="宋体" w:cs="宋体"/>
                <w:b/>
                <w:bCs/>
                <w:snapToGrid w:val="0"/>
                <w:color w:val="auto"/>
                <w:sz w:val="21"/>
                <w:szCs w:val="21"/>
              </w:rPr>
            </w:pPr>
            <w:r>
              <w:rPr>
                <w:rFonts w:hint="eastAsia" w:ascii="宋体" w:hAnsi="宋体" w:cs="宋体"/>
                <w:color w:val="auto"/>
                <w:sz w:val="21"/>
                <w:szCs w:val="21"/>
              </w:rPr>
              <w:t>通往司机室通道应符合：外开塔处的走台宽不小于900mm，一般宽度不小于600mm。</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46DDF62">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E8E6A56">
            <w:pPr>
              <w:ind w:firstLine="422"/>
              <w:jc w:val="center"/>
              <w:rPr>
                <w:rFonts w:hint="eastAsia" w:ascii="宋体" w:hAnsi="宋体" w:cs="宋体"/>
                <w:b/>
                <w:bCs/>
                <w:snapToGrid w:val="0"/>
                <w:color w:val="auto"/>
                <w:sz w:val="21"/>
                <w:szCs w:val="21"/>
              </w:rPr>
            </w:pPr>
          </w:p>
        </w:tc>
      </w:tr>
      <w:tr w14:paraId="3F16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6E49484">
            <w:pPr>
              <w:ind w:firstLine="422"/>
              <w:jc w:val="center"/>
              <w:rPr>
                <w:rFonts w:ascii="宋体" w:hAnsi="宋体" w:cs="宋体"/>
                <w:b/>
                <w:bCs/>
                <w:color w:val="auto"/>
                <w:sz w:val="21"/>
                <w:szCs w:val="21"/>
              </w:rPr>
            </w:pPr>
            <w:r>
              <w:rPr>
                <w:rFonts w:hint="eastAsia" w:ascii="宋体" w:hAnsi="宋体" w:cs="宋体"/>
                <w:b/>
                <w:bCs/>
                <w:color w:val="auto"/>
                <w:sz w:val="21"/>
                <w:szCs w:val="21"/>
              </w:rPr>
              <w:t>11</w:t>
            </w:r>
          </w:p>
        </w:tc>
        <w:tc>
          <w:tcPr>
            <w:tcW w:w="854" w:type="dxa"/>
            <w:vMerge w:val="restart"/>
            <w:tcBorders>
              <w:top w:val="single" w:color="auto" w:sz="4" w:space="0"/>
              <w:left w:val="single" w:color="auto" w:sz="4" w:space="0"/>
              <w:right w:val="single" w:color="auto" w:sz="4" w:space="0"/>
            </w:tcBorders>
            <w:noWrap w:val="0"/>
            <w:vAlign w:val="center"/>
          </w:tcPr>
          <w:p w14:paraId="1C5FFDBE">
            <w:pPr>
              <w:ind w:firstLine="420"/>
              <w:jc w:val="center"/>
              <w:rPr>
                <w:rFonts w:hint="eastAsia" w:ascii="宋体" w:hAnsi="宋体" w:cs="宋体"/>
                <w:color w:val="auto"/>
                <w:sz w:val="21"/>
                <w:szCs w:val="21"/>
              </w:rPr>
            </w:pPr>
            <w:r>
              <w:rPr>
                <w:rFonts w:hint="eastAsia" w:ascii="宋体" w:hAnsi="宋体" w:cs="宋体"/>
                <w:color w:val="auto"/>
                <w:sz w:val="21"/>
                <w:szCs w:val="21"/>
              </w:rPr>
              <w:t>5</w:t>
            </w:r>
          </w:p>
          <w:p w14:paraId="73196271">
            <w:pPr>
              <w:ind w:firstLine="420"/>
              <w:jc w:val="center"/>
              <w:rPr>
                <w:rFonts w:hint="eastAsia" w:ascii="宋体" w:hAnsi="宋体" w:cs="宋体"/>
                <w:color w:val="auto"/>
                <w:sz w:val="21"/>
                <w:szCs w:val="21"/>
              </w:rPr>
            </w:pPr>
            <w:r>
              <w:rPr>
                <w:rFonts w:hint="eastAsia" w:ascii="宋体" w:hAnsi="宋体" w:cs="宋体"/>
                <w:color w:val="auto"/>
                <w:sz w:val="21"/>
                <w:szCs w:val="21"/>
              </w:rPr>
              <w:t>吊</w:t>
            </w:r>
          </w:p>
          <w:p w14:paraId="613E1E37">
            <w:pPr>
              <w:ind w:firstLine="420"/>
              <w:jc w:val="center"/>
              <w:rPr>
                <w:rFonts w:hint="eastAsia" w:ascii="宋体" w:hAnsi="宋体" w:cs="宋体"/>
                <w:color w:val="auto"/>
                <w:sz w:val="21"/>
                <w:szCs w:val="21"/>
              </w:rPr>
            </w:pPr>
            <w:r>
              <w:rPr>
                <w:rFonts w:hint="eastAsia" w:ascii="宋体" w:hAnsi="宋体" w:cs="宋体"/>
                <w:color w:val="auto"/>
                <w:sz w:val="21"/>
                <w:szCs w:val="21"/>
              </w:rPr>
              <w:t>钩</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13A2BA7">
            <w:pPr>
              <w:ind w:firstLine="420"/>
              <w:rPr>
                <w:rFonts w:hint="eastAsia" w:ascii="宋体" w:hAnsi="宋体" w:cs="宋体"/>
                <w:b/>
                <w:bCs/>
                <w:snapToGrid w:val="0"/>
                <w:color w:val="auto"/>
                <w:sz w:val="21"/>
                <w:szCs w:val="21"/>
              </w:rPr>
            </w:pPr>
            <w:r>
              <w:rPr>
                <w:rFonts w:hint="eastAsia" w:ascii="宋体" w:hAnsi="宋体" w:cs="宋体"/>
                <w:color w:val="auto"/>
                <w:sz w:val="21"/>
                <w:szCs w:val="21"/>
              </w:rPr>
              <w:t>吊钩应有标记和防脱钩装置，不允许使用铸造吊钩。吊钩组的设计应能防止作业时钩挂舱口</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0B00E3A">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B2C40FD">
            <w:pPr>
              <w:ind w:firstLine="422"/>
              <w:jc w:val="center"/>
              <w:rPr>
                <w:rFonts w:hint="eastAsia" w:ascii="宋体" w:hAnsi="宋体" w:cs="宋体"/>
                <w:b/>
                <w:bCs/>
                <w:snapToGrid w:val="0"/>
                <w:color w:val="auto"/>
                <w:sz w:val="21"/>
                <w:szCs w:val="21"/>
              </w:rPr>
            </w:pPr>
          </w:p>
        </w:tc>
      </w:tr>
      <w:tr w14:paraId="74A5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11C56E0">
            <w:pPr>
              <w:ind w:firstLine="422"/>
              <w:jc w:val="center"/>
              <w:rPr>
                <w:rFonts w:ascii="宋体" w:hAnsi="宋体" w:cs="宋体"/>
                <w:b/>
                <w:bCs/>
                <w:color w:val="auto"/>
                <w:sz w:val="21"/>
                <w:szCs w:val="21"/>
              </w:rPr>
            </w:pPr>
            <w:r>
              <w:rPr>
                <w:rFonts w:hint="eastAsia" w:ascii="宋体" w:hAnsi="宋体" w:cs="宋体"/>
                <w:b/>
                <w:bCs/>
                <w:color w:val="auto"/>
                <w:sz w:val="21"/>
                <w:szCs w:val="21"/>
              </w:rPr>
              <w:t>12</w:t>
            </w:r>
          </w:p>
        </w:tc>
        <w:tc>
          <w:tcPr>
            <w:tcW w:w="854" w:type="dxa"/>
            <w:vMerge w:val="continue"/>
            <w:tcBorders>
              <w:left w:val="single" w:color="auto" w:sz="4" w:space="0"/>
              <w:right w:val="single" w:color="auto" w:sz="4" w:space="0"/>
            </w:tcBorders>
            <w:noWrap w:val="0"/>
            <w:vAlign w:val="center"/>
          </w:tcPr>
          <w:p w14:paraId="5CB4B04F">
            <w:pPr>
              <w:ind w:firstLine="422"/>
              <w:jc w:val="center"/>
              <w:rPr>
                <w:rFonts w:hint="eastAsia" w:ascii="宋体" w:hAnsi="宋体" w:cs="宋体"/>
                <w:b/>
                <w:bCs/>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34394A3">
            <w:pPr>
              <w:ind w:firstLine="404"/>
              <w:rPr>
                <w:rFonts w:hint="eastAsia" w:ascii="宋体" w:hAnsi="宋体" w:cs="宋体"/>
                <w:b/>
                <w:bCs/>
                <w:snapToGrid w:val="0"/>
                <w:color w:val="auto"/>
                <w:sz w:val="21"/>
                <w:szCs w:val="21"/>
              </w:rPr>
            </w:pPr>
            <w:r>
              <w:rPr>
                <w:rFonts w:hint="eastAsia" w:ascii="宋体" w:hAnsi="宋体" w:cs="宋体"/>
                <w:color w:val="auto"/>
                <w:spacing w:val="-4"/>
                <w:sz w:val="21"/>
                <w:szCs w:val="21"/>
              </w:rPr>
              <w:t>吊钩不应有裂纹、剥裂等缺陷，存在缺陷不得焊补。吊钩危险断面磨损量：按</w:t>
            </w:r>
            <w:r>
              <w:rPr>
                <w:rFonts w:hint="eastAsia" w:ascii="宋体" w:hAnsi="宋体" w:cs="宋体"/>
                <w:color w:val="auto"/>
                <w:spacing w:val="-8"/>
                <w:sz w:val="21"/>
                <w:szCs w:val="21"/>
              </w:rPr>
              <w:t>GB10051.2</w:t>
            </w:r>
            <w:r>
              <w:rPr>
                <w:rFonts w:hint="eastAsia" w:ascii="宋体" w:hAnsi="宋体" w:cs="宋体"/>
                <w:color w:val="auto"/>
                <w:spacing w:val="-4"/>
                <w:sz w:val="21"/>
                <w:szCs w:val="21"/>
              </w:rPr>
              <w:t>制造的吊钩应不大于原尺寸的5%；按行业沿用标准制造的吊钩应不大于原尺寸的10%。板钩衬套磨损达原尺寸50%时，应报废衬套。</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4E9E4B7">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9EAFF58">
            <w:pPr>
              <w:ind w:firstLine="422"/>
              <w:jc w:val="center"/>
              <w:rPr>
                <w:rFonts w:hint="eastAsia" w:ascii="宋体" w:hAnsi="宋体" w:cs="宋体"/>
                <w:b/>
                <w:bCs/>
                <w:snapToGrid w:val="0"/>
                <w:color w:val="auto"/>
                <w:sz w:val="21"/>
                <w:szCs w:val="21"/>
              </w:rPr>
            </w:pPr>
          </w:p>
        </w:tc>
      </w:tr>
      <w:tr w14:paraId="1A65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CDB4248">
            <w:pPr>
              <w:ind w:firstLine="422"/>
              <w:jc w:val="center"/>
              <w:rPr>
                <w:rFonts w:ascii="宋体" w:hAnsi="宋体" w:cs="宋体"/>
                <w:b/>
                <w:bCs/>
                <w:color w:val="auto"/>
                <w:sz w:val="21"/>
                <w:szCs w:val="21"/>
              </w:rPr>
            </w:pPr>
            <w:r>
              <w:rPr>
                <w:rFonts w:hint="eastAsia" w:ascii="宋体" w:hAnsi="宋体" w:cs="宋体"/>
                <w:b/>
                <w:bCs/>
                <w:color w:val="auto"/>
                <w:sz w:val="21"/>
                <w:szCs w:val="21"/>
              </w:rPr>
              <w:t>13</w:t>
            </w:r>
          </w:p>
        </w:tc>
        <w:tc>
          <w:tcPr>
            <w:tcW w:w="854" w:type="dxa"/>
            <w:vMerge w:val="continue"/>
            <w:tcBorders>
              <w:left w:val="single" w:color="auto" w:sz="4" w:space="0"/>
              <w:bottom w:val="single" w:color="auto" w:sz="4" w:space="0"/>
              <w:right w:val="single" w:color="auto" w:sz="4" w:space="0"/>
            </w:tcBorders>
            <w:noWrap w:val="0"/>
            <w:vAlign w:val="center"/>
          </w:tcPr>
          <w:p w14:paraId="1A49D0F6">
            <w:pPr>
              <w:ind w:firstLine="422"/>
              <w:jc w:val="center"/>
              <w:rPr>
                <w:rFonts w:hint="eastAsia" w:ascii="宋体" w:hAnsi="宋体" w:cs="宋体"/>
                <w:b/>
                <w:bCs/>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5A8D0D7">
            <w:pPr>
              <w:ind w:firstLine="420"/>
              <w:rPr>
                <w:rFonts w:hint="eastAsia" w:ascii="宋体" w:hAnsi="宋体" w:cs="宋体"/>
                <w:b/>
                <w:bCs/>
                <w:snapToGrid w:val="0"/>
                <w:color w:val="auto"/>
                <w:sz w:val="21"/>
                <w:szCs w:val="21"/>
              </w:rPr>
            </w:pPr>
            <w:r>
              <w:rPr>
                <w:rFonts w:hint="eastAsia" w:ascii="宋体" w:hAnsi="宋体" w:cs="宋体"/>
                <w:color w:val="auto"/>
                <w:sz w:val="21"/>
                <w:szCs w:val="21"/>
              </w:rPr>
              <w:t>开口度增加量：按GB10051.2制造的吊钩应不大于原</w:t>
            </w:r>
            <w:r>
              <w:rPr>
                <w:rFonts w:hint="eastAsia" w:ascii="宋体" w:hAnsi="宋体" w:cs="宋体"/>
                <w:color w:val="auto"/>
                <w:spacing w:val="-12"/>
                <w:sz w:val="21"/>
                <w:szCs w:val="21"/>
              </w:rPr>
              <w:t>尺寸</w:t>
            </w:r>
            <w:r>
              <w:rPr>
                <w:rFonts w:hint="eastAsia" w:ascii="宋体" w:hAnsi="宋体" w:cs="宋体"/>
                <w:color w:val="auto"/>
                <w:sz w:val="21"/>
                <w:szCs w:val="21"/>
              </w:rPr>
              <w:t>的10%，其他吊钩应不大于原尺寸的15%。</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9556029">
            <w:pPr>
              <w:ind w:firstLine="422"/>
              <w:jc w:val="center"/>
              <w:rPr>
                <w:rFonts w:ascii="宋体" w:hAnsi="宋体" w:cs="宋体"/>
                <w:b/>
                <w:bCs/>
                <w:snapToGrid w:val="0"/>
                <w:color w:val="auto"/>
                <w:sz w:val="21"/>
                <w:szCs w:val="21"/>
              </w:rPr>
            </w:pPr>
          </w:p>
          <w:p w14:paraId="0A3B1F05">
            <w:pPr>
              <w:pStyle w:val="25"/>
              <w:ind w:firstLine="400"/>
              <w:rPr>
                <w:color w:val="auto"/>
              </w:rPr>
            </w:pPr>
          </w:p>
          <w:p w14:paraId="142A80FD">
            <w:pPr>
              <w:ind w:firstLine="0" w:firstLineChars="0"/>
              <w:rPr>
                <w:rFonts w:hint="eastAsia"/>
                <w:color w:val="auto"/>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BE7C03D">
            <w:pPr>
              <w:ind w:firstLine="422"/>
              <w:jc w:val="center"/>
              <w:rPr>
                <w:rFonts w:hint="eastAsia" w:ascii="宋体" w:hAnsi="宋体" w:cs="宋体"/>
                <w:b/>
                <w:bCs/>
                <w:snapToGrid w:val="0"/>
                <w:color w:val="auto"/>
                <w:sz w:val="21"/>
                <w:szCs w:val="21"/>
              </w:rPr>
            </w:pPr>
          </w:p>
        </w:tc>
      </w:tr>
      <w:tr w14:paraId="7609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9528FBE">
            <w:pPr>
              <w:ind w:firstLine="422"/>
              <w:jc w:val="center"/>
              <w:rPr>
                <w:rFonts w:ascii="宋体" w:hAnsi="宋体" w:cs="宋体"/>
                <w:b/>
                <w:bCs/>
                <w:color w:val="auto"/>
                <w:sz w:val="21"/>
                <w:szCs w:val="21"/>
              </w:rPr>
            </w:pPr>
            <w:r>
              <w:rPr>
                <w:rFonts w:hint="eastAsia" w:ascii="宋体" w:hAnsi="宋体" w:cs="宋体"/>
                <w:b/>
                <w:bCs/>
                <w:color w:val="auto"/>
                <w:sz w:val="21"/>
                <w:szCs w:val="21"/>
              </w:rPr>
              <w:t>14</w:t>
            </w:r>
          </w:p>
        </w:tc>
        <w:tc>
          <w:tcPr>
            <w:tcW w:w="854" w:type="dxa"/>
            <w:vMerge w:val="restart"/>
            <w:tcBorders>
              <w:top w:val="single" w:color="auto" w:sz="4" w:space="0"/>
              <w:left w:val="single" w:color="auto" w:sz="4" w:space="0"/>
              <w:right w:val="single" w:color="auto" w:sz="4" w:space="0"/>
            </w:tcBorders>
            <w:noWrap w:val="0"/>
            <w:vAlign w:val="center"/>
          </w:tcPr>
          <w:p w14:paraId="6E45E3E7">
            <w:pPr>
              <w:ind w:firstLine="420"/>
              <w:jc w:val="center"/>
              <w:rPr>
                <w:rFonts w:hint="eastAsia" w:ascii="宋体" w:hAnsi="宋体" w:cs="宋体"/>
                <w:color w:val="auto"/>
                <w:sz w:val="21"/>
                <w:szCs w:val="21"/>
              </w:rPr>
            </w:pPr>
            <w:r>
              <w:rPr>
                <w:rFonts w:hint="eastAsia" w:ascii="宋体" w:hAnsi="宋体" w:cs="宋体"/>
                <w:color w:val="auto"/>
                <w:sz w:val="21"/>
                <w:szCs w:val="21"/>
              </w:rPr>
              <w:t>6</w:t>
            </w:r>
          </w:p>
          <w:p w14:paraId="083E46BA">
            <w:pPr>
              <w:ind w:firstLine="420"/>
              <w:jc w:val="center"/>
              <w:rPr>
                <w:rFonts w:hint="eastAsia" w:ascii="宋体" w:hAnsi="宋体" w:cs="宋体"/>
                <w:color w:val="auto"/>
                <w:sz w:val="21"/>
                <w:szCs w:val="21"/>
              </w:rPr>
            </w:pPr>
            <w:r>
              <w:rPr>
                <w:rFonts w:hint="eastAsia" w:ascii="宋体" w:hAnsi="宋体" w:cs="宋体"/>
                <w:color w:val="auto"/>
                <w:sz w:val="21"/>
                <w:szCs w:val="21"/>
              </w:rPr>
              <w:t>钢</w:t>
            </w:r>
          </w:p>
          <w:p w14:paraId="0F898112">
            <w:pPr>
              <w:ind w:firstLine="420"/>
              <w:jc w:val="center"/>
              <w:rPr>
                <w:rFonts w:hint="eastAsia" w:ascii="宋体" w:hAnsi="宋体" w:cs="宋体"/>
                <w:color w:val="auto"/>
                <w:sz w:val="21"/>
                <w:szCs w:val="21"/>
              </w:rPr>
            </w:pPr>
            <w:r>
              <w:rPr>
                <w:rFonts w:hint="eastAsia" w:ascii="宋体" w:hAnsi="宋体" w:cs="宋体"/>
                <w:color w:val="auto"/>
                <w:sz w:val="21"/>
                <w:szCs w:val="21"/>
              </w:rPr>
              <w:t>丝</w:t>
            </w:r>
          </w:p>
          <w:p w14:paraId="6BD250D9">
            <w:pPr>
              <w:ind w:firstLine="420"/>
              <w:jc w:val="center"/>
              <w:rPr>
                <w:rFonts w:hint="eastAsia" w:ascii="宋体" w:hAnsi="宋体" w:cs="宋体"/>
                <w:color w:val="auto"/>
                <w:sz w:val="21"/>
                <w:szCs w:val="21"/>
              </w:rPr>
            </w:pPr>
            <w:r>
              <w:rPr>
                <w:rFonts w:hint="eastAsia" w:ascii="宋体" w:hAnsi="宋体" w:cs="宋体"/>
                <w:color w:val="auto"/>
                <w:sz w:val="21"/>
                <w:szCs w:val="21"/>
              </w:rPr>
              <w:t>绳</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086038D">
            <w:pPr>
              <w:ind w:firstLine="412"/>
              <w:rPr>
                <w:rFonts w:hint="eastAsia" w:ascii="宋体" w:hAnsi="宋体" w:cs="宋体"/>
                <w:color w:val="auto"/>
                <w:sz w:val="21"/>
                <w:szCs w:val="21"/>
              </w:rPr>
            </w:pPr>
            <w:r>
              <w:rPr>
                <w:rFonts w:hint="eastAsia" w:ascii="宋体" w:hAnsi="宋体" w:cs="宋体"/>
                <w:color w:val="auto"/>
                <w:spacing w:val="-2"/>
                <w:sz w:val="21"/>
                <w:szCs w:val="21"/>
              </w:rPr>
              <w:t>钢丝绳的规格、型号应符合设计要求，与滑轮和卷筒相匹配，并正确穿绕。钢丝绳端固定应牢固、可靠。压板固定时，压板不少于2个，卷筒上的绳端固定装置应有防松或自紧的性能；金属压制接头固定时，接头不应有裂纹；楔块固定时，楔套不应有裂纹，楔块不应松动。绳卡固定时，绳卡安装应正确，绳卡数应满足要求。编结接头编结长度不小于15倍绳径且不小于300mm。旋转接头无明显可见的裂纹，接头转动灵活，无滞留。</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D5FEC76">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2B7B625">
            <w:pPr>
              <w:ind w:firstLine="422"/>
              <w:jc w:val="center"/>
              <w:rPr>
                <w:rFonts w:hint="eastAsia" w:ascii="宋体" w:hAnsi="宋体" w:cs="宋体"/>
                <w:b/>
                <w:bCs/>
                <w:snapToGrid w:val="0"/>
                <w:color w:val="auto"/>
                <w:sz w:val="21"/>
                <w:szCs w:val="21"/>
              </w:rPr>
            </w:pPr>
          </w:p>
        </w:tc>
      </w:tr>
      <w:tr w14:paraId="0126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71BC008">
            <w:pPr>
              <w:ind w:firstLine="422"/>
              <w:jc w:val="center"/>
              <w:rPr>
                <w:rFonts w:ascii="宋体" w:hAnsi="宋体" w:cs="宋体"/>
                <w:b/>
                <w:bCs/>
                <w:color w:val="auto"/>
                <w:sz w:val="21"/>
                <w:szCs w:val="21"/>
              </w:rPr>
            </w:pPr>
            <w:r>
              <w:rPr>
                <w:rFonts w:hint="eastAsia" w:ascii="宋体" w:hAnsi="宋体" w:cs="宋体"/>
                <w:b/>
                <w:bCs/>
                <w:color w:val="auto"/>
                <w:sz w:val="21"/>
                <w:szCs w:val="21"/>
              </w:rPr>
              <w:t>15</w:t>
            </w:r>
          </w:p>
        </w:tc>
        <w:tc>
          <w:tcPr>
            <w:tcW w:w="854" w:type="dxa"/>
            <w:vMerge w:val="continue"/>
            <w:tcBorders>
              <w:left w:val="single" w:color="auto" w:sz="4" w:space="0"/>
              <w:right w:val="single" w:color="auto" w:sz="4" w:space="0"/>
            </w:tcBorders>
            <w:noWrap w:val="0"/>
            <w:vAlign w:val="center"/>
          </w:tcPr>
          <w:p w14:paraId="3A75D715">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1CB62B9">
            <w:pPr>
              <w:ind w:firstLine="420"/>
              <w:rPr>
                <w:rFonts w:hint="eastAsia" w:ascii="宋体" w:hAnsi="宋体" w:cs="宋体"/>
                <w:color w:val="auto"/>
                <w:spacing w:val="-12"/>
                <w:sz w:val="21"/>
                <w:szCs w:val="21"/>
              </w:rPr>
            </w:pPr>
            <w:r>
              <w:rPr>
                <w:rFonts w:hint="eastAsia" w:ascii="宋体" w:hAnsi="宋体" w:cs="宋体"/>
                <w:color w:val="auto"/>
                <w:sz w:val="21"/>
                <w:szCs w:val="21"/>
              </w:rPr>
              <w:t>除固定钢丝绳的圈数外，卷筒上至少应有保留3圈安全圈。</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F6857A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A9FCDF2">
            <w:pPr>
              <w:ind w:firstLine="422"/>
              <w:jc w:val="center"/>
              <w:rPr>
                <w:rFonts w:hint="eastAsia" w:ascii="宋体" w:hAnsi="宋体" w:cs="宋体"/>
                <w:b/>
                <w:bCs/>
                <w:snapToGrid w:val="0"/>
                <w:color w:val="auto"/>
                <w:sz w:val="21"/>
                <w:szCs w:val="21"/>
              </w:rPr>
            </w:pPr>
          </w:p>
        </w:tc>
      </w:tr>
      <w:tr w14:paraId="2292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345D42C">
            <w:pPr>
              <w:ind w:firstLine="422"/>
              <w:jc w:val="center"/>
              <w:rPr>
                <w:rFonts w:ascii="宋体" w:hAnsi="宋体" w:cs="宋体"/>
                <w:b/>
                <w:bCs/>
                <w:color w:val="auto"/>
                <w:sz w:val="21"/>
                <w:szCs w:val="21"/>
              </w:rPr>
            </w:pPr>
            <w:r>
              <w:rPr>
                <w:rFonts w:hint="eastAsia" w:ascii="宋体" w:hAnsi="宋体" w:cs="宋体"/>
                <w:b/>
                <w:bCs/>
                <w:color w:val="auto"/>
                <w:sz w:val="21"/>
                <w:szCs w:val="21"/>
              </w:rPr>
              <w:t>16</w:t>
            </w:r>
          </w:p>
        </w:tc>
        <w:tc>
          <w:tcPr>
            <w:tcW w:w="854" w:type="dxa"/>
            <w:vMerge w:val="continue"/>
            <w:tcBorders>
              <w:left w:val="single" w:color="auto" w:sz="4" w:space="0"/>
              <w:right w:val="single" w:color="auto" w:sz="4" w:space="0"/>
            </w:tcBorders>
            <w:noWrap w:val="0"/>
            <w:vAlign w:val="center"/>
          </w:tcPr>
          <w:p w14:paraId="41124394">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8C15CB3">
            <w:pPr>
              <w:ind w:firstLine="372"/>
              <w:rPr>
                <w:rFonts w:hint="eastAsia" w:ascii="宋体" w:hAnsi="宋体" w:cs="宋体"/>
                <w:color w:val="auto"/>
                <w:sz w:val="21"/>
                <w:szCs w:val="21"/>
              </w:rPr>
            </w:pPr>
            <w:r>
              <w:rPr>
                <w:rFonts w:hint="eastAsia" w:ascii="宋体" w:hAnsi="宋体" w:cs="宋体"/>
                <w:color w:val="auto"/>
                <w:spacing w:val="-12"/>
                <w:sz w:val="21"/>
                <w:szCs w:val="21"/>
              </w:rPr>
              <w:t>钢丝绳应润滑良好。不应与金属结构磨擦。</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CDC9B0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4CA9BFB">
            <w:pPr>
              <w:ind w:firstLine="422"/>
              <w:jc w:val="center"/>
              <w:rPr>
                <w:rFonts w:hint="eastAsia" w:ascii="宋体" w:hAnsi="宋体" w:cs="宋体"/>
                <w:b/>
                <w:bCs/>
                <w:snapToGrid w:val="0"/>
                <w:color w:val="auto"/>
                <w:sz w:val="21"/>
                <w:szCs w:val="21"/>
              </w:rPr>
            </w:pPr>
          </w:p>
        </w:tc>
      </w:tr>
      <w:tr w14:paraId="67A9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9B94405">
            <w:pPr>
              <w:ind w:firstLine="422"/>
              <w:jc w:val="center"/>
              <w:rPr>
                <w:rFonts w:ascii="宋体" w:hAnsi="宋体" w:cs="宋体"/>
                <w:b/>
                <w:bCs/>
                <w:color w:val="auto"/>
                <w:sz w:val="21"/>
                <w:szCs w:val="21"/>
              </w:rPr>
            </w:pPr>
            <w:r>
              <w:rPr>
                <w:rFonts w:hint="eastAsia" w:ascii="宋体" w:hAnsi="宋体" w:cs="宋体"/>
                <w:b/>
                <w:bCs/>
                <w:color w:val="auto"/>
                <w:sz w:val="21"/>
                <w:szCs w:val="21"/>
              </w:rPr>
              <w:t>17</w:t>
            </w:r>
          </w:p>
        </w:tc>
        <w:tc>
          <w:tcPr>
            <w:tcW w:w="854" w:type="dxa"/>
            <w:vMerge w:val="continue"/>
            <w:tcBorders>
              <w:left w:val="single" w:color="auto" w:sz="4" w:space="0"/>
              <w:right w:val="single" w:color="auto" w:sz="4" w:space="0"/>
            </w:tcBorders>
            <w:noWrap w:val="0"/>
            <w:vAlign w:val="center"/>
          </w:tcPr>
          <w:p w14:paraId="67E9DF2C">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47631F8">
            <w:pPr>
              <w:ind w:firstLine="420"/>
              <w:rPr>
                <w:rFonts w:hint="eastAsia" w:ascii="宋体" w:hAnsi="宋体" w:cs="宋体"/>
                <w:color w:val="auto"/>
                <w:sz w:val="21"/>
                <w:szCs w:val="21"/>
              </w:rPr>
            </w:pPr>
            <w:r>
              <w:rPr>
                <w:rFonts w:hint="eastAsia" w:ascii="宋体" w:hAnsi="宋体" w:cs="宋体"/>
                <w:color w:val="auto"/>
                <w:sz w:val="21"/>
                <w:szCs w:val="21"/>
              </w:rPr>
              <w:t>钢丝绳不应有扭结、压扁、弯折、断股、笼状畸变、断芯等变形现象。</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4C44D2D">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781F749">
            <w:pPr>
              <w:ind w:firstLine="422"/>
              <w:jc w:val="center"/>
              <w:rPr>
                <w:rFonts w:hint="eastAsia" w:ascii="宋体" w:hAnsi="宋体" w:cs="宋体"/>
                <w:b/>
                <w:bCs/>
                <w:snapToGrid w:val="0"/>
                <w:color w:val="auto"/>
                <w:sz w:val="21"/>
                <w:szCs w:val="21"/>
              </w:rPr>
            </w:pPr>
          </w:p>
        </w:tc>
      </w:tr>
      <w:tr w14:paraId="6EDA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9A0F817">
            <w:pPr>
              <w:ind w:firstLine="422"/>
              <w:jc w:val="center"/>
              <w:rPr>
                <w:rFonts w:ascii="宋体" w:hAnsi="宋体" w:cs="宋体"/>
                <w:b/>
                <w:bCs/>
                <w:color w:val="auto"/>
                <w:sz w:val="21"/>
                <w:szCs w:val="21"/>
              </w:rPr>
            </w:pPr>
            <w:r>
              <w:rPr>
                <w:rFonts w:hint="eastAsia" w:ascii="宋体" w:hAnsi="宋体" w:cs="宋体"/>
                <w:b/>
                <w:bCs/>
                <w:color w:val="auto"/>
                <w:sz w:val="21"/>
                <w:szCs w:val="21"/>
              </w:rPr>
              <w:t>18</w:t>
            </w:r>
          </w:p>
        </w:tc>
        <w:tc>
          <w:tcPr>
            <w:tcW w:w="854" w:type="dxa"/>
            <w:vMerge w:val="continue"/>
            <w:tcBorders>
              <w:left w:val="single" w:color="auto" w:sz="4" w:space="0"/>
              <w:right w:val="single" w:color="auto" w:sz="4" w:space="0"/>
            </w:tcBorders>
            <w:noWrap w:val="0"/>
            <w:vAlign w:val="center"/>
          </w:tcPr>
          <w:p w14:paraId="3967F2D6">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B7F609E">
            <w:pPr>
              <w:ind w:firstLine="372"/>
              <w:rPr>
                <w:rFonts w:hint="eastAsia" w:ascii="宋体" w:hAnsi="宋体" w:cs="宋体"/>
                <w:color w:val="auto"/>
                <w:sz w:val="21"/>
                <w:szCs w:val="21"/>
              </w:rPr>
            </w:pPr>
            <w:r>
              <w:rPr>
                <w:rFonts w:hint="eastAsia" w:ascii="宋体" w:hAnsi="宋体" w:cs="宋体"/>
                <w:color w:val="auto"/>
                <w:spacing w:val="-12"/>
                <w:sz w:val="21"/>
                <w:szCs w:val="21"/>
              </w:rPr>
              <w:t>钢丝绳直径减小量不大于公称直径的7%。</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072815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127677E">
            <w:pPr>
              <w:ind w:firstLine="422"/>
              <w:jc w:val="center"/>
              <w:rPr>
                <w:rFonts w:hint="eastAsia" w:ascii="宋体" w:hAnsi="宋体" w:cs="宋体"/>
                <w:b/>
                <w:bCs/>
                <w:snapToGrid w:val="0"/>
                <w:color w:val="auto"/>
                <w:sz w:val="21"/>
                <w:szCs w:val="21"/>
              </w:rPr>
            </w:pPr>
          </w:p>
        </w:tc>
      </w:tr>
      <w:tr w14:paraId="6EF5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D6123DB">
            <w:pPr>
              <w:ind w:firstLine="422"/>
              <w:jc w:val="center"/>
              <w:rPr>
                <w:rFonts w:ascii="宋体" w:hAnsi="宋体" w:cs="宋体"/>
                <w:b/>
                <w:bCs/>
                <w:color w:val="auto"/>
                <w:sz w:val="21"/>
                <w:szCs w:val="21"/>
              </w:rPr>
            </w:pPr>
            <w:r>
              <w:rPr>
                <w:rFonts w:hint="eastAsia" w:ascii="宋体" w:hAnsi="宋体" w:cs="宋体"/>
                <w:b/>
                <w:bCs/>
                <w:color w:val="auto"/>
                <w:sz w:val="21"/>
                <w:szCs w:val="21"/>
              </w:rPr>
              <w:t>19</w:t>
            </w:r>
          </w:p>
        </w:tc>
        <w:tc>
          <w:tcPr>
            <w:tcW w:w="854" w:type="dxa"/>
            <w:vMerge w:val="continue"/>
            <w:tcBorders>
              <w:left w:val="single" w:color="auto" w:sz="4" w:space="0"/>
              <w:bottom w:val="single" w:color="auto" w:sz="4" w:space="0"/>
              <w:right w:val="single" w:color="auto" w:sz="4" w:space="0"/>
            </w:tcBorders>
            <w:noWrap w:val="0"/>
            <w:vAlign w:val="center"/>
          </w:tcPr>
          <w:p w14:paraId="565C5C9C">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436D420">
            <w:pPr>
              <w:ind w:firstLine="372"/>
              <w:rPr>
                <w:rFonts w:hint="eastAsia" w:ascii="宋体" w:hAnsi="宋体" w:cs="宋体"/>
                <w:color w:val="auto"/>
                <w:sz w:val="21"/>
                <w:szCs w:val="21"/>
              </w:rPr>
            </w:pPr>
            <w:r>
              <w:rPr>
                <w:rFonts w:hint="eastAsia" w:ascii="宋体" w:hAnsi="宋体" w:cs="宋体"/>
                <w:color w:val="auto"/>
                <w:spacing w:val="-12"/>
                <w:sz w:val="21"/>
                <w:szCs w:val="21"/>
              </w:rPr>
              <w:t>钢丝绳断丝数不应超过规定的数值。</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FEAEC3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2C629B4">
            <w:pPr>
              <w:ind w:firstLine="422"/>
              <w:jc w:val="center"/>
              <w:rPr>
                <w:rFonts w:hint="eastAsia" w:ascii="宋体" w:hAnsi="宋体" w:cs="宋体"/>
                <w:b/>
                <w:bCs/>
                <w:snapToGrid w:val="0"/>
                <w:color w:val="auto"/>
                <w:sz w:val="21"/>
                <w:szCs w:val="21"/>
              </w:rPr>
            </w:pPr>
          </w:p>
        </w:tc>
      </w:tr>
      <w:tr w14:paraId="3BAD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3CE4A05">
            <w:pPr>
              <w:ind w:firstLine="422"/>
              <w:jc w:val="center"/>
              <w:rPr>
                <w:rFonts w:ascii="宋体" w:hAnsi="宋体" w:cs="宋体"/>
                <w:b/>
                <w:bCs/>
                <w:color w:val="auto"/>
                <w:sz w:val="21"/>
                <w:szCs w:val="21"/>
              </w:rPr>
            </w:pPr>
            <w:r>
              <w:rPr>
                <w:rFonts w:hint="eastAsia" w:ascii="宋体" w:hAnsi="宋体" w:cs="宋体"/>
                <w:b/>
                <w:bCs/>
                <w:color w:val="auto"/>
                <w:sz w:val="21"/>
                <w:szCs w:val="21"/>
              </w:rPr>
              <w:t>20</w:t>
            </w:r>
          </w:p>
        </w:tc>
        <w:tc>
          <w:tcPr>
            <w:tcW w:w="854" w:type="dxa"/>
            <w:vMerge w:val="restart"/>
            <w:tcBorders>
              <w:top w:val="single" w:color="auto" w:sz="4" w:space="0"/>
              <w:left w:val="single" w:color="auto" w:sz="4" w:space="0"/>
              <w:right w:val="single" w:color="auto" w:sz="4" w:space="0"/>
            </w:tcBorders>
            <w:noWrap w:val="0"/>
            <w:vAlign w:val="center"/>
          </w:tcPr>
          <w:p w14:paraId="3E26ABE0">
            <w:pPr>
              <w:ind w:firstLine="420"/>
              <w:jc w:val="center"/>
              <w:rPr>
                <w:rFonts w:hint="eastAsia" w:ascii="宋体" w:hAnsi="宋体" w:cs="宋体"/>
                <w:color w:val="auto"/>
                <w:sz w:val="21"/>
                <w:szCs w:val="21"/>
              </w:rPr>
            </w:pPr>
            <w:r>
              <w:rPr>
                <w:rFonts w:hint="eastAsia" w:ascii="宋体" w:hAnsi="宋体" w:cs="宋体"/>
                <w:color w:val="auto"/>
                <w:sz w:val="21"/>
                <w:szCs w:val="21"/>
              </w:rPr>
              <w:t>7</w:t>
            </w:r>
          </w:p>
          <w:p w14:paraId="588BA827">
            <w:pPr>
              <w:ind w:firstLine="420"/>
              <w:jc w:val="center"/>
              <w:rPr>
                <w:rFonts w:hint="eastAsia" w:ascii="宋体" w:hAnsi="宋体" w:cs="宋体"/>
                <w:color w:val="auto"/>
                <w:sz w:val="21"/>
                <w:szCs w:val="21"/>
              </w:rPr>
            </w:pPr>
            <w:r>
              <w:rPr>
                <w:rFonts w:hint="eastAsia" w:ascii="宋体" w:hAnsi="宋体" w:cs="宋体"/>
                <w:color w:val="auto"/>
                <w:sz w:val="21"/>
                <w:szCs w:val="21"/>
              </w:rPr>
              <w:t>滑</w:t>
            </w:r>
          </w:p>
          <w:p w14:paraId="4DD86853">
            <w:pPr>
              <w:ind w:firstLine="420"/>
              <w:jc w:val="center"/>
              <w:rPr>
                <w:rFonts w:hint="eastAsia" w:ascii="宋体" w:hAnsi="宋体" w:cs="宋体"/>
                <w:color w:val="auto"/>
                <w:sz w:val="21"/>
                <w:szCs w:val="21"/>
              </w:rPr>
            </w:pPr>
            <w:r>
              <w:rPr>
                <w:rFonts w:hint="eastAsia" w:ascii="宋体" w:hAnsi="宋体" w:cs="宋体"/>
                <w:color w:val="auto"/>
                <w:sz w:val="21"/>
                <w:szCs w:val="21"/>
              </w:rPr>
              <w:t>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9005206">
            <w:pPr>
              <w:ind w:firstLine="420"/>
              <w:rPr>
                <w:rFonts w:hint="eastAsia" w:ascii="宋体" w:hAnsi="宋体" w:cs="宋体"/>
                <w:color w:val="auto"/>
                <w:sz w:val="21"/>
                <w:szCs w:val="21"/>
              </w:rPr>
            </w:pPr>
            <w:r>
              <w:rPr>
                <w:rFonts w:hint="eastAsia" w:ascii="宋体" w:hAnsi="宋体" w:cs="宋体"/>
                <w:color w:val="auto"/>
                <w:sz w:val="21"/>
                <w:szCs w:val="21"/>
              </w:rPr>
              <w:t>滑轮直径D</w:t>
            </w:r>
            <w:r>
              <w:rPr>
                <w:rFonts w:hint="eastAsia" w:ascii="宋体" w:hAnsi="宋体" w:cs="宋体"/>
                <w:color w:val="auto"/>
                <w:sz w:val="21"/>
                <w:szCs w:val="21"/>
                <w:vertAlign w:val="subscript"/>
              </w:rPr>
              <w:t>0min</w:t>
            </w:r>
            <w:r>
              <w:rPr>
                <w:rFonts w:hint="eastAsia" w:ascii="宋体" w:hAnsi="宋体" w:cs="宋体"/>
                <w:color w:val="auto"/>
                <w:sz w:val="21"/>
                <w:szCs w:val="21"/>
              </w:rPr>
              <w:t>（D</w:t>
            </w:r>
            <w:r>
              <w:rPr>
                <w:rFonts w:hint="eastAsia" w:ascii="宋体" w:hAnsi="宋体" w:cs="宋体"/>
                <w:color w:val="auto"/>
                <w:sz w:val="21"/>
                <w:szCs w:val="21"/>
                <w:vertAlign w:val="subscript"/>
              </w:rPr>
              <w:t>0min</w:t>
            </w:r>
            <w:r>
              <w:rPr>
                <w:rFonts w:hint="eastAsia" w:ascii="宋体" w:hAnsi="宋体" w:cs="宋体"/>
                <w:color w:val="auto"/>
                <w:sz w:val="21"/>
                <w:szCs w:val="21"/>
              </w:rPr>
              <w:t>＝h</w:t>
            </w:r>
            <w:r>
              <w:rPr>
                <w:rFonts w:hint="eastAsia" w:ascii="宋体" w:hAnsi="宋体" w:cs="宋体"/>
                <w:color w:val="auto"/>
                <w:sz w:val="21"/>
                <w:szCs w:val="21"/>
                <w:vertAlign w:val="subscript"/>
              </w:rPr>
              <w:t>2</w:t>
            </w:r>
            <w:r>
              <w:rPr>
                <w:rFonts w:hint="eastAsia" w:ascii="宋体" w:hAnsi="宋体" w:cs="宋体"/>
                <w:color w:val="auto"/>
                <w:sz w:val="21"/>
                <w:szCs w:val="21"/>
              </w:rPr>
              <w:t>·D）的选取不应小于规定的数值。</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8A99554">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5F283FE">
            <w:pPr>
              <w:ind w:firstLine="422"/>
              <w:jc w:val="center"/>
              <w:rPr>
                <w:rFonts w:hint="eastAsia" w:ascii="宋体" w:hAnsi="宋体" w:cs="宋体"/>
                <w:b/>
                <w:bCs/>
                <w:snapToGrid w:val="0"/>
                <w:color w:val="auto"/>
                <w:sz w:val="21"/>
                <w:szCs w:val="21"/>
              </w:rPr>
            </w:pPr>
          </w:p>
        </w:tc>
      </w:tr>
      <w:tr w14:paraId="6BD4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0513D9C">
            <w:pPr>
              <w:ind w:firstLine="422"/>
              <w:jc w:val="center"/>
              <w:rPr>
                <w:rFonts w:ascii="宋体" w:hAnsi="宋体" w:cs="宋体"/>
                <w:b/>
                <w:bCs/>
                <w:color w:val="auto"/>
                <w:sz w:val="21"/>
                <w:szCs w:val="21"/>
              </w:rPr>
            </w:pPr>
            <w:r>
              <w:rPr>
                <w:rFonts w:hint="eastAsia" w:ascii="宋体" w:hAnsi="宋体" w:cs="宋体"/>
                <w:b/>
                <w:bCs/>
                <w:color w:val="auto"/>
                <w:sz w:val="21"/>
                <w:szCs w:val="21"/>
              </w:rPr>
              <w:t>21</w:t>
            </w:r>
          </w:p>
        </w:tc>
        <w:tc>
          <w:tcPr>
            <w:tcW w:w="854" w:type="dxa"/>
            <w:vMerge w:val="continue"/>
            <w:tcBorders>
              <w:left w:val="single" w:color="auto" w:sz="4" w:space="0"/>
              <w:right w:val="single" w:color="auto" w:sz="4" w:space="0"/>
            </w:tcBorders>
            <w:noWrap w:val="0"/>
            <w:vAlign w:val="center"/>
          </w:tcPr>
          <w:p w14:paraId="410B6A4D">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5D9906A">
            <w:pPr>
              <w:ind w:firstLine="404"/>
              <w:rPr>
                <w:rFonts w:ascii="宋体" w:hAnsi="宋体" w:cs="宋体"/>
                <w:color w:val="auto"/>
                <w:sz w:val="21"/>
                <w:szCs w:val="21"/>
              </w:rPr>
            </w:pPr>
            <w:r>
              <w:rPr>
                <w:rFonts w:hint="eastAsia" w:ascii="宋体" w:hAnsi="宋体" w:cs="宋体"/>
                <w:color w:val="auto"/>
                <w:spacing w:val="-4"/>
                <w:sz w:val="21"/>
                <w:szCs w:val="21"/>
              </w:rPr>
              <w:t>滑轮应转动良好，出现下列情况应报废：</w:t>
            </w:r>
          </w:p>
          <w:p w14:paraId="54C76B0A">
            <w:pPr>
              <w:ind w:firstLine="412"/>
              <w:rPr>
                <w:rFonts w:ascii="宋体" w:hAnsi="宋体" w:cs="宋体"/>
                <w:color w:val="auto"/>
                <w:spacing w:val="-2"/>
                <w:sz w:val="21"/>
                <w:szCs w:val="21"/>
              </w:rPr>
            </w:pPr>
            <w:r>
              <w:rPr>
                <w:rFonts w:hint="eastAsia" w:ascii="宋体" w:hAnsi="宋体" w:cs="宋体"/>
                <w:color w:val="auto"/>
                <w:spacing w:val="-2"/>
                <w:sz w:val="21"/>
                <w:szCs w:val="21"/>
              </w:rPr>
              <w:t>①</w:t>
            </w:r>
            <w:r>
              <w:rPr>
                <w:rFonts w:hint="eastAsia" w:ascii="宋体" w:hAnsi="宋体" w:cs="宋体"/>
                <w:color w:val="auto"/>
                <w:spacing w:val="-8"/>
                <w:sz w:val="21"/>
                <w:szCs w:val="21"/>
              </w:rPr>
              <w:t>出现裂纹、轮缘破损等损伤钢丝绳的缺陷；</w:t>
            </w:r>
          </w:p>
          <w:p w14:paraId="7A657544">
            <w:pPr>
              <w:ind w:firstLine="420"/>
              <w:rPr>
                <w:rFonts w:ascii="宋体" w:hAnsi="宋体" w:cs="宋体"/>
                <w:color w:val="auto"/>
                <w:sz w:val="21"/>
                <w:szCs w:val="21"/>
              </w:rPr>
            </w:pPr>
            <w:r>
              <w:rPr>
                <w:rFonts w:hint="eastAsia" w:ascii="宋体" w:hAnsi="宋体" w:cs="宋体"/>
                <w:color w:val="auto"/>
                <w:sz w:val="21"/>
                <w:szCs w:val="21"/>
              </w:rPr>
              <w:t>②轮槽壁厚磨损达原壁厚的20%；</w:t>
            </w:r>
          </w:p>
          <w:p w14:paraId="0D77AECB">
            <w:pPr>
              <w:ind w:firstLine="396"/>
              <w:rPr>
                <w:rFonts w:hint="eastAsia" w:ascii="宋体" w:hAnsi="宋体" w:cs="宋体"/>
                <w:color w:val="auto"/>
                <w:sz w:val="21"/>
                <w:szCs w:val="21"/>
              </w:rPr>
            </w:pPr>
            <w:r>
              <w:rPr>
                <w:rFonts w:hint="eastAsia" w:ascii="宋体" w:hAnsi="宋体" w:cs="宋体"/>
                <w:color w:val="auto"/>
                <w:spacing w:val="-6"/>
                <w:sz w:val="21"/>
                <w:szCs w:val="21"/>
              </w:rPr>
              <w:t>③轮槽底部直径减少量达钢丝绳直径的50%或槽底出现沟槽。</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8B0BF59">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ECA3D58">
            <w:pPr>
              <w:ind w:firstLine="422"/>
              <w:jc w:val="center"/>
              <w:rPr>
                <w:rFonts w:hint="eastAsia" w:ascii="宋体" w:hAnsi="宋体" w:cs="宋体"/>
                <w:b/>
                <w:bCs/>
                <w:snapToGrid w:val="0"/>
                <w:color w:val="auto"/>
                <w:sz w:val="21"/>
                <w:szCs w:val="21"/>
              </w:rPr>
            </w:pPr>
          </w:p>
        </w:tc>
      </w:tr>
      <w:tr w14:paraId="0C8A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6A9CAFB">
            <w:pPr>
              <w:ind w:firstLine="422"/>
              <w:jc w:val="center"/>
              <w:rPr>
                <w:rFonts w:ascii="宋体" w:hAnsi="宋体" w:cs="宋体"/>
                <w:b/>
                <w:bCs/>
                <w:color w:val="auto"/>
                <w:sz w:val="21"/>
                <w:szCs w:val="21"/>
              </w:rPr>
            </w:pPr>
            <w:r>
              <w:rPr>
                <w:rFonts w:hint="eastAsia" w:ascii="宋体" w:hAnsi="宋体" w:cs="宋体"/>
                <w:b/>
                <w:bCs/>
                <w:color w:val="auto"/>
                <w:sz w:val="21"/>
                <w:szCs w:val="21"/>
              </w:rPr>
              <w:t>22</w:t>
            </w:r>
          </w:p>
        </w:tc>
        <w:tc>
          <w:tcPr>
            <w:tcW w:w="854" w:type="dxa"/>
            <w:vMerge w:val="continue"/>
            <w:tcBorders>
              <w:left w:val="single" w:color="auto" w:sz="4" w:space="0"/>
              <w:bottom w:val="single" w:color="auto" w:sz="4" w:space="0"/>
              <w:right w:val="single" w:color="auto" w:sz="4" w:space="0"/>
            </w:tcBorders>
            <w:noWrap w:val="0"/>
            <w:vAlign w:val="center"/>
          </w:tcPr>
          <w:p w14:paraId="376C9296">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A8FBA39">
            <w:pPr>
              <w:ind w:firstLine="420"/>
              <w:rPr>
                <w:rFonts w:hint="eastAsia" w:ascii="宋体" w:hAnsi="宋体" w:cs="宋体"/>
                <w:color w:val="auto"/>
                <w:sz w:val="21"/>
                <w:szCs w:val="21"/>
              </w:rPr>
            </w:pPr>
            <w:r>
              <w:rPr>
                <w:rFonts w:hint="eastAsia" w:ascii="宋体" w:hAnsi="宋体" w:cs="宋体"/>
                <w:color w:val="auto"/>
                <w:sz w:val="21"/>
                <w:szCs w:val="21"/>
              </w:rPr>
              <w:t>应有防止钢丝绳脱槽的装置，且可靠有效。</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3850323">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5DBB842">
            <w:pPr>
              <w:ind w:firstLine="422"/>
              <w:jc w:val="center"/>
              <w:rPr>
                <w:rFonts w:hint="eastAsia" w:ascii="宋体" w:hAnsi="宋体" w:cs="宋体"/>
                <w:b/>
                <w:bCs/>
                <w:snapToGrid w:val="0"/>
                <w:color w:val="auto"/>
                <w:sz w:val="21"/>
                <w:szCs w:val="21"/>
              </w:rPr>
            </w:pPr>
          </w:p>
        </w:tc>
      </w:tr>
      <w:tr w14:paraId="3E75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E552730">
            <w:pPr>
              <w:ind w:firstLine="422"/>
              <w:jc w:val="center"/>
              <w:rPr>
                <w:rFonts w:ascii="宋体" w:hAnsi="宋体" w:cs="宋体"/>
                <w:b/>
                <w:bCs/>
                <w:color w:val="auto"/>
                <w:sz w:val="21"/>
                <w:szCs w:val="21"/>
              </w:rPr>
            </w:pPr>
            <w:r>
              <w:rPr>
                <w:rFonts w:hint="eastAsia" w:ascii="宋体" w:hAnsi="宋体" w:cs="宋体"/>
                <w:b/>
                <w:bCs/>
                <w:color w:val="auto"/>
                <w:sz w:val="21"/>
                <w:szCs w:val="21"/>
              </w:rPr>
              <w:t>23</w:t>
            </w:r>
          </w:p>
        </w:tc>
        <w:tc>
          <w:tcPr>
            <w:tcW w:w="854" w:type="dxa"/>
            <w:vMerge w:val="restart"/>
            <w:tcBorders>
              <w:top w:val="single" w:color="auto" w:sz="4" w:space="0"/>
              <w:left w:val="single" w:color="auto" w:sz="4" w:space="0"/>
              <w:right w:val="single" w:color="auto" w:sz="4" w:space="0"/>
            </w:tcBorders>
            <w:noWrap w:val="0"/>
            <w:vAlign w:val="center"/>
          </w:tcPr>
          <w:p w14:paraId="6EC1124D">
            <w:pPr>
              <w:ind w:firstLine="420"/>
              <w:jc w:val="center"/>
              <w:rPr>
                <w:rFonts w:hint="eastAsia" w:ascii="宋体" w:hAnsi="宋体" w:cs="宋体"/>
                <w:color w:val="auto"/>
                <w:sz w:val="21"/>
                <w:szCs w:val="21"/>
              </w:rPr>
            </w:pPr>
            <w:r>
              <w:rPr>
                <w:rFonts w:hint="eastAsia" w:ascii="宋体" w:hAnsi="宋体" w:cs="宋体"/>
                <w:color w:val="auto"/>
                <w:sz w:val="21"/>
                <w:szCs w:val="21"/>
              </w:rPr>
              <w:t>8</w:t>
            </w:r>
          </w:p>
          <w:p w14:paraId="5960573B">
            <w:pPr>
              <w:ind w:firstLine="420"/>
              <w:jc w:val="center"/>
              <w:rPr>
                <w:rFonts w:hint="eastAsia" w:ascii="宋体" w:hAnsi="宋体" w:cs="宋体"/>
                <w:color w:val="auto"/>
                <w:sz w:val="21"/>
                <w:szCs w:val="21"/>
              </w:rPr>
            </w:pPr>
            <w:r>
              <w:rPr>
                <w:rFonts w:hint="eastAsia" w:ascii="宋体" w:hAnsi="宋体" w:cs="宋体"/>
                <w:color w:val="auto"/>
                <w:sz w:val="21"/>
                <w:szCs w:val="21"/>
              </w:rPr>
              <w:t>制</w:t>
            </w:r>
          </w:p>
          <w:p w14:paraId="7FD4F103">
            <w:pPr>
              <w:ind w:firstLine="420"/>
              <w:jc w:val="center"/>
              <w:rPr>
                <w:rFonts w:hint="eastAsia" w:ascii="宋体" w:hAnsi="宋体" w:cs="宋体"/>
                <w:color w:val="auto"/>
                <w:sz w:val="21"/>
                <w:szCs w:val="21"/>
              </w:rPr>
            </w:pPr>
            <w:r>
              <w:rPr>
                <w:rFonts w:hint="eastAsia" w:ascii="宋体" w:hAnsi="宋体" w:cs="宋体"/>
                <w:color w:val="auto"/>
                <w:sz w:val="21"/>
                <w:szCs w:val="21"/>
              </w:rPr>
              <w:t>动</w:t>
            </w:r>
          </w:p>
          <w:p w14:paraId="3A8565FD">
            <w:pPr>
              <w:ind w:firstLine="420"/>
              <w:jc w:val="center"/>
              <w:rPr>
                <w:rFonts w:hint="eastAsia" w:ascii="宋体" w:hAnsi="宋体" w:cs="宋体"/>
                <w:color w:val="auto"/>
                <w:sz w:val="21"/>
                <w:szCs w:val="21"/>
              </w:rPr>
            </w:pPr>
            <w:r>
              <w:rPr>
                <w:rFonts w:hint="eastAsia" w:ascii="宋体" w:hAnsi="宋体" w:cs="宋体"/>
                <w:color w:val="auto"/>
                <w:sz w:val="21"/>
                <w:szCs w:val="21"/>
              </w:rPr>
              <w:t>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4B425E5">
            <w:pPr>
              <w:ind w:firstLine="388"/>
              <w:rPr>
                <w:rFonts w:hint="eastAsia" w:ascii="宋体" w:hAnsi="宋体" w:cs="宋体"/>
                <w:color w:val="auto"/>
                <w:sz w:val="21"/>
                <w:szCs w:val="21"/>
              </w:rPr>
            </w:pPr>
            <w:r>
              <w:rPr>
                <w:rFonts w:hint="eastAsia" w:ascii="宋体" w:hAnsi="宋体" w:cs="宋体"/>
                <w:color w:val="auto"/>
                <w:spacing w:val="-8"/>
                <w:sz w:val="21"/>
                <w:szCs w:val="21"/>
              </w:rPr>
              <w:t>制动器的零部件不应有裂纹、过度磨损、塑性变形、缺件等缺陷。液压制动器不应漏油。制动片磨损达原厚度的50%或露出铆钉应报废。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48C2027">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C801391">
            <w:pPr>
              <w:ind w:firstLine="422"/>
              <w:jc w:val="center"/>
              <w:rPr>
                <w:rFonts w:hint="eastAsia" w:ascii="宋体" w:hAnsi="宋体" w:cs="宋体"/>
                <w:b/>
                <w:bCs/>
                <w:snapToGrid w:val="0"/>
                <w:color w:val="auto"/>
                <w:sz w:val="21"/>
                <w:szCs w:val="21"/>
              </w:rPr>
            </w:pPr>
          </w:p>
        </w:tc>
      </w:tr>
      <w:tr w14:paraId="604D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BB88A42">
            <w:pPr>
              <w:ind w:firstLine="422"/>
              <w:jc w:val="center"/>
              <w:rPr>
                <w:rFonts w:ascii="宋体" w:hAnsi="宋体" w:cs="宋体"/>
                <w:b/>
                <w:bCs/>
                <w:color w:val="auto"/>
                <w:sz w:val="21"/>
                <w:szCs w:val="21"/>
              </w:rPr>
            </w:pPr>
            <w:r>
              <w:rPr>
                <w:rFonts w:hint="eastAsia" w:ascii="宋体" w:hAnsi="宋体" w:cs="宋体"/>
                <w:b/>
                <w:bCs/>
                <w:color w:val="auto"/>
                <w:sz w:val="21"/>
                <w:szCs w:val="21"/>
              </w:rPr>
              <w:t>24</w:t>
            </w:r>
          </w:p>
        </w:tc>
        <w:tc>
          <w:tcPr>
            <w:tcW w:w="854" w:type="dxa"/>
            <w:vMerge w:val="continue"/>
            <w:tcBorders>
              <w:left w:val="single" w:color="auto" w:sz="4" w:space="0"/>
              <w:right w:val="single" w:color="auto" w:sz="4" w:space="0"/>
            </w:tcBorders>
            <w:noWrap w:val="0"/>
            <w:vAlign w:val="center"/>
          </w:tcPr>
          <w:p w14:paraId="3D0C7BF0">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2C45AFE">
            <w:pPr>
              <w:ind w:firstLine="388"/>
              <w:jc w:val="left"/>
              <w:rPr>
                <w:rFonts w:hint="eastAsia" w:ascii="宋体" w:hAnsi="宋体" w:cs="宋体"/>
                <w:color w:val="auto"/>
                <w:sz w:val="21"/>
                <w:szCs w:val="21"/>
              </w:rPr>
            </w:pPr>
            <w:r>
              <w:rPr>
                <w:rFonts w:hint="eastAsia" w:ascii="宋体" w:hAnsi="宋体" w:cs="宋体"/>
                <w:color w:val="auto"/>
                <w:spacing w:val="-8"/>
                <w:sz w:val="21"/>
                <w:szCs w:val="21"/>
              </w:rPr>
              <w:t>起重机每个机构都应装设制动器，起升机构的制动器应是常闭的。</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12B83E3">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65C2D42">
            <w:pPr>
              <w:ind w:firstLine="422"/>
              <w:jc w:val="center"/>
              <w:rPr>
                <w:rFonts w:hint="eastAsia" w:ascii="宋体" w:hAnsi="宋体" w:cs="宋体"/>
                <w:b/>
                <w:bCs/>
                <w:snapToGrid w:val="0"/>
                <w:color w:val="auto"/>
                <w:sz w:val="21"/>
                <w:szCs w:val="21"/>
              </w:rPr>
            </w:pPr>
          </w:p>
        </w:tc>
      </w:tr>
      <w:tr w14:paraId="2B81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76CD57A">
            <w:pPr>
              <w:ind w:firstLine="422"/>
              <w:jc w:val="center"/>
              <w:rPr>
                <w:rFonts w:ascii="宋体" w:hAnsi="宋体" w:cs="宋体"/>
                <w:b/>
                <w:bCs/>
                <w:color w:val="auto"/>
                <w:sz w:val="21"/>
                <w:szCs w:val="21"/>
              </w:rPr>
            </w:pPr>
            <w:r>
              <w:rPr>
                <w:rFonts w:hint="eastAsia" w:ascii="宋体" w:hAnsi="宋体" w:cs="宋体"/>
                <w:b/>
                <w:bCs/>
                <w:color w:val="auto"/>
                <w:sz w:val="21"/>
                <w:szCs w:val="21"/>
              </w:rPr>
              <w:t>25</w:t>
            </w:r>
          </w:p>
        </w:tc>
        <w:tc>
          <w:tcPr>
            <w:tcW w:w="854" w:type="dxa"/>
            <w:vMerge w:val="continue"/>
            <w:tcBorders>
              <w:left w:val="single" w:color="auto" w:sz="4" w:space="0"/>
              <w:right w:val="single" w:color="auto" w:sz="4" w:space="0"/>
            </w:tcBorders>
            <w:noWrap w:val="0"/>
            <w:vAlign w:val="center"/>
          </w:tcPr>
          <w:p w14:paraId="6B2BDA51">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B796499">
            <w:pPr>
              <w:ind w:firstLine="420"/>
              <w:jc w:val="left"/>
              <w:rPr>
                <w:rFonts w:hint="eastAsia" w:ascii="宋体" w:hAnsi="宋体" w:cs="宋体"/>
                <w:color w:val="auto"/>
                <w:sz w:val="21"/>
                <w:szCs w:val="21"/>
              </w:rPr>
            </w:pPr>
            <w:r>
              <w:rPr>
                <w:rFonts w:hint="eastAsia" w:ascii="宋体" w:hAnsi="宋体" w:cs="宋体"/>
                <w:color w:val="auto"/>
                <w:sz w:val="21"/>
                <w:szCs w:val="21"/>
              </w:rPr>
              <w:t>制动轮与摩擦片之间应接触均匀，且不能有影响制动性能的缺陷或油污。</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742AE1F">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83EBEF6">
            <w:pPr>
              <w:ind w:firstLine="422"/>
              <w:jc w:val="center"/>
              <w:rPr>
                <w:rFonts w:hint="eastAsia" w:ascii="宋体" w:hAnsi="宋体" w:cs="宋体"/>
                <w:b/>
                <w:bCs/>
                <w:snapToGrid w:val="0"/>
                <w:color w:val="auto"/>
                <w:sz w:val="21"/>
                <w:szCs w:val="21"/>
              </w:rPr>
            </w:pPr>
          </w:p>
        </w:tc>
      </w:tr>
      <w:tr w14:paraId="7A05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63A7DBE">
            <w:pPr>
              <w:ind w:firstLine="422"/>
              <w:jc w:val="center"/>
              <w:rPr>
                <w:rFonts w:ascii="宋体" w:hAnsi="宋体" w:cs="宋体"/>
                <w:b/>
                <w:bCs/>
                <w:color w:val="auto"/>
                <w:sz w:val="21"/>
                <w:szCs w:val="21"/>
              </w:rPr>
            </w:pPr>
            <w:r>
              <w:rPr>
                <w:rFonts w:hint="eastAsia" w:ascii="宋体" w:hAnsi="宋体" w:cs="宋体"/>
                <w:b/>
                <w:bCs/>
                <w:color w:val="auto"/>
                <w:sz w:val="21"/>
                <w:szCs w:val="21"/>
              </w:rPr>
              <w:t>26</w:t>
            </w:r>
          </w:p>
        </w:tc>
        <w:tc>
          <w:tcPr>
            <w:tcW w:w="854" w:type="dxa"/>
            <w:vMerge w:val="continue"/>
            <w:tcBorders>
              <w:left w:val="single" w:color="auto" w:sz="4" w:space="0"/>
              <w:right w:val="single" w:color="auto" w:sz="4" w:space="0"/>
            </w:tcBorders>
            <w:noWrap w:val="0"/>
            <w:vAlign w:val="center"/>
          </w:tcPr>
          <w:p w14:paraId="00724CE9">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95DAB17">
            <w:pPr>
              <w:ind w:firstLine="420"/>
              <w:rPr>
                <w:rFonts w:hint="eastAsia" w:ascii="宋体" w:hAnsi="宋体" w:cs="宋体"/>
                <w:color w:val="auto"/>
                <w:sz w:val="21"/>
                <w:szCs w:val="21"/>
              </w:rPr>
            </w:pPr>
            <w:r>
              <w:rPr>
                <w:rFonts w:hint="eastAsia" w:ascii="宋体" w:hAnsi="宋体" w:cs="宋体"/>
                <w:color w:val="auto"/>
                <w:sz w:val="21"/>
                <w:szCs w:val="21"/>
              </w:rPr>
              <w:t>制动器调整适宜，制动平稳可靠。</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C651E6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DE247C9">
            <w:pPr>
              <w:ind w:firstLine="422"/>
              <w:jc w:val="center"/>
              <w:rPr>
                <w:rFonts w:hint="eastAsia" w:ascii="宋体" w:hAnsi="宋体" w:cs="宋体"/>
                <w:b/>
                <w:bCs/>
                <w:snapToGrid w:val="0"/>
                <w:color w:val="auto"/>
                <w:sz w:val="21"/>
                <w:szCs w:val="21"/>
              </w:rPr>
            </w:pPr>
          </w:p>
        </w:tc>
      </w:tr>
      <w:tr w14:paraId="29B3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30880DE">
            <w:pPr>
              <w:ind w:firstLine="422"/>
              <w:jc w:val="center"/>
              <w:rPr>
                <w:rFonts w:ascii="宋体" w:hAnsi="宋体" w:cs="宋体"/>
                <w:b/>
                <w:bCs/>
                <w:color w:val="auto"/>
                <w:sz w:val="21"/>
                <w:szCs w:val="21"/>
              </w:rPr>
            </w:pPr>
            <w:r>
              <w:rPr>
                <w:rFonts w:hint="eastAsia" w:ascii="宋体" w:hAnsi="宋体" w:cs="宋体"/>
                <w:b/>
                <w:bCs/>
                <w:color w:val="auto"/>
                <w:sz w:val="21"/>
                <w:szCs w:val="21"/>
              </w:rPr>
              <w:t>27</w:t>
            </w:r>
          </w:p>
        </w:tc>
        <w:tc>
          <w:tcPr>
            <w:tcW w:w="854" w:type="dxa"/>
            <w:vMerge w:val="continue"/>
            <w:tcBorders>
              <w:left w:val="single" w:color="auto" w:sz="4" w:space="0"/>
              <w:bottom w:val="single" w:color="auto" w:sz="4" w:space="0"/>
              <w:right w:val="single" w:color="auto" w:sz="4" w:space="0"/>
            </w:tcBorders>
            <w:noWrap w:val="0"/>
            <w:vAlign w:val="center"/>
          </w:tcPr>
          <w:p w14:paraId="4B5DFFF0">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55EF70E">
            <w:pPr>
              <w:ind w:firstLine="420"/>
              <w:rPr>
                <w:rFonts w:hint="eastAsia" w:ascii="宋体" w:hAnsi="宋体" w:cs="宋体"/>
                <w:color w:val="auto"/>
                <w:sz w:val="21"/>
                <w:szCs w:val="21"/>
              </w:rPr>
            </w:pPr>
            <w:r>
              <w:rPr>
                <w:rFonts w:hint="eastAsia" w:ascii="宋体" w:hAnsi="宋体" w:cs="宋体"/>
                <w:color w:val="auto"/>
                <w:sz w:val="21"/>
                <w:szCs w:val="21"/>
              </w:rPr>
              <w:t>制动轮应无裂纹（不包括制动轮表面淬硬层微裂纹），凹凸不平度不得大于1.5mm。不得有摩擦垫片固定铆钉引起的划痕。</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4AC5E94">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A85B17F">
            <w:pPr>
              <w:ind w:firstLine="422"/>
              <w:jc w:val="center"/>
              <w:rPr>
                <w:rFonts w:hint="eastAsia" w:ascii="宋体" w:hAnsi="宋体" w:cs="宋体"/>
                <w:b/>
                <w:bCs/>
                <w:snapToGrid w:val="0"/>
                <w:color w:val="auto"/>
                <w:sz w:val="21"/>
                <w:szCs w:val="21"/>
              </w:rPr>
            </w:pPr>
          </w:p>
        </w:tc>
      </w:tr>
      <w:tr w14:paraId="36A7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E6F6C08">
            <w:pPr>
              <w:ind w:firstLine="422"/>
              <w:jc w:val="center"/>
              <w:rPr>
                <w:rFonts w:ascii="宋体" w:hAnsi="宋体" w:cs="宋体"/>
                <w:b/>
                <w:bCs/>
                <w:color w:val="auto"/>
                <w:sz w:val="21"/>
                <w:szCs w:val="21"/>
              </w:rPr>
            </w:pPr>
            <w:r>
              <w:rPr>
                <w:rFonts w:hint="eastAsia" w:ascii="宋体" w:hAnsi="宋体" w:cs="宋体"/>
                <w:b/>
                <w:bCs/>
                <w:color w:val="auto"/>
                <w:sz w:val="21"/>
                <w:szCs w:val="21"/>
              </w:rPr>
              <w:t>28</w:t>
            </w:r>
          </w:p>
        </w:tc>
        <w:tc>
          <w:tcPr>
            <w:tcW w:w="854" w:type="dxa"/>
            <w:vMerge w:val="restart"/>
            <w:tcBorders>
              <w:top w:val="single" w:color="auto" w:sz="4" w:space="0"/>
              <w:left w:val="single" w:color="auto" w:sz="4" w:space="0"/>
              <w:right w:val="single" w:color="auto" w:sz="4" w:space="0"/>
            </w:tcBorders>
            <w:noWrap w:val="0"/>
            <w:vAlign w:val="center"/>
          </w:tcPr>
          <w:p w14:paraId="7375F03A">
            <w:pPr>
              <w:ind w:firstLine="420"/>
              <w:jc w:val="center"/>
              <w:rPr>
                <w:rFonts w:hint="eastAsia" w:ascii="宋体" w:hAnsi="宋体" w:cs="宋体"/>
                <w:color w:val="auto"/>
                <w:sz w:val="21"/>
                <w:szCs w:val="21"/>
              </w:rPr>
            </w:pPr>
            <w:r>
              <w:rPr>
                <w:rFonts w:hint="eastAsia" w:ascii="宋体" w:hAnsi="宋体" w:cs="宋体"/>
                <w:color w:val="auto"/>
                <w:sz w:val="21"/>
                <w:szCs w:val="21"/>
              </w:rPr>
              <w:t>9减速器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074AE89">
            <w:pPr>
              <w:ind w:firstLine="420"/>
              <w:rPr>
                <w:rFonts w:hint="eastAsia" w:ascii="宋体" w:hAnsi="宋体" w:cs="宋体"/>
                <w:color w:val="auto"/>
                <w:sz w:val="21"/>
                <w:szCs w:val="21"/>
              </w:rPr>
            </w:pPr>
            <w:r>
              <w:rPr>
                <w:rFonts w:hint="eastAsia" w:ascii="宋体" w:hAnsi="宋体" w:cs="宋体"/>
                <w:color w:val="auto"/>
                <w:sz w:val="21"/>
                <w:szCs w:val="21"/>
              </w:rPr>
              <w:t>地脚螺栓，壳体联接螺栓不得松动，螺栓不得缺损。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DB03827">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307FB59">
            <w:pPr>
              <w:ind w:firstLine="422"/>
              <w:jc w:val="center"/>
              <w:rPr>
                <w:rFonts w:hint="eastAsia" w:ascii="宋体" w:hAnsi="宋体" w:cs="宋体"/>
                <w:b/>
                <w:bCs/>
                <w:snapToGrid w:val="0"/>
                <w:color w:val="auto"/>
                <w:sz w:val="21"/>
                <w:szCs w:val="21"/>
              </w:rPr>
            </w:pPr>
          </w:p>
        </w:tc>
      </w:tr>
      <w:tr w14:paraId="5027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9798E8E">
            <w:pPr>
              <w:ind w:firstLine="422"/>
              <w:jc w:val="center"/>
              <w:rPr>
                <w:rFonts w:ascii="宋体" w:hAnsi="宋体" w:cs="宋体"/>
                <w:b/>
                <w:bCs/>
                <w:color w:val="auto"/>
                <w:sz w:val="21"/>
                <w:szCs w:val="21"/>
              </w:rPr>
            </w:pPr>
            <w:r>
              <w:rPr>
                <w:rFonts w:hint="eastAsia" w:ascii="宋体" w:hAnsi="宋体" w:cs="宋体"/>
                <w:b/>
                <w:bCs/>
                <w:color w:val="auto"/>
                <w:sz w:val="21"/>
                <w:szCs w:val="21"/>
              </w:rPr>
              <w:t>29</w:t>
            </w:r>
          </w:p>
        </w:tc>
        <w:tc>
          <w:tcPr>
            <w:tcW w:w="854" w:type="dxa"/>
            <w:vMerge w:val="continue"/>
            <w:tcBorders>
              <w:left w:val="single" w:color="auto" w:sz="4" w:space="0"/>
              <w:bottom w:val="single" w:color="auto" w:sz="4" w:space="0"/>
              <w:right w:val="single" w:color="auto" w:sz="4" w:space="0"/>
            </w:tcBorders>
            <w:noWrap w:val="0"/>
            <w:vAlign w:val="center"/>
          </w:tcPr>
          <w:p w14:paraId="2B04CD98">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DA04D6C">
            <w:pPr>
              <w:ind w:firstLine="372"/>
              <w:rPr>
                <w:rFonts w:hint="eastAsia" w:ascii="宋体" w:hAnsi="宋体" w:cs="宋体"/>
                <w:color w:val="auto"/>
                <w:sz w:val="21"/>
                <w:szCs w:val="21"/>
              </w:rPr>
            </w:pPr>
            <w:r>
              <w:rPr>
                <w:rFonts w:hint="eastAsia" w:ascii="宋体" w:hAnsi="宋体" w:cs="宋体"/>
                <w:color w:val="auto"/>
                <w:spacing w:val="-12"/>
                <w:sz w:val="21"/>
                <w:szCs w:val="21"/>
              </w:rPr>
              <w:t>工作时应无异常声响、振动、发热和漏油。</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7F2B2AB">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FCF2080">
            <w:pPr>
              <w:ind w:firstLine="422"/>
              <w:jc w:val="center"/>
              <w:rPr>
                <w:rFonts w:hint="eastAsia" w:ascii="宋体" w:hAnsi="宋体" w:cs="宋体"/>
                <w:b/>
                <w:bCs/>
                <w:snapToGrid w:val="0"/>
                <w:color w:val="auto"/>
                <w:sz w:val="21"/>
                <w:szCs w:val="21"/>
              </w:rPr>
            </w:pPr>
          </w:p>
        </w:tc>
      </w:tr>
      <w:tr w14:paraId="7B6F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940860A">
            <w:pPr>
              <w:ind w:firstLine="422"/>
              <w:jc w:val="center"/>
              <w:rPr>
                <w:rFonts w:ascii="宋体" w:hAnsi="宋体" w:cs="宋体"/>
                <w:b/>
                <w:bCs/>
                <w:color w:val="auto"/>
                <w:sz w:val="21"/>
                <w:szCs w:val="21"/>
              </w:rPr>
            </w:pPr>
            <w:r>
              <w:rPr>
                <w:rFonts w:hint="eastAsia" w:ascii="宋体" w:hAnsi="宋体" w:cs="宋体"/>
                <w:b/>
                <w:bCs/>
                <w:color w:val="auto"/>
                <w:sz w:val="21"/>
                <w:szCs w:val="21"/>
              </w:rPr>
              <w:t>30</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47672641">
            <w:pPr>
              <w:ind w:firstLine="420"/>
              <w:jc w:val="center"/>
              <w:rPr>
                <w:rFonts w:ascii="宋体" w:hAnsi="宋体" w:cs="宋体"/>
                <w:color w:val="auto"/>
                <w:sz w:val="21"/>
                <w:szCs w:val="21"/>
              </w:rPr>
            </w:pPr>
            <w:r>
              <w:rPr>
                <w:rFonts w:hint="eastAsia" w:ascii="宋体" w:hAnsi="宋体" w:cs="宋体"/>
                <w:color w:val="auto"/>
                <w:sz w:val="21"/>
                <w:szCs w:val="21"/>
              </w:rPr>
              <w:t>10联轴器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DAE61D8">
            <w:pPr>
              <w:ind w:firstLine="420"/>
              <w:rPr>
                <w:rFonts w:hint="eastAsia" w:ascii="宋体" w:hAnsi="宋体" w:cs="宋体"/>
                <w:color w:val="auto"/>
                <w:sz w:val="21"/>
                <w:szCs w:val="21"/>
              </w:rPr>
            </w:pPr>
            <w:r>
              <w:rPr>
                <w:rFonts w:hint="eastAsia" w:ascii="宋体" w:hAnsi="宋体" w:cs="宋体"/>
                <w:color w:val="auto"/>
                <w:sz w:val="21"/>
                <w:szCs w:val="21"/>
              </w:rPr>
              <w:t>零件无缺损，联接无松动，运转时无剧烈撞击声。</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22D868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744E55D">
            <w:pPr>
              <w:ind w:firstLine="422"/>
              <w:jc w:val="center"/>
              <w:rPr>
                <w:rFonts w:hint="eastAsia" w:ascii="宋体" w:hAnsi="宋体" w:cs="宋体"/>
                <w:b/>
                <w:bCs/>
                <w:snapToGrid w:val="0"/>
                <w:color w:val="auto"/>
                <w:sz w:val="21"/>
                <w:szCs w:val="21"/>
              </w:rPr>
            </w:pPr>
          </w:p>
        </w:tc>
      </w:tr>
      <w:tr w14:paraId="090D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AAAB00A">
            <w:pPr>
              <w:ind w:firstLine="422"/>
              <w:jc w:val="center"/>
              <w:rPr>
                <w:rFonts w:ascii="宋体" w:hAnsi="宋体" w:cs="宋体"/>
                <w:b/>
                <w:bCs/>
                <w:color w:val="auto"/>
                <w:sz w:val="21"/>
                <w:szCs w:val="21"/>
              </w:rPr>
            </w:pPr>
            <w:r>
              <w:rPr>
                <w:rFonts w:hint="eastAsia" w:ascii="宋体" w:hAnsi="宋体" w:cs="宋体"/>
                <w:b/>
                <w:bCs/>
                <w:color w:val="auto"/>
                <w:sz w:val="21"/>
                <w:szCs w:val="21"/>
              </w:rPr>
              <w:t>31</w:t>
            </w:r>
          </w:p>
        </w:tc>
        <w:tc>
          <w:tcPr>
            <w:tcW w:w="854" w:type="dxa"/>
            <w:vMerge w:val="restart"/>
            <w:tcBorders>
              <w:top w:val="single" w:color="auto" w:sz="4" w:space="0"/>
              <w:left w:val="single" w:color="auto" w:sz="4" w:space="0"/>
              <w:right w:val="single" w:color="auto" w:sz="4" w:space="0"/>
            </w:tcBorders>
            <w:noWrap w:val="0"/>
            <w:vAlign w:val="center"/>
          </w:tcPr>
          <w:p w14:paraId="54F4D60C">
            <w:pPr>
              <w:ind w:firstLine="420"/>
              <w:jc w:val="center"/>
              <w:rPr>
                <w:rFonts w:ascii="宋体" w:hAnsi="宋体" w:cs="宋体"/>
                <w:color w:val="auto"/>
                <w:sz w:val="21"/>
                <w:szCs w:val="21"/>
              </w:rPr>
            </w:pPr>
            <w:r>
              <w:rPr>
                <w:rFonts w:hint="eastAsia" w:ascii="宋体" w:hAnsi="宋体" w:cs="宋体"/>
                <w:color w:val="auto"/>
                <w:sz w:val="21"/>
                <w:szCs w:val="21"/>
              </w:rPr>
              <w:t>11卷茼</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ADE0DC4">
            <w:pPr>
              <w:ind w:firstLine="420"/>
              <w:rPr>
                <w:rFonts w:hint="eastAsia" w:ascii="宋体" w:hAnsi="宋体" w:cs="宋体"/>
                <w:color w:val="auto"/>
                <w:spacing w:val="-12"/>
                <w:sz w:val="21"/>
                <w:szCs w:val="21"/>
              </w:rPr>
            </w:pPr>
            <w:r>
              <w:rPr>
                <w:rFonts w:hint="eastAsia" w:ascii="宋体" w:hAnsi="宋体" w:cs="宋体"/>
                <w:color w:val="auto"/>
                <w:sz w:val="21"/>
                <w:szCs w:val="21"/>
              </w:rPr>
              <w:t>卷筒直径D</w:t>
            </w:r>
            <w:r>
              <w:rPr>
                <w:rFonts w:hint="eastAsia" w:ascii="宋体" w:hAnsi="宋体" w:cs="宋体"/>
                <w:color w:val="auto"/>
                <w:sz w:val="21"/>
                <w:szCs w:val="21"/>
                <w:vertAlign w:val="subscript"/>
              </w:rPr>
              <w:t>0min</w:t>
            </w:r>
            <w:r>
              <w:rPr>
                <w:rFonts w:hint="eastAsia" w:ascii="宋体" w:hAnsi="宋体" w:cs="宋体"/>
                <w:color w:val="auto"/>
                <w:sz w:val="21"/>
                <w:szCs w:val="21"/>
              </w:rPr>
              <w:t>（D</w:t>
            </w:r>
            <w:r>
              <w:rPr>
                <w:rFonts w:hint="eastAsia" w:ascii="宋体" w:hAnsi="宋体" w:cs="宋体"/>
                <w:color w:val="auto"/>
                <w:sz w:val="21"/>
                <w:szCs w:val="21"/>
                <w:vertAlign w:val="subscript"/>
              </w:rPr>
              <w:t>0min</w:t>
            </w:r>
            <w:r>
              <w:rPr>
                <w:rFonts w:hint="eastAsia" w:ascii="宋体" w:hAnsi="宋体" w:cs="宋体"/>
                <w:color w:val="auto"/>
                <w:sz w:val="21"/>
                <w:szCs w:val="21"/>
              </w:rPr>
              <w:t>＝h</w:t>
            </w:r>
            <w:r>
              <w:rPr>
                <w:rFonts w:hint="eastAsia" w:ascii="宋体" w:hAnsi="宋体" w:cs="宋体"/>
                <w:color w:val="auto"/>
                <w:sz w:val="21"/>
                <w:szCs w:val="21"/>
                <w:vertAlign w:val="subscript"/>
              </w:rPr>
              <w:t>1</w:t>
            </w:r>
            <w:r>
              <w:rPr>
                <w:rFonts w:hint="eastAsia" w:ascii="宋体" w:hAnsi="宋体" w:cs="宋体"/>
                <w:color w:val="auto"/>
                <w:sz w:val="21"/>
                <w:szCs w:val="21"/>
              </w:rPr>
              <w:t>·d）的选取不应小于规定的数值。多层缠绕的卷筒，端部应有比最外层钢丝绳高出2.5倍钢丝绳直径的凸缘。卷筒上钢丝绳应排列有序，设有防钢丝绳脱槽装置。</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143486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153BF72">
            <w:pPr>
              <w:ind w:firstLine="422"/>
              <w:jc w:val="center"/>
              <w:rPr>
                <w:rFonts w:hint="eastAsia" w:ascii="宋体" w:hAnsi="宋体" w:cs="宋体"/>
                <w:b/>
                <w:bCs/>
                <w:snapToGrid w:val="0"/>
                <w:color w:val="auto"/>
                <w:sz w:val="21"/>
                <w:szCs w:val="21"/>
              </w:rPr>
            </w:pPr>
          </w:p>
        </w:tc>
      </w:tr>
      <w:tr w14:paraId="32C6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548CFE0">
            <w:pPr>
              <w:ind w:firstLine="422"/>
              <w:jc w:val="center"/>
              <w:rPr>
                <w:rFonts w:ascii="宋体" w:hAnsi="宋体" w:cs="宋体"/>
                <w:b/>
                <w:bCs/>
                <w:color w:val="auto"/>
                <w:sz w:val="21"/>
                <w:szCs w:val="21"/>
              </w:rPr>
            </w:pPr>
            <w:r>
              <w:rPr>
                <w:rFonts w:hint="eastAsia" w:ascii="宋体" w:hAnsi="宋体" w:cs="宋体"/>
                <w:b/>
                <w:bCs/>
                <w:color w:val="auto"/>
                <w:sz w:val="21"/>
                <w:szCs w:val="21"/>
              </w:rPr>
              <w:t>32</w:t>
            </w:r>
          </w:p>
        </w:tc>
        <w:tc>
          <w:tcPr>
            <w:tcW w:w="854" w:type="dxa"/>
            <w:vMerge w:val="continue"/>
            <w:tcBorders>
              <w:left w:val="single" w:color="auto" w:sz="4" w:space="0"/>
              <w:bottom w:val="single" w:color="auto" w:sz="4" w:space="0"/>
              <w:right w:val="single" w:color="auto" w:sz="4" w:space="0"/>
            </w:tcBorders>
            <w:noWrap w:val="0"/>
            <w:vAlign w:val="center"/>
          </w:tcPr>
          <w:p w14:paraId="6A019FD7">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DE5E1B6">
            <w:pPr>
              <w:ind w:firstLine="420"/>
              <w:rPr>
                <w:rFonts w:hint="eastAsia" w:ascii="宋体" w:hAnsi="宋体" w:cs="宋体"/>
                <w:color w:val="auto"/>
                <w:sz w:val="21"/>
                <w:szCs w:val="21"/>
              </w:rPr>
            </w:pPr>
            <w:r>
              <w:rPr>
                <w:rFonts w:hint="eastAsia" w:ascii="宋体" w:hAnsi="宋体" w:cs="宋体"/>
                <w:color w:val="auto"/>
                <w:sz w:val="21"/>
                <w:szCs w:val="21"/>
              </w:rPr>
              <w:t>卷筒壁不应有裂纹，筒壁不应过度磨损。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00C2B3D">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7CA594D">
            <w:pPr>
              <w:ind w:firstLine="422"/>
              <w:jc w:val="center"/>
              <w:rPr>
                <w:rFonts w:hint="eastAsia" w:ascii="宋体" w:hAnsi="宋体" w:cs="宋体"/>
                <w:b/>
                <w:bCs/>
                <w:snapToGrid w:val="0"/>
                <w:color w:val="auto"/>
                <w:sz w:val="21"/>
                <w:szCs w:val="21"/>
              </w:rPr>
            </w:pPr>
          </w:p>
        </w:tc>
      </w:tr>
      <w:tr w14:paraId="23ED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9552C11">
            <w:pPr>
              <w:ind w:firstLine="422"/>
              <w:jc w:val="center"/>
              <w:rPr>
                <w:rFonts w:ascii="宋体" w:hAnsi="宋体" w:cs="宋体"/>
                <w:b/>
                <w:bCs/>
                <w:color w:val="auto"/>
                <w:sz w:val="21"/>
                <w:szCs w:val="21"/>
              </w:rPr>
            </w:pPr>
            <w:r>
              <w:rPr>
                <w:rFonts w:hint="eastAsia" w:ascii="宋体" w:hAnsi="宋体" w:cs="宋体"/>
                <w:b/>
                <w:bCs/>
                <w:color w:val="auto"/>
                <w:sz w:val="21"/>
                <w:szCs w:val="21"/>
              </w:rPr>
              <w:t>33</w:t>
            </w:r>
          </w:p>
        </w:tc>
        <w:tc>
          <w:tcPr>
            <w:tcW w:w="854" w:type="dxa"/>
            <w:vMerge w:val="restart"/>
            <w:tcBorders>
              <w:top w:val="single" w:color="auto" w:sz="4" w:space="0"/>
              <w:left w:val="single" w:color="auto" w:sz="4" w:space="0"/>
              <w:right w:val="single" w:color="auto" w:sz="4" w:space="0"/>
            </w:tcBorders>
            <w:noWrap w:val="0"/>
            <w:vAlign w:val="center"/>
          </w:tcPr>
          <w:p w14:paraId="0D41C844">
            <w:pPr>
              <w:ind w:firstLine="420"/>
              <w:jc w:val="center"/>
              <w:rPr>
                <w:rFonts w:hint="eastAsia" w:ascii="宋体" w:hAnsi="宋体" w:cs="宋体"/>
                <w:color w:val="auto"/>
                <w:sz w:val="21"/>
                <w:szCs w:val="21"/>
              </w:rPr>
            </w:pPr>
            <w:r>
              <w:rPr>
                <w:rFonts w:hint="eastAsia" w:ascii="宋体" w:hAnsi="宋体" w:cs="宋体"/>
                <w:color w:val="auto"/>
                <w:sz w:val="21"/>
                <w:szCs w:val="21"/>
              </w:rPr>
              <w:t>12</w:t>
            </w:r>
          </w:p>
          <w:p w14:paraId="7D11A834">
            <w:pPr>
              <w:ind w:firstLine="420"/>
              <w:jc w:val="center"/>
              <w:rPr>
                <w:rFonts w:hint="eastAsia" w:ascii="宋体" w:hAnsi="宋体" w:cs="宋体"/>
                <w:color w:val="auto"/>
                <w:sz w:val="21"/>
                <w:szCs w:val="21"/>
              </w:rPr>
            </w:pPr>
            <w:r>
              <w:rPr>
                <w:rFonts w:hint="eastAsia" w:ascii="宋体" w:hAnsi="宋体" w:cs="宋体"/>
                <w:color w:val="auto"/>
                <w:sz w:val="21"/>
                <w:szCs w:val="21"/>
              </w:rPr>
              <w:t>配</w:t>
            </w:r>
          </w:p>
          <w:p w14:paraId="2F249D5A">
            <w:pPr>
              <w:ind w:firstLine="420"/>
              <w:jc w:val="center"/>
              <w:rPr>
                <w:rFonts w:hint="eastAsia" w:ascii="宋体" w:hAnsi="宋体" w:cs="宋体"/>
                <w:color w:val="auto"/>
                <w:sz w:val="21"/>
                <w:szCs w:val="21"/>
              </w:rPr>
            </w:pPr>
            <w:r>
              <w:rPr>
                <w:rFonts w:hint="eastAsia" w:ascii="宋体" w:hAnsi="宋体" w:cs="宋体"/>
                <w:color w:val="auto"/>
                <w:sz w:val="21"/>
                <w:szCs w:val="21"/>
              </w:rPr>
              <w:t>电</w:t>
            </w:r>
          </w:p>
          <w:p w14:paraId="5141E71D">
            <w:pPr>
              <w:ind w:firstLine="420"/>
              <w:jc w:val="center"/>
              <w:rPr>
                <w:rFonts w:ascii="宋体" w:hAnsi="宋体" w:cs="宋体"/>
                <w:color w:val="auto"/>
                <w:sz w:val="21"/>
                <w:szCs w:val="21"/>
              </w:rPr>
            </w:pPr>
            <w:r>
              <w:rPr>
                <w:rFonts w:hint="eastAsia" w:ascii="宋体" w:hAnsi="宋体" w:cs="宋体"/>
                <w:color w:val="auto"/>
                <w:sz w:val="21"/>
                <w:szCs w:val="21"/>
              </w:rPr>
              <w:t>箱</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BBFE5D9">
            <w:pPr>
              <w:ind w:firstLine="420"/>
              <w:rPr>
                <w:rFonts w:hint="eastAsia" w:ascii="宋体" w:hAnsi="宋体" w:cs="宋体"/>
                <w:color w:val="auto"/>
                <w:spacing w:val="-12"/>
                <w:sz w:val="21"/>
                <w:szCs w:val="21"/>
              </w:rPr>
            </w:pPr>
            <w:r>
              <w:rPr>
                <w:rFonts w:hint="eastAsia" w:ascii="宋体" w:hAnsi="宋体" w:cs="宋体"/>
                <w:color w:val="auto"/>
                <w:sz w:val="21"/>
                <w:szCs w:val="21"/>
              </w:rPr>
              <w:t>柜体必须用螺栓与底座紧固，严禁焊接，柜前操作距离大于0.6m。</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43D28AB">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00E5A73">
            <w:pPr>
              <w:ind w:firstLine="422"/>
              <w:jc w:val="center"/>
              <w:rPr>
                <w:rFonts w:hint="eastAsia" w:ascii="宋体" w:hAnsi="宋体" w:cs="宋体"/>
                <w:b/>
                <w:bCs/>
                <w:snapToGrid w:val="0"/>
                <w:color w:val="auto"/>
                <w:sz w:val="21"/>
                <w:szCs w:val="21"/>
              </w:rPr>
            </w:pPr>
          </w:p>
        </w:tc>
      </w:tr>
      <w:tr w14:paraId="7722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274C88D">
            <w:pPr>
              <w:ind w:firstLine="422"/>
              <w:jc w:val="center"/>
              <w:rPr>
                <w:rFonts w:ascii="宋体" w:hAnsi="宋体" w:cs="宋体"/>
                <w:b/>
                <w:bCs/>
                <w:color w:val="auto"/>
                <w:sz w:val="21"/>
                <w:szCs w:val="21"/>
              </w:rPr>
            </w:pPr>
            <w:r>
              <w:rPr>
                <w:rFonts w:hint="eastAsia" w:ascii="宋体" w:hAnsi="宋体" w:cs="宋体"/>
                <w:b/>
                <w:bCs/>
                <w:color w:val="auto"/>
                <w:sz w:val="21"/>
                <w:szCs w:val="21"/>
              </w:rPr>
              <w:t>34</w:t>
            </w:r>
          </w:p>
        </w:tc>
        <w:tc>
          <w:tcPr>
            <w:tcW w:w="854" w:type="dxa"/>
            <w:vMerge w:val="continue"/>
            <w:tcBorders>
              <w:left w:val="single" w:color="auto" w:sz="4" w:space="0"/>
              <w:bottom w:val="single" w:color="auto" w:sz="4" w:space="0"/>
              <w:right w:val="single" w:color="auto" w:sz="4" w:space="0"/>
            </w:tcBorders>
            <w:noWrap w:val="0"/>
            <w:vAlign w:val="center"/>
          </w:tcPr>
          <w:p w14:paraId="1ECDEEA7">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651AE68">
            <w:pPr>
              <w:ind w:firstLine="404"/>
              <w:rPr>
                <w:rFonts w:hint="eastAsia" w:ascii="宋体" w:hAnsi="宋体" w:cs="宋体"/>
                <w:color w:val="auto"/>
                <w:spacing w:val="-12"/>
                <w:sz w:val="21"/>
                <w:szCs w:val="21"/>
              </w:rPr>
            </w:pPr>
            <w:r>
              <w:rPr>
                <w:rFonts w:hint="eastAsia" w:ascii="宋体" w:hAnsi="宋体" w:cs="宋体"/>
                <w:color w:val="auto"/>
                <w:spacing w:val="-4"/>
                <w:sz w:val="21"/>
                <w:szCs w:val="21"/>
              </w:rPr>
              <w:t>柜内一律采用铜质母线，接头压接牢固、可靠；所有紧固件均应采用铜质件或镀锌件。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4FFC7E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BECDBDC">
            <w:pPr>
              <w:ind w:firstLine="422"/>
              <w:jc w:val="center"/>
              <w:rPr>
                <w:rFonts w:hint="eastAsia" w:ascii="宋体" w:hAnsi="宋体" w:cs="宋体"/>
                <w:b/>
                <w:bCs/>
                <w:snapToGrid w:val="0"/>
                <w:color w:val="auto"/>
                <w:sz w:val="21"/>
                <w:szCs w:val="21"/>
              </w:rPr>
            </w:pPr>
          </w:p>
        </w:tc>
      </w:tr>
      <w:tr w14:paraId="7746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96078F7">
            <w:pPr>
              <w:ind w:firstLine="422"/>
              <w:jc w:val="center"/>
              <w:rPr>
                <w:rFonts w:ascii="宋体" w:hAnsi="宋体" w:cs="宋体"/>
                <w:b/>
                <w:bCs/>
                <w:color w:val="auto"/>
                <w:sz w:val="21"/>
                <w:szCs w:val="21"/>
              </w:rPr>
            </w:pPr>
            <w:r>
              <w:rPr>
                <w:rFonts w:hint="eastAsia" w:ascii="宋体" w:hAnsi="宋体" w:cs="宋体"/>
                <w:b/>
                <w:bCs/>
                <w:color w:val="auto"/>
                <w:sz w:val="21"/>
                <w:szCs w:val="21"/>
              </w:rPr>
              <w:t>35</w:t>
            </w:r>
          </w:p>
        </w:tc>
        <w:tc>
          <w:tcPr>
            <w:tcW w:w="854" w:type="dxa"/>
            <w:tcBorders>
              <w:left w:val="single" w:color="auto" w:sz="4" w:space="0"/>
              <w:bottom w:val="single" w:color="auto" w:sz="4" w:space="0"/>
              <w:right w:val="single" w:color="auto" w:sz="4" w:space="0"/>
            </w:tcBorders>
            <w:noWrap w:val="0"/>
            <w:vAlign w:val="center"/>
          </w:tcPr>
          <w:p w14:paraId="1B193146">
            <w:pPr>
              <w:ind w:firstLine="420"/>
              <w:jc w:val="center"/>
              <w:rPr>
                <w:rFonts w:ascii="宋体" w:hAnsi="宋体" w:cs="宋体"/>
                <w:color w:val="auto"/>
                <w:sz w:val="21"/>
                <w:szCs w:val="21"/>
              </w:rPr>
            </w:pPr>
            <w:r>
              <w:rPr>
                <w:rFonts w:hint="eastAsia" w:ascii="宋体" w:hAnsi="宋体" w:cs="宋体"/>
                <w:color w:val="auto"/>
                <w:sz w:val="21"/>
                <w:szCs w:val="21"/>
              </w:rPr>
              <w:t>13线路绝缘</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0CD7C9D">
            <w:pPr>
              <w:ind w:firstLine="420"/>
              <w:rPr>
                <w:rFonts w:hint="eastAsia" w:ascii="宋体" w:hAnsi="宋体" w:cs="宋体"/>
                <w:color w:val="auto"/>
                <w:spacing w:val="-4"/>
                <w:sz w:val="21"/>
                <w:szCs w:val="21"/>
              </w:rPr>
            </w:pPr>
            <w:r>
              <w:rPr>
                <w:rFonts w:hint="eastAsia" w:ascii="宋体" w:hAnsi="宋体" w:cs="宋体"/>
                <w:color w:val="auto"/>
                <w:sz w:val="21"/>
                <w:szCs w:val="21"/>
              </w:rPr>
              <w:t>额定电压不大于500V时，电气线路对地的绝缘电阻，一般环境中不低于0.8MΩ，潮湿环境中不低于0.4MΩ。</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4CE514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A273507">
            <w:pPr>
              <w:ind w:firstLine="422"/>
              <w:jc w:val="center"/>
              <w:rPr>
                <w:rFonts w:hint="eastAsia" w:ascii="宋体" w:hAnsi="宋体" w:cs="宋体"/>
                <w:b/>
                <w:bCs/>
                <w:snapToGrid w:val="0"/>
                <w:color w:val="auto"/>
                <w:sz w:val="21"/>
                <w:szCs w:val="21"/>
              </w:rPr>
            </w:pPr>
          </w:p>
        </w:tc>
      </w:tr>
      <w:tr w14:paraId="35D7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2443441">
            <w:pPr>
              <w:ind w:firstLine="422"/>
              <w:jc w:val="center"/>
              <w:rPr>
                <w:rFonts w:ascii="宋体" w:hAnsi="宋体" w:cs="宋体"/>
                <w:b/>
                <w:bCs/>
                <w:color w:val="auto"/>
                <w:sz w:val="21"/>
                <w:szCs w:val="21"/>
              </w:rPr>
            </w:pPr>
            <w:r>
              <w:rPr>
                <w:rFonts w:hint="eastAsia" w:ascii="宋体" w:hAnsi="宋体" w:cs="宋体"/>
                <w:b/>
                <w:bCs/>
                <w:color w:val="auto"/>
                <w:sz w:val="21"/>
                <w:szCs w:val="21"/>
              </w:rPr>
              <w:t>36</w:t>
            </w:r>
          </w:p>
        </w:tc>
        <w:tc>
          <w:tcPr>
            <w:tcW w:w="854" w:type="dxa"/>
            <w:tcBorders>
              <w:left w:val="single" w:color="auto" w:sz="4" w:space="0"/>
              <w:bottom w:val="single" w:color="auto" w:sz="4" w:space="0"/>
              <w:right w:val="single" w:color="auto" w:sz="4" w:space="0"/>
            </w:tcBorders>
            <w:noWrap w:val="0"/>
            <w:vAlign w:val="center"/>
          </w:tcPr>
          <w:p w14:paraId="752945BA">
            <w:pPr>
              <w:ind w:firstLine="420"/>
              <w:jc w:val="center"/>
              <w:rPr>
                <w:rFonts w:hint="eastAsia" w:ascii="宋体" w:hAnsi="宋体" w:cs="宋体"/>
                <w:color w:val="auto"/>
                <w:sz w:val="21"/>
                <w:szCs w:val="21"/>
              </w:rPr>
            </w:pPr>
            <w:r>
              <w:rPr>
                <w:rFonts w:hint="eastAsia" w:ascii="宋体" w:hAnsi="宋体" w:cs="宋体"/>
                <w:color w:val="auto"/>
                <w:sz w:val="21"/>
                <w:szCs w:val="21"/>
              </w:rPr>
              <w:t>14</w:t>
            </w:r>
          </w:p>
          <w:p w14:paraId="47084815">
            <w:pPr>
              <w:ind w:firstLine="420"/>
              <w:jc w:val="center"/>
              <w:rPr>
                <w:rFonts w:hint="eastAsia" w:ascii="宋体" w:hAnsi="宋体" w:cs="宋体"/>
                <w:color w:val="auto"/>
                <w:sz w:val="21"/>
                <w:szCs w:val="21"/>
              </w:rPr>
            </w:pPr>
            <w:r>
              <w:rPr>
                <w:rFonts w:hint="eastAsia" w:ascii="宋体" w:hAnsi="宋体" w:cs="宋体"/>
                <w:color w:val="auto"/>
                <w:sz w:val="21"/>
                <w:szCs w:val="21"/>
              </w:rPr>
              <w:t>照</w:t>
            </w:r>
          </w:p>
          <w:p w14:paraId="2E064642">
            <w:pPr>
              <w:ind w:firstLine="420"/>
              <w:jc w:val="center"/>
              <w:rPr>
                <w:rFonts w:hint="eastAsia" w:ascii="宋体" w:hAnsi="宋体" w:cs="宋体"/>
                <w:color w:val="auto"/>
                <w:sz w:val="21"/>
                <w:szCs w:val="21"/>
              </w:rPr>
            </w:pPr>
            <w:r>
              <w:rPr>
                <w:rFonts w:hint="eastAsia" w:ascii="宋体" w:hAnsi="宋体" w:cs="宋体"/>
                <w:color w:val="auto"/>
                <w:sz w:val="21"/>
                <w:szCs w:val="21"/>
              </w:rPr>
              <w:t>明</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9B20D75">
            <w:pPr>
              <w:ind w:firstLine="412"/>
              <w:rPr>
                <w:rFonts w:hint="eastAsia" w:ascii="宋体" w:hAnsi="宋体" w:cs="宋体"/>
                <w:color w:val="auto"/>
                <w:spacing w:val="-4"/>
                <w:sz w:val="21"/>
                <w:szCs w:val="21"/>
              </w:rPr>
            </w:pPr>
            <w:r>
              <w:rPr>
                <w:rFonts w:hint="eastAsia" w:ascii="宋体" w:hAnsi="宋体" w:cs="宋体"/>
                <w:color w:val="auto"/>
                <w:spacing w:val="-2"/>
                <w:sz w:val="21"/>
                <w:szCs w:val="21"/>
              </w:rPr>
              <w:t>起重机的司机室应有合适的照明。照明应设专用电路，与动力电源分开设置，当动力电源切断时照明电源不能失电。起重机上宜设对作业面的照明，并应尽量考虑防震措施。固定式照明电源电压不得大于220V。无专用工作零线时，照明用220V交流电源应由隔离变压器获得，严禁采用起重机本体金属结构做照明电源回路。可移动式照明的电源电压不应超过36V，交流供电应使用安全隔离变压器，禁止用自藕变压器直接供电。</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E225772">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7DD67FE">
            <w:pPr>
              <w:ind w:firstLine="422"/>
              <w:jc w:val="center"/>
              <w:rPr>
                <w:rFonts w:hint="eastAsia" w:ascii="宋体" w:hAnsi="宋体" w:cs="宋体"/>
                <w:b/>
                <w:bCs/>
                <w:snapToGrid w:val="0"/>
                <w:color w:val="auto"/>
                <w:sz w:val="21"/>
                <w:szCs w:val="21"/>
              </w:rPr>
            </w:pPr>
          </w:p>
        </w:tc>
      </w:tr>
      <w:tr w14:paraId="254E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968A126">
            <w:pPr>
              <w:ind w:firstLine="422"/>
              <w:jc w:val="center"/>
              <w:rPr>
                <w:rFonts w:ascii="宋体" w:hAnsi="宋体" w:cs="宋体"/>
                <w:b/>
                <w:bCs/>
                <w:color w:val="auto"/>
                <w:sz w:val="21"/>
                <w:szCs w:val="21"/>
              </w:rPr>
            </w:pPr>
            <w:r>
              <w:rPr>
                <w:rFonts w:hint="eastAsia" w:ascii="宋体" w:hAnsi="宋体" w:cs="宋体"/>
                <w:b/>
                <w:bCs/>
                <w:color w:val="auto"/>
                <w:sz w:val="21"/>
                <w:szCs w:val="21"/>
              </w:rPr>
              <w:t>37</w:t>
            </w:r>
          </w:p>
        </w:tc>
        <w:tc>
          <w:tcPr>
            <w:tcW w:w="854" w:type="dxa"/>
            <w:vMerge w:val="restart"/>
            <w:tcBorders>
              <w:left w:val="single" w:color="auto" w:sz="4" w:space="0"/>
              <w:right w:val="single" w:color="auto" w:sz="4" w:space="0"/>
            </w:tcBorders>
            <w:noWrap w:val="0"/>
            <w:vAlign w:val="center"/>
          </w:tcPr>
          <w:p w14:paraId="43896C52">
            <w:pPr>
              <w:ind w:firstLine="420"/>
              <w:jc w:val="center"/>
              <w:rPr>
                <w:rFonts w:hint="eastAsia" w:ascii="宋体" w:hAnsi="宋体" w:cs="宋体"/>
                <w:color w:val="auto"/>
                <w:sz w:val="21"/>
                <w:szCs w:val="21"/>
              </w:rPr>
            </w:pPr>
            <w:r>
              <w:rPr>
                <w:rFonts w:hint="eastAsia" w:ascii="宋体" w:hAnsi="宋体" w:cs="宋体"/>
                <w:color w:val="auto"/>
                <w:sz w:val="21"/>
                <w:szCs w:val="21"/>
              </w:rPr>
              <w:t>15</w:t>
            </w:r>
          </w:p>
          <w:p w14:paraId="4C0A6502">
            <w:pPr>
              <w:ind w:firstLine="420"/>
              <w:jc w:val="center"/>
              <w:rPr>
                <w:rFonts w:hint="eastAsia" w:ascii="宋体" w:hAnsi="宋体" w:cs="宋体"/>
                <w:color w:val="auto"/>
                <w:sz w:val="21"/>
                <w:szCs w:val="21"/>
              </w:rPr>
            </w:pPr>
            <w:r>
              <w:rPr>
                <w:rFonts w:hint="eastAsia" w:ascii="宋体" w:hAnsi="宋体" w:cs="宋体"/>
                <w:color w:val="auto"/>
                <w:sz w:val="21"/>
                <w:szCs w:val="21"/>
              </w:rPr>
              <w:t>配</w:t>
            </w:r>
          </w:p>
          <w:p w14:paraId="4544BC79">
            <w:pPr>
              <w:ind w:firstLine="420"/>
              <w:jc w:val="center"/>
              <w:rPr>
                <w:rFonts w:ascii="宋体" w:hAnsi="宋体" w:cs="宋体"/>
                <w:color w:val="auto"/>
                <w:sz w:val="21"/>
                <w:szCs w:val="21"/>
              </w:rPr>
            </w:pPr>
            <w:r>
              <w:rPr>
                <w:rFonts w:hint="eastAsia" w:ascii="宋体" w:hAnsi="宋体" w:cs="宋体"/>
                <w:color w:val="auto"/>
                <w:sz w:val="21"/>
                <w:szCs w:val="21"/>
              </w:rPr>
              <w:t>线</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4A6D4A6">
            <w:pPr>
              <w:ind w:firstLine="420"/>
              <w:rPr>
                <w:rFonts w:hint="eastAsia" w:ascii="宋体" w:hAnsi="宋体" w:cs="宋体"/>
                <w:color w:val="auto"/>
                <w:spacing w:val="-12"/>
                <w:sz w:val="21"/>
                <w:szCs w:val="21"/>
              </w:rPr>
            </w:pPr>
            <w:r>
              <w:rPr>
                <w:rFonts w:hint="eastAsia" w:ascii="宋体" w:hAnsi="宋体" w:cs="宋体"/>
                <w:color w:val="auto"/>
                <w:sz w:val="21"/>
                <w:szCs w:val="21"/>
              </w:rPr>
              <w:t>电线和电缆应采用铜芯多股线，在有机械损伤或油污侵蚀、化学腐蚀的场合，电线或电缆必须有防护措施或穿管保护，穿钢管应加保护电缆的护口。</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1D9E2C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208093B">
            <w:pPr>
              <w:ind w:firstLine="422"/>
              <w:jc w:val="center"/>
              <w:rPr>
                <w:rFonts w:hint="eastAsia" w:ascii="宋体" w:hAnsi="宋体" w:cs="宋体"/>
                <w:b/>
                <w:bCs/>
                <w:snapToGrid w:val="0"/>
                <w:color w:val="auto"/>
                <w:sz w:val="21"/>
                <w:szCs w:val="21"/>
              </w:rPr>
            </w:pPr>
          </w:p>
        </w:tc>
      </w:tr>
      <w:tr w14:paraId="3C30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977342B">
            <w:pPr>
              <w:ind w:firstLine="422"/>
              <w:jc w:val="center"/>
              <w:rPr>
                <w:rFonts w:ascii="宋体" w:hAnsi="宋体" w:cs="宋体"/>
                <w:b/>
                <w:bCs/>
                <w:color w:val="auto"/>
                <w:sz w:val="21"/>
                <w:szCs w:val="21"/>
              </w:rPr>
            </w:pPr>
            <w:r>
              <w:rPr>
                <w:rFonts w:hint="eastAsia" w:ascii="宋体" w:hAnsi="宋体" w:cs="宋体"/>
                <w:b/>
                <w:bCs/>
                <w:color w:val="auto"/>
                <w:sz w:val="21"/>
                <w:szCs w:val="21"/>
              </w:rPr>
              <w:t>38</w:t>
            </w:r>
          </w:p>
        </w:tc>
        <w:tc>
          <w:tcPr>
            <w:tcW w:w="854" w:type="dxa"/>
            <w:vMerge w:val="continue"/>
            <w:tcBorders>
              <w:left w:val="single" w:color="auto" w:sz="4" w:space="0"/>
              <w:right w:val="single" w:color="auto" w:sz="4" w:space="0"/>
            </w:tcBorders>
            <w:noWrap w:val="0"/>
            <w:vAlign w:val="center"/>
          </w:tcPr>
          <w:p w14:paraId="0031C1D2">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29E871E">
            <w:pPr>
              <w:ind w:firstLine="420"/>
              <w:rPr>
                <w:rFonts w:hint="eastAsia" w:ascii="宋体" w:hAnsi="宋体" w:cs="宋体"/>
                <w:color w:val="auto"/>
                <w:spacing w:val="-12"/>
                <w:sz w:val="21"/>
                <w:szCs w:val="21"/>
              </w:rPr>
            </w:pPr>
            <w:r>
              <w:rPr>
                <w:rFonts w:hint="eastAsia" w:ascii="宋体" w:hAnsi="宋体" w:cs="宋体"/>
                <w:color w:val="auto"/>
                <w:sz w:val="21"/>
                <w:szCs w:val="21"/>
              </w:rPr>
              <w:t>各机构应分别布线，避免互相干扰，接线端口应分开连接。</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2A2E6F9D">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5369A3A">
            <w:pPr>
              <w:ind w:firstLine="422"/>
              <w:jc w:val="center"/>
              <w:rPr>
                <w:rFonts w:hint="eastAsia" w:ascii="宋体" w:hAnsi="宋体" w:cs="宋体"/>
                <w:b/>
                <w:bCs/>
                <w:snapToGrid w:val="0"/>
                <w:color w:val="auto"/>
                <w:sz w:val="21"/>
                <w:szCs w:val="21"/>
              </w:rPr>
            </w:pPr>
          </w:p>
        </w:tc>
      </w:tr>
      <w:tr w14:paraId="4A6B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0DB1C7A">
            <w:pPr>
              <w:ind w:firstLine="422"/>
              <w:jc w:val="center"/>
              <w:rPr>
                <w:rFonts w:ascii="宋体" w:hAnsi="宋体" w:cs="宋体"/>
                <w:b/>
                <w:bCs/>
                <w:color w:val="auto"/>
                <w:sz w:val="21"/>
                <w:szCs w:val="21"/>
              </w:rPr>
            </w:pPr>
            <w:r>
              <w:rPr>
                <w:rFonts w:hint="eastAsia" w:ascii="宋体" w:hAnsi="宋体" w:cs="宋体"/>
                <w:b/>
                <w:bCs/>
                <w:color w:val="auto"/>
                <w:sz w:val="21"/>
                <w:szCs w:val="21"/>
              </w:rPr>
              <w:t>39</w:t>
            </w:r>
          </w:p>
        </w:tc>
        <w:tc>
          <w:tcPr>
            <w:tcW w:w="854" w:type="dxa"/>
            <w:vMerge w:val="continue"/>
            <w:tcBorders>
              <w:left w:val="single" w:color="auto" w:sz="4" w:space="0"/>
              <w:bottom w:val="single" w:color="auto" w:sz="4" w:space="0"/>
              <w:right w:val="single" w:color="auto" w:sz="4" w:space="0"/>
            </w:tcBorders>
            <w:noWrap w:val="0"/>
            <w:vAlign w:val="center"/>
          </w:tcPr>
          <w:p w14:paraId="4C24ADB7">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26E1788">
            <w:pPr>
              <w:ind w:firstLine="420"/>
              <w:rPr>
                <w:rFonts w:hint="eastAsia" w:ascii="宋体" w:hAnsi="宋体" w:cs="宋体"/>
                <w:color w:val="auto"/>
                <w:spacing w:val="-12"/>
                <w:sz w:val="21"/>
                <w:szCs w:val="21"/>
              </w:rPr>
            </w:pPr>
            <w:r>
              <w:rPr>
                <w:rFonts w:hint="eastAsia" w:ascii="宋体" w:hAnsi="宋体" w:cs="宋体"/>
                <w:color w:val="auto"/>
                <w:sz w:val="21"/>
                <w:szCs w:val="21"/>
              </w:rPr>
              <w:t>各机构电动机必须独立配线，不得用公共回路。</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3B0FF9A">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3616A7A">
            <w:pPr>
              <w:ind w:firstLine="422"/>
              <w:jc w:val="center"/>
              <w:rPr>
                <w:rFonts w:hint="eastAsia" w:ascii="宋体" w:hAnsi="宋体" w:cs="宋体"/>
                <w:b/>
                <w:bCs/>
                <w:snapToGrid w:val="0"/>
                <w:color w:val="auto"/>
                <w:sz w:val="21"/>
                <w:szCs w:val="21"/>
              </w:rPr>
            </w:pPr>
          </w:p>
        </w:tc>
      </w:tr>
      <w:tr w14:paraId="24BA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C02EE88">
            <w:pPr>
              <w:ind w:firstLine="422"/>
              <w:jc w:val="center"/>
              <w:rPr>
                <w:rFonts w:ascii="宋体" w:hAnsi="宋体" w:cs="宋体"/>
                <w:b/>
                <w:bCs/>
                <w:color w:val="auto"/>
                <w:sz w:val="21"/>
                <w:szCs w:val="21"/>
              </w:rPr>
            </w:pPr>
            <w:r>
              <w:rPr>
                <w:rFonts w:hint="eastAsia" w:ascii="宋体" w:hAnsi="宋体" w:cs="宋体"/>
                <w:b/>
                <w:bCs/>
                <w:color w:val="auto"/>
                <w:sz w:val="21"/>
                <w:szCs w:val="21"/>
              </w:rPr>
              <w:t>40</w:t>
            </w:r>
          </w:p>
        </w:tc>
        <w:tc>
          <w:tcPr>
            <w:tcW w:w="854" w:type="dxa"/>
            <w:vMerge w:val="restart"/>
            <w:tcBorders>
              <w:left w:val="single" w:color="auto" w:sz="4" w:space="0"/>
              <w:right w:val="single" w:color="auto" w:sz="4" w:space="0"/>
            </w:tcBorders>
            <w:noWrap w:val="0"/>
            <w:vAlign w:val="center"/>
          </w:tcPr>
          <w:p w14:paraId="1C3ADAC4">
            <w:pPr>
              <w:ind w:firstLine="420"/>
              <w:jc w:val="center"/>
              <w:rPr>
                <w:rFonts w:ascii="宋体" w:hAnsi="宋体" w:cs="宋体"/>
                <w:color w:val="auto"/>
                <w:sz w:val="21"/>
                <w:szCs w:val="21"/>
              </w:rPr>
            </w:pPr>
            <w:r>
              <w:rPr>
                <w:rFonts w:hint="eastAsia" w:ascii="宋体" w:hAnsi="宋体" w:cs="宋体"/>
                <w:color w:val="auto"/>
                <w:sz w:val="21"/>
                <w:szCs w:val="21"/>
              </w:rPr>
              <w:t>16接地和防雷</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4171FFE">
            <w:pPr>
              <w:ind w:firstLine="412"/>
              <w:rPr>
                <w:rFonts w:hint="eastAsia" w:ascii="宋体" w:hAnsi="宋体" w:cs="宋体"/>
                <w:color w:val="auto"/>
                <w:spacing w:val="-4"/>
                <w:sz w:val="21"/>
                <w:szCs w:val="21"/>
              </w:rPr>
            </w:pPr>
            <w:r>
              <w:rPr>
                <w:rFonts w:hint="eastAsia" w:ascii="宋体" w:hAnsi="宋体" w:cs="宋体"/>
                <w:color w:val="auto"/>
                <w:spacing w:val="-2"/>
                <w:sz w:val="21"/>
                <w:szCs w:val="21"/>
              </w:rPr>
              <w:t>起重机所有的电气设备正常不带电的金属外壳必须可靠接地或接零；可开启的控制柜塔必须以软导线与接地金属构件可靠地连接。</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085865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778AFEE">
            <w:pPr>
              <w:ind w:firstLine="422"/>
              <w:jc w:val="center"/>
              <w:rPr>
                <w:rFonts w:hint="eastAsia" w:ascii="宋体" w:hAnsi="宋体" w:cs="宋体"/>
                <w:b/>
                <w:bCs/>
                <w:snapToGrid w:val="0"/>
                <w:color w:val="auto"/>
                <w:sz w:val="21"/>
                <w:szCs w:val="21"/>
              </w:rPr>
            </w:pPr>
          </w:p>
        </w:tc>
      </w:tr>
      <w:tr w14:paraId="03C9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B4C72F4">
            <w:pPr>
              <w:ind w:firstLine="422"/>
              <w:jc w:val="center"/>
              <w:rPr>
                <w:rFonts w:ascii="宋体" w:hAnsi="宋体" w:cs="宋体"/>
                <w:b/>
                <w:bCs/>
                <w:color w:val="auto"/>
                <w:sz w:val="21"/>
                <w:szCs w:val="21"/>
              </w:rPr>
            </w:pPr>
            <w:r>
              <w:rPr>
                <w:rFonts w:hint="eastAsia" w:ascii="宋体" w:hAnsi="宋体" w:cs="宋体"/>
                <w:b/>
                <w:bCs/>
                <w:color w:val="auto"/>
                <w:sz w:val="21"/>
                <w:szCs w:val="21"/>
              </w:rPr>
              <w:t>41</w:t>
            </w:r>
          </w:p>
        </w:tc>
        <w:tc>
          <w:tcPr>
            <w:tcW w:w="854" w:type="dxa"/>
            <w:vMerge w:val="continue"/>
            <w:tcBorders>
              <w:left w:val="single" w:color="auto" w:sz="4" w:space="0"/>
              <w:right w:val="single" w:color="auto" w:sz="4" w:space="0"/>
            </w:tcBorders>
            <w:noWrap w:val="0"/>
            <w:vAlign w:val="center"/>
          </w:tcPr>
          <w:p w14:paraId="6A486AF9">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8854A05">
            <w:pPr>
              <w:ind w:firstLine="420"/>
              <w:rPr>
                <w:rFonts w:hint="eastAsia" w:ascii="宋体" w:hAnsi="宋体" w:cs="宋体"/>
                <w:color w:val="auto"/>
                <w:spacing w:val="-4"/>
                <w:sz w:val="21"/>
                <w:szCs w:val="21"/>
              </w:rPr>
            </w:pPr>
            <w:r>
              <w:rPr>
                <w:rFonts w:hint="eastAsia" w:ascii="宋体" w:hAnsi="宋体" w:cs="宋体"/>
                <w:color w:val="auto"/>
                <w:sz w:val="21"/>
                <w:szCs w:val="21"/>
              </w:rPr>
              <w:t>具备整体金属结构的部分，其金属结构可用作接地干线；在金属结构非焊接处较多的部位，应设接地干线。</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9E1691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60167B6">
            <w:pPr>
              <w:ind w:firstLine="422"/>
              <w:jc w:val="center"/>
              <w:rPr>
                <w:rFonts w:hint="eastAsia" w:ascii="宋体" w:hAnsi="宋体" w:cs="宋体"/>
                <w:b/>
                <w:bCs/>
                <w:snapToGrid w:val="0"/>
                <w:color w:val="auto"/>
                <w:sz w:val="21"/>
                <w:szCs w:val="21"/>
              </w:rPr>
            </w:pPr>
          </w:p>
        </w:tc>
      </w:tr>
      <w:tr w14:paraId="5CE4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5C1E08A">
            <w:pPr>
              <w:ind w:firstLine="422"/>
              <w:jc w:val="center"/>
              <w:rPr>
                <w:rFonts w:ascii="宋体" w:hAnsi="宋体" w:cs="宋体"/>
                <w:b/>
                <w:bCs/>
                <w:color w:val="auto"/>
                <w:sz w:val="21"/>
                <w:szCs w:val="21"/>
              </w:rPr>
            </w:pPr>
            <w:r>
              <w:rPr>
                <w:rFonts w:hint="eastAsia" w:ascii="宋体" w:hAnsi="宋体" w:cs="宋体"/>
                <w:b/>
                <w:bCs/>
                <w:color w:val="auto"/>
                <w:sz w:val="21"/>
                <w:szCs w:val="21"/>
              </w:rPr>
              <w:t>42</w:t>
            </w:r>
          </w:p>
        </w:tc>
        <w:tc>
          <w:tcPr>
            <w:tcW w:w="854" w:type="dxa"/>
            <w:vMerge w:val="continue"/>
            <w:tcBorders>
              <w:left w:val="single" w:color="auto" w:sz="4" w:space="0"/>
              <w:right w:val="single" w:color="auto" w:sz="4" w:space="0"/>
            </w:tcBorders>
            <w:noWrap w:val="0"/>
            <w:vAlign w:val="center"/>
          </w:tcPr>
          <w:p w14:paraId="7FF81C01">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A6925DB">
            <w:pPr>
              <w:ind w:firstLine="420"/>
              <w:rPr>
                <w:rFonts w:hint="eastAsia" w:ascii="宋体" w:hAnsi="宋体" w:cs="宋体"/>
                <w:color w:val="auto"/>
                <w:spacing w:val="-4"/>
                <w:sz w:val="21"/>
                <w:szCs w:val="21"/>
              </w:rPr>
            </w:pPr>
            <w:r>
              <w:rPr>
                <w:rFonts w:hint="eastAsia" w:ascii="宋体" w:hAnsi="宋体" w:cs="宋体"/>
                <w:color w:val="auto"/>
                <w:sz w:val="21"/>
                <w:szCs w:val="21"/>
              </w:rPr>
              <w:t>接地线与零线应分开。</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D47734B">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1C49B3A">
            <w:pPr>
              <w:ind w:firstLine="422"/>
              <w:jc w:val="center"/>
              <w:rPr>
                <w:rFonts w:hint="eastAsia" w:ascii="宋体" w:hAnsi="宋体" w:cs="宋体"/>
                <w:b/>
                <w:bCs/>
                <w:snapToGrid w:val="0"/>
                <w:color w:val="auto"/>
                <w:sz w:val="21"/>
                <w:szCs w:val="21"/>
              </w:rPr>
            </w:pPr>
          </w:p>
        </w:tc>
      </w:tr>
      <w:tr w14:paraId="0BD2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7B07CCA">
            <w:pPr>
              <w:ind w:firstLine="422"/>
              <w:jc w:val="center"/>
              <w:rPr>
                <w:rFonts w:ascii="宋体" w:hAnsi="宋体" w:cs="宋体"/>
                <w:b/>
                <w:bCs/>
                <w:color w:val="auto"/>
                <w:sz w:val="21"/>
                <w:szCs w:val="21"/>
              </w:rPr>
            </w:pPr>
            <w:r>
              <w:rPr>
                <w:rFonts w:hint="eastAsia" w:ascii="宋体" w:hAnsi="宋体" w:cs="宋体"/>
                <w:b/>
                <w:bCs/>
                <w:color w:val="auto"/>
                <w:sz w:val="21"/>
                <w:szCs w:val="21"/>
              </w:rPr>
              <w:t>43</w:t>
            </w:r>
          </w:p>
        </w:tc>
        <w:tc>
          <w:tcPr>
            <w:tcW w:w="854" w:type="dxa"/>
            <w:vMerge w:val="continue"/>
            <w:tcBorders>
              <w:left w:val="single" w:color="auto" w:sz="4" w:space="0"/>
              <w:right w:val="single" w:color="auto" w:sz="4" w:space="0"/>
            </w:tcBorders>
            <w:noWrap w:val="0"/>
            <w:vAlign w:val="center"/>
          </w:tcPr>
          <w:p w14:paraId="68F079C0">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8D7B49B">
            <w:pPr>
              <w:ind w:firstLine="420"/>
              <w:rPr>
                <w:rFonts w:hint="eastAsia" w:ascii="宋体" w:hAnsi="宋体" w:cs="宋体"/>
                <w:color w:val="auto"/>
                <w:spacing w:val="-4"/>
                <w:sz w:val="21"/>
                <w:szCs w:val="21"/>
              </w:rPr>
            </w:pPr>
            <w:r>
              <w:rPr>
                <w:rFonts w:hint="eastAsia" w:ascii="宋体" w:hAnsi="宋体" w:cs="宋体"/>
                <w:color w:val="auto"/>
                <w:sz w:val="21"/>
                <w:szCs w:val="21"/>
              </w:rPr>
              <w:t>接地电阻应小于4Ω，整机接地电阻应小于10Ω</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892FFE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996C417">
            <w:pPr>
              <w:ind w:firstLine="422"/>
              <w:jc w:val="center"/>
              <w:rPr>
                <w:rFonts w:hint="eastAsia" w:ascii="宋体" w:hAnsi="宋体" w:cs="宋体"/>
                <w:b/>
                <w:bCs/>
                <w:snapToGrid w:val="0"/>
                <w:color w:val="auto"/>
                <w:sz w:val="21"/>
                <w:szCs w:val="21"/>
              </w:rPr>
            </w:pPr>
          </w:p>
        </w:tc>
      </w:tr>
      <w:tr w14:paraId="19A86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E99725C">
            <w:pPr>
              <w:ind w:firstLine="422"/>
              <w:jc w:val="center"/>
              <w:rPr>
                <w:rFonts w:ascii="宋体" w:hAnsi="宋体" w:cs="宋体"/>
                <w:b/>
                <w:bCs/>
                <w:color w:val="auto"/>
                <w:sz w:val="21"/>
                <w:szCs w:val="21"/>
              </w:rPr>
            </w:pPr>
            <w:r>
              <w:rPr>
                <w:rFonts w:hint="eastAsia" w:ascii="宋体" w:hAnsi="宋体" w:cs="宋体"/>
                <w:b/>
                <w:bCs/>
                <w:color w:val="auto"/>
                <w:sz w:val="21"/>
                <w:szCs w:val="21"/>
              </w:rPr>
              <w:t>44</w:t>
            </w:r>
          </w:p>
        </w:tc>
        <w:tc>
          <w:tcPr>
            <w:tcW w:w="854" w:type="dxa"/>
            <w:vMerge w:val="restart"/>
            <w:tcBorders>
              <w:left w:val="single" w:color="auto" w:sz="4" w:space="0"/>
              <w:right w:val="single" w:color="auto" w:sz="4" w:space="0"/>
            </w:tcBorders>
            <w:noWrap w:val="0"/>
            <w:vAlign w:val="center"/>
          </w:tcPr>
          <w:p w14:paraId="2BCEF036">
            <w:pPr>
              <w:ind w:firstLine="420"/>
              <w:jc w:val="center"/>
              <w:rPr>
                <w:rFonts w:hint="eastAsia" w:ascii="宋体" w:hAnsi="宋体" w:cs="宋体"/>
                <w:color w:val="auto"/>
                <w:sz w:val="21"/>
                <w:szCs w:val="21"/>
              </w:rPr>
            </w:pPr>
            <w:r>
              <w:rPr>
                <w:rFonts w:hint="eastAsia" w:ascii="宋体" w:hAnsi="宋体" w:cs="宋体"/>
                <w:color w:val="auto"/>
                <w:sz w:val="21"/>
                <w:szCs w:val="21"/>
              </w:rPr>
              <w:t>17</w:t>
            </w:r>
          </w:p>
          <w:p w14:paraId="37ACE950">
            <w:pPr>
              <w:ind w:firstLine="420"/>
              <w:jc w:val="center"/>
              <w:rPr>
                <w:rFonts w:hint="eastAsia" w:ascii="宋体" w:hAnsi="宋体" w:cs="宋体"/>
                <w:color w:val="auto"/>
                <w:sz w:val="21"/>
                <w:szCs w:val="21"/>
              </w:rPr>
            </w:pPr>
            <w:r>
              <w:rPr>
                <w:rFonts w:hint="eastAsia" w:ascii="宋体" w:hAnsi="宋体" w:cs="宋体"/>
                <w:color w:val="auto"/>
                <w:sz w:val="21"/>
                <w:szCs w:val="21"/>
              </w:rPr>
              <w:t>电</w:t>
            </w:r>
          </w:p>
          <w:p w14:paraId="2D1B1F9F">
            <w:pPr>
              <w:ind w:firstLine="420"/>
              <w:jc w:val="center"/>
              <w:rPr>
                <w:rFonts w:hint="eastAsia" w:ascii="宋体" w:hAnsi="宋体" w:cs="宋体"/>
                <w:color w:val="auto"/>
                <w:sz w:val="21"/>
                <w:szCs w:val="21"/>
              </w:rPr>
            </w:pPr>
            <w:r>
              <w:rPr>
                <w:rFonts w:hint="eastAsia" w:ascii="宋体" w:hAnsi="宋体" w:cs="宋体"/>
                <w:color w:val="auto"/>
                <w:sz w:val="21"/>
                <w:szCs w:val="21"/>
              </w:rPr>
              <w:t>气</w:t>
            </w:r>
          </w:p>
          <w:p w14:paraId="5B28EE60">
            <w:pPr>
              <w:ind w:firstLine="420"/>
              <w:jc w:val="center"/>
              <w:rPr>
                <w:rFonts w:hint="eastAsia" w:ascii="宋体" w:hAnsi="宋体" w:cs="宋体"/>
                <w:color w:val="auto"/>
                <w:sz w:val="21"/>
                <w:szCs w:val="21"/>
              </w:rPr>
            </w:pPr>
            <w:r>
              <w:rPr>
                <w:rFonts w:hint="eastAsia" w:ascii="宋体" w:hAnsi="宋体" w:cs="宋体"/>
                <w:color w:val="auto"/>
                <w:sz w:val="21"/>
                <w:szCs w:val="21"/>
              </w:rPr>
              <w:t>保</w:t>
            </w:r>
          </w:p>
          <w:p w14:paraId="3415DD81">
            <w:pPr>
              <w:ind w:firstLine="420"/>
              <w:jc w:val="center"/>
              <w:rPr>
                <w:rFonts w:ascii="宋体" w:hAnsi="宋体" w:cs="宋体"/>
                <w:color w:val="auto"/>
                <w:sz w:val="21"/>
                <w:szCs w:val="21"/>
              </w:rPr>
            </w:pPr>
            <w:r>
              <w:rPr>
                <w:rFonts w:hint="eastAsia" w:ascii="宋体" w:hAnsi="宋体" w:cs="宋体"/>
                <w:color w:val="auto"/>
                <w:sz w:val="21"/>
                <w:szCs w:val="21"/>
              </w:rPr>
              <w:t>护</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8FA15B7">
            <w:pPr>
              <w:ind w:firstLine="420"/>
              <w:rPr>
                <w:rFonts w:ascii="宋体" w:hAnsi="宋体" w:cs="宋体"/>
                <w:color w:val="auto"/>
                <w:sz w:val="21"/>
                <w:szCs w:val="21"/>
              </w:rPr>
            </w:pPr>
            <w:r>
              <w:rPr>
                <w:rFonts w:hint="eastAsia" w:ascii="宋体" w:hAnsi="宋体" w:cs="宋体"/>
                <w:color w:val="auto"/>
                <w:sz w:val="21"/>
                <w:szCs w:val="21"/>
              </w:rPr>
              <w:t>总电源回路的短路保护</w:t>
            </w:r>
          </w:p>
          <w:p w14:paraId="1DE28FDE">
            <w:pPr>
              <w:ind w:firstLine="420"/>
              <w:rPr>
                <w:rFonts w:hint="eastAsia" w:ascii="宋体" w:hAnsi="宋体" w:cs="宋体"/>
                <w:color w:val="auto"/>
                <w:sz w:val="21"/>
                <w:szCs w:val="21"/>
              </w:rPr>
            </w:pPr>
            <w:r>
              <w:rPr>
                <w:rFonts w:hint="eastAsia" w:ascii="宋体" w:hAnsi="宋体" w:cs="宋体"/>
                <w:color w:val="auto"/>
                <w:sz w:val="21"/>
                <w:szCs w:val="21"/>
              </w:rPr>
              <w:t>起重机总电源回路至少应有一级短路保护。短路保护应由自动断路器或熔断器来实现。自动断路器每相均应有瞬时动作的过电流脱扣器，其整定值应随自动开关的型式而定。熔断器熔体的额定电流应按起重机尖峰电流的1/2～1/1.6选取。</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A45EEC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89FBC15">
            <w:pPr>
              <w:ind w:firstLine="422"/>
              <w:jc w:val="center"/>
              <w:rPr>
                <w:rFonts w:hint="eastAsia" w:ascii="宋体" w:hAnsi="宋体" w:cs="宋体"/>
                <w:b/>
                <w:bCs/>
                <w:snapToGrid w:val="0"/>
                <w:color w:val="auto"/>
                <w:sz w:val="21"/>
                <w:szCs w:val="21"/>
              </w:rPr>
            </w:pPr>
          </w:p>
        </w:tc>
      </w:tr>
      <w:tr w14:paraId="4A6F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F908BF8">
            <w:pPr>
              <w:ind w:firstLine="422"/>
              <w:jc w:val="left"/>
              <w:rPr>
                <w:rFonts w:ascii="宋体" w:hAnsi="宋体" w:cs="宋体"/>
                <w:b/>
                <w:bCs/>
                <w:color w:val="auto"/>
                <w:sz w:val="21"/>
                <w:szCs w:val="21"/>
              </w:rPr>
            </w:pPr>
            <w:r>
              <w:rPr>
                <w:rFonts w:ascii="宋体" w:hAnsi="宋体" w:cs="宋体"/>
                <w:b/>
                <w:bCs/>
                <w:color w:val="auto"/>
                <w:sz w:val="21"/>
                <w:szCs w:val="21"/>
              </w:rPr>
              <w:t>55</w:t>
            </w:r>
          </w:p>
        </w:tc>
        <w:tc>
          <w:tcPr>
            <w:tcW w:w="854" w:type="dxa"/>
            <w:vMerge w:val="continue"/>
            <w:tcBorders>
              <w:left w:val="single" w:color="auto" w:sz="4" w:space="0"/>
              <w:right w:val="single" w:color="auto" w:sz="4" w:space="0"/>
            </w:tcBorders>
            <w:noWrap w:val="0"/>
            <w:vAlign w:val="center"/>
          </w:tcPr>
          <w:p w14:paraId="53D29C47">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C5CE65D">
            <w:pPr>
              <w:ind w:firstLine="420"/>
              <w:rPr>
                <w:rFonts w:hint="eastAsia" w:ascii="宋体" w:hAnsi="宋体" w:cs="宋体"/>
                <w:color w:val="auto"/>
                <w:sz w:val="21"/>
                <w:szCs w:val="21"/>
              </w:rPr>
            </w:pPr>
            <w:r>
              <w:rPr>
                <w:rFonts w:hint="eastAsia" w:ascii="宋体" w:hAnsi="宋体" w:cs="宋体"/>
                <w:color w:val="auto"/>
                <w:sz w:val="21"/>
                <w:szCs w:val="21"/>
              </w:rPr>
              <w:t>断错相保护；供电电源应设断错相保护装置。</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64D243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9765087">
            <w:pPr>
              <w:ind w:firstLine="422"/>
              <w:jc w:val="center"/>
              <w:rPr>
                <w:rFonts w:hint="eastAsia" w:ascii="宋体" w:hAnsi="宋体" w:cs="宋体"/>
                <w:b/>
                <w:bCs/>
                <w:snapToGrid w:val="0"/>
                <w:color w:val="auto"/>
                <w:sz w:val="21"/>
                <w:szCs w:val="21"/>
              </w:rPr>
            </w:pPr>
          </w:p>
        </w:tc>
      </w:tr>
      <w:tr w14:paraId="0C0A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D3B6130">
            <w:pPr>
              <w:ind w:firstLine="422"/>
              <w:jc w:val="center"/>
              <w:rPr>
                <w:rFonts w:ascii="宋体" w:hAnsi="宋体" w:cs="宋体"/>
                <w:b/>
                <w:bCs/>
                <w:color w:val="auto"/>
                <w:sz w:val="21"/>
                <w:szCs w:val="21"/>
              </w:rPr>
            </w:pPr>
            <w:r>
              <w:rPr>
                <w:rFonts w:hint="eastAsia" w:ascii="宋体" w:hAnsi="宋体" w:cs="宋体"/>
                <w:b/>
                <w:bCs/>
                <w:color w:val="auto"/>
                <w:sz w:val="21"/>
                <w:szCs w:val="21"/>
              </w:rPr>
              <w:t>46</w:t>
            </w:r>
          </w:p>
        </w:tc>
        <w:tc>
          <w:tcPr>
            <w:tcW w:w="854" w:type="dxa"/>
            <w:vMerge w:val="continue"/>
            <w:tcBorders>
              <w:left w:val="single" w:color="auto" w:sz="4" w:space="0"/>
              <w:right w:val="single" w:color="auto" w:sz="4" w:space="0"/>
            </w:tcBorders>
            <w:noWrap w:val="0"/>
            <w:vAlign w:val="center"/>
          </w:tcPr>
          <w:p w14:paraId="2B6299B8">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F770C05">
            <w:pPr>
              <w:ind w:firstLine="372"/>
              <w:rPr>
                <w:rFonts w:ascii="宋体" w:hAnsi="宋体" w:cs="宋体"/>
                <w:color w:val="auto"/>
                <w:spacing w:val="-12"/>
                <w:sz w:val="21"/>
                <w:szCs w:val="21"/>
              </w:rPr>
            </w:pPr>
            <w:r>
              <w:rPr>
                <w:rFonts w:hint="eastAsia" w:ascii="宋体" w:hAnsi="宋体" w:cs="宋体"/>
                <w:color w:val="auto"/>
                <w:spacing w:val="-12"/>
                <w:sz w:val="21"/>
                <w:szCs w:val="21"/>
              </w:rPr>
              <w:t>机构的过流保护</w:t>
            </w:r>
          </w:p>
          <w:p w14:paraId="53BA5798">
            <w:pPr>
              <w:ind w:firstLine="420"/>
              <w:rPr>
                <w:rFonts w:ascii="宋体" w:hAnsi="宋体" w:cs="宋体"/>
                <w:color w:val="auto"/>
                <w:sz w:val="21"/>
                <w:szCs w:val="21"/>
              </w:rPr>
            </w:pPr>
            <w:r>
              <w:rPr>
                <w:rFonts w:hint="eastAsia" w:ascii="宋体" w:hAnsi="宋体" w:cs="宋体"/>
                <w:color w:val="auto"/>
                <w:sz w:val="21"/>
                <w:szCs w:val="21"/>
              </w:rPr>
              <w:t>起重机上的每个机构均应单独设置过流保护。交流绕线式异步电动机可以采用过电流继电器。笼型交流电动机可采用热继电器或带热脱扣器的自动断路器做过载保护。</w:t>
            </w:r>
          </w:p>
          <w:p w14:paraId="52C83AA1">
            <w:pPr>
              <w:ind w:firstLine="420"/>
              <w:rPr>
                <w:rFonts w:hint="eastAsia" w:ascii="宋体" w:hAnsi="宋体" w:cs="宋体"/>
                <w:color w:val="auto"/>
                <w:spacing w:val="-12"/>
                <w:sz w:val="21"/>
                <w:szCs w:val="21"/>
              </w:rPr>
            </w:pPr>
            <w:r>
              <w:rPr>
                <w:rFonts w:hint="eastAsia" w:ascii="宋体" w:hAnsi="宋体" w:cs="宋体"/>
                <w:color w:val="auto"/>
                <w:sz w:val="21"/>
                <w:szCs w:val="21"/>
              </w:rPr>
              <w:t>采用过电流继电器保护绕线式异步电动机时，在两相中设置的过电流继电器的整定值应不大于电动机额定电流的2.5倍。在第三相中的总过电流继电器的整定值应不大于电动机额定电流的2.25倍加上其余各机构电动机额定电流之和。保护笼型交流电动机的热继电器整定值应不大于电动机额定电流的1.1倍。</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D30A3D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979A27D">
            <w:pPr>
              <w:ind w:firstLine="422"/>
              <w:jc w:val="center"/>
              <w:rPr>
                <w:rFonts w:hint="eastAsia" w:ascii="宋体" w:hAnsi="宋体" w:cs="宋体"/>
                <w:b/>
                <w:bCs/>
                <w:snapToGrid w:val="0"/>
                <w:color w:val="auto"/>
                <w:sz w:val="21"/>
                <w:szCs w:val="21"/>
              </w:rPr>
            </w:pPr>
          </w:p>
        </w:tc>
      </w:tr>
      <w:tr w14:paraId="390B5F28">
        <w:tblPrEx>
          <w:tblCellMar>
            <w:top w:w="0" w:type="dxa"/>
            <w:left w:w="108" w:type="dxa"/>
            <w:bottom w:w="0" w:type="dxa"/>
            <w:right w:w="108" w:type="dxa"/>
          </w:tblCellMar>
        </w:tblPrEx>
        <w:trPr>
          <w:trHeight w:val="1755"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DA47E96">
            <w:pPr>
              <w:ind w:firstLine="422"/>
              <w:jc w:val="center"/>
              <w:rPr>
                <w:rFonts w:ascii="宋体" w:hAnsi="宋体" w:cs="宋体"/>
                <w:b/>
                <w:bCs/>
                <w:color w:val="auto"/>
                <w:sz w:val="21"/>
                <w:szCs w:val="21"/>
              </w:rPr>
            </w:pPr>
            <w:r>
              <w:rPr>
                <w:rFonts w:hint="eastAsia" w:ascii="宋体" w:hAnsi="宋体" w:cs="宋体"/>
                <w:b/>
                <w:bCs/>
                <w:color w:val="auto"/>
                <w:sz w:val="21"/>
                <w:szCs w:val="21"/>
              </w:rPr>
              <w:t>47</w:t>
            </w:r>
          </w:p>
        </w:tc>
        <w:tc>
          <w:tcPr>
            <w:tcW w:w="854" w:type="dxa"/>
            <w:vMerge w:val="continue"/>
            <w:tcBorders>
              <w:left w:val="single" w:color="auto" w:sz="4" w:space="0"/>
              <w:right w:val="single" w:color="auto" w:sz="4" w:space="0"/>
            </w:tcBorders>
            <w:noWrap w:val="0"/>
            <w:vAlign w:val="center"/>
          </w:tcPr>
          <w:p w14:paraId="3E8EBC94">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E981496">
            <w:pPr>
              <w:ind w:firstLine="420"/>
              <w:rPr>
                <w:rFonts w:ascii="宋体" w:hAnsi="宋体" w:cs="宋体"/>
                <w:color w:val="auto"/>
                <w:spacing w:val="-12"/>
                <w:sz w:val="21"/>
                <w:szCs w:val="21"/>
              </w:rPr>
            </w:pPr>
            <w:r>
              <w:rPr>
                <w:rFonts w:hint="eastAsia" w:ascii="宋体" w:hAnsi="宋体" w:cs="宋体"/>
                <w:color w:val="auto"/>
                <w:sz w:val="21"/>
                <w:szCs w:val="21"/>
              </w:rPr>
              <w:t>失压保护</w:t>
            </w:r>
          </w:p>
          <w:p w14:paraId="5C4B8011">
            <w:pPr>
              <w:ind w:firstLine="420"/>
              <w:rPr>
                <w:rFonts w:hint="eastAsia" w:ascii="宋体" w:hAnsi="宋体" w:cs="宋体"/>
                <w:color w:val="auto"/>
                <w:spacing w:val="-12"/>
                <w:sz w:val="21"/>
                <w:szCs w:val="21"/>
              </w:rPr>
            </w:pPr>
            <w:r>
              <w:rPr>
                <w:rFonts w:hint="eastAsia" w:ascii="宋体" w:hAnsi="宋体" w:cs="宋体"/>
                <w:color w:val="auto"/>
                <w:sz w:val="21"/>
                <w:szCs w:val="21"/>
              </w:rPr>
              <w:t>起重机上总电源应有失压保护。当供电电源中断时，必须能够自动断开总电源回路，恢复供电时，不经手动操作，总电源回路不能自行接通。</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D80E98B">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679E486">
            <w:pPr>
              <w:ind w:firstLine="422"/>
              <w:jc w:val="center"/>
              <w:rPr>
                <w:rFonts w:hint="eastAsia" w:ascii="宋体" w:hAnsi="宋体" w:cs="宋体"/>
                <w:b/>
                <w:bCs/>
                <w:snapToGrid w:val="0"/>
                <w:color w:val="auto"/>
                <w:sz w:val="21"/>
                <w:szCs w:val="21"/>
              </w:rPr>
            </w:pPr>
          </w:p>
        </w:tc>
      </w:tr>
      <w:tr w14:paraId="0EAA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FAC8DCD">
            <w:pPr>
              <w:ind w:firstLine="422"/>
              <w:jc w:val="center"/>
              <w:rPr>
                <w:rFonts w:ascii="宋体" w:hAnsi="宋体" w:cs="宋体"/>
                <w:b/>
                <w:bCs/>
                <w:color w:val="auto"/>
                <w:sz w:val="21"/>
                <w:szCs w:val="21"/>
              </w:rPr>
            </w:pPr>
            <w:r>
              <w:rPr>
                <w:rFonts w:hint="eastAsia" w:ascii="宋体" w:hAnsi="宋体" w:cs="宋体"/>
                <w:b/>
                <w:bCs/>
                <w:color w:val="auto"/>
                <w:sz w:val="21"/>
                <w:szCs w:val="21"/>
              </w:rPr>
              <w:t>48</w:t>
            </w:r>
          </w:p>
        </w:tc>
        <w:tc>
          <w:tcPr>
            <w:tcW w:w="854" w:type="dxa"/>
            <w:vMerge w:val="continue"/>
            <w:tcBorders>
              <w:left w:val="single" w:color="auto" w:sz="4" w:space="0"/>
              <w:right w:val="single" w:color="auto" w:sz="4" w:space="0"/>
            </w:tcBorders>
            <w:noWrap w:val="0"/>
            <w:vAlign w:val="center"/>
          </w:tcPr>
          <w:p w14:paraId="34FEB7FF">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DBD4B99">
            <w:pPr>
              <w:ind w:firstLine="420"/>
              <w:rPr>
                <w:rFonts w:ascii="宋体" w:hAnsi="宋体" w:cs="宋体"/>
                <w:color w:val="auto"/>
                <w:sz w:val="21"/>
                <w:szCs w:val="21"/>
              </w:rPr>
            </w:pPr>
            <w:r>
              <w:rPr>
                <w:rFonts w:hint="eastAsia" w:ascii="宋体" w:hAnsi="宋体" w:cs="宋体"/>
                <w:color w:val="auto"/>
                <w:sz w:val="21"/>
                <w:szCs w:val="21"/>
              </w:rPr>
              <w:t>零位保护</w:t>
            </w:r>
          </w:p>
          <w:p w14:paraId="2016B82F">
            <w:pPr>
              <w:pStyle w:val="17"/>
              <w:ind w:firstLine="420"/>
              <w:rPr>
                <w:rFonts w:hint="eastAsia" w:hAnsi="宋体" w:cs="宋体"/>
                <w:color w:val="auto"/>
                <w:spacing w:val="-12"/>
                <w:sz w:val="21"/>
                <w:szCs w:val="21"/>
              </w:rPr>
            </w:pPr>
            <w:r>
              <w:rPr>
                <w:rFonts w:hint="eastAsia" w:hAnsi="宋体" w:cs="宋体"/>
                <w:color w:val="auto"/>
                <w:sz w:val="21"/>
                <w:szCs w:val="21"/>
              </w:rPr>
              <w:t>起重机必须设有零位保护（机构运行采用按钮控制的除外）。开始运转和失压后恢复供电时，必须先将控制器手柄置于零位后，该机构或所有机构的电动机才能启动。</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206E13F">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AA5AFDD">
            <w:pPr>
              <w:ind w:firstLine="422"/>
              <w:jc w:val="center"/>
              <w:rPr>
                <w:rFonts w:hint="eastAsia" w:ascii="宋体" w:hAnsi="宋体" w:cs="宋体"/>
                <w:b/>
                <w:bCs/>
                <w:snapToGrid w:val="0"/>
                <w:color w:val="auto"/>
                <w:sz w:val="21"/>
                <w:szCs w:val="21"/>
              </w:rPr>
            </w:pPr>
          </w:p>
        </w:tc>
      </w:tr>
      <w:tr w14:paraId="6647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682C18A">
            <w:pPr>
              <w:ind w:firstLine="422"/>
              <w:jc w:val="center"/>
              <w:rPr>
                <w:rFonts w:ascii="宋体" w:hAnsi="宋体" w:cs="宋体"/>
                <w:b/>
                <w:bCs/>
                <w:color w:val="auto"/>
                <w:sz w:val="21"/>
                <w:szCs w:val="21"/>
              </w:rPr>
            </w:pPr>
            <w:r>
              <w:rPr>
                <w:rFonts w:hint="eastAsia" w:ascii="宋体" w:hAnsi="宋体" w:cs="宋体"/>
                <w:b/>
                <w:bCs/>
                <w:color w:val="auto"/>
                <w:sz w:val="21"/>
                <w:szCs w:val="21"/>
              </w:rPr>
              <w:t>49</w:t>
            </w:r>
          </w:p>
        </w:tc>
        <w:tc>
          <w:tcPr>
            <w:tcW w:w="854" w:type="dxa"/>
            <w:vMerge w:val="continue"/>
            <w:tcBorders>
              <w:left w:val="single" w:color="auto" w:sz="4" w:space="0"/>
              <w:right w:val="single" w:color="auto" w:sz="4" w:space="0"/>
            </w:tcBorders>
            <w:noWrap w:val="0"/>
            <w:vAlign w:val="center"/>
          </w:tcPr>
          <w:p w14:paraId="4468C0C8">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83DD600">
            <w:pPr>
              <w:ind w:firstLine="420"/>
              <w:rPr>
                <w:rFonts w:hint="eastAsia" w:ascii="宋体" w:hAnsi="宋体" w:cs="宋体"/>
                <w:color w:val="auto"/>
                <w:spacing w:val="-12"/>
                <w:sz w:val="21"/>
                <w:szCs w:val="21"/>
              </w:rPr>
            </w:pPr>
            <w:r>
              <w:rPr>
                <w:rFonts w:hint="eastAsia" w:ascii="宋体" w:hAnsi="宋体" w:cs="宋体"/>
                <w:color w:val="auto"/>
                <w:sz w:val="21"/>
                <w:szCs w:val="21"/>
              </w:rPr>
              <w:t>超速保护</w:t>
            </w:r>
            <w:r>
              <w:rPr>
                <w:rFonts w:hint="eastAsia" w:ascii="宋体" w:hAnsi="宋体" w:cs="宋体"/>
                <w:color w:val="auto"/>
                <w:spacing w:val="-12"/>
                <w:sz w:val="21"/>
                <w:szCs w:val="21"/>
              </w:rPr>
              <w:t>：</w:t>
            </w:r>
            <w:r>
              <w:rPr>
                <w:rFonts w:hint="eastAsia" w:ascii="宋体" w:hAnsi="宋体" w:cs="宋体"/>
                <w:color w:val="auto"/>
                <w:sz w:val="21"/>
                <w:szCs w:val="21"/>
              </w:rPr>
              <w:t>起升机构和变幅机构，采用可控硅定子调压、涡流制动器、能耗制动、可控硅供电、直流机组供电调速以及其他由于调速可能造成超速时，应有超速保护措施。</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9C2A6B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FBBA129">
            <w:pPr>
              <w:ind w:firstLine="422"/>
              <w:jc w:val="center"/>
              <w:rPr>
                <w:rFonts w:hint="eastAsia" w:ascii="宋体" w:hAnsi="宋体" w:cs="宋体"/>
                <w:b/>
                <w:bCs/>
                <w:snapToGrid w:val="0"/>
                <w:color w:val="auto"/>
                <w:sz w:val="21"/>
                <w:szCs w:val="21"/>
              </w:rPr>
            </w:pPr>
          </w:p>
        </w:tc>
      </w:tr>
      <w:tr w14:paraId="5E75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33B5C86">
            <w:pPr>
              <w:ind w:firstLine="422"/>
              <w:jc w:val="center"/>
              <w:rPr>
                <w:rFonts w:ascii="宋体" w:hAnsi="宋体" w:cs="宋体"/>
                <w:b/>
                <w:bCs/>
                <w:color w:val="auto"/>
                <w:sz w:val="21"/>
                <w:szCs w:val="21"/>
              </w:rPr>
            </w:pPr>
            <w:r>
              <w:rPr>
                <w:rFonts w:hint="eastAsia" w:ascii="宋体" w:hAnsi="宋体" w:cs="宋体"/>
                <w:b/>
                <w:bCs/>
                <w:color w:val="auto"/>
                <w:sz w:val="21"/>
                <w:szCs w:val="21"/>
              </w:rPr>
              <w:t>50</w:t>
            </w:r>
          </w:p>
        </w:tc>
        <w:tc>
          <w:tcPr>
            <w:tcW w:w="854" w:type="dxa"/>
            <w:vMerge w:val="restart"/>
            <w:tcBorders>
              <w:left w:val="single" w:color="auto" w:sz="4" w:space="0"/>
              <w:right w:val="single" w:color="auto" w:sz="4" w:space="0"/>
            </w:tcBorders>
            <w:noWrap w:val="0"/>
            <w:vAlign w:val="center"/>
          </w:tcPr>
          <w:p w14:paraId="56DD9E3A">
            <w:pPr>
              <w:ind w:firstLine="0" w:firstLineChars="0"/>
              <w:jc w:val="center"/>
              <w:rPr>
                <w:rFonts w:ascii="宋体" w:hAnsi="宋体" w:cs="宋体"/>
                <w:color w:val="auto"/>
                <w:sz w:val="21"/>
                <w:szCs w:val="21"/>
              </w:rPr>
            </w:pPr>
            <w:r>
              <w:rPr>
                <w:rFonts w:hint="eastAsia" w:ascii="宋体" w:hAnsi="宋体" w:cs="宋体"/>
                <w:color w:val="auto"/>
                <w:sz w:val="21"/>
                <w:szCs w:val="21"/>
              </w:rPr>
              <w:t>18</w:t>
            </w:r>
          </w:p>
          <w:p w14:paraId="27DFAD22">
            <w:pPr>
              <w:ind w:firstLine="0" w:firstLineChars="0"/>
              <w:jc w:val="center"/>
              <w:rPr>
                <w:rFonts w:ascii="宋体" w:hAnsi="宋体" w:cs="宋体"/>
                <w:color w:val="auto"/>
                <w:sz w:val="21"/>
                <w:szCs w:val="21"/>
              </w:rPr>
            </w:pPr>
            <w:r>
              <w:rPr>
                <w:rFonts w:hint="eastAsia" w:ascii="宋体" w:hAnsi="宋体" w:cs="宋体"/>
                <w:color w:val="auto"/>
                <w:sz w:val="21"/>
                <w:szCs w:val="21"/>
              </w:rPr>
              <w:t>控制器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8D1D736">
            <w:pPr>
              <w:ind w:firstLine="420"/>
              <w:rPr>
                <w:rFonts w:hint="eastAsia" w:ascii="宋体" w:hAnsi="宋体" w:cs="宋体"/>
                <w:color w:val="auto"/>
                <w:spacing w:val="-12"/>
                <w:sz w:val="21"/>
                <w:szCs w:val="21"/>
              </w:rPr>
            </w:pPr>
            <w:r>
              <w:rPr>
                <w:rFonts w:hint="eastAsia" w:ascii="宋体" w:hAnsi="宋体" w:cs="宋体"/>
                <w:color w:val="auto"/>
                <w:sz w:val="21"/>
                <w:szCs w:val="21"/>
              </w:rPr>
              <w:t>各种操纵手柄、开关及信号装置旁有指示标牌；操作手柄动作方向与机构动作方向一致；联动控制台应有零位自锁环节。</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9765B6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7520BAB">
            <w:pPr>
              <w:ind w:firstLine="422"/>
              <w:jc w:val="center"/>
              <w:rPr>
                <w:rFonts w:hint="eastAsia" w:ascii="宋体" w:hAnsi="宋体" w:cs="宋体"/>
                <w:b/>
                <w:bCs/>
                <w:snapToGrid w:val="0"/>
                <w:color w:val="auto"/>
                <w:sz w:val="21"/>
                <w:szCs w:val="21"/>
              </w:rPr>
            </w:pPr>
          </w:p>
        </w:tc>
      </w:tr>
      <w:tr w14:paraId="4C74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9BD25C8">
            <w:pPr>
              <w:ind w:firstLine="422"/>
              <w:jc w:val="center"/>
              <w:rPr>
                <w:rFonts w:ascii="宋体" w:hAnsi="宋体" w:cs="宋体"/>
                <w:b/>
                <w:bCs/>
                <w:color w:val="auto"/>
                <w:sz w:val="21"/>
                <w:szCs w:val="21"/>
              </w:rPr>
            </w:pPr>
            <w:r>
              <w:rPr>
                <w:rFonts w:hint="eastAsia" w:ascii="宋体" w:hAnsi="宋体" w:cs="宋体"/>
                <w:b/>
                <w:bCs/>
                <w:color w:val="auto"/>
                <w:sz w:val="21"/>
                <w:szCs w:val="21"/>
              </w:rPr>
              <w:t>51</w:t>
            </w:r>
          </w:p>
        </w:tc>
        <w:tc>
          <w:tcPr>
            <w:tcW w:w="854" w:type="dxa"/>
            <w:vMerge w:val="continue"/>
            <w:tcBorders>
              <w:left w:val="single" w:color="auto" w:sz="4" w:space="0"/>
              <w:bottom w:val="single" w:color="auto" w:sz="4" w:space="0"/>
              <w:right w:val="single" w:color="auto" w:sz="4" w:space="0"/>
            </w:tcBorders>
            <w:noWrap w:val="0"/>
            <w:vAlign w:val="center"/>
          </w:tcPr>
          <w:p w14:paraId="6863FD5C">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2B22009">
            <w:pPr>
              <w:ind w:firstLine="420"/>
              <w:rPr>
                <w:rFonts w:hint="eastAsia" w:ascii="宋体" w:hAnsi="宋体" w:cs="宋体"/>
                <w:color w:val="auto"/>
                <w:spacing w:val="-12"/>
                <w:sz w:val="21"/>
                <w:szCs w:val="21"/>
              </w:rPr>
            </w:pPr>
            <w:r>
              <w:rPr>
                <w:rFonts w:hint="eastAsia" w:ascii="宋体" w:hAnsi="宋体" w:cs="宋体"/>
                <w:color w:val="auto"/>
                <w:sz w:val="21"/>
                <w:szCs w:val="21"/>
              </w:rPr>
              <w:t>如采用可编程控制器、微型计算机控制的起重机的紧急保护功能与行程终端保护应由硬件完成。</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6E0964F">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E375EC6">
            <w:pPr>
              <w:ind w:firstLine="422"/>
              <w:jc w:val="center"/>
              <w:rPr>
                <w:rFonts w:hint="eastAsia" w:ascii="宋体" w:hAnsi="宋体" w:cs="宋体"/>
                <w:b/>
                <w:bCs/>
                <w:snapToGrid w:val="0"/>
                <w:color w:val="auto"/>
                <w:sz w:val="21"/>
                <w:szCs w:val="21"/>
              </w:rPr>
            </w:pPr>
          </w:p>
        </w:tc>
      </w:tr>
      <w:tr w14:paraId="36B6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2BC548A">
            <w:pPr>
              <w:ind w:firstLine="422"/>
              <w:jc w:val="center"/>
              <w:rPr>
                <w:rFonts w:ascii="宋体" w:hAnsi="宋体" w:cs="宋体"/>
                <w:b/>
                <w:bCs/>
                <w:color w:val="auto"/>
                <w:sz w:val="21"/>
                <w:szCs w:val="21"/>
              </w:rPr>
            </w:pPr>
            <w:r>
              <w:rPr>
                <w:rFonts w:hint="eastAsia" w:ascii="宋体" w:hAnsi="宋体" w:cs="宋体"/>
                <w:b/>
                <w:bCs/>
                <w:color w:val="auto"/>
                <w:sz w:val="21"/>
                <w:szCs w:val="21"/>
              </w:rPr>
              <w:t>52</w:t>
            </w:r>
          </w:p>
        </w:tc>
        <w:tc>
          <w:tcPr>
            <w:tcW w:w="854" w:type="dxa"/>
            <w:vMerge w:val="restart"/>
            <w:tcBorders>
              <w:left w:val="single" w:color="auto" w:sz="4" w:space="0"/>
              <w:right w:val="single" w:color="auto" w:sz="4" w:space="0"/>
            </w:tcBorders>
            <w:noWrap w:val="0"/>
            <w:vAlign w:val="center"/>
          </w:tcPr>
          <w:p w14:paraId="380C4FA6">
            <w:pPr>
              <w:ind w:firstLine="420"/>
              <w:jc w:val="center"/>
              <w:rPr>
                <w:rFonts w:hint="eastAsia" w:ascii="宋体" w:hAnsi="宋体" w:cs="宋体"/>
                <w:color w:val="auto"/>
                <w:sz w:val="21"/>
                <w:szCs w:val="21"/>
              </w:rPr>
            </w:pPr>
            <w:r>
              <w:rPr>
                <w:rFonts w:hint="eastAsia" w:ascii="宋体" w:hAnsi="宋体" w:cs="宋体"/>
                <w:color w:val="auto"/>
                <w:sz w:val="21"/>
                <w:szCs w:val="21"/>
              </w:rPr>
              <w:t>19</w:t>
            </w:r>
          </w:p>
          <w:p w14:paraId="04881040">
            <w:pPr>
              <w:ind w:firstLine="420"/>
              <w:jc w:val="center"/>
              <w:rPr>
                <w:rFonts w:hint="eastAsia" w:ascii="宋体" w:hAnsi="宋体" w:cs="宋体"/>
                <w:color w:val="auto"/>
                <w:sz w:val="21"/>
                <w:szCs w:val="21"/>
              </w:rPr>
            </w:pPr>
            <w:r>
              <w:rPr>
                <w:rFonts w:hint="eastAsia" w:ascii="宋体" w:hAnsi="宋体" w:cs="宋体"/>
                <w:color w:val="auto"/>
                <w:sz w:val="21"/>
                <w:szCs w:val="21"/>
              </w:rPr>
              <w:t>安</w:t>
            </w:r>
          </w:p>
          <w:p w14:paraId="65C65186">
            <w:pPr>
              <w:ind w:firstLine="420"/>
              <w:jc w:val="center"/>
              <w:rPr>
                <w:rFonts w:hint="eastAsia" w:ascii="宋体" w:hAnsi="宋体" w:cs="宋体"/>
                <w:color w:val="auto"/>
                <w:sz w:val="21"/>
                <w:szCs w:val="21"/>
              </w:rPr>
            </w:pPr>
            <w:r>
              <w:rPr>
                <w:rFonts w:hint="eastAsia" w:ascii="宋体" w:hAnsi="宋体" w:cs="宋体"/>
                <w:color w:val="auto"/>
                <w:sz w:val="21"/>
                <w:szCs w:val="21"/>
              </w:rPr>
              <w:t>全</w:t>
            </w:r>
          </w:p>
          <w:p w14:paraId="663506D1">
            <w:pPr>
              <w:ind w:firstLine="420"/>
              <w:jc w:val="center"/>
              <w:rPr>
                <w:rFonts w:hint="eastAsia" w:ascii="宋体" w:hAnsi="宋体" w:cs="宋体"/>
                <w:color w:val="auto"/>
                <w:sz w:val="21"/>
                <w:szCs w:val="21"/>
              </w:rPr>
            </w:pPr>
            <w:r>
              <w:rPr>
                <w:rFonts w:hint="eastAsia" w:ascii="宋体" w:hAnsi="宋体" w:cs="宋体"/>
                <w:color w:val="auto"/>
                <w:sz w:val="21"/>
                <w:szCs w:val="21"/>
              </w:rPr>
              <w:t>装</w:t>
            </w:r>
          </w:p>
          <w:p w14:paraId="3B8745D4">
            <w:pPr>
              <w:ind w:firstLine="420"/>
              <w:jc w:val="center"/>
              <w:rPr>
                <w:rFonts w:ascii="宋体" w:hAnsi="宋体" w:cs="宋体"/>
                <w:color w:val="auto"/>
                <w:sz w:val="21"/>
                <w:szCs w:val="21"/>
              </w:rPr>
            </w:pPr>
            <w:r>
              <w:rPr>
                <w:rFonts w:hint="eastAsia" w:ascii="宋体" w:hAnsi="宋体" w:cs="宋体"/>
                <w:color w:val="auto"/>
                <w:sz w:val="21"/>
                <w:szCs w:val="21"/>
              </w:rPr>
              <w:t>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CD1721A">
            <w:pPr>
              <w:ind w:firstLine="420"/>
              <w:rPr>
                <w:rFonts w:ascii="宋体" w:hAnsi="宋体" w:cs="宋体"/>
                <w:color w:val="auto"/>
                <w:spacing w:val="-12"/>
                <w:sz w:val="21"/>
                <w:szCs w:val="21"/>
              </w:rPr>
            </w:pPr>
            <w:r>
              <w:rPr>
                <w:rFonts w:hint="eastAsia" w:ascii="宋体" w:hAnsi="宋体" w:cs="宋体"/>
                <w:color w:val="auto"/>
                <w:sz w:val="21"/>
                <w:szCs w:val="21"/>
              </w:rPr>
              <w:t>起重量限制器</w:t>
            </w:r>
          </w:p>
          <w:p w14:paraId="3F4CA878">
            <w:pPr>
              <w:ind w:firstLine="420"/>
              <w:rPr>
                <w:rFonts w:hint="eastAsia" w:ascii="宋体" w:hAnsi="宋体" w:cs="宋体"/>
                <w:color w:val="auto"/>
                <w:spacing w:val="-12"/>
                <w:sz w:val="21"/>
                <w:szCs w:val="21"/>
              </w:rPr>
            </w:pPr>
            <w:r>
              <w:rPr>
                <w:rFonts w:hint="eastAsia" w:ascii="宋体" w:hAnsi="宋体" w:cs="宋体"/>
                <w:color w:val="auto"/>
                <w:sz w:val="21"/>
                <w:szCs w:val="21"/>
              </w:rPr>
              <w:t>起重机应安装起重量限制器，</w:t>
            </w:r>
            <w:r>
              <w:rPr>
                <w:rFonts w:hint="eastAsia" w:ascii="宋体" w:hAnsi="宋体" w:cs="宋体"/>
                <w:color w:val="auto"/>
                <w:spacing w:val="-10"/>
                <w:sz w:val="21"/>
                <w:szCs w:val="21"/>
              </w:rPr>
              <w:t>当载荷达到额定载荷90％时，应报警；</w:t>
            </w:r>
            <w:r>
              <w:rPr>
                <w:rFonts w:hint="eastAsia" w:ascii="宋体" w:hAnsi="宋体" w:cs="宋体"/>
                <w:color w:val="auto"/>
                <w:sz w:val="21"/>
                <w:szCs w:val="21"/>
              </w:rPr>
              <w:t>当</w:t>
            </w:r>
            <w:r>
              <w:rPr>
                <w:rFonts w:hint="eastAsia" w:ascii="宋体" w:hAnsi="宋体" w:cs="宋体"/>
                <w:color w:val="auto"/>
                <w:spacing w:val="-2"/>
                <w:sz w:val="21"/>
                <w:szCs w:val="21"/>
              </w:rPr>
              <w:t>载荷</w:t>
            </w:r>
            <w:r>
              <w:rPr>
                <w:rFonts w:hint="eastAsia" w:ascii="宋体" w:hAnsi="宋体" w:cs="宋体"/>
                <w:color w:val="auto"/>
                <w:sz w:val="21"/>
                <w:szCs w:val="21"/>
              </w:rPr>
              <w:t>大于相应工况下额定值并小于额定值的110%时，应切断上升方向的电源，但机构可做下降方向的运动。</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047030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01A14C3">
            <w:pPr>
              <w:ind w:firstLine="422"/>
              <w:jc w:val="center"/>
              <w:rPr>
                <w:rFonts w:hint="eastAsia" w:ascii="宋体" w:hAnsi="宋体" w:cs="宋体"/>
                <w:b/>
                <w:bCs/>
                <w:snapToGrid w:val="0"/>
                <w:color w:val="auto"/>
                <w:sz w:val="21"/>
                <w:szCs w:val="21"/>
              </w:rPr>
            </w:pPr>
          </w:p>
        </w:tc>
      </w:tr>
      <w:tr w14:paraId="1480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7A5A02B">
            <w:pPr>
              <w:ind w:firstLine="422"/>
              <w:jc w:val="center"/>
              <w:rPr>
                <w:rFonts w:ascii="宋体" w:hAnsi="宋体" w:cs="宋体"/>
                <w:b/>
                <w:bCs/>
                <w:color w:val="auto"/>
                <w:sz w:val="21"/>
                <w:szCs w:val="21"/>
              </w:rPr>
            </w:pPr>
            <w:r>
              <w:rPr>
                <w:rFonts w:hint="eastAsia" w:ascii="宋体" w:hAnsi="宋体" w:cs="宋体"/>
                <w:b/>
                <w:bCs/>
                <w:color w:val="auto"/>
                <w:sz w:val="21"/>
                <w:szCs w:val="21"/>
              </w:rPr>
              <w:t>53</w:t>
            </w:r>
          </w:p>
        </w:tc>
        <w:tc>
          <w:tcPr>
            <w:tcW w:w="854" w:type="dxa"/>
            <w:vMerge w:val="continue"/>
            <w:tcBorders>
              <w:left w:val="single" w:color="auto" w:sz="4" w:space="0"/>
              <w:right w:val="single" w:color="auto" w:sz="4" w:space="0"/>
            </w:tcBorders>
            <w:noWrap w:val="0"/>
            <w:vAlign w:val="center"/>
          </w:tcPr>
          <w:p w14:paraId="3C7014B3">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96981D8">
            <w:pPr>
              <w:ind w:firstLine="420"/>
              <w:jc w:val="left"/>
              <w:rPr>
                <w:rFonts w:ascii="宋体" w:hAnsi="宋体" w:cs="宋体"/>
                <w:color w:val="auto"/>
                <w:spacing w:val="-12"/>
                <w:sz w:val="21"/>
                <w:szCs w:val="21"/>
              </w:rPr>
            </w:pPr>
            <w:r>
              <w:rPr>
                <w:rFonts w:hint="eastAsia" w:ascii="宋体" w:hAnsi="宋体" w:cs="宋体"/>
                <w:color w:val="auto"/>
                <w:sz w:val="21"/>
                <w:szCs w:val="21"/>
              </w:rPr>
              <w:t>力矩限制器</w:t>
            </w:r>
          </w:p>
          <w:p w14:paraId="5901A79A">
            <w:pPr>
              <w:ind w:firstLine="420"/>
              <w:rPr>
                <w:rFonts w:hint="eastAsia" w:ascii="宋体" w:hAnsi="宋体" w:cs="宋体"/>
                <w:color w:val="auto"/>
                <w:spacing w:val="-12"/>
                <w:sz w:val="21"/>
                <w:szCs w:val="21"/>
              </w:rPr>
            </w:pPr>
            <w:r>
              <w:rPr>
                <w:rFonts w:hint="eastAsia" w:ascii="宋体" w:hAnsi="宋体" w:cs="宋体"/>
                <w:color w:val="auto"/>
                <w:sz w:val="21"/>
                <w:szCs w:val="21"/>
              </w:rPr>
              <w:t>具有两种额定载荷时必须安装起重力矩限制器。</w:t>
            </w:r>
            <w:r>
              <w:rPr>
                <w:rFonts w:hint="eastAsia" w:ascii="宋体" w:hAnsi="宋体" w:cs="宋体"/>
                <w:color w:val="auto"/>
                <w:spacing w:val="-10"/>
                <w:sz w:val="21"/>
                <w:szCs w:val="21"/>
              </w:rPr>
              <w:t>当载荷达到额定载荷90％时，应报警；</w:t>
            </w:r>
            <w:r>
              <w:rPr>
                <w:rFonts w:hint="eastAsia" w:ascii="宋体" w:hAnsi="宋体" w:cs="宋体"/>
                <w:color w:val="auto"/>
                <w:sz w:val="21"/>
                <w:szCs w:val="21"/>
              </w:rPr>
              <w:t>当起重力矩大于相应工况下额定值并小于额定值的110%时，起重力矩限制器必须自动切断起升和幅度增大方向的电源，此时机构可作下降和减小幅度方向的运动。</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B095822">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E6AC3FE">
            <w:pPr>
              <w:ind w:firstLine="422"/>
              <w:jc w:val="center"/>
              <w:rPr>
                <w:rFonts w:hint="eastAsia" w:ascii="宋体" w:hAnsi="宋体" w:cs="宋体"/>
                <w:b/>
                <w:bCs/>
                <w:snapToGrid w:val="0"/>
                <w:color w:val="auto"/>
                <w:sz w:val="21"/>
                <w:szCs w:val="21"/>
              </w:rPr>
            </w:pPr>
          </w:p>
        </w:tc>
      </w:tr>
      <w:tr w14:paraId="693B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CF9C2F1">
            <w:pPr>
              <w:ind w:firstLine="422"/>
              <w:jc w:val="center"/>
              <w:rPr>
                <w:rFonts w:ascii="宋体" w:hAnsi="宋体" w:cs="宋体"/>
                <w:b/>
                <w:bCs/>
                <w:color w:val="auto"/>
                <w:sz w:val="21"/>
                <w:szCs w:val="21"/>
              </w:rPr>
            </w:pPr>
            <w:r>
              <w:rPr>
                <w:rFonts w:hint="eastAsia" w:ascii="宋体" w:hAnsi="宋体" w:cs="宋体"/>
                <w:b/>
                <w:bCs/>
                <w:color w:val="auto"/>
                <w:sz w:val="21"/>
                <w:szCs w:val="21"/>
              </w:rPr>
              <w:t>54</w:t>
            </w:r>
          </w:p>
        </w:tc>
        <w:tc>
          <w:tcPr>
            <w:tcW w:w="854" w:type="dxa"/>
            <w:vMerge w:val="continue"/>
            <w:tcBorders>
              <w:left w:val="single" w:color="auto" w:sz="4" w:space="0"/>
              <w:right w:val="single" w:color="auto" w:sz="4" w:space="0"/>
            </w:tcBorders>
            <w:noWrap w:val="0"/>
            <w:vAlign w:val="center"/>
          </w:tcPr>
          <w:p w14:paraId="0DA5B241">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C576DD4">
            <w:pPr>
              <w:ind w:firstLine="420"/>
              <w:rPr>
                <w:rFonts w:hint="eastAsia" w:ascii="宋体" w:hAnsi="宋体" w:cs="宋体"/>
                <w:color w:val="auto"/>
                <w:sz w:val="21"/>
                <w:szCs w:val="21"/>
              </w:rPr>
            </w:pPr>
            <w:r>
              <w:rPr>
                <w:rFonts w:hint="eastAsia" w:ascii="宋体" w:hAnsi="宋体" w:cs="宋体"/>
                <w:color w:val="auto"/>
                <w:sz w:val="21"/>
                <w:szCs w:val="21"/>
              </w:rPr>
              <w:t>变幅限制器： 必须保证变幅小车行驶到最小幅度或最大幅度时，断开变幅机构的单向工作电源，以保证小车的安全运行</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6C6B3A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21C9889">
            <w:pPr>
              <w:ind w:firstLine="422"/>
              <w:jc w:val="center"/>
              <w:rPr>
                <w:rFonts w:hint="eastAsia" w:ascii="宋体" w:hAnsi="宋体" w:cs="宋体"/>
                <w:b/>
                <w:bCs/>
                <w:snapToGrid w:val="0"/>
                <w:color w:val="auto"/>
                <w:sz w:val="21"/>
                <w:szCs w:val="21"/>
              </w:rPr>
            </w:pPr>
          </w:p>
        </w:tc>
      </w:tr>
      <w:tr w14:paraId="1F16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49C482F">
            <w:pPr>
              <w:ind w:firstLine="422"/>
              <w:jc w:val="center"/>
              <w:rPr>
                <w:rFonts w:ascii="宋体" w:hAnsi="宋体" w:cs="宋体"/>
                <w:b/>
                <w:bCs/>
                <w:color w:val="auto"/>
                <w:sz w:val="21"/>
                <w:szCs w:val="21"/>
              </w:rPr>
            </w:pPr>
            <w:r>
              <w:rPr>
                <w:rFonts w:hint="eastAsia" w:ascii="宋体" w:hAnsi="宋体" w:cs="宋体"/>
                <w:b/>
                <w:bCs/>
                <w:color w:val="auto"/>
                <w:sz w:val="21"/>
                <w:szCs w:val="21"/>
              </w:rPr>
              <w:t>55</w:t>
            </w:r>
          </w:p>
        </w:tc>
        <w:tc>
          <w:tcPr>
            <w:tcW w:w="854" w:type="dxa"/>
            <w:vMerge w:val="continue"/>
            <w:tcBorders>
              <w:left w:val="single" w:color="auto" w:sz="4" w:space="0"/>
              <w:bottom w:val="single" w:color="auto" w:sz="4" w:space="0"/>
              <w:right w:val="single" w:color="auto" w:sz="4" w:space="0"/>
            </w:tcBorders>
            <w:noWrap w:val="0"/>
            <w:vAlign w:val="center"/>
          </w:tcPr>
          <w:p w14:paraId="36F2D3CF">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2740F68">
            <w:pPr>
              <w:ind w:firstLine="404"/>
              <w:rPr>
                <w:rFonts w:hint="eastAsia" w:ascii="宋体" w:hAnsi="宋体" w:cs="宋体"/>
                <w:color w:val="auto"/>
                <w:spacing w:val="-4"/>
                <w:sz w:val="21"/>
                <w:szCs w:val="21"/>
              </w:rPr>
            </w:pPr>
            <w:r>
              <w:rPr>
                <w:rFonts w:hint="eastAsia" w:ascii="宋体" w:hAnsi="宋体" w:cs="宋体"/>
                <w:color w:val="auto"/>
                <w:spacing w:val="-4"/>
                <w:sz w:val="21"/>
                <w:szCs w:val="21"/>
              </w:rPr>
              <w:t>起升高度限制器：</w:t>
            </w:r>
            <w:r>
              <w:rPr>
                <w:rFonts w:hint="eastAsia" w:ascii="宋体" w:hAnsi="宋体" w:cs="宋体"/>
                <w:color w:val="auto"/>
                <w:sz w:val="21"/>
                <w:szCs w:val="21"/>
              </w:rPr>
              <w:t>必须保证起升机构起升到极限位置时，便托起杠杆。压下限位开关，切断电路停车，再合闸时，吊钩只能下降。防止吊钩冲顶。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097302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7931BD8">
            <w:pPr>
              <w:ind w:firstLine="422"/>
              <w:jc w:val="center"/>
              <w:rPr>
                <w:rFonts w:hint="eastAsia" w:ascii="宋体" w:hAnsi="宋体" w:cs="宋体"/>
                <w:b/>
                <w:bCs/>
                <w:snapToGrid w:val="0"/>
                <w:color w:val="auto"/>
                <w:sz w:val="21"/>
                <w:szCs w:val="21"/>
              </w:rPr>
            </w:pPr>
          </w:p>
        </w:tc>
      </w:tr>
      <w:tr w14:paraId="2FF3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E21B141">
            <w:pPr>
              <w:ind w:firstLine="422"/>
              <w:jc w:val="center"/>
              <w:rPr>
                <w:rFonts w:ascii="宋体" w:hAnsi="宋体" w:cs="宋体"/>
                <w:b/>
                <w:bCs/>
                <w:color w:val="auto"/>
                <w:sz w:val="21"/>
                <w:szCs w:val="21"/>
              </w:rPr>
            </w:pPr>
            <w:r>
              <w:rPr>
                <w:rFonts w:hint="eastAsia" w:ascii="宋体" w:hAnsi="宋体" w:cs="宋体"/>
                <w:b/>
                <w:bCs/>
                <w:color w:val="auto"/>
                <w:sz w:val="21"/>
                <w:szCs w:val="21"/>
              </w:rPr>
              <w:t>56</w:t>
            </w:r>
          </w:p>
        </w:tc>
        <w:tc>
          <w:tcPr>
            <w:tcW w:w="854" w:type="dxa"/>
            <w:tcBorders>
              <w:left w:val="single" w:color="auto" w:sz="4" w:space="0"/>
              <w:bottom w:val="single" w:color="auto" w:sz="4" w:space="0"/>
              <w:right w:val="single" w:color="auto" w:sz="4" w:space="0"/>
            </w:tcBorders>
            <w:noWrap w:val="0"/>
            <w:vAlign w:val="center"/>
          </w:tcPr>
          <w:p w14:paraId="47F0A14C">
            <w:pPr>
              <w:ind w:firstLine="420"/>
              <w:jc w:val="center"/>
              <w:rPr>
                <w:rFonts w:ascii="宋体" w:hAnsi="宋体" w:cs="宋体"/>
                <w:color w:val="auto"/>
                <w:sz w:val="21"/>
                <w:szCs w:val="21"/>
              </w:rPr>
            </w:pPr>
            <w:r>
              <w:rPr>
                <w:rFonts w:hint="eastAsia" w:ascii="宋体" w:hAnsi="宋体" w:cs="宋体"/>
                <w:color w:val="auto"/>
                <w:sz w:val="21"/>
                <w:szCs w:val="21"/>
              </w:rPr>
              <w:t>20防护装置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5A95B5D">
            <w:pPr>
              <w:ind w:firstLine="420"/>
              <w:rPr>
                <w:rFonts w:hint="eastAsia" w:ascii="宋体" w:hAnsi="宋体" w:cs="宋体"/>
                <w:color w:val="auto"/>
                <w:spacing w:val="-4"/>
                <w:sz w:val="21"/>
                <w:szCs w:val="21"/>
              </w:rPr>
            </w:pPr>
            <w:r>
              <w:rPr>
                <w:rFonts w:hint="eastAsia" w:ascii="宋体" w:hAnsi="宋体" w:cs="宋体"/>
                <w:color w:val="auto"/>
                <w:sz w:val="21"/>
                <w:szCs w:val="21"/>
              </w:rPr>
              <w:t>外露有伤人可能的零部件，如开式齿轮、联轴器、传动轴等应装设防护罩；露天工作的电气设备应有防雨罩。</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963DE2B">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EB6F168">
            <w:pPr>
              <w:ind w:firstLine="422"/>
              <w:jc w:val="center"/>
              <w:rPr>
                <w:rFonts w:hint="eastAsia" w:ascii="宋体" w:hAnsi="宋体" w:cs="宋体"/>
                <w:b/>
                <w:bCs/>
                <w:snapToGrid w:val="0"/>
                <w:color w:val="auto"/>
                <w:sz w:val="21"/>
                <w:szCs w:val="21"/>
              </w:rPr>
            </w:pPr>
          </w:p>
        </w:tc>
      </w:tr>
      <w:tr w14:paraId="2210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0B2C9C1">
            <w:pPr>
              <w:ind w:firstLine="422"/>
              <w:jc w:val="center"/>
              <w:rPr>
                <w:rFonts w:ascii="宋体" w:hAnsi="宋体" w:cs="宋体"/>
                <w:b/>
                <w:bCs/>
                <w:color w:val="auto"/>
                <w:sz w:val="21"/>
                <w:szCs w:val="21"/>
              </w:rPr>
            </w:pPr>
            <w:r>
              <w:rPr>
                <w:rFonts w:hint="eastAsia" w:ascii="宋体" w:hAnsi="宋体" w:cs="宋体"/>
                <w:b/>
                <w:bCs/>
                <w:color w:val="auto"/>
                <w:sz w:val="21"/>
                <w:szCs w:val="21"/>
              </w:rPr>
              <w:t>57</w:t>
            </w:r>
          </w:p>
        </w:tc>
        <w:tc>
          <w:tcPr>
            <w:tcW w:w="854" w:type="dxa"/>
            <w:vMerge w:val="restart"/>
            <w:tcBorders>
              <w:left w:val="single" w:color="auto" w:sz="4" w:space="0"/>
              <w:right w:val="single" w:color="auto" w:sz="4" w:space="0"/>
            </w:tcBorders>
            <w:noWrap w:val="0"/>
            <w:vAlign w:val="center"/>
          </w:tcPr>
          <w:p w14:paraId="484FE8DF">
            <w:pPr>
              <w:ind w:firstLine="420"/>
              <w:jc w:val="center"/>
              <w:rPr>
                <w:rFonts w:hint="eastAsia" w:ascii="宋体" w:hAnsi="宋体" w:cs="宋体"/>
                <w:color w:val="auto"/>
                <w:sz w:val="21"/>
                <w:szCs w:val="21"/>
              </w:rPr>
            </w:pPr>
            <w:r>
              <w:rPr>
                <w:rFonts w:hint="eastAsia" w:ascii="宋体" w:hAnsi="宋体" w:cs="宋体"/>
                <w:color w:val="auto"/>
                <w:sz w:val="21"/>
                <w:szCs w:val="21"/>
              </w:rPr>
              <w:t>21</w:t>
            </w:r>
          </w:p>
          <w:p w14:paraId="0D0A290A">
            <w:pPr>
              <w:ind w:firstLine="420"/>
              <w:jc w:val="center"/>
              <w:rPr>
                <w:rFonts w:hint="eastAsia" w:ascii="宋体" w:hAnsi="宋体" w:cs="宋体"/>
                <w:color w:val="auto"/>
                <w:sz w:val="21"/>
                <w:szCs w:val="21"/>
              </w:rPr>
            </w:pPr>
            <w:r>
              <w:rPr>
                <w:rFonts w:hint="eastAsia" w:ascii="宋体" w:hAnsi="宋体" w:cs="宋体"/>
                <w:color w:val="auto"/>
                <w:sz w:val="21"/>
                <w:szCs w:val="21"/>
              </w:rPr>
              <w:t>试</w:t>
            </w:r>
          </w:p>
          <w:p w14:paraId="35D28B46">
            <w:pPr>
              <w:ind w:firstLine="420"/>
              <w:jc w:val="center"/>
              <w:rPr>
                <w:rFonts w:ascii="宋体" w:hAnsi="宋体" w:cs="宋体"/>
                <w:color w:val="auto"/>
                <w:sz w:val="21"/>
                <w:szCs w:val="21"/>
              </w:rPr>
            </w:pPr>
            <w:r>
              <w:rPr>
                <w:rFonts w:hint="eastAsia" w:ascii="宋体" w:hAnsi="宋体" w:cs="宋体"/>
                <w:color w:val="auto"/>
                <w:sz w:val="21"/>
                <w:szCs w:val="21"/>
              </w:rPr>
              <w:t>验</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DD7F217">
            <w:pPr>
              <w:ind w:firstLine="420"/>
              <w:rPr>
                <w:rFonts w:hint="eastAsia" w:ascii="宋体" w:hAnsi="宋体" w:cs="宋体"/>
                <w:color w:val="auto"/>
                <w:sz w:val="21"/>
                <w:szCs w:val="21"/>
              </w:rPr>
            </w:pPr>
            <w:r>
              <w:rPr>
                <w:rFonts w:hint="eastAsia" w:ascii="宋体" w:hAnsi="宋体" w:cs="宋体"/>
                <w:color w:val="auto"/>
                <w:sz w:val="21"/>
                <w:szCs w:val="21"/>
              </w:rPr>
              <w:t>空载试验：空载时各机构、运动构件、电气控制系统及取物装置在规定工作范围内正常动作，电缆收放正常，台车运行无啃轨。</w:t>
            </w:r>
          </w:p>
          <w:p w14:paraId="52C91066">
            <w:pPr>
              <w:ind w:firstLine="404"/>
              <w:rPr>
                <w:rFonts w:hint="eastAsia" w:ascii="宋体" w:hAnsi="宋体" w:cs="宋体"/>
                <w:color w:val="auto"/>
                <w:spacing w:val="-4"/>
                <w:sz w:val="21"/>
                <w:szCs w:val="21"/>
              </w:rPr>
            </w:pP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0D4EEF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0806371">
            <w:pPr>
              <w:ind w:firstLine="422"/>
              <w:jc w:val="center"/>
              <w:rPr>
                <w:rFonts w:hint="eastAsia" w:ascii="宋体" w:hAnsi="宋体" w:cs="宋体"/>
                <w:b/>
                <w:bCs/>
                <w:snapToGrid w:val="0"/>
                <w:color w:val="auto"/>
                <w:sz w:val="21"/>
                <w:szCs w:val="21"/>
              </w:rPr>
            </w:pPr>
          </w:p>
        </w:tc>
      </w:tr>
      <w:tr w14:paraId="356E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16BFB62">
            <w:pPr>
              <w:ind w:firstLine="422"/>
              <w:jc w:val="center"/>
              <w:rPr>
                <w:rFonts w:ascii="宋体" w:hAnsi="宋体" w:cs="宋体"/>
                <w:b/>
                <w:bCs/>
                <w:color w:val="auto"/>
                <w:sz w:val="21"/>
                <w:szCs w:val="21"/>
              </w:rPr>
            </w:pPr>
            <w:r>
              <w:rPr>
                <w:rFonts w:hint="eastAsia" w:ascii="宋体" w:hAnsi="宋体" w:cs="宋体"/>
                <w:b/>
                <w:bCs/>
                <w:color w:val="auto"/>
                <w:sz w:val="21"/>
                <w:szCs w:val="21"/>
              </w:rPr>
              <w:t>5</w:t>
            </w:r>
            <w:r>
              <w:rPr>
                <w:rFonts w:ascii="宋体" w:hAnsi="宋体" w:cs="宋体"/>
                <w:b/>
                <w:bCs/>
                <w:color w:val="auto"/>
                <w:sz w:val="21"/>
                <w:szCs w:val="21"/>
              </w:rPr>
              <w:t>8</w:t>
            </w:r>
          </w:p>
        </w:tc>
        <w:tc>
          <w:tcPr>
            <w:tcW w:w="854" w:type="dxa"/>
            <w:vMerge w:val="continue"/>
            <w:tcBorders>
              <w:left w:val="single" w:color="auto" w:sz="4" w:space="0"/>
              <w:right w:val="single" w:color="auto" w:sz="4" w:space="0"/>
            </w:tcBorders>
            <w:noWrap w:val="0"/>
            <w:vAlign w:val="center"/>
          </w:tcPr>
          <w:p w14:paraId="5D7C8294">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3E6237E">
            <w:pPr>
              <w:ind w:firstLine="420"/>
              <w:rPr>
                <w:rFonts w:hint="eastAsia" w:ascii="宋体" w:hAnsi="宋体" w:cs="宋体"/>
                <w:color w:val="auto"/>
                <w:sz w:val="21"/>
                <w:szCs w:val="21"/>
              </w:rPr>
            </w:pPr>
            <w:r>
              <w:rPr>
                <w:rFonts w:hint="eastAsia" w:ascii="宋体" w:hAnsi="宋体" w:cs="宋体"/>
                <w:color w:val="auto"/>
                <w:sz w:val="21"/>
                <w:szCs w:val="21"/>
              </w:rPr>
              <w:t>额定载荷试验：起吊额定载荷按相应工况试验，各机构工作正常，无异常响声；各部件完好无损，连接无松动，结构件无裂纹、永久变形、表面油漆打皱，焊缝无明显裂纹，电气元件完好。塔窗关闭，在司机齐耳高水平距离100mm处测量，噪声不大于80dB(A)。</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B02602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FFBBDBD">
            <w:pPr>
              <w:ind w:firstLine="422"/>
              <w:jc w:val="center"/>
              <w:rPr>
                <w:rFonts w:hint="eastAsia" w:ascii="宋体" w:hAnsi="宋体" w:cs="宋体"/>
                <w:b/>
                <w:bCs/>
                <w:snapToGrid w:val="0"/>
                <w:color w:val="auto"/>
                <w:sz w:val="21"/>
                <w:szCs w:val="21"/>
              </w:rPr>
            </w:pPr>
          </w:p>
        </w:tc>
      </w:tr>
      <w:tr w14:paraId="439F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39BC46D">
            <w:pPr>
              <w:ind w:firstLine="422"/>
              <w:jc w:val="center"/>
              <w:rPr>
                <w:rFonts w:ascii="宋体" w:hAnsi="宋体" w:cs="宋体"/>
                <w:b/>
                <w:bCs/>
                <w:color w:val="auto"/>
                <w:sz w:val="21"/>
                <w:szCs w:val="21"/>
              </w:rPr>
            </w:pPr>
            <w:r>
              <w:rPr>
                <w:rFonts w:hint="eastAsia" w:ascii="宋体" w:hAnsi="宋体" w:cs="宋体"/>
                <w:b/>
                <w:bCs/>
                <w:color w:val="auto"/>
                <w:sz w:val="21"/>
                <w:szCs w:val="21"/>
              </w:rPr>
              <w:t>6</w:t>
            </w:r>
            <w:r>
              <w:rPr>
                <w:rFonts w:ascii="宋体" w:hAnsi="宋体" w:cs="宋体"/>
                <w:b/>
                <w:bCs/>
                <w:color w:val="auto"/>
                <w:sz w:val="21"/>
                <w:szCs w:val="21"/>
              </w:rPr>
              <w:t>9</w:t>
            </w:r>
          </w:p>
        </w:tc>
        <w:tc>
          <w:tcPr>
            <w:tcW w:w="854" w:type="dxa"/>
            <w:vMerge w:val="continue"/>
            <w:tcBorders>
              <w:left w:val="single" w:color="auto" w:sz="4" w:space="0"/>
              <w:right w:val="single" w:color="auto" w:sz="4" w:space="0"/>
            </w:tcBorders>
            <w:noWrap w:val="0"/>
            <w:vAlign w:val="center"/>
          </w:tcPr>
          <w:p w14:paraId="39672B02">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BEB8819">
            <w:pPr>
              <w:ind w:firstLine="420"/>
              <w:rPr>
                <w:rFonts w:hint="eastAsia" w:ascii="宋体" w:hAnsi="宋体" w:cs="宋体"/>
                <w:color w:val="auto"/>
                <w:spacing w:val="-4"/>
                <w:sz w:val="21"/>
                <w:szCs w:val="21"/>
              </w:rPr>
            </w:pPr>
            <w:r>
              <w:rPr>
                <w:rFonts w:hint="eastAsia" w:ascii="宋体" w:hAnsi="宋体" w:cs="宋体"/>
                <w:color w:val="auto"/>
                <w:sz w:val="21"/>
                <w:szCs w:val="21"/>
              </w:rPr>
              <w:t>动载试验：起吊1.1倍额定载荷（对试验载荷与试验工况有特殊要求的按设计规定），各机构的制动器可靠有效，空中起升时无反向动作及下滑现象，各机构工作正常无异常声响，各机构与结构无损坏及塑性变形，连接无松动，固定结合面无渗油，运动结合面无滴油，电气元件完好。整机稳定性符合要求,无运行台车脱离轨道面“跷腿”情况。</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DDC03D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6D4BB82">
            <w:pPr>
              <w:ind w:firstLine="422"/>
              <w:jc w:val="center"/>
              <w:rPr>
                <w:rFonts w:hint="eastAsia" w:ascii="宋体" w:hAnsi="宋体" w:cs="宋体"/>
                <w:b/>
                <w:bCs/>
                <w:snapToGrid w:val="0"/>
                <w:color w:val="auto"/>
                <w:sz w:val="21"/>
                <w:szCs w:val="21"/>
              </w:rPr>
            </w:pPr>
          </w:p>
        </w:tc>
      </w:tr>
      <w:tr w14:paraId="2D12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BF6C432">
            <w:pPr>
              <w:ind w:firstLine="422"/>
              <w:jc w:val="center"/>
              <w:rPr>
                <w:rFonts w:ascii="宋体" w:hAnsi="宋体" w:cs="宋体"/>
                <w:b/>
                <w:bCs/>
                <w:color w:val="auto"/>
                <w:sz w:val="21"/>
                <w:szCs w:val="21"/>
              </w:rPr>
            </w:pPr>
            <w:r>
              <w:rPr>
                <w:rFonts w:hint="eastAsia" w:ascii="宋体" w:hAnsi="宋体" w:cs="宋体"/>
                <w:b/>
                <w:bCs/>
                <w:color w:val="auto"/>
                <w:sz w:val="21"/>
                <w:szCs w:val="21"/>
              </w:rPr>
              <w:t>6</w:t>
            </w:r>
            <w:r>
              <w:rPr>
                <w:rFonts w:ascii="宋体" w:hAnsi="宋体" w:cs="宋体"/>
                <w:b/>
                <w:bCs/>
                <w:color w:val="auto"/>
                <w:sz w:val="21"/>
                <w:szCs w:val="21"/>
              </w:rPr>
              <w:t>0</w:t>
            </w:r>
          </w:p>
        </w:tc>
        <w:tc>
          <w:tcPr>
            <w:tcW w:w="854" w:type="dxa"/>
            <w:vMerge w:val="continue"/>
            <w:tcBorders>
              <w:left w:val="single" w:color="auto" w:sz="4" w:space="0"/>
              <w:bottom w:val="single" w:color="auto" w:sz="4" w:space="0"/>
              <w:right w:val="single" w:color="auto" w:sz="4" w:space="0"/>
            </w:tcBorders>
            <w:noWrap w:val="0"/>
            <w:vAlign w:val="center"/>
          </w:tcPr>
          <w:p w14:paraId="56C69733">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57D95B7">
            <w:pPr>
              <w:ind w:firstLine="404"/>
              <w:rPr>
                <w:rFonts w:hint="eastAsia" w:ascii="宋体" w:hAnsi="宋体" w:cs="宋体"/>
                <w:color w:val="auto"/>
                <w:spacing w:val="-4"/>
                <w:sz w:val="21"/>
                <w:szCs w:val="21"/>
              </w:rPr>
            </w:pPr>
            <w:r>
              <w:rPr>
                <w:rFonts w:hint="eastAsia" w:ascii="宋体" w:hAnsi="宋体" w:cs="宋体"/>
                <w:color w:val="auto"/>
                <w:spacing w:val="-4"/>
                <w:sz w:val="21"/>
                <w:szCs w:val="21"/>
              </w:rPr>
              <w:t>静载试验：</w:t>
            </w:r>
            <w:r>
              <w:rPr>
                <w:rFonts w:hint="eastAsia" w:ascii="宋体" w:hAnsi="宋体" w:cs="宋体"/>
                <w:color w:val="auto"/>
                <w:sz w:val="21"/>
                <w:szCs w:val="21"/>
              </w:rPr>
              <w:t>均匀无冲击加载至1.25倍额定载荷（对试验载荷与试验工况有特殊要求的按设计规定），使载荷悬空离地100～200mm停留10min，各机构与结构无裂纹、永久变形、油漆打皱、连接无松动，结合面不得渗油，整机稳定性符合要求，无运行台车脱离轨道面“跷腿”等异常情况。</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D2D20C4">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ECF370E">
            <w:pPr>
              <w:ind w:firstLine="422"/>
              <w:jc w:val="center"/>
              <w:rPr>
                <w:rFonts w:hint="eastAsia" w:ascii="宋体" w:hAnsi="宋体" w:cs="宋体"/>
                <w:b/>
                <w:bCs/>
                <w:snapToGrid w:val="0"/>
                <w:color w:val="auto"/>
                <w:sz w:val="21"/>
                <w:szCs w:val="21"/>
              </w:rPr>
            </w:pPr>
          </w:p>
        </w:tc>
      </w:tr>
      <w:tr w14:paraId="10FB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9" w:hRule="atLeast"/>
          <w:jc w:val="center"/>
        </w:trPr>
        <w:tc>
          <w:tcPr>
            <w:tcW w:w="4935"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365A0651">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租赁单位意见：</w:t>
            </w:r>
          </w:p>
          <w:p w14:paraId="2FD84735">
            <w:pPr>
              <w:widowControl/>
              <w:ind w:firstLine="420"/>
              <w:jc w:val="left"/>
              <w:textAlignment w:val="center"/>
              <w:rPr>
                <w:rFonts w:ascii="宋体" w:hAnsi="宋体" w:cs="宋体"/>
                <w:color w:val="auto"/>
                <w:kern w:val="0"/>
                <w:sz w:val="21"/>
                <w:szCs w:val="21"/>
                <w:lang w:bidi="ar"/>
              </w:rPr>
            </w:pPr>
          </w:p>
          <w:p w14:paraId="444AEC56">
            <w:pPr>
              <w:widowControl/>
              <w:ind w:firstLine="420"/>
              <w:jc w:val="left"/>
              <w:textAlignment w:val="center"/>
              <w:rPr>
                <w:rFonts w:ascii="宋体" w:hAnsi="宋体" w:cs="宋体"/>
                <w:color w:val="auto"/>
                <w:kern w:val="0"/>
                <w:sz w:val="21"/>
                <w:szCs w:val="21"/>
                <w:lang w:bidi="ar"/>
              </w:rPr>
            </w:pPr>
          </w:p>
          <w:p w14:paraId="2A3D2E72">
            <w:pPr>
              <w:widowControl/>
              <w:ind w:firstLine="42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租赁负责人（签字）：                      （盖章）</w:t>
            </w:r>
          </w:p>
          <w:p w14:paraId="0B2452AB">
            <w:pPr>
              <w:widowControl/>
              <w:ind w:firstLine="420"/>
              <w:jc w:val="left"/>
              <w:textAlignment w:val="center"/>
              <w:rPr>
                <w:rFonts w:ascii="宋体" w:hAnsi="宋体" w:cs="宋体"/>
                <w:color w:val="auto"/>
                <w:kern w:val="0"/>
                <w:sz w:val="21"/>
                <w:szCs w:val="21"/>
                <w:lang w:bidi="ar"/>
              </w:rPr>
            </w:pPr>
          </w:p>
          <w:p w14:paraId="06D5CDC9">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c>
          <w:tcPr>
            <w:tcW w:w="4483"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78F2E675">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使用单位意见：</w:t>
            </w:r>
          </w:p>
          <w:p w14:paraId="55B6751C">
            <w:pPr>
              <w:widowControl/>
              <w:ind w:firstLine="420"/>
              <w:jc w:val="left"/>
              <w:textAlignment w:val="center"/>
              <w:rPr>
                <w:rFonts w:ascii="宋体" w:hAnsi="宋体" w:cs="宋体"/>
                <w:color w:val="auto"/>
                <w:kern w:val="0"/>
                <w:sz w:val="21"/>
                <w:szCs w:val="21"/>
                <w:lang w:bidi="ar"/>
              </w:rPr>
            </w:pPr>
          </w:p>
          <w:p w14:paraId="51E0B4EC">
            <w:pPr>
              <w:widowControl/>
              <w:ind w:firstLine="420"/>
              <w:jc w:val="left"/>
              <w:textAlignment w:val="center"/>
              <w:rPr>
                <w:rFonts w:ascii="宋体" w:hAnsi="宋体" w:cs="宋体"/>
                <w:color w:val="auto"/>
                <w:kern w:val="0"/>
                <w:sz w:val="21"/>
                <w:szCs w:val="21"/>
                <w:lang w:bidi="ar"/>
              </w:rPr>
            </w:pPr>
          </w:p>
          <w:p w14:paraId="12AF0EAC">
            <w:pPr>
              <w:widowControl/>
              <w:ind w:firstLine="42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项目技术负责人或机械员（签字）            （盖章）</w:t>
            </w:r>
          </w:p>
          <w:p w14:paraId="64F6386C">
            <w:pPr>
              <w:widowControl/>
              <w:ind w:firstLine="420"/>
              <w:jc w:val="left"/>
              <w:textAlignment w:val="center"/>
              <w:rPr>
                <w:rFonts w:ascii="宋体" w:hAnsi="宋体" w:cs="宋体"/>
                <w:color w:val="auto"/>
                <w:kern w:val="0"/>
                <w:sz w:val="21"/>
                <w:szCs w:val="21"/>
                <w:lang w:bidi="ar"/>
              </w:rPr>
            </w:pPr>
          </w:p>
          <w:p w14:paraId="22BADFAE">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r>
      <w:tr w14:paraId="0B7F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935"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00ADC615">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安装单位意见：</w:t>
            </w:r>
          </w:p>
          <w:p w14:paraId="459DA85D">
            <w:pPr>
              <w:widowControl/>
              <w:ind w:firstLine="0" w:firstLineChars="0"/>
              <w:jc w:val="left"/>
              <w:textAlignment w:val="center"/>
              <w:rPr>
                <w:rFonts w:hint="eastAsia" w:ascii="宋体" w:hAnsi="宋体" w:cs="宋体"/>
                <w:color w:val="auto"/>
                <w:kern w:val="0"/>
                <w:sz w:val="21"/>
                <w:szCs w:val="21"/>
                <w:lang w:bidi="ar"/>
              </w:rPr>
            </w:pPr>
          </w:p>
          <w:p w14:paraId="1A710226">
            <w:pPr>
              <w:widowControl/>
              <w:ind w:firstLine="420"/>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 技术负责人（或受委托负责人）（签字）      （盖章）</w:t>
            </w:r>
          </w:p>
          <w:p w14:paraId="5F997E79">
            <w:pPr>
              <w:widowControl/>
              <w:ind w:firstLine="420"/>
              <w:textAlignment w:val="center"/>
              <w:rPr>
                <w:rFonts w:ascii="宋体" w:hAnsi="宋体" w:cs="宋体"/>
                <w:color w:val="auto"/>
                <w:kern w:val="0"/>
                <w:sz w:val="21"/>
                <w:szCs w:val="21"/>
                <w:lang w:bidi="ar"/>
              </w:rPr>
            </w:pPr>
          </w:p>
          <w:p w14:paraId="5A7FEC65">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c>
          <w:tcPr>
            <w:tcW w:w="4483"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088301B5">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监理单位意见：</w:t>
            </w:r>
          </w:p>
          <w:p w14:paraId="67F134B1">
            <w:pPr>
              <w:widowControl/>
              <w:ind w:firstLine="0" w:firstLineChars="0"/>
              <w:jc w:val="left"/>
              <w:textAlignment w:val="center"/>
              <w:rPr>
                <w:rFonts w:hint="eastAsia" w:ascii="宋体" w:hAnsi="宋体" w:cs="宋体"/>
                <w:color w:val="auto"/>
                <w:kern w:val="0"/>
                <w:sz w:val="21"/>
                <w:szCs w:val="21"/>
                <w:lang w:bidi="ar"/>
              </w:rPr>
            </w:pPr>
          </w:p>
          <w:p w14:paraId="4DD608EB">
            <w:pPr>
              <w:widowControl/>
              <w:ind w:firstLine="42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总监或专业监理工程师（签字）：             （盖章）</w:t>
            </w:r>
          </w:p>
          <w:p w14:paraId="18F73B6F">
            <w:pPr>
              <w:widowControl/>
              <w:ind w:firstLine="420"/>
              <w:jc w:val="left"/>
              <w:textAlignment w:val="center"/>
              <w:rPr>
                <w:rFonts w:ascii="宋体" w:hAnsi="宋体" w:cs="宋体"/>
                <w:color w:val="auto"/>
                <w:kern w:val="0"/>
                <w:sz w:val="21"/>
                <w:szCs w:val="21"/>
                <w:lang w:bidi="ar"/>
              </w:rPr>
            </w:pPr>
          </w:p>
          <w:p w14:paraId="76212920">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r>
    </w:tbl>
    <w:p w14:paraId="36249EAB">
      <w:pPr>
        <w:ind w:firstLine="480"/>
        <w:rPr>
          <w:color w:val="auto"/>
        </w:rPr>
      </w:pPr>
    </w:p>
    <w:p w14:paraId="3E8E7E45">
      <w:pPr>
        <w:pStyle w:val="30"/>
        <w:rPr>
          <w:color w:val="auto"/>
        </w:rPr>
      </w:pPr>
    </w:p>
    <w:p w14:paraId="54D38CB8">
      <w:pPr>
        <w:pStyle w:val="30"/>
        <w:rPr>
          <w:color w:val="auto"/>
        </w:rPr>
      </w:pPr>
    </w:p>
    <w:p w14:paraId="267231BE">
      <w:pPr>
        <w:pStyle w:val="2"/>
        <w:numPr>
          <w:ilvl w:val="0"/>
          <w:numId w:val="0"/>
        </w:numPr>
        <w:ind w:leftChars="0"/>
        <w:jc w:val="center"/>
        <w:outlineLvl w:val="0"/>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3E10082">
      <w:pPr>
        <w:pStyle w:val="2"/>
        <w:numPr>
          <w:ilvl w:val="0"/>
          <w:numId w:val="0"/>
        </w:numPr>
        <w:ind w:leftChars="0"/>
        <w:jc w:val="center"/>
        <w:outlineLvl w:val="0"/>
        <w:rPr>
          <w:color w:val="auto"/>
        </w:rPr>
      </w:pPr>
      <w:bookmarkStart w:id="278" w:name="_Toc19740"/>
      <w:r>
        <w:rPr>
          <w:rFonts w:hint="eastAsia"/>
          <w:color w:val="auto"/>
          <w:lang w:val="en-US" w:eastAsia="zh-CN"/>
        </w:rPr>
        <w:t>9</w:t>
      </w:r>
      <w:r>
        <w:rPr>
          <w:rFonts w:hint="eastAsia"/>
          <w:color w:val="auto"/>
        </w:rPr>
        <w:t>应急处置</w:t>
      </w:r>
      <w:r>
        <w:rPr>
          <w:rFonts w:hint="eastAsia"/>
          <w:color w:val="auto"/>
          <w:lang w:eastAsia="zh-CN"/>
        </w:rPr>
        <w:t>措施</w:t>
      </w:r>
      <w:bookmarkEnd w:id="239"/>
      <w:bookmarkEnd w:id="240"/>
      <w:bookmarkEnd w:id="278"/>
    </w:p>
    <w:p w14:paraId="0CE4AE36">
      <w:pPr>
        <w:pStyle w:val="3"/>
        <w:numPr>
          <w:ilvl w:val="0"/>
          <w:numId w:val="0"/>
        </w:numPr>
        <w:outlineLvl w:val="1"/>
        <w:rPr>
          <w:rFonts w:hint="eastAsia"/>
          <w:color w:val="auto"/>
        </w:rPr>
      </w:pPr>
      <w:bookmarkStart w:id="279" w:name="_Toc4766"/>
      <w:bookmarkStart w:id="280" w:name="_Toc32162"/>
      <w:bookmarkStart w:id="281" w:name="_Toc5851"/>
      <w:bookmarkStart w:id="282" w:name="_Toc10409838"/>
      <w:r>
        <w:rPr>
          <w:rFonts w:hint="eastAsia"/>
          <w:color w:val="auto"/>
          <w:lang w:val="en-US" w:eastAsia="zh-CN"/>
        </w:rPr>
        <w:t xml:space="preserve">9.1 </w:t>
      </w:r>
      <w:r>
        <w:rPr>
          <w:rFonts w:hint="eastAsia"/>
          <w:color w:val="auto"/>
        </w:rPr>
        <w:t>危险源辨识</w:t>
      </w:r>
      <w:bookmarkEnd w:id="279"/>
      <w:bookmarkEnd w:id="280"/>
      <w:bookmarkEnd w:id="281"/>
      <w:bookmarkEnd w:id="282"/>
    </w:p>
    <w:p w14:paraId="050712E7">
      <w:pPr>
        <w:pStyle w:val="48"/>
        <w:keepNext w:val="0"/>
        <w:keepLines w:val="0"/>
        <w:pageBreakBefore w:val="0"/>
        <w:widowControl/>
        <w:kinsoku/>
        <w:wordWrap/>
        <w:overflowPunct/>
        <w:topLinePunct w:val="0"/>
        <w:autoSpaceDE/>
        <w:autoSpaceDN/>
        <w:bidi w:val="0"/>
        <w:adjustRightInd w:val="0"/>
        <w:snapToGrid w:val="0"/>
        <w:ind w:left="0" w:leftChars="0" w:firstLine="482" w:firstLineChars="200"/>
        <w:textAlignment w:val="auto"/>
        <w:outlineLvl w:val="2"/>
        <w:rPr>
          <w:rFonts w:hint="eastAsia" w:ascii="宋体" w:hAnsi="宋体" w:eastAsia="宋体" w:cs="宋体"/>
          <w:b/>
          <w:color w:val="auto"/>
          <w:szCs w:val="21"/>
          <w:lang w:val="en-US" w:eastAsia="zh-CN"/>
        </w:rPr>
      </w:pPr>
      <w:r>
        <w:rPr>
          <w:rFonts w:hint="eastAsia" w:ascii="宋体" w:hAnsi="宋体" w:eastAsia="宋体" w:cs="宋体"/>
          <w:b/>
          <w:bCs/>
          <w:color w:val="auto"/>
          <w:kern w:val="2"/>
          <w:sz w:val="24"/>
          <w:szCs w:val="24"/>
          <w:lang w:val="en-US" w:eastAsia="zh-CN" w:bidi="ar-SA"/>
        </w:rPr>
        <w:t>9.1.1危险因素辨识</w:t>
      </w:r>
      <w:r>
        <w:rPr>
          <w:rFonts w:hint="eastAsia" w:ascii="宋体" w:hAnsi="宋体" w:eastAsia="宋体" w:cs="宋体"/>
          <w:b/>
          <w:color w:val="auto"/>
          <w:szCs w:val="21"/>
          <w:lang w:val="en-US" w:eastAsia="zh-CN"/>
        </w:rPr>
        <w:t>及评价</w:t>
      </w:r>
    </w:p>
    <w:p w14:paraId="40796811">
      <w:pPr>
        <w:pStyle w:val="48"/>
        <w:keepNext w:val="0"/>
        <w:keepLines w:val="0"/>
        <w:pageBreakBefore w:val="0"/>
        <w:widowControl/>
        <w:kinsoku/>
        <w:wordWrap/>
        <w:overflowPunct/>
        <w:topLinePunct w:val="0"/>
        <w:autoSpaceDE/>
        <w:autoSpaceDN/>
        <w:bidi w:val="0"/>
        <w:adjustRightInd w:val="0"/>
        <w:snapToGrid w:val="0"/>
        <w:ind w:left="0" w:leftChars="0" w:firstLine="482" w:firstLineChars="200"/>
        <w:jc w:val="center"/>
        <w:textAlignment w:val="auto"/>
        <w:outlineLvl w:val="9"/>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表9.1-1 中交二航局建筑公司危险有害因素辨识及评价表</w:t>
      </w:r>
    </w:p>
    <w:tbl>
      <w:tblPr>
        <w:tblStyle w:val="2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9"/>
        <w:gridCol w:w="471"/>
        <w:gridCol w:w="3"/>
        <w:gridCol w:w="5227"/>
        <w:gridCol w:w="1199"/>
        <w:gridCol w:w="314"/>
        <w:gridCol w:w="284"/>
        <w:gridCol w:w="481"/>
        <w:gridCol w:w="404"/>
        <w:gridCol w:w="481"/>
        <w:gridCol w:w="586"/>
        <w:gridCol w:w="389"/>
        <w:gridCol w:w="1033"/>
        <w:gridCol w:w="1337"/>
        <w:gridCol w:w="1284"/>
      </w:tblGrid>
      <w:tr w14:paraId="25654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0E9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作业活动单元</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4B8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活动</w:t>
            </w:r>
          </w:p>
          <w:p w14:paraId="2B2321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内容</w:t>
            </w:r>
          </w:p>
        </w:tc>
        <w:tc>
          <w:tcPr>
            <w:tcW w:w="18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7DD5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可能存在的隐患</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6D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潜在事故</w:t>
            </w:r>
          </w:p>
          <w:p w14:paraId="25CF71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类型</w:t>
            </w:r>
          </w:p>
        </w:tc>
        <w:tc>
          <w:tcPr>
            <w:tcW w:w="9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5C99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危险、有害因素评价</w:t>
            </w:r>
          </w:p>
        </w:tc>
        <w:tc>
          <w:tcPr>
            <w:tcW w:w="1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8BE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危害</w:t>
            </w:r>
          </w:p>
          <w:p w14:paraId="73DBD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级别</w:t>
            </w:r>
          </w:p>
        </w:tc>
        <w:tc>
          <w:tcPr>
            <w:tcW w:w="364" w:type="pct"/>
            <w:vMerge w:val="restart"/>
            <w:tcBorders>
              <w:top w:val="single" w:color="000000" w:sz="4" w:space="0"/>
              <w:left w:val="single" w:color="000000" w:sz="4" w:space="0"/>
              <w:right w:val="single" w:color="000000" w:sz="4" w:space="0"/>
            </w:tcBorders>
            <w:shd w:val="clear" w:color="auto" w:fill="auto"/>
            <w:vAlign w:val="center"/>
          </w:tcPr>
          <w:p w14:paraId="6A5E5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风险等级类别及色标</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3DD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现行法律法规</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7506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控制方法</w:t>
            </w:r>
          </w:p>
        </w:tc>
      </w:tr>
      <w:tr w14:paraId="7059A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56D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E3B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D0A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AB6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2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8CD3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直接</w:t>
            </w:r>
          </w:p>
          <w:p w14:paraId="3E8AFF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判断</w:t>
            </w:r>
          </w:p>
        </w:tc>
        <w:tc>
          <w:tcPr>
            <w:tcW w:w="68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895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D=LEC</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5B7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right w:val="single" w:color="000000" w:sz="4" w:space="0"/>
            </w:tcBorders>
            <w:shd w:val="clear" w:color="auto" w:fill="auto"/>
            <w:vAlign w:val="center"/>
          </w:tcPr>
          <w:p w14:paraId="5E1E89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410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D82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2C2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674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1C4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FC3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5E3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936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是</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76F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非</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858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L</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AB1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E</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E4E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C</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56C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02B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bottom w:val="single" w:color="000000" w:sz="4" w:space="0"/>
              <w:right w:val="single" w:color="000000" w:sz="4" w:space="0"/>
            </w:tcBorders>
            <w:shd w:val="clear" w:color="auto" w:fill="auto"/>
            <w:vAlign w:val="center"/>
          </w:tcPr>
          <w:p w14:paraId="2F3613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077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59A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474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6897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EFD5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C5C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B72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2E6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E61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0A4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294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9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841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BB5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1004BF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0B0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FFD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6966D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9E7F8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8310C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221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67A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303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2F3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转移工地重新安装的垂直运输机械，在交付使用前，未按有关标准进行试验、检验并对各安全装置的可靠度及灵敏度进行测试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660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76C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55E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06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85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970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1D7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90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7AFE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E48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FB8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313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002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C07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E49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49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D54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AC7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10E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871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993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67D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C1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75EFC3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DD2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E1C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AA0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0D1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EFD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3C0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用不允许载人的施工升降机提升和降落过程中载人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E77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2DD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48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DFD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5D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48D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45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40B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A9F9B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252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802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867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D57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72F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D94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起重机司机及信号指挥人员未经专业培训、考核合格未取得有关部门颁发的操作证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C42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7C2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00A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9A9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F23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0A2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548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55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092B0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155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23C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0C2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016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C46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7FF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每班作业前，起重机司机未对制动器、钢丝绳及安全装置进行检查，各机构进行空载运转，发现不正常时，排除未及时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39B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3F2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2C1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0F3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DC1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85D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52A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AA9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40A0F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B82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FA0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1B3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D47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848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AD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起重机司机开机前，未鸣铃示警</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AAB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906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EEC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267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C8C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9CD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E9A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B35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C0A42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771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EC5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9FE9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8C2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0FD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32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未按照垂直运输机械出厂说明书规定的技术性能、使用条件正确操作，超载作业或扩大使用范围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3C3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5B2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F0A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460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F2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362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525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042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9261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16F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4C1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5B11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AA0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9F7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A1C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起重机处于工作状态时，进行保养、维修及人工润滑作业。当需进行维修作业时，未在醒目位置挂警示牌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25B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AFD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3AB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850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981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361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26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F76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8A7AB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ADF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7A3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B18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014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7D9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B6C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作业中起重机司机擅自离开岗位或交给非本机的司机操作。工作结束后未将所有控制手柄扳至零位，断开主电源，锁好电箱</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CD3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22A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7C7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B9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E6D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C0A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DB3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EF5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3BD9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F35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D3D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95A8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3B1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292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DA3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维修更换零部件与原垂直运输机械零部件的材料、性能不同；外购件无材质、性能说明；材料代用降低原设计规定的要求；维修后，未按相关标准要求试验合格；机械维修资料未纳入该机设备档案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994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530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D74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16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1D4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6F3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3F7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8FA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E527D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B57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160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939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09E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4B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F48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F8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269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2E5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5AC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192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6FE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7DE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3C5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5853A4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807A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E555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4C070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53436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4CB9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71B0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11C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E5C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1CE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安装及拆卸作业前，未认真研究作业方案，未按照架设程序分工负责，统一指挥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3B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FFF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71A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5AE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56A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69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0A4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6E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B0A3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318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578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2EBC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8CF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09E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718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安装塔式起重机未保证安装过程中各种状态下的稳定性，未使用专用螺栓，随意代用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405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D2C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2A5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5F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A46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67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7AD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15F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74D1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259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15E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0B4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F25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25D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C0A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旋转塔身方法进行整体安装及拆卸时，未保证自身的稳定性。未详细规定架设程序与安全措施，未对主、副地锚的埋设位置、受力性能以及钢丝绳穿绕、起升机构制动等应进行检查，未排除塔式起重机旋转过程中障碍，塔式起重机旋转中途停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203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87A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B0E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7D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59C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40E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84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856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EAB14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A58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C59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BD5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5D4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7F3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5F7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95B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F04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2D3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D02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C7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F3B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234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D4B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5BAA0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CA6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813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528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B7F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F8E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6DD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作业时未遵守下列规定：即液压系统应空载运转，并检查和排净系统内的空气；应按说明书规定调整顶升套架滚轮与塔身标准节的间隙，使起重臂力矩与平衡臂力矩保持平衡符合说明书要求，并将回转机构制动住；顶升作业应随时监视液压系统压力及套架与标准节间的滚轮间隙。顶升过程中严禁起重机回转和其他作业；顶升作业应在白天进行，风力在四级及以上时必须立即停止，并应紧固上、下塔身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87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A95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159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764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86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A05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E8B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7AB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lang w:val="en-US"/>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0C30C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218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171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602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30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DA1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D35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塔机安装前没有进行全面的检查，并确认合格。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F51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248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121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45A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A75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9B1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8A5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884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lang w:val="en-US" w:eastAsia="zh-CN"/>
              </w:rPr>
            </w:pPr>
            <w:r>
              <w:rPr>
                <w:rFonts w:hint="eastAsia" w:ascii="宋体" w:hAnsi="宋体" w:eastAsia="宋体" w:cs="宋体"/>
                <w:b w:val="0"/>
                <w:bCs w:val="0"/>
                <w:i w:val="0"/>
                <w:iCs w:val="0"/>
                <w:color w:val="auto"/>
                <w:sz w:val="18"/>
                <w:szCs w:val="18"/>
                <w:u w:val="none"/>
                <w:lang w:val="en-US" w:eastAsia="zh-CN"/>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AA401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B20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92D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E30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10E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B11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170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安装前没有对基础进行验收。基础周围没有排水设施。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87F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55F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5D7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EF0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23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92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85F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95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B78AE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15A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75C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A4B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6AE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583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A73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行走式塔式起重机的轨道及基础没有按使用说明书的要求进行设置。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8D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BCC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588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5A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B56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7E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E4F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F6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8EC19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0D9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6C2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ED7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432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8FF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1FC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没有对内爬式塔机的建筑承载结构进行验算。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B50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FE2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BAF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06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F3E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0EA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EB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E1F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D774B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12A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48F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869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65A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AF2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ACA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附着装置的设置和自由端高度不符合使用说明书的规定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1E3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22F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F70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1DC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638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928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B3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404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7C33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8DB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C60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8FB0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EC6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1EF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5F0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当附着水平距离、附着间距等不满足使用说明书的要求时，没有进行设计计算、绘制制作图、编写相关说明。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4E5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089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BA8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3F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21A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BD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7C1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8BA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1411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B4C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6BC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D29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607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000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29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附着装置的构件和预埋件不是由原制造厂家或具有相应能力的企业制造。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68E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300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88A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B93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72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898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C56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05B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15F6E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4C1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477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7CE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BEF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184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7EE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附着装置设计时，没有对支承处的建筑主体结构进行验算。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708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E5D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A37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A9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D3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1C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571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323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50C4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20A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0CA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863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D54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55F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439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4B7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A31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279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0C9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580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AC1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F26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41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41E2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2CB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AAD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3BE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732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363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802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安装作业未按照专项方案要求实施。安装前未对安装作业人员进行安全技术交底。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D37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659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8A9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F4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5B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B4C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1D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6B4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4CA95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FD3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EF8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135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228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AB7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C9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4A3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25F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17D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38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15C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AA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63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5F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91DCB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F4A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D6F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755C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06E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373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77E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775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BCB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952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818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95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BBE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6D8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D22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4F79E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CF2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7A5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5A7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ED5E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FB41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695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雨雪、浓雾天气没有停止安装作业。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697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B40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3F9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C11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C5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D8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3A2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186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051A9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0EAD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CEB3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0542BE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7CE6FE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77C900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F097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096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A22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066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540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302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9F5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17A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970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E3D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F4B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38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E1707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93B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756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DE29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750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6CC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79B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当需要在夜间进行</w:t>
            </w:r>
            <w:r>
              <w:rPr>
                <w:rFonts w:hint="eastAsia" w:ascii="宋体" w:hAnsi="宋体" w:cs="宋体"/>
                <w:b w:val="0"/>
                <w:bCs w:val="0"/>
                <w:i w:val="0"/>
                <w:iCs w:val="0"/>
                <w:color w:val="auto"/>
                <w:kern w:val="0"/>
                <w:sz w:val="18"/>
                <w:szCs w:val="18"/>
                <w:u w:val="none"/>
                <w:lang w:val="en-US" w:eastAsia="zh-CN" w:bidi="ar"/>
              </w:rPr>
              <w:t>安装</w:t>
            </w:r>
            <w:r>
              <w:rPr>
                <w:rFonts w:hint="eastAsia" w:ascii="宋体" w:hAnsi="宋体" w:eastAsia="宋体" w:cs="宋体"/>
                <w:b w:val="0"/>
                <w:bCs w:val="0"/>
                <w:i w:val="0"/>
                <w:iCs w:val="0"/>
                <w:color w:val="auto"/>
                <w:kern w:val="0"/>
                <w:sz w:val="18"/>
                <w:szCs w:val="18"/>
                <w:u w:val="none"/>
                <w:lang w:val="en-US" w:eastAsia="zh-CN" w:bidi="ar"/>
              </w:rPr>
              <w:t>作业时，没有保证提供足够的照明。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F2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1F5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11D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AFA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800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BB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45E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55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6D0EB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484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DEB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6E56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B56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A95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08F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当遇特殊情况安装作业不能连续进行时，没有将已安装的部位固定牢靠并达到安全状态。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A1B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592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6D2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0D1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8ED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252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2F7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F96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A3662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923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CAF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7F3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C86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9C5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CA0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塔机的安全装置不齐全，没有按程序进行调试合格。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152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4E9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042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935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C2E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FCA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C3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8B3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79F4C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EEA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9F8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B9AA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DBE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CA0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610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60D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0C4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B93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101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A19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08E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973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DCD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118BC4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7A1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C40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FA93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E32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046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23A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连接件及防松脱件没有用扭力扳手或专用工具紧固连接螺栓。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FA0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1D6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D25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89F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B96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4F9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8E4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EA0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927AB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04D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A38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4C54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53E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57F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F09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安装单位自检合格后，没有委托有资质的检验检测机构检测合格。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B51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69D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2E2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135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F97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9C6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90E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5C6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C6939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597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7FA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39B6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603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304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FB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经自检、检测合格后，没有由总承包单位组织出租、安装、使用、监理等单位验收合格。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D2B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28C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E57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2CE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07D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EA6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882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ACE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1AF04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5A2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827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E93B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421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102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A0B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塔机停用6个月以上的，没有重新进行验收。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C5C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A85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E93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C4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DE1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E3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AA6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E0C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DD764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7E2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0D3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309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14B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359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9D3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当遇特殊情况拆卸作业不能继续时，没有采取措施保证塔机处于安全状态。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DEE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E10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E0C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C3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771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0AA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241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AF7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DDC1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2A6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E1F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094C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C20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E02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F5B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当用于拆卸作业的辅助设备设置在建筑物上时，没有对辅助起重设备的安全性及建筑物的承载能力等进行验算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1E7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DCA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38C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982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69C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574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CF1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C92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68A5D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D42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110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2BD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6B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64E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BC8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拆除作业未按照专项方案要求实施。拆除前未对安装作业人员进行安全技术交底。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F26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643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01B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BBA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83A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66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65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97F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9575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440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A8A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0004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A36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C17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35B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CBE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07C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271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382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557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660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2C0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284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E622A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ACC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AE4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BB3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E4C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B17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4D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雨雪、浓雾天气没有停止拆除作业。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92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DF6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BCE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22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3C1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5EC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A5E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DEF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B9798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58E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EEA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D26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690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70C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FE0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18D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FEA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DDD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D98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5A3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DB6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8DC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503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D3B7A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046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A65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FB2F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4A0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10E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81B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当遇特殊情况拆除作业不能连续进行时，没有将已安装的部位固定牢靠并达到安全状态。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471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FE4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F16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317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C6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816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979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A73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C9578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C75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C9F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F9E1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4B4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B51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1D1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附着式塔机没有明确附着装置的拆卸顺序和方法。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DB7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DAB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80E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FA0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1E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10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859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220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A72D3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F50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37D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206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C6D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11E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08C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自升式塔机每次降节前，没有检查顶升系统和附着装置的连接等。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07F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356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67B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E79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9BC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2C8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2D7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7A8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9FA33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631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00B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B904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41A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56F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5F2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拆卸时没有按照先降节，后拆除附着装置的顺序施工。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A85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DBD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143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1EF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A3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0D6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3F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CA5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69A52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3E3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9F3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4F7C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8B8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AAE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74B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塔式起重机未按照现行国家标准《塔式起重机安全规程》GB5144及说明书规定，安装起重力矩限制器、起重量限制器、幅度限制器、起升高度限制器、回转限制器、行走限位开关及夹轨器等安全装置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89F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F77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2DC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5FE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86E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E3D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470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B7A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08000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944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BF9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DD6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B8F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AC7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E11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塔式起重机作业前，应检查轨道及清理障碍物；检查金属结构、连接螺栓及钢丝绳磨损情况；送电前，各控制器手柄应在零位，空载运转，试验各机构及安全装置并确认正常。</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282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328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438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940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453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3B7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E2E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651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861BF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471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648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7F4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FB0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A3F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B85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塔式起重机作业时超载、斜拉和起吊埋在地下等不明重量的物件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4CC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790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5FF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0E7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436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2FF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EC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94C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C66F4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C82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178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2B80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81B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2AA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936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吊运散装物件时，未制作专用吊笼或容器。吊笼或容器在使用前未按允许承载能力的两倍荷载进行试验，使用中未定期进行检查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DF1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1F1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3E8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7CD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800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1D9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B1C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D2A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72414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D7F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AB5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DBA5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BBE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3BC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678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吊运多根钢管、钢筋等细长材料时，未确认吊索绑扎牢靠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7EC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B83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604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62D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8B8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036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3B6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FBB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5FF11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88B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947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3C5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A76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412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5A2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两台及两台以上塔式起重机之间的（包括吊物）的距离小于2m。当不能满足要求时，未采取调整相临塔式起重机的工作高度、加设行程限位、回转限位装置等措施，未制定交叉作业的操作规程；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128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8C5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7C3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5AA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EA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7FF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F3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D19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7ACF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46E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2ED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06D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ACD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E16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23D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塔式起重机在弯道上进行吊装作业或吊物行走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CA0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64F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009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0E3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EB5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D16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176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892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F8911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2A8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33B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3EB0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C67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315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30E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轨道式塔式起重机的供电电缆拖地行走；沿塔身垂直悬挂的电缆，未使用不被电缆自重拉伤和磨损的可靠装置悬挂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4F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CF0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2B8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A5C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48D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A1D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E8B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5D8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F3863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EB3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2B4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9AE8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943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171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751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作业完毕，塔式起重机未停放在轨道中间位置，起重臂未转到顺风方向，未松开回转制动器，起重小车及平衡重未置于非工作状态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F25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216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859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C38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29A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950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EBE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5B4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A0764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94A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290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29E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B88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B8F7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695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参加起重吊装作业人员,包括司机、起重工、信号指挥、电焊工等未经专业培训考核取得合格证、未经体检进行高空作业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0D6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573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1ED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A7F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A30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2C9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F07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22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592BD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9F9E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75C4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1D2F5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6E68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10EFB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8B6A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279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8A3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D199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0C6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661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F49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763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300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0D6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54B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EEE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4BAA6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2B3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74E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779A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B2E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685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6D3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起重机械进入现场后未经检查验收，重新组装的起重机械未按规定进行试运转，未对各种安全装置进行灵敏度可靠度的测试。扒杆按方案组装后未经试吊检验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6BE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FF1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FD6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32B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D4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5BD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3B6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1DA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0A4E9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F0C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DC5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36DA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EDB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1C3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6F38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汽车式起重机未按规定进行定期的维修保养，未每年定期进行运转试验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221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AF6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BF9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F08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514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25E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1AE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51F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87BC0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DFD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202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AF3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910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412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DEE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起重吊装索具吊具使用前未按施工方案设计要求进行逐件检查验收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CDF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245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DD3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3E1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163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CE2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4CC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187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CD275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FA7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EB9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939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CE1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A0F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85BD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起重机运行道路未进行检查，达不到地耐力要求时未采用路基箱等铺垫措施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F23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484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E65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29D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205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943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D5A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47D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19E90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06D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B9C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B81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326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8DF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CEB8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起重吊装各种防护措施用料、脚手架的搭设以及危险作业区的围圈等准备工作不符合方案要求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892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521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39F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267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CA2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E9C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182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518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A3A28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596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B08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6597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28D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CC0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7D6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67B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524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0F4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C93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15E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936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7EE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826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078D6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6DF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3DF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7F0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433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901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BC9B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当进行高处吊装作业或司机不能清楚地看到作业地点或信号时，未设置信号传递人员。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78E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489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A08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B7E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C2B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B65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395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67B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CD3FB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591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D98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972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1F7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AE5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6166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起重吊装高处作业人员未佩带工具袋，随意抛掷物品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8B0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F74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115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5FE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C3F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522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8CD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3E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1C698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83C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0A4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B65A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7DD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2ED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AD30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起重吊装钢丝绳允许拉力安全系数不符合规范要求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6CB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675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C35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A55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C1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5B7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031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AE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ADCE4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2B9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269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E76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810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574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索具设备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7AEE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钢丝绳的连接强度小于其破断拉力的80%；当采用绳卡连接时，未按照钢丝绳直径选用绳卡规格及数量，绳卡压板未在钢丝绳长头一边，当采用编结连接时，编结长度小于钢丝绳直径的15倍，小于300mm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64D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3F7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B1C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F0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B1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B6D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D48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0FC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8C93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F18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DFA3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EBE01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5F604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03159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9474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EF1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1B8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93C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钢丝绳出现磨损断丝时，未减载使用，当磨损断丝达到报废标准时，未及时更换合格钢丝绳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B81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409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F12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46B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3CB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E55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7A4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892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B30F4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FF3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717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0029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C05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8EF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FA0F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未根据构件的重量、长度及吊点合理制作吊索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2D2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D2A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87B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8F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EDE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575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722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6A7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63F32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337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B13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F6C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2E9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BE2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5EA3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吊具（铁扁担）的设计制作无足够的强度及刚度，吊索受力不均匀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9D9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850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A94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EB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B6A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AE3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CD3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29F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00959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F11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DE1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F67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6CA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167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AFF3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未正确使用吊钩，使用焊接钩、钢筋钩，当吊钩挂绳断面处磨损超过高度10%时未及时报废。</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BCB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916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679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2B7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2FF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4ED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CE4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C3E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2E5F5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FC4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D44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FBF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630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B8E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D85D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未按照钢丝绳直径及工作类型选用滑车，滑车直径与钢丝绳直径比值小于15</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FBE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31A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BA4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47F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FAB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29E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09B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F21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AA404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CC0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7B2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67A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0B9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21A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E075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千斤顶底部未放平，未在底部及顶部加垫木板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9D1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D1F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F7D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3EF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70B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FB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0AD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A2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BD6D7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ED5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006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A0A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002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14F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FB86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千斤顶超负荷使用，顶升高度超过活塞的标志线或活塞总高度的3/4</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0F5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E10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9D1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56E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DFA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A05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C16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58C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C8BA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6B9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8D8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ADB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C0A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18D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2A70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多台千斤顶联合使用时，未采用同一型号千斤顶，各千斤顶不同步，有的千斤顶的起升能力小于计算承载力的1.2倍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704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544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045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02E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875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797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18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073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7547D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3F4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491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63B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5E6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DC8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23AA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顶升过程中未随构件的升高及时用枕木垫牢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420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9E7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5D7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7B4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D12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388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C10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BDA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38D4B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A29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1BB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AD75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018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49C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D879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用手拉葫芦前未空载检查，挂上重物后未慢慢拉动进行负荷检查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7EB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B91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F7C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11D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72E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80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D2C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CF1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640D8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2B8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433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B663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348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FC6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5432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手拉葫芦拉链方向与链轮不一致，拉动速度不均匀，拉不动时未查明原因采取增加人数强拉的方法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9E3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5B8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3A3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549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AD5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C7D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2A1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47E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9A507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760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FD2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BA8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016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8B5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99C9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手拉葫芦起重中途停止时间较长时，未将手拉小链拴在链轮的大链上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D53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3F3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24B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66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50F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A3C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57C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82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4D485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7A2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DCC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2B7B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3AF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574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E190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手搬葫芦钢丝绳未选用钢芯钢丝绳，有扭结、接头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ED5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1F5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4A4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EFF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F24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0A1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F71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E4D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DD336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6E5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8B3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238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4FE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215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A403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采用加长搬把手柄的方法操作</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447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B24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5EF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311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34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3D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21F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300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568DE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CD9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285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EA9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360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A20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A2FC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当使用牵拉重物的手搬葫芦用于载人的吊篮时，其载重能力未降为额载荷的1/3，未加装自锁夹钳装置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DBC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DA0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558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45D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81D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2F2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A48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C36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58AA1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7A1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0C4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03F3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40D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F23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F583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绞磨未与地锚连接牢固，受力后倾斜和悬空，起重钢丝绳在卷筒上缠绕少于4圈，工作时，未设专人拉紧卷筒后面绳头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F7C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236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42C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9B7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C5F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2FF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CE6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4FE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31C99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0C7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0D2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954D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68E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1A9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BBEA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绞磨未装设制动器，当绞磨暂时停止转动时未用制动器锁住，推杠人员随意离开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931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0DE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9DA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6B9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483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FC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04C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28B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8C757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A91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7FC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004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1F5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683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26CC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松弛起重绳时，为采用推杠反方向旋转控制，采用松后尾拉绳的方法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C6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ECF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54C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D7E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0F9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1F8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F5C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0D5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4836A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E58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630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CB6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702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555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7B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地锚埋设的地面被水浸泡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051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002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269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7D3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C70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2F4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1B3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C5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56D25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CF3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56D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DEF4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C79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AED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A93A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木质地锚未选用落叶松、杉木等坚实木料，使用质脆或腐朽木料。埋设前未涂刷防腐油，未在钢丝绳捆绑处加钢管和角钢保护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B0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75D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801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8C9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B6C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E4B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42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7D7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9AB46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E60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8A6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2F9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F24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907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FB64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重要地锚或旧有地锚使用前未经试拉确认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D42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360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5D2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656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CBD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9CB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049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A49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A02AE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FF0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451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41C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DFE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BCA7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起重机吊装作业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209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当采用一个吊点起吊时，吊点未选择在构件重心以上，未使吊点与构件重心的连线和构件的横截面呈垂直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FCA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C8B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041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097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5B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9D1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D4B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E42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3ACE0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5FF1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AD3E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7918F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F905D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BA6C4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675B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178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00A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F34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当采用多个吊点起吊时，未使各吊点吊索拉力的合力作用点置于构件的重心以上，未使各吊索的汇交点（起重机的吊钩位置）与构件重心的连线和构件的支座面垂直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BD6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397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DA2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112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00A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4E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2F1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CBA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D161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C88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8F3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BCA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527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C66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7BFB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未根据建筑工程结构的跨度、吊装高度、构件重量以及作业条件和现有起重机类型、起重机的起重量、起升高度、工作半径、起重臂长度等工作参数选择起重机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677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EC9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3E3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172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92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777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FD8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E5F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F53A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AA1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7F3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F38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36F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960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B7B4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履带式起重机运到现场组装起重臂杆时，未将臂杆放置在枕木架上进行螺栓连接和穿绕钢丝绳作业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6EF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766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E91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CA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CE4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A18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DE3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DFB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5FA7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4F1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B27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E71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C24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BB5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3162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履带式起重机未按照现行国家标准《起重机械安全规程》GB6067和该机说明书的规定安装幅度指示器、超高限位器、力矩限制器等安全装置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568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2F4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71B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A7A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81D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46A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FCD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7B9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42296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3FD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D23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F257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E2D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796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0307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履带式起重机工作前未先空载运行检查，未检查各安全装置的灵敏可靠性。起吊进行试吊检验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96B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0FE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6F3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D05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53A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758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44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5CB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3771C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236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165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6BC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F47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E9C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3363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当履带式起重机接近满负荷作业时，起重臂杆与履带呈垂直方位；当起重机吊物做短距离行走时，吊重超过额定起重量的70%，吊物没有位于行车的正前方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C05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9B3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8E5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F0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42E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EA3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D26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247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12EA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10F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E8A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478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C11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67A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30F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履带式起重机采用双机抬吊作业时，未选用起重性能相似的起重机进行，单机的起吊载荷超过额定载荷的80%。两机吊索在作业中未保持竖直，未同步吊起载荷和同步落位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E7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BCB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050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DC2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98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6B3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944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585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BC217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296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A5A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876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C22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803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884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汽车、轮胎式起重机作业前未全部伸出支腿，未采用方木或铁板垫实，未调整水平度，未锁牢定位销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FFC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77B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BEB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54F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81D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23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F36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0B9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98922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F98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082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DBF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A31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F6E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184C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汽车、轮胎式起重机吊装作业时，汽车驾驶室内有人，重物超越驾驶室上方，在车前区吊装</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853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4E3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D9D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FFD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07E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69A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240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FC2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6D05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BBB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C8B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DD2E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7EE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92B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571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汽车、轮胎式起重机作业时，重物未垂直起吊，进行侧拉，臂杆吊物回转时动作过快</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034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C9F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517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E5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F3B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825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8FA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486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FF05E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AED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C52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AA65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A9B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0A8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6D61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汽车、轮胎式起重机吊物下降时为采用动力控制，下降停止前未减速，采用紧急制动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096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B65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811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36D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F72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E98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0BD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AAE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FAA5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B45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FA6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DA6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E0A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980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0791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当采用汽车、轮胎式起重臂杆的付杆作业时，付杆由原来叠放位置转向调直后，为确认付杆与主杆之间的连接定位销是否锁牢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AA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0E3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B19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724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2BE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488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554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AEB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74F3D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2EA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B64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D73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F39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4EC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643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汽车、轮胎式起重机的安全装置未按规定装设力矩限制器、超高限位器等安全装置，未装设偏斜调整和显示装置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82D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404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EF9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623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869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7AC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7C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297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544AD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04B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C49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8D0E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2EF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494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F413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汽车、轮胎式起重机行驶时，人员在底盘走台上站立或蹲坐，随意堆放物件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54B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交通事故、物体打击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FFC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509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CFA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11C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308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5DE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87E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44892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57A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04C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3E8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D8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施工机具</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13D7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DD64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电焊机露天放置无防雨设施。每台电焊机无专用开关箱，未使用断路器控制，一次侧未装设漏电保护器，二次侧未装设空载降压装置。焊机外壳未与PE线相连接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83C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93E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AC7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2EE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BD6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3D0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0F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743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A28BE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F1FE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《建筑机械使用安全技术规程》《建筑工程安全技术规范》《建筑施工高处作业安全技术规范》《建设工程施工现场消防安全技术规范》《施工现场临时用电安全技术规范》《重大危险源辨识》等。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C5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55F0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7FE570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0688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3C02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BAC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B0A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BF9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电焊机二次侧进行接地（接零）时，未将二次线圈与工件相接的一端接地（接零），而是将二次线圈与焊钳相接的一端接地（接零）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D1E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6DE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F89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514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5B2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25E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E9C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714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56706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E38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B4A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B6F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ABC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FF5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0B77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一次侧电源线长度超过5m，拖地，与焊机接线柱连接牢固，接线柱上部无防护罩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990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B3F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586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506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DE0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D57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9A6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9F2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229E6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76B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9FD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F2D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D9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02B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F43B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焊接电缆未使用防水橡皮护套多股铜芯软电缆，有接头，电缆经过通道和易受损伤场所时未采取保护措施。使用脚手架、金属栏杆、钢筋等金属物搭接代替导线使用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5BE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CEA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1BA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0AA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5F6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C26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A52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AE1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DE7A7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835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EF5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EBAB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8D5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C0C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4C6F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焊钳未采用合格产品，手柄无良好的绝缘和隔热性能，与电缆连接不牢靠。使用自制简易焊钳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885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795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14A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BA6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49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295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D70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FAD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855BD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518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3AC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6FCE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904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091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C646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焊工必须未培训合格持证操作，未按规定穿工作服、绝缘鞋、戴手套及面罩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C3A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EB5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328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AD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85A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ECC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C64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78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D29F2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3D3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82A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56E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A6E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D82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5F80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焊接场所通风不好，有易燃、易爆物，未采取防护措施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762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53A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669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D62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FA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2C5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730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8E8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07F41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867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42F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406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C35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78F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4156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焊修其它机电设备时未首先分断该机电设备的电源，未暂时拆除该机电设备的PE线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632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680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AC1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F00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7E1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9CA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2B1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62C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CAFA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9D7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014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99A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729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FD2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9004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下列作业情况未先分断电源：即改变焊机接头；更换焊件、改接二次回路；焊机转移作业地点；焊机检修；暂停工作或下班时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172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A42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D96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B89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EAC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95D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A9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FC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8192E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4D1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EF4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0B2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9BA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F8F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9A5E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氧气瓶无防护圈和安全帽，瓶阀粘有油脂。场内搬运未采用专门抬架或小推车，采用肩扛、高处滑下、地面滚动等方法搬运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5C1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0EE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81A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C8B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0B2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DDE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51E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19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64FE5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71C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A3D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55B5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AE9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5E5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E772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氧气瓶和其它可燃气瓶（如乙炔、液化石油等）同车运输和在一起存放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995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9D8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FD8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E31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285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45D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A30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FFD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7C1C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738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B90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ABF0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987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D89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81CC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氧气瓶距明火小于10m，瓶内气体全部用尽，未留有0.1Mpa以上的余压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C6C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69C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CBA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83A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370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E26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6AF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31E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3EDAC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E56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5C8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7E5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1E3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AEF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4E5E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夏季无防止爆晒，冬季当瓶阀、减压器、回火防止器发生冻结时用火焰烘烤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742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326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9F9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7F3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81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A78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ABA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AC8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99470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8E0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A34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CE6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5A2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63B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4B9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气焊作业未使用乙炔瓶，使用浮筒式乙炔罐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39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DA9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05E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45B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77C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B4E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FB2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FE6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994D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9A2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93A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211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FD9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AE3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081C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乙炔瓶存放和使用卧放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81C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4E6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D7E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0D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D4B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C1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E1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1ED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298D0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C48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B9D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0E57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D1B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26C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7144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乙炔瓶的环境温度超过40℃，夏季未防止爆晒，冬季发生冻结时，未采用温水解冻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965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68A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00D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E9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6B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BF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73C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2B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0BA98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CFC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46D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A8C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A48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94C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D79C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气焊、气割未使用专用胶管，通入其它气体和液体，两根胶管得混用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FB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6E8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456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A40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6C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C67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67B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4D5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DB7CE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28D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97D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C78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B41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DE2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6758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胶管两端未卡紧，有漏气，出现折裂未及时更换，胶管接触油脂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A68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873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631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DF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A28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AC0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A88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270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AB44F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16D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C3C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FA84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59B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0D9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E8B9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操作中发生胶管燃烧时，未首先确定哪根胶管，然后折叠、断气通路、关闭阀门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787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479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220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18C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E2A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AE7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56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E80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6ABBD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15C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83F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1E7D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1B9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250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37B8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氧气瓶和乙炔瓶未装减压器，使用前未进行检查，有松动、漏气、油污等。工作结束时未先关闭瓶阀，放掉余气，表针回零位，卸表妥善保管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3F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B69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11B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BE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03A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B3D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C7D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1B7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93DA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0DE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E50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CAB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34F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962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E6BA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乙炔瓶未安装回火防止器。当使用水封式回火防止器时，未经常检查水位，每天更换清水，检查泄压装置保持灵活完好；当使用干式回火防止器时，未经常检查灭火管具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EBC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AD8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D9F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850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CE3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488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7AD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A76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A884E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D3E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1C5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C902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18C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981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B1B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设备在容器、管道的焊补工作不符合下列规定：即凡可以拆卸的，应进行拆卸，移到安全区域作业；设备管道停工后，应用盲板截断与其相连接的其它出入管道；动火前，容器、管道必须彻底置换清洗；采用置换清洗时，应不断地从设备管道内外的不同地点采取空气样品检验，对置换后的结果，必须以化学分析报告为准；动火焊补时，应打开设备管道所有人孔、清扫孔等孔盖；进入设备管道内采用气焊作业时，点燃和熄灭焊枪均应在设备外部进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F8B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FFE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D34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130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F47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E18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E7B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F24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F76D1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75B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D61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F78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099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6729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28093C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8CDC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焊接和切割区域未设置警告标志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1A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30E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E7C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04A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D13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43B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BC9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1CA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738B9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9365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B77C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374ED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EBC01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6E3B3D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3FDF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1F8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C45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D62F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焊接和切割未采用不可燃或耐火屏板(或屏罩)加以隔离保护（防止作业人员或邻近区域的其它人员受到）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8CB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734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03A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A81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015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547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967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7C4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9BF4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EA9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62D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4B4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A82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21F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40E6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作业人员在观察电弧时，未使用带有滤光镜的头罩或手持面罩，或佩戴安全镜、护目镜或其它合适的眼镜。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9E5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44C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D33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28B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525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AFA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A3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2AF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B80F5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C36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F6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245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1E8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154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FF02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焊工和切割工没有佩戴耐火的防护手套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8EE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CF0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37E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0AB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5A9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8FF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6B8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C60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88B6C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E64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9C4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62C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793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0ED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1A1E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焊接、切割作业场所通风条件不良。</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1A1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中毒和窒息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888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26C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40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8AF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AD7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55A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40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35411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86E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55D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E5C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E27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570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2859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焊接、切割作业场所未配备灭火器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F93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0B1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F97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774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0F9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B73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355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E8D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11EA4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6BD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601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94A2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C78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E1F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F305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248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135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B75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3D6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22E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ECD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BB1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84F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5897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08E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5CC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0AC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7F7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526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6354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焊接或切割装有易燃物的容器时，没有经检查批准就进行作业。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FE8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464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044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968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875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E31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087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C64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EBD9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ABC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683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3AB8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BB7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7CC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F911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8C1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中毒或窒息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7C4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A68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364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1D5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28D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6F5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9A7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1DB63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2C9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C6D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C1C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0F0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E4E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DFCC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氧气瓶、气瓶阀、接头、减压阀、软管及设备没有与油、脂及其它可燃物或爆炸物相隔离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30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A63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9D2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92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205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266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FA8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CF7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81726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025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031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2343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B08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62B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65D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存在用氧气代替压缩空气使用的现象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780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826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D41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03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F54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731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726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153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97ADA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8F6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464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F7F7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15B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953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6F85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软管存在泄漏、烧坏、磨损、老化或有其它缺陷。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57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8F7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040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BD1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6ED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FF4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74E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212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6ACC5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2D2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8EA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3688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24C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F4D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4726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气瓶仪表损坏（减压阀、回火阀等）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68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1D4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4E6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17A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A5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224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8AC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92E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BA3C0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5F7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D27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E47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309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3D6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2AD9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气瓶瓶帽、手轮、防震胶圈等损坏</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ACC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47A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FA8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E93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59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6E2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CAC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211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4DABA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08B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F58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CF9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3E41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1E34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74FF8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D62F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高温时，气瓶无防暴晒措施。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90A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679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A42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7F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51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9F5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E4D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732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1DC5E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0321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27D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CE341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5800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04367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09FD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C2F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BFE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A55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气瓶距离明火距离小于10m。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A68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A6B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7C0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D9E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46F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D6C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6D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B82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9AD24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AF5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3AB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5E4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33B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1F7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FB12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143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51D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2CC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C5A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CB3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13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3B4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63C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19FCF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3D3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482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24A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35A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1D0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7C9B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气瓶作为滚动支架或支撑重物的托架。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119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78E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8AC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550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BA5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E76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791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366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D5A4B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1AD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516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A8F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356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718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6B1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气瓶在使用后放空，没有留有不小于98～196kPa表压的余气。</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66E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D2A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E62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31C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81F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9C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12F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880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89A2B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915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AEE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5D6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265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94A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FA0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当气瓶冻住时，在阀门或阀门保护帽下面用撬杠撬动气瓶松动，没有使用40℃以下温水解冻。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804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9F5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5A6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A1E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961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12D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274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083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36E9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73C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6F9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6B20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164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95E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446F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F40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726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BB9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0C1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23C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719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A9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54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177F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D5E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210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B734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F9D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DBA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E555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ECE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9BE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0EE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0B3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1FA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A9F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955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0EF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C5E52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E3A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65F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0F8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17F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500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44DF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8C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C89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FFC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ED3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115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C98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598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B63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54CB6B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E74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96E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139B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B3A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E34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9E0B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DB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4BA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949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D47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1CC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8DB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09B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E7C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17277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9D3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A86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41D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AEB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1E5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97F2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氧气瓶、乙炔瓶间距不足5m以上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9F6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317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242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50A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FD7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972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68D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108</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70A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A336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990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44C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bl>
    <w:p w14:paraId="0E73A126">
      <w:pPr>
        <w:ind w:firstLine="480"/>
        <w:rPr>
          <w:rFonts w:hint="eastAsia" w:ascii="宋体" w:hAnsi="宋体"/>
          <w:b/>
          <w:color w:val="auto"/>
          <w:sz w:val="24"/>
        </w:rPr>
      </w:pPr>
    </w:p>
    <w:p w14:paraId="20A07437">
      <w:pPr>
        <w:pageBreakBefore w:val="0"/>
        <w:kinsoku/>
        <w:wordWrap/>
        <w:overflowPunct/>
        <w:topLinePunct w:val="0"/>
        <w:bidi w:val="0"/>
        <w:spacing w:line="320" w:lineRule="exact"/>
        <w:ind w:left="0" w:leftChars="0"/>
        <w:jc w:val="center"/>
        <w:rPr>
          <w:rFonts w:hint="eastAsia" w:ascii="宋体" w:hAnsi="宋体"/>
          <w:color w:val="auto"/>
          <w:szCs w:val="21"/>
          <w:lang w:val="en-US" w:eastAsia="zh-CN"/>
        </w:rPr>
      </w:pPr>
      <w:r>
        <w:rPr>
          <w:rFonts w:hint="eastAsia" w:ascii="宋体" w:hAnsi="宋体" w:eastAsia="宋体" w:cs="宋体"/>
          <w:b/>
          <w:bCs/>
          <w:color w:val="auto"/>
          <w:spacing w:val="0"/>
          <w:highlight w:val="none"/>
          <w:lang w:val="en-US" w:eastAsia="zh-CN"/>
        </w:rPr>
        <w:t>表9.1-</w:t>
      </w:r>
      <w:r>
        <w:rPr>
          <w:rFonts w:hint="eastAsia" w:ascii="宋体" w:hAnsi="宋体" w:cs="宋体"/>
          <w:b/>
          <w:bCs/>
          <w:color w:val="auto"/>
          <w:spacing w:val="0"/>
          <w:highlight w:val="none"/>
          <w:lang w:val="en-US" w:eastAsia="zh-CN"/>
        </w:rPr>
        <w:t>2</w:t>
      </w:r>
      <w:r>
        <w:rPr>
          <w:rFonts w:hint="eastAsia" w:ascii="宋体" w:hAnsi="宋体" w:eastAsia="宋体" w:cs="宋体"/>
          <w:b/>
          <w:bCs/>
          <w:color w:val="auto"/>
          <w:spacing w:val="0"/>
          <w:highlight w:val="none"/>
          <w:lang w:val="en-US" w:eastAsia="zh-CN"/>
        </w:rPr>
        <w:t>作业条件评价法危险性等级划分标准</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4"/>
        <w:gridCol w:w="4725"/>
        <w:gridCol w:w="4725"/>
      </w:tblGrid>
      <w:tr w14:paraId="6399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7EB6F967">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D值区间</w:t>
            </w:r>
          </w:p>
        </w:tc>
        <w:tc>
          <w:tcPr>
            <w:tcW w:w="4740" w:type="dxa"/>
            <w:noWrap w:val="0"/>
            <w:vAlign w:val="top"/>
          </w:tcPr>
          <w:p w14:paraId="27AC4519">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风险等级</w:t>
            </w:r>
          </w:p>
        </w:tc>
        <w:tc>
          <w:tcPr>
            <w:tcW w:w="4740" w:type="dxa"/>
            <w:noWrap w:val="0"/>
            <w:vAlign w:val="top"/>
          </w:tcPr>
          <w:p w14:paraId="78FB1D59">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备注</w:t>
            </w:r>
          </w:p>
        </w:tc>
      </w:tr>
      <w:tr w14:paraId="4A40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71490687">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D&gt;320</w:t>
            </w:r>
          </w:p>
        </w:tc>
        <w:tc>
          <w:tcPr>
            <w:tcW w:w="4740" w:type="dxa"/>
            <w:noWrap w:val="0"/>
            <w:vAlign w:val="top"/>
          </w:tcPr>
          <w:p w14:paraId="336A3C6B">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重大风险</w:t>
            </w:r>
          </w:p>
        </w:tc>
        <w:tc>
          <w:tcPr>
            <w:tcW w:w="4740" w:type="dxa"/>
            <w:noWrap w:val="0"/>
            <w:vAlign w:val="top"/>
          </w:tcPr>
          <w:p w14:paraId="20D30F04">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3293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4BB18A4E">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320≥D&gt;160</w:t>
            </w:r>
          </w:p>
        </w:tc>
        <w:tc>
          <w:tcPr>
            <w:tcW w:w="4740" w:type="dxa"/>
            <w:noWrap w:val="0"/>
            <w:vAlign w:val="top"/>
          </w:tcPr>
          <w:p w14:paraId="2F104E2E">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较大风险</w:t>
            </w:r>
          </w:p>
        </w:tc>
        <w:tc>
          <w:tcPr>
            <w:tcW w:w="4740" w:type="dxa"/>
            <w:noWrap w:val="0"/>
            <w:vAlign w:val="top"/>
          </w:tcPr>
          <w:p w14:paraId="7349D9D8">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4882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6C04EF1F">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160≥D&gt;70</w:t>
            </w:r>
          </w:p>
        </w:tc>
        <w:tc>
          <w:tcPr>
            <w:tcW w:w="4740" w:type="dxa"/>
            <w:noWrap w:val="0"/>
            <w:vAlign w:val="top"/>
          </w:tcPr>
          <w:p w14:paraId="0B4D6956">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一般风险</w:t>
            </w:r>
          </w:p>
        </w:tc>
        <w:tc>
          <w:tcPr>
            <w:tcW w:w="4740" w:type="dxa"/>
            <w:noWrap w:val="0"/>
            <w:vAlign w:val="top"/>
          </w:tcPr>
          <w:p w14:paraId="51D41FDD">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4E20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52AF2708">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D≤70</w:t>
            </w:r>
          </w:p>
        </w:tc>
        <w:tc>
          <w:tcPr>
            <w:tcW w:w="4740" w:type="dxa"/>
            <w:noWrap w:val="0"/>
            <w:vAlign w:val="top"/>
          </w:tcPr>
          <w:p w14:paraId="58F15FBC">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较小风险</w:t>
            </w:r>
          </w:p>
        </w:tc>
        <w:tc>
          <w:tcPr>
            <w:tcW w:w="4740" w:type="dxa"/>
            <w:noWrap w:val="0"/>
            <w:vAlign w:val="top"/>
          </w:tcPr>
          <w:p w14:paraId="0E9E32AB">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bl>
    <w:p w14:paraId="31EA28D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b/>
          <w:color w:val="auto"/>
          <w:sz w:val="24"/>
        </w:rPr>
      </w:pPr>
      <w:r>
        <w:rPr>
          <w:rFonts w:hint="eastAsia" w:ascii="宋体" w:hAnsi="宋体" w:eastAsia="宋体" w:cs="宋体"/>
          <w:b w:val="0"/>
          <w:bCs w:val="0"/>
          <w:color w:val="auto"/>
          <w:szCs w:val="21"/>
          <w:highlight w:val="none"/>
          <w:lang w:val="en-US" w:eastAsia="zh-CN"/>
        </w:rPr>
        <w:t>重大风险由公司组织分子公司、项目部共同管控，公司重点监督检查；较大风险分子公司组织项目部共同管控，分子公司重点监督检查；一般风险由项目部管控；较小风险由班组管控。</w:t>
      </w:r>
    </w:p>
    <w:p w14:paraId="28054D4E">
      <w:pPr>
        <w:bidi w:val="0"/>
        <w:outlineLvl w:val="2"/>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9.1.2针对较大风险和重大分险编制施工安全风险控制措施</w:t>
      </w:r>
    </w:p>
    <w:p w14:paraId="27F30C5A">
      <w:pPr>
        <w:ind w:firstLine="480"/>
        <w:jc w:val="center"/>
        <w:rPr>
          <w:rFonts w:hint="eastAsia" w:ascii="宋体" w:hAnsi="宋体" w:eastAsia="宋体" w:cs="宋体"/>
          <w:b/>
          <w:color w:val="auto"/>
          <w:sz w:val="24"/>
          <w:lang w:val="en-US" w:eastAsia="zh-CN"/>
        </w:rPr>
      </w:pPr>
    </w:p>
    <w:p w14:paraId="3689D0D4">
      <w:pPr>
        <w:ind w:firstLine="480"/>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表9.1-3</w:t>
      </w:r>
      <w:r>
        <w:rPr>
          <w:rFonts w:hint="eastAsia" w:ascii="宋体" w:hAnsi="宋体" w:eastAsia="宋体" w:cs="宋体"/>
          <w:b/>
          <w:color w:val="auto"/>
          <w:sz w:val="24"/>
        </w:rPr>
        <w:t>塔吊作业活动安全风险控制</w:t>
      </w:r>
      <w:r>
        <w:rPr>
          <w:rFonts w:hint="eastAsia" w:ascii="宋体" w:hAnsi="宋体" w:eastAsia="宋体" w:cs="宋体"/>
          <w:b/>
          <w:color w:val="auto"/>
          <w:sz w:val="24"/>
          <w:lang w:val="en-US" w:eastAsia="zh-CN"/>
        </w:rPr>
        <w:t>措施</w:t>
      </w:r>
      <w:r>
        <w:rPr>
          <w:rFonts w:hint="eastAsia" w:ascii="宋体" w:hAnsi="宋体" w:eastAsia="宋体" w:cs="宋体"/>
          <w:b/>
          <w:color w:val="auto"/>
          <w:sz w:val="24"/>
        </w:rPr>
        <w:t>表</w:t>
      </w:r>
    </w:p>
    <w:tbl>
      <w:tblPr>
        <w:tblStyle w:val="26"/>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
        <w:gridCol w:w="726"/>
        <w:gridCol w:w="876"/>
        <w:gridCol w:w="5798"/>
        <w:gridCol w:w="1181"/>
        <w:gridCol w:w="2541"/>
        <w:gridCol w:w="1609"/>
        <w:gridCol w:w="1017"/>
      </w:tblGrid>
      <w:tr w14:paraId="25BE6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3" w:type="pct"/>
            <w:tcBorders>
              <w:top w:val="single" w:color="000000" w:sz="4" w:space="0"/>
              <w:left w:val="single" w:color="000000" w:sz="4" w:space="0"/>
              <w:bottom w:val="single" w:color="000000" w:sz="4" w:space="0"/>
              <w:right w:val="single" w:color="000000" w:sz="4" w:space="0"/>
            </w:tcBorders>
            <w:noWrap w:val="0"/>
            <w:vAlign w:val="center"/>
          </w:tcPr>
          <w:p w14:paraId="182409BE">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序号</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FCB43B5">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风险类别</w:t>
            </w: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545012C6">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风险名称</w:t>
            </w:r>
          </w:p>
        </w:tc>
        <w:tc>
          <w:tcPr>
            <w:tcW w:w="2052" w:type="pct"/>
            <w:tcBorders>
              <w:top w:val="single" w:color="000000" w:sz="4" w:space="0"/>
              <w:left w:val="single" w:color="000000" w:sz="4" w:space="0"/>
              <w:bottom w:val="single" w:color="000000" w:sz="4" w:space="0"/>
              <w:right w:val="single" w:color="000000" w:sz="4" w:space="0"/>
            </w:tcBorders>
            <w:noWrap w:val="0"/>
            <w:vAlign w:val="center"/>
          </w:tcPr>
          <w:p w14:paraId="2015F5AE">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可能存在的隐患</w:t>
            </w: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5CA353B4">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风险等级</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28C9D31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拟采用的安全管控措施</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03EE66AB">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实施人员</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A8DC30C">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实施结果</w:t>
            </w:r>
          </w:p>
        </w:tc>
      </w:tr>
      <w:tr w14:paraId="5128E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3" w:type="pct"/>
            <w:vMerge w:val="restart"/>
            <w:tcBorders>
              <w:top w:val="single" w:color="000000" w:sz="4" w:space="0"/>
              <w:left w:val="single" w:color="000000" w:sz="4" w:space="0"/>
              <w:right w:val="single" w:color="000000" w:sz="4" w:space="0"/>
            </w:tcBorders>
            <w:shd w:val="clear" w:color="auto" w:fill="auto"/>
            <w:noWrap w:val="0"/>
            <w:vAlign w:val="center"/>
          </w:tcPr>
          <w:p w14:paraId="4BF75816">
            <w:pPr>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1</w:t>
            </w:r>
          </w:p>
        </w:tc>
        <w:tc>
          <w:tcPr>
            <w:tcW w:w="263" w:type="pct"/>
            <w:vMerge w:val="restart"/>
            <w:tcBorders>
              <w:top w:val="single" w:color="000000" w:sz="4" w:space="0"/>
              <w:left w:val="single" w:color="000000" w:sz="4" w:space="0"/>
              <w:right w:val="single" w:color="000000" w:sz="4" w:space="0"/>
            </w:tcBorders>
            <w:shd w:val="clear" w:color="auto" w:fill="auto"/>
            <w:noWrap w:val="0"/>
            <w:vAlign w:val="center"/>
          </w:tcPr>
          <w:p w14:paraId="3CA56800">
            <w:pPr>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施工作业</w:t>
            </w:r>
          </w:p>
          <w:p w14:paraId="0D211D7A">
            <w:pPr>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264" w:type="pct"/>
            <w:vMerge w:val="restart"/>
            <w:tcBorders>
              <w:top w:val="single" w:color="000000" w:sz="4" w:space="0"/>
              <w:left w:val="single" w:color="000000" w:sz="4" w:space="0"/>
              <w:right w:val="single" w:color="000000" w:sz="4" w:space="0"/>
            </w:tcBorders>
            <w:shd w:val="clear" w:color="auto" w:fill="auto"/>
            <w:noWrap w:val="0"/>
            <w:vAlign w:val="center"/>
          </w:tcPr>
          <w:p w14:paraId="40537BF8">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起重伤害</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7678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22365130">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auto"/>
                <w:sz w:val="18"/>
                <w:szCs w:val="18"/>
                <w:u w:val="none"/>
                <w:lang w:val="en-US" w:eastAsia="zh-CN"/>
              </w:rPr>
            </w:pPr>
          </w:p>
        </w:tc>
        <w:tc>
          <w:tcPr>
            <w:tcW w:w="903" w:type="pct"/>
            <w:tcBorders>
              <w:top w:val="single" w:color="000000" w:sz="4" w:space="0"/>
              <w:left w:val="single" w:color="000000" w:sz="4" w:space="0"/>
              <w:right w:val="single" w:color="000000" w:sz="4" w:space="0"/>
            </w:tcBorders>
            <w:noWrap w:val="0"/>
            <w:vAlign w:val="center"/>
          </w:tcPr>
          <w:p w14:paraId="24D697EC">
            <w:pPr>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C 、d、f,塔式起重机</w:t>
            </w:r>
            <w:r>
              <w:rPr>
                <w:rFonts w:hint="eastAsia" w:ascii="宋体" w:hAnsi="宋体" w:eastAsia="宋体" w:cs="宋体"/>
                <w:b w:val="0"/>
                <w:bCs w:val="0"/>
                <w:color w:val="auto"/>
                <w:sz w:val="18"/>
                <w:szCs w:val="18"/>
                <w:highlight w:val="none"/>
                <w:lang w:val="en-US" w:eastAsia="zh-CN"/>
              </w:rPr>
              <w:t>基础持力须进行地耐力验证，利用工程桩须报请设计院复核。</w:t>
            </w:r>
          </w:p>
        </w:tc>
        <w:tc>
          <w:tcPr>
            <w:tcW w:w="574" w:type="pct"/>
            <w:tcBorders>
              <w:top w:val="single" w:color="000000" w:sz="4" w:space="0"/>
              <w:left w:val="single" w:color="000000" w:sz="4" w:space="0"/>
              <w:right w:val="single" w:color="000000" w:sz="4" w:space="0"/>
            </w:tcBorders>
            <w:noWrap w:val="0"/>
            <w:vAlign w:val="center"/>
          </w:tcPr>
          <w:p w14:paraId="431011C8">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left w:val="single" w:color="000000" w:sz="4" w:space="0"/>
              <w:bottom w:val="single" w:color="auto" w:sz="4" w:space="0"/>
              <w:right w:val="single" w:color="000000" w:sz="4" w:space="0"/>
            </w:tcBorders>
            <w:noWrap w:val="0"/>
            <w:vAlign w:val="center"/>
          </w:tcPr>
          <w:p w14:paraId="6F64B725">
            <w:pPr>
              <w:spacing w:line="240" w:lineRule="auto"/>
              <w:ind w:firstLine="0" w:firstLineChars="0"/>
              <w:jc w:val="center"/>
              <w:rPr>
                <w:rFonts w:hint="eastAsia" w:ascii="宋体" w:hAnsi="宋体" w:eastAsia="宋体" w:cs="宋体"/>
                <w:i w:val="0"/>
                <w:iCs w:val="0"/>
                <w:color w:val="auto"/>
                <w:sz w:val="18"/>
                <w:szCs w:val="18"/>
                <w:u w:val="none"/>
              </w:rPr>
            </w:pPr>
          </w:p>
        </w:tc>
      </w:tr>
      <w:tr w14:paraId="06132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4F9BD909">
            <w:pPr>
              <w:spacing w:line="240" w:lineRule="auto"/>
              <w:ind w:firstLine="0" w:firstLineChars="0"/>
              <w:jc w:val="center"/>
              <w:rPr>
                <w:rFonts w:hint="eastAsia" w:ascii="宋体" w:hAnsi="宋体" w:eastAsia="宋体" w:cs="宋体"/>
                <w:i w:val="0"/>
                <w:iCs w:val="0"/>
                <w:color w:val="auto"/>
                <w:sz w:val="18"/>
                <w:szCs w:val="18"/>
                <w:u w:val="none"/>
                <w:lang w:val="en-US" w:eastAsia="zh-CN"/>
              </w:rPr>
            </w:pPr>
          </w:p>
        </w:tc>
        <w:tc>
          <w:tcPr>
            <w:tcW w:w="263" w:type="pct"/>
            <w:vMerge w:val="continue"/>
            <w:tcBorders>
              <w:left w:val="single" w:color="000000" w:sz="4" w:space="0"/>
              <w:right w:val="single" w:color="000000" w:sz="4" w:space="0"/>
            </w:tcBorders>
            <w:shd w:val="clear" w:color="auto" w:fill="auto"/>
            <w:noWrap w:val="0"/>
            <w:vAlign w:val="center"/>
          </w:tcPr>
          <w:p w14:paraId="2DAF3F19">
            <w:pPr>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264" w:type="pct"/>
            <w:vMerge w:val="continue"/>
            <w:tcBorders>
              <w:left w:val="single" w:color="000000" w:sz="4" w:space="0"/>
              <w:bottom w:val="single" w:color="000000" w:sz="4" w:space="0"/>
              <w:right w:val="single" w:color="000000" w:sz="4" w:space="0"/>
            </w:tcBorders>
            <w:shd w:val="clear" w:color="auto" w:fill="auto"/>
            <w:noWrap w:val="0"/>
            <w:vAlign w:val="center"/>
          </w:tcPr>
          <w:p w14:paraId="3E20F16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BAA4D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14B111A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903" w:type="pct"/>
            <w:tcBorders>
              <w:top w:val="single" w:color="000000" w:sz="4" w:space="0"/>
              <w:left w:val="single" w:color="000000" w:sz="4" w:space="0"/>
              <w:bottom w:val="single" w:color="auto" w:sz="4" w:space="0"/>
              <w:right w:val="single" w:color="000000" w:sz="4" w:space="0"/>
            </w:tcBorders>
            <w:noWrap w:val="0"/>
            <w:vAlign w:val="center"/>
          </w:tcPr>
          <w:p w14:paraId="2184147B">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、d、f,公司集采，到场核验出厂合格证、随机维保台账和日常检查台账是否正常。</w:t>
            </w:r>
          </w:p>
        </w:tc>
        <w:tc>
          <w:tcPr>
            <w:tcW w:w="574" w:type="pct"/>
            <w:tcBorders>
              <w:top w:val="single" w:color="000000" w:sz="4" w:space="0"/>
              <w:left w:val="single" w:color="000000" w:sz="4" w:space="0"/>
              <w:bottom w:val="single" w:color="auto" w:sz="4" w:space="0"/>
              <w:right w:val="single" w:color="000000" w:sz="4" w:space="0"/>
            </w:tcBorders>
            <w:noWrap w:val="0"/>
            <w:vAlign w:val="center"/>
          </w:tcPr>
          <w:p w14:paraId="4CA692F6">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5A09CA50">
            <w:pPr>
              <w:spacing w:line="240" w:lineRule="auto"/>
              <w:ind w:firstLine="0" w:firstLineChars="0"/>
              <w:jc w:val="center"/>
              <w:rPr>
                <w:rFonts w:hint="eastAsia" w:ascii="宋体" w:hAnsi="宋体" w:eastAsia="宋体" w:cs="宋体"/>
                <w:i w:val="0"/>
                <w:iCs w:val="0"/>
                <w:color w:val="auto"/>
                <w:sz w:val="18"/>
                <w:szCs w:val="18"/>
                <w:u w:val="none"/>
              </w:rPr>
            </w:pPr>
          </w:p>
        </w:tc>
      </w:tr>
      <w:tr w14:paraId="442E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1F4DBE57">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72195A18">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bottom w:val="single" w:color="auto" w:sz="4" w:space="0"/>
              <w:right w:val="single" w:color="000000" w:sz="4" w:space="0"/>
            </w:tcBorders>
            <w:shd w:val="clear" w:color="auto" w:fill="auto"/>
            <w:noWrap w:val="0"/>
            <w:vAlign w:val="center"/>
          </w:tcPr>
          <w:p w14:paraId="64447EB2">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69FE067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744BDC4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203F171C">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、d、f,严格</w:t>
            </w:r>
            <w:r>
              <w:rPr>
                <w:rFonts w:hint="eastAsia" w:ascii="宋体" w:hAnsi="宋体" w:cs="宋体"/>
                <w:i w:val="0"/>
                <w:iCs w:val="0"/>
                <w:color w:val="auto"/>
                <w:sz w:val="18"/>
                <w:szCs w:val="18"/>
                <w:u w:val="none"/>
                <w:lang w:val="en-US" w:eastAsia="zh-CN"/>
              </w:rPr>
              <w:t>安装</w:t>
            </w:r>
            <w:r>
              <w:rPr>
                <w:rFonts w:hint="eastAsia" w:ascii="宋体" w:hAnsi="宋体" w:eastAsia="宋体" w:cs="宋体"/>
                <w:i w:val="0"/>
                <w:iCs w:val="0"/>
                <w:color w:val="auto"/>
                <w:sz w:val="18"/>
                <w:szCs w:val="18"/>
                <w:u w:val="none"/>
                <w:lang w:val="en-US" w:eastAsia="zh-CN"/>
              </w:rPr>
              <w:t>方案报审，严格按方案实施，严格按方案验收，未验收合格不得使用，并挂牌公示。</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1509198D">
            <w:pPr>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0E9A4ADB">
            <w:pPr>
              <w:spacing w:line="240" w:lineRule="auto"/>
              <w:ind w:firstLine="0" w:firstLineChars="0"/>
              <w:jc w:val="center"/>
              <w:rPr>
                <w:rFonts w:hint="eastAsia" w:ascii="宋体" w:hAnsi="宋体" w:eastAsia="宋体" w:cs="宋体"/>
                <w:i w:val="0"/>
                <w:iCs w:val="0"/>
                <w:color w:val="auto"/>
                <w:sz w:val="18"/>
                <w:szCs w:val="18"/>
                <w:u w:val="none"/>
              </w:rPr>
            </w:pPr>
          </w:p>
        </w:tc>
      </w:tr>
      <w:tr w14:paraId="7C684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63B8245D">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44161685">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restart"/>
            <w:tcBorders>
              <w:top w:val="single" w:color="auto" w:sz="4" w:space="0"/>
              <w:left w:val="single" w:color="000000" w:sz="4" w:space="0"/>
              <w:right w:val="single" w:color="000000" w:sz="4" w:space="0"/>
            </w:tcBorders>
            <w:shd w:val="clear" w:color="auto" w:fill="auto"/>
            <w:noWrap w:val="0"/>
            <w:vAlign w:val="center"/>
          </w:tcPr>
          <w:p w14:paraId="4A2DC820">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起重伤害</w:t>
            </w:r>
          </w:p>
        </w:tc>
        <w:tc>
          <w:tcPr>
            <w:tcW w:w="2052" w:type="pct"/>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3DA706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A5AC1B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3B4C31C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7C62DD1D">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57C4C626">
            <w:pPr>
              <w:spacing w:line="240" w:lineRule="auto"/>
              <w:ind w:firstLine="0" w:firstLineChars="0"/>
              <w:jc w:val="center"/>
              <w:rPr>
                <w:rFonts w:hint="eastAsia" w:ascii="宋体" w:hAnsi="宋体" w:eastAsia="宋体" w:cs="宋体"/>
                <w:i w:val="0"/>
                <w:iCs w:val="0"/>
                <w:color w:val="auto"/>
                <w:sz w:val="18"/>
                <w:szCs w:val="18"/>
                <w:u w:val="none"/>
              </w:rPr>
            </w:pPr>
          </w:p>
        </w:tc>
      </w:tr>
      <w:tr w14:paraId="5A34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472F0726">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043EAACE">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right w:val="single" w:color="000000" w:sz="4" w:space="0"/>
            </w:tcBorders>
            <w:shd w:val="clear" w:color="auto" w:fill="auto"/>
            <w:noWrap w:val="0"/>
            <w:vAlign w:val="center"/>
          </w:tcPr>
          <w:p w14:paraId="3391FB8D">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6381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11E77D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151DFE67">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755A495A">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5671F681">
            <w:pPr>
              <w:spacing w:line="240" w:lineRule="auto"/>
              <w:ind w:firstLine="0" w:firstLineChars="0"/>
              <w:jc w:val="center"/>
              <w:rPr>
                <w:rFonts w:hint="eastAsia" w:ascii="宋体" w:hAnsi="宋体" w:eastAsia="宋体" w:cs="宋体"/>
                <w:i w:val="0"/>
                <w:iCs w:val="0"/>
                <w:color w:val="auto"/>
                <w:sz w:val="18"/>
                <w:szCs w:val="18"/>
                <w:u w:val="none"/>
              </w:rPr>
            </w:pPr>
          </w:p>
        </w:tc>
      </w:tr>
      <w:tr w14:paraId="454ED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669837C0">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67772074">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right w:val="single" w:color="000000" w:sz="4" w:space="0"/>
            </w:tcBorders>
            <w:shd w:val="clear" w:color="auto" w:fill="auto"/>
            <w:noWrap w:val="0"/>
            <w:vAlign w:val="center"/>
          </w:tcPr>
          <w:p w14:paraId="253183FE">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B9FD2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E5D9A0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6F4D6F67">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6383EFD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75AE226">
            <w:pPr>
              <w:spacing w:line="240" w:lineRule="auto"/>
              <w:ind w:firstLine="0" w:firstLineChars="0"/>
              <w:jc w:val="center"/>
              <w:rPr>
                <w:rFonts w:hint="eastAsia" w:ascii="宋体" w:hAnsi="宋体" w:eastAsia="宋体" w:cs="宋体"/>
                <w:i w:val="0"/>
                <w:iCs w:val="0"/>
                <w:color w:val="auto"/>
                <w:sz w:val="18"/>
                <w:szCs w:val="18"/>
                <w:u w:val="none"/>
              </w:rPr>
            </w:pPr>
          </w:p>
        </w:tc>
      </w:tr>
      <w:tr w14:paraId="5BD20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restart"/>
            <w:tcBorders>
              <w:left w:val="single" w:color="000000" w:sz="4" w:space="0"/>
              <w:right w:val="single" w:color="000000" w:sz="4" w:space="0"/>
            </w:tcBorders>
            <w:shd w:val="clear" w:color="auto" w:fill="auto"/>
            <w:noWrap w:val="0"/>
            <w:vAlign w:val="center"/>
          </w:tcPr>
          <w:p w14:paraId="457459B0">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restart"/>
            <w:tcBorders>
              <w:left w:val="single" w:color="000000" w:sz="4" w:space="0"/>
              <w:right w:val="single" w:color="000000" w:sz="4" w:space="0"/>
            </w:tcBorders>
            <w:shd w:val="clear" w:color="auto" w:fill="auto"/>
            <w:noWrap w:val="0"/>
            <w:vAlign w:val="center"/>
          </w:tcPr>
          <w:p w14:paraId="257F3D52">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bottom w:val="single" w:color="000000" w:sz="4" w:space="0"/>
              <w:right w:val="single" w:color="000000" w:sz="4" w:space="0"/>
            </w:tcBorders>
            <w:shd w:val="clear" w:color="auto" w:fill="auto"/>
            <w:noWrap w:val="0"/>
            <w:vAlign w:val="center"/>
          </w:tcPr>
          <w:p w14:paraId="1CDECFB5">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825D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3766AF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60BDC9FF">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08406B72">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57B695C8">
            <w:pPr>
              <w:spacing w:line="240" w:lineRule="auto"/>
              <w:ind w:firstLine="0" w:firstLineChars="0"/>
              <w:jc w:val="center"/>
              <w:rPr>
                <w:rFonts w:hint="eastAsia" w:ascii="宋体" w:hAnsi="宋体" w:eastAsia="宋体" w:cs="宋体"/>
                <w:i w:val="0"/>
                <w:iCs w:val="0"/>
                <w:color w:val="auto"/>
                <w:sz w:val="18"/>
                <w:szCs w:val="18"/>
                <w:u w:val="none"/>
              </w:rPr>
            </w:pPr>
          </w:p>
        </w:tc>
      </w:tr>
      <w:tr w14:paraId="6EB03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78DBAE6A">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0E67067B">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E13ED">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起重伤害等</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596B7">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40FE16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41BEE4A3">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40B200D4">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2B0742F">
            <w:pPr>
              <w:spacing w:line="240" w:lineRule="auto"/>
              <w:ind w:firstLine="0" w:firstLineChars="0"/>
              <w:jc w:val="center"/>
              <w:rPr>
                <w:rFonts w:hint="eastAsia" w:ascii="宋体" w:hAnsi="宋体" w:eastAsia="宋体" w:cs="宋体"/>
                <w:i w:val="0"/>
                <w:iCs w:val="0"/>
                <w:color w:val="auto"/>
                <w:sz w:val="18"/>
                <w:szCs w:val="18"/>
                <w:u w:val="none"/>
              </w:rPr>
            </w:pPr>
          </w:p>
        </w:tc>
      </w:tr>
      <w:tr w14:paraId="4DCB2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470E8AF7">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7E17C1CF">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right w:val="single" w:color="000000" w:sz="4" w:space="0"/>
            </w:tcBorders>
            <w:shd w:val="clear" w:color="auto" w:fill="auto"/>
            <w:noWrap w:val="0"/>
            <w:vAlign w:val="center"/>
          </w:tcPr>
          <w:p w14:paraId="0308A5AA">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火灾等</w:t>
            </w:r>
          </w:p>
        </w:tc>
        <w:tc>
          <w:tcPr>
            <w:tcW w:w="2052" w:type="pct"/>
            <w:tcBorders>
              <w:top w:val="single" w:color="000000" w:sz="4" w:space="0"/>
              <w:left w:val="single" w:color="000000" w:sz="4" w:space="0"/>
              <w:right w:val="single" w:color="000000" w:sz="4" w:space="0"/>
            </w:tcBorders>
            <w:shd w:val="clear" w:color="auto" w:fill="auto"/>
            <w:noWrap w:val="0"/>
            <w:vAlign w:val="center"/>
          </w:tcPr>
          <w:p w14:paraId="1DA2679A">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right w:val="single" w:color="000000" w:sz="4" w:space="0"/>
            </w:tcBorders>
            <w:shd w:val="clear" w:color="auto" w:fill="FFC000"/>
            <w:noWrap w:val="0"/>
            <w:vAlign w:val="center"/>
          </w:tcPr>
          <w:p w14:paraId="765BD86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5039CF12">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5DAF2D1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right w:val="single" w:color="000000" w:sz="4" w:space="0"/>
            </w:tcBorders>
            <w:noWrap w:val="0"/>
            <w:vAlign w:val="center"/>
          </w:tcPr>
          <w:p w14:paraId="547E48E6">
            <w:pPr>
              <w:spacing w:line="240" w:lineRule="auto"/>
              <w:ind w:firstLine="0" w:firstLineChars="0"/>
              <w:jc w:val="center"/>
              <w:rPr>
                <w:rFonts w:hint="eastAsia" w:ascii="宋体" w:hAnsi="宋体" w:eastAsia="宋体" w:cs="宋体"/>
                <w:i w:val="0"/>
                <w:iCs w:val="0"/>
                <w:color w:val="auto"/>
                <w:sz w:val="18"/>
                <w:szCs w:val="18"/>
                <w:u w:val="none"/>
              </w:rPr>
            </w:pPr>
          </w:p>
        </w:tc>
      </w:tr>
      <w:tr w14:paraId="6ABAF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bottom w:val="single" w:color="auto" w:sz="4" w:space="0"/>
              <w:right w:val="single" w:color="000000" w:sz="4" w:space="0"/>
            </w:tcBorders>
            <w:shd w:val="clear" w:color="auto" w:fill="auto"/>
            <w:noWrap w:val="0"/>
            <w:vAlign w:val="center"/>
          </w:tcPr>
          <w:p w14:paraId="21DF697A">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bottom w:val="single" w:color="auto" w:sz="4" w:space="0"/>
              <w:right w:val="single" w:color="000000" w:sz="4" w:space="0"/>
            </w:tcBorders>
            <w:shd w:val="clear" w:color="auto" w:fill="auto"/>
            <w:noWrap w:val="0"/>
            <w:vAlign w:val="center"/>
          </w:tcPr>
          <w:p w14:paraId="311E7316">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0BA7EF92">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中毒或窒息</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F177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7A4DBE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2CBA1504">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42C5F1CF">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4A3C646">
            <w:pPr>
              <w:spacing w:line="240" w:lineRule="auto"/>
              <w:ind w:firstLine="0" w:firstLineChars="0"/>
              <w:jc w:val="center"/>
              <w:rPr>
                <w:rFonts w:hint="eastAsia" w:ascii="宋体" w:hAnsi="宋体" w:eastAsia="宋体" w:cs="宋体"/>
                <w:i w:val="0"/>
                <w:iCs w:val="0"/>
                <w:color w:val="auto"/>
                <w:sz w:val="18"/>
                <w:szCs w:val="18"/>
                <w:u w:val="none"/>
              </w:rPr>
            </w:pPr>
          </w:p>
        </w:tc>
      </w:tr>
      <w:tr w14:paraId="65282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564DA66">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614FFF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危险物品</w:t>
            </w:r>
          </w:p>
        </w:tc>
        <w:tc>
          <w:tcPr>
            <w:tcW w:w="264"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AA07C07">
            <w:pPr>
              <w:spacing w:line="240" w:lineRule="auto"/>
              <w:ind w:firstLine="0" w:firstLineChars="0"/>
              <w:jc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容器爆炸</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7484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13ADEF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25F08C3A">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、d、f,建立台账，定期检查</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59CACD16">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02DCEC22">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79E7C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ABC98FA">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B6E9313">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5D17A5B">
            <w:pPr>
              <w:spacing w:line="240" w:lineRule="auto"/>
              <w:ind w:firstLine="0" w:firstLineChars="0"/>
              <w:jc w:val="both"/>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DF1E6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7555A5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restart"/>
            <w:tcBorders>
              <w:top w:val="single" w:color="auto" w:sz="4" w:space="0"/>
              <w:left w:val="single" w:color="000000" w:sz="4" w:space="0"/>
              <w:bottom w:val="single" w:color="auto" w:sz="4" w:space="0"/>
              <w:right w:val="single" w:color="000000" w:sz="4" w:space="0"/>
            </w:tcBorders>
            <w:noWrap w:val="0"/>
            <w:vAlign w:val="center"/>
          </w:tcPr>
          <w:p w14:paraId="3298F200">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、d、f,建立专项检查台账，定期检查，每日巡查</w:t>
            </w:r>
          </w:p>
        </w:tc>
        <w:tc>
          <w:tcPr>
            <w:tcW w:w="574" w:type="pct"/>
            <w:vMerge w:val="restart"/>
            <w:tcBorders>
              <w:top w:val="single" w:color="auto" w:sz="4" w:space="0"/>
              <w:left w:val="single" w:color="000000" w:sz="4" w:space="0"/>
              <w:bottom w:val="single" w:color="auto" w:sz="4" w:space="0"/>
              <w:right w:val="single" w:color="000000" w:sz="4" w:space="0"/>
            </w:tcBorders>
            <w:noWrap w:val="0"/>
            <w:vAlign w:val="center"/>
          </w:tcPr>
          <w:p w14:paraId="2E5C4BD3">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2FC6EBC">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1C7C8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32ED363">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7809F4C">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5E6A4C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火灾</w:t>
            </w:r>
          </w:p>
          <w:p w14:paraId="73A21A1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38E0B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E4229A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695E2E66">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02271843">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1797AA02">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2E26E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7512871">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5D8B3B9">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F420B7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AB1E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C2EFC5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0DD3805C">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13D350D4">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C3E1DA9">
            <w:pPr>
              <w:spacing w:line="240" w:lineRule="auto"/>
              <w:ind w:firstLine="0" w:firstLineChars="0"/>
              <w:jc w:val="center"/>
              <w:rPr>
                <w:rFonts w:hint="eastAsia" w:ascii="宋体" w:hAnsi="宋体" w:eastAsia="宋体" w:cs="宋体"/>
                <w:i w:val="0"/>
                <w:iCs w:val="0"/>
                <w:color w:val="auto"/>
                <w:sz w:val="18"/>
                <w:szCs w:val="18"/>
                <w:u w:val="none"/>
              </w:rPr>
            </w:pPr>
          </w:p>
        </w:tc>
      </w:tr>
      <w:tr w14:paraId="24648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7D04FEB">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B0C2452">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9F4C45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D2AF1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4A5808B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681E7B0C">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0F0EC65A">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7DDA083">
            <w:pPr>
              <w:spacing w:line="240" w:lineRule="auto"/>
              <w:ind w:firstLine="0" w:firstLineChars="0"/>
              <w:jc w:val="center"/>
              <w:rPr>
                <w:rFonts w:hint="eastAsia" w:ascii="宋体" w:hAnsi="宋体" w:eastAsia="宋体" w:cs="宋体"/>
                <w:i w:val="0"/>
                <w:iCs w:val="0"/>
                <w:color w:val="auto"/>
                <w:sz w:val="18"/>
                <w:szCs w:val="18"/>
                <w:u w:val="none"/>
              </w:rPr>
            </w:pPr>
          </w:p>
        </w:tc>
      </w:tr>
      <w:tr w14:paraId="4E0AC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9347791">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BECB3E1">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839F5A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931C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E992DD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7B5EF8F4">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6E9B144E">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DB4FFC2">
            <w:pPr>
              <w:spacing w:line="240" w:lineRule="auto"/>
              <w:ind w:firstLine="0" w:firstLineChars="0"/>
              <w:jc w:val="center"/>
              <w:rPr>
                <w:rFonts w:hint="eastAsia" w:ascii="宋体" w:hAnsi="宋体" w:eastAsia="宋体" w:cs="宋体"/>
                <w:i w:val="0"/>
                <w:iCs w:val="0"/>
                <w:color w:val="auto"/>
                <w:sz w:val="18"/>
                <w:szCs w:val="18"/>
                <w:u w:val="none"/>
              </w:rPr>
            </w:pPr>
          </w:p>
        </w:tc>
      </w:tr>
    </w:tbl>
    <w:p w14:paraId="384F5EF2">
      <w:pPr>
        <w:ind w:left="0" w:leftChars="0" w:firstLine="0" w:firstLineChars="0"/>
        <w:rPr>
          <w:rFonts w:hint="eastAsia" w:ascii="宋体" w:hAnsi="宋体" w:eastAsia="宋体" w:cs="宋体"/>
          <w:color w:val="auto"/>
          <w:kern w:val="2"/>
          <w:sz w:val="24"/>
          <w:szCs w:val="24"/>
        </w:rPr>
      </w:pPr>
      <w:r>
        <w:rPr>
          <w:rFonts w:hint="eastAsia"/>
          <w:color w:val="auto"/>
          <w:lang w:val="en-US" w:eastAsia="zh-CN"/>
        </w:rPr>
        <w:t>注：管控措施：a-消除、替代措施；b-工程技术措施；c-管理措施；d-警告或标识措施；e-个体防护措施；f-应急处理措施；g-其他措施</w:t>
      </w:r>
    </w:p>
    <w:p w14:paraId="5261B588">
      <w:pPr>
        <w:ind w:firstLine="480"/>
        <w:rPr>
          <w:rFonts w:hint="eastAsia" w:ascii="宋体" w:hAnsi="宋体"/>
          <w:b/>
          <w:color w:val="auto"/>
          <w:sz w:val="24"/>
        </w:rPr>
      </w:pPr>
    </w:p>
    <w:p w14:paraId="57261F51">
      <w:pPr>
        <w:pStyle w:val="25"/>
        <w:tabs>
          <w:tab w:val="left" w:pos="360"/>
          <w:tab w:val="left" w:pos="964"/>
        </w:tabs>
        <w:rPr>
          <w:rFonts w:hint="eastAsia"/>
          <w:color w:val="auto"/>
          <w:lang w:val="en-US" w:eastAsia="zh-CN"/>
        </w:rPr>
      </w:pPr>
    </w:p>
    <w:p w14:paraId="027BDD2D">
      <w:pPr>
        <w:rPr>
          <w:rFonts w:hint="eastAsia"/>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50A33AB">
      <w:pPr>
        <w:pStyle w:val="3"/>
        <w:keepNext/>
        <w:keepLines/>
        <w:pageBreakBefore w:val="0"/>
        <w:widowControl w:val="0"/>
        <w:numPr>
          <w:ilvl w:val="0"/>
          <w:numId w:val="0"/>
        </w:numPr>
        <w:kinsoku/>
        <w:wordWrap/>
        <w:overflowPunct/>
        <w:topLinePunct w:val="0"/>
        <w:autoSpaceDE/>
        <w:autoSpaceDN/>
        <w:bidi w:val="0"/>
        <w:adjustRightInd/>
        <w:snapToGrid/>
        <w:spacing w:line="413" w:lineRule="auto"/>
        <w:textAlignment w:val="auto"/>
        <w:outlineLvl w:val="1"/>
        <w:rPr>
          <w:rFonts w:hint="eastAsia"/>
          <w:color w:val="auto"/>
        </w:rPr>
      </w:pPr>
      <w:bookmarkStart w:id="283" w:name="_Toc23818"/>
      <w:bookmarkStart w:id="284" w:name="_Toc5370"/>
      <w:bookmarkStart w:id="285" w:name="_Toc10409839"/>
      <w:bookmarkStart w:id="286" w:name="_Toc31355"/>
      <w:bookmarkStart w:id="287" w:name="_Toc18053"/>
      <w:bookmarkStart w:id="288" w:name="_Toc4194"/>
      <w:r>
        <w:rPr>
          <w:rFonts w:hint="eastAsia"/>
          <w:color w:val="auto"/>
          <w:lang w:val="en-US" w:eastAsia="zh-CN"/>
        </w:rPr>
        <w:t>9.2</w:t>
      </w:r>
      <w:r>
        <w:rPr>
          <w:rFonts w:hint="eastAsia"/>
          <w:color w:val="auto"/>
        </w:rPr>
        <w:t>组织</w:t>
      </w:r>
      <w:r>
        <w:rPr>
          <w:rFonts w:hint="eastAsia"/>
          <w:color w:val="auto"/>
          <w:lang w:val="en-US" w:eastAsia="zh-CN"/>
        </w:rPr>
        <w:t>机</w:t>
      </w:r>
      <w:r>
        <w:rPr>
          <w:rFonts w:hint="eastAsia"/>
          <w:color w:val="auto"/>
        </w:rPr>
        <w:t>构及职责</w:t>
      </w:r>
      <w:bookmarkEnd w:id="283"/>
      <w:bookmarkEnd w:id="284"/>
      <w:bookmarkEnd w:id="285"/>
      <w:bookmarkEnd w:id="286"/>
      <w:bookmarkEnd w:id="287"/>
      <w:bookmarkEnd w:id="288"/>
    </w:p>
    <w:p w14:paraId="355B7B4E">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ascii="宋体" w:hAnsi="宋体" w:eastAsia="宋体" w:cs="宋体"/>
          <w:b/>
          <w:color w:val="auto"/>
          <w:sz w:val="28"/>
          <w:szCs w:val="28"/>
        </w:rPr>
      </w:pPr>
      <w:bookmarkStart w:id="289" w:name="_Toc530055718"/>
      <w:r>
        <w:rPr>
          <w:rFonts w:hint="eastAsia" w:eastAsia="等线" w:cs="等线"/>
          <w:b/>
          <w:color w:val="auto"/>
          <w:sz w:val="28"/>
          <w:szCs w:val="28"/>
          <w:lang w:val="en-US" w:eastAsia="zh-CN"/>
        </w:rPr>
        <w:t>9</w:t>
      </w:r>
      <w:r>
        <w:rPr>
          <w:rFonts w:hint="eastAsia" w:ascii="等线" w:hAnsi="等线" w:eastAsia="等线" w:cs="等线"/>
          <w:b/>
          <w:color w:val="auto"/>
          <w:sz w:val="28"/>
          <w:szCs w:val="28"/>
          <w:lang w:val="en-US" w:eastAsia="zh-CN"/>
        </w:rPr>
        <w:t>.</w:t>
      </w:r>
      <w:r>
        <w:rPr>
          <w:rFonts w:hint="eastAsia" w:eastAsia="等线" w:cs="等线"/>
          <w:b/>
          <w:color w:val="auto"/>
          <w:sz w:val="28"/>
          <w:szCs w:val="28"/>
          <w:lang w:val="en-US" w:eastAsia="zh-CN"/>
        </w:rPr>
        <w:t>2.</w:t>
      </w:r>
      <w:r>
        <w:rPr>
          <w:rFonts w:hint="eastAsia" w:ascii="等线" w:hAnsi="等线" w:eastAsia="等线" w:cs="等线"/>
          <w:b/>
          <w:color w:val="auto"/>
          <w:sz w:val="28"/>
          <w:szCs w:val="28"/>
          <w:lang w:val="en-US" w:eastAsia="zh-CN"/>
        </w:rPr>
        <w:t>1</w:t>
      </w:r>
      <w:r>
        <w:rPr>
          <w:rFonts w:hint="eastAsia" w:ascii="宋体" w:hAnsi="宋体" w:eastAsia="宋体" w:cs="宋体"/>
          <w:b/>
          <w:color w:val="auto"/>
          <w:sz w:val="28"/>
          <w:szCs w:val="28"/>
        </w:rPr>
        <w:t>应急处置领导小组</w:t>
      </w:r>
      <w:bookmarkEnd w:id="289"/>
    </w:p>
    <w:p w14:paraId="766442E2">
      <w:pPr>
        <w:spacing w:line="360" w:lineRule="auto"/>
        <w:ind w:firstLine="480"/>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cs="宋体"/>
          <w:color w:val="auto"/>
          <w:sz w:val="21"/>
          <w:szCs w:val="21"/>
          <w:lang w:val="en-US" w:eastAsia="zh-CN"/>
        </w:rPr>
        <w:t>彭善忠</w:t>
      </w:r>
    </w:p>
    <w:p w14:paraId="66DE01DA">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cs="宋体"/>
          <w:color w:val="auto"/>
          <w:sz w:val="21"/>
          <w:szCs w:val="21"/>
          <w:lang w:val="en-US" w:eastAsia="zh-CN"/>
        </w:rPr>
        <w:t>衣磊</w:t>
      </w:r>
    </w:p>
    <w:p w14:paraId="346C18C9">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宋体" w:hAnsi="宋体" w:cs="宋体"/>
          <w:color w:val="auto"/>
          <w:kern w:val="2"/>
          <w:sz w:val="24"/>
          <w:szCs w:val="24"/>
          <w:lang w:val="en-US" w:eastAsia="zh-CN"/>
        </w:rPr>
        <w:t>黄科、</w:t>
      </w: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r>
        <w:rPr>
          <w:rFonts w:hint="eastAsia" w:ascii="宋体" w:hAnsi="宋体" w:cs="宋体"/>
          <w:color w:val="auto"/>
          <w:kern w:val="2"/>
          <w:sz w:val="24"/>
          <w:szCs w:val="24"/>
          <w:lang w:val="en-US" w:eastAsia="zh-CN"/>
        </w:rPr>
        <w:t>、徐刚、黄仁训</w:t>
      </w:r>
    </w:p>
    <w:p w14:paraId="645CE420">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eastAsia="等线" w:cs="等线"/>
          <w:b/>
          <w:color w:val="auto"/>
          <w:sz w:val="28"/>
          <w:szCs w:val="28"/>
          <w:lang w:val="en-US" w:eastAsia="zh-CN"/>
        </w:rPr>
      </w:pPr>
      <w:bookmarkStart w:id="290" w:name="_Toc530055719"/>
      <w:r>
        <w:rPr>
          <w:rFonts w:hint="eastAsia" w:eastAsia="等线" w:cs="等线"/>
          <w:b/>
          <w:color w:val="auto"/>
          <w:sz w:val="28"/>
          <w:szCs w:val="28"/>
          <w:lang w:val="en-US" w:eastAsia="zh-CN"/>
        </w:rPr>
        <w:t>9.2.2职责</w:t>
      </w:r>
      <w:bookmarkEnd w:id="290"/>
    </w:p>
    <w:p w14:paraId="771D48B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517F1F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124C160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2672A4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5F950F5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6B01560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29E026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42BCF409">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eastAsia="等线" w:cs="等线"/>
          <w:b/>
          <w:color w:val="auto"/>
          <w:sz w:val="28"/>
          <w:szCs w:val="28"/>
          <w:lang w:val="en-US" w:eastAsia="zh-CN"/>
        </w:rPr>
      </w:pPr>
      <w:bookmarkStart w:id="291" w:name="_Toc530055720"/>
      <w:r>
        <w:rPr>
          <w:rFonts w:hint="eastAsia" w:eastAsia="等线" w:cs="等线"/>
          <w:b/>
          <w:color w:val="auto"/>
          <w:sz w:val="28"/>
          <w:szCs w:val="28"/>
          <w:lang w:val="en-US" w:eastAsia="zh-CN"/>
        </w:rPr>
        <w:t>9.2.3领导小组人员分工</w:t>
      </w:r>
      <w:bookmarkEnd w:id="291"/>
    </w:p>
    <w:p w14:paraId="5809435D">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6899FA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1EE98A7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08705E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A6E84A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197B8C0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5CE79B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26DB4E8A">
      <w:pPr>
        <w:pStyle w:val="3"/>
        <w:numPr>
          <w:ilvl w:val="0"/>
          <w:numId w:val="0"/>
        </w:numPr>
        <w:outlineLvl w:val="1"/>
        <w:rPr>
          <w:color w:val="auto"/>
        </w:rPr>
      </w:pPr>
      <w:bookmarkStart w:id="292" w:name="_Toc14880"/>
      <w:bookmarkStart w:id="293" w:name="_Toc24184"/>
      <w:bookmarkStart w:id="294" w:name="_Toc10789"/>
      <w:bookmarkStart w:id="295" w:name="_Toc10409840"/>
      <w:bookmarkStart w:id="296" w:name="_Toc28776"/>
      <w:bookmarkStart w:id="297" w:name="_Toc15798"/>
      <w:r>
        <w:rPr>
          <w:rFonts w:hint="eastAsia"/>
          <w:color w:val="auto"/>
          <w:lang w:val="en-US" w:eastAsia="zh-CN"/>
        </w:rPr>
        <w:t>9.3</w:t>
      </w:r>
      <w:r>
        <w:rPr>
          <w:rFonts w:hint="eastAsia"/>
          <w:color w:val="auto"/>
        </w:rPr>
        <w:t>预防与预警</w:t>
      </w:r>
      <w:bookmarkEnd w:id="292"/>
      <w:bookmarkEnd w:id="293"/>
      <w:bookmarkEnd w:id="294"/>
      <w:bookmarkEnd w:id="295"/>
      <w:bookmarkEnd w:id="296"/>
      <w:bookmarkEnd w:id="297"/>
    </w:p>
    <w:p w14:paraId="0A9ABD08">
      <w:pPr>
        <w:spacing w:line="360" w:lineRule="auto"/>
        <w:ind w:firstLine="480"/>
        <w:rPr>
          <w:rFonts w:hint="eastAsia" w:ascii="宋体" w:hAnsi="宋体" w:eastAsia="宋体" w:cs="宋体"/>
          <w:color w:val="auto"/>
          <w:kern w:val="2"/>
          <w:sz w:val="24"/>
          <w:szCs w:val="24"/>
        </w:rPr>
      </w:pPr>
      <w:bookmarkStart w:id="298" w:name="_Toc10409841"/>
      <w:r>
        <w:rPr>
          <w:rFonts w:hint="eastAsia" w:ascii="宋体" w:hAnsi="宋体" w:eastAsia="宋体" w:cs="宋体"/>
          <w:color w:val="auto"/>
          <w:kern w:val="2"/>
          <w:sz w:val="24"/>
          <w:szCs w:val="24"/>
        </w:rPr>
        <w:t>（1）施工现场设安全领导小组，负责吊装过程中可能造成的人员 伤亡事故的控制。</w:t>
      </w:r>
    </w:p>
    <w:p w14:paraId="329E143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（2）发生事故时，安全领导小组要立即救人。救人时先排除危险，防止抢救时事故的再发生。</w:t>
      </w:r>
    </w:p>
    <w:p w14:paraId="4157F58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2E25107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（4）将受伤人员及时转送医院进行紧急救护。</w:t>
      </w:r>
    </w:p>
    <w:p w14:paraId="2CCFC08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（5）将信息迅速传递给项目部；传递内容包括发生的时间、地点、部位、简要经过、伤人数和已采取的应急措施等。  </w:t>
      </w:r>
    </w:p>
    <w:p w14:paraId="7B0267D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（6）项目部接到应急信息后应立即核实现场的处置情况，组织有关人员或应急队伍赶赴现场。</w:t>
      </w:r>
    </w:p>
    <w:p w14:paraId="4050CCB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 （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3C19678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（8）事故处理完毕后，施工现场应保护好现场，接受事故调查并如实提供事故的情况。</w:t>
      </w:r>
    </w:p>
    <w:p w14:paraId="0DC5AA92">
      <w:pPr>
        <w:pStyle w:val="3"/>
        <w:numPr>
          <w:ilvl w:val="0"/>
          <w:numId w:val="0"/>
        </w:numPr>
        <w:outlineLvl w:val="1"/>
        <w:rPr>
          <w:rFonts w:hint="eastAsia" w:eastAsia="宋体"/>
          <w:color w:val="auto"/>
          <w:lang w:val="en-US" w:eastAsia="zh-CN"/>
        </w:rPr>
      </w:pPr>
      <w:bookmarkStart w:id="299" w:name="_Toc21539"/>
      <w:bookmarkStart w:id="300" w:name="_Toc26929"/>
      <w:bookmarkStart w:id="301" w:name="_Toc29857"/>
      <w:bookmarkStart w:id="302" w:name="_Toc10032"/>
      <w:r>
        <w:rPr>
          <w:rFonts w:hint="eastAsia" w:eastAsia="宋体"/>
          <w:color w:val="auto"/>
          <w:lang w:val="en-US" w:eastAsia="zh-CN"/>
        </w:rPr>
        <w:t>9.4应急响应</w:t>
      </w:r>
      <w:bookmarkEnd w:id="298"/>
      <w:bookmarkEnd w:id="299"/>
      <w:r>
        <w:rPr>
          <w:rFonts w:hint="eastAsia" w:eastAsia="宋体"/>
          <w:color w:val="auto"/>
          <w:lang w:val="en-US" w:eastAsia="zh-CN"/>
        </w:rPr>
        <w:t>程序</w:t>
      </w:r>
      <w:bookmarkEnd w:id="300"/>
      <w:bookmarkEnd w:id="301"/>
      <w:bookmarkEnd w:id="302"/>
    </w:p>
    <w:p w14:paraId="768E6B6A">
      <w:pPr>
        <w:pStyle w:val="48"/>
        <w:numPr>
          <w:ilvl w:val="0"/>
          <w:numId w:val="16"/>
        </w:numPr>
        <w:spacing w:line="360" w:lineRule="auto"/>
        <w:ind w:firstLineChars="0"/>
        <w:outlineLvl w:val="9"/>
        <w:rPr>
          <w:rFonts w:hint="eastAsia" w:ascii="宋体" w:hAnsi="宋体" w:eastAsia="宋体" w:cs="宋体"/>
          <w:color w:val="auto"/>
          <w:sz w:val="24"/>
          <w:szCs w:val="24"/>
        </w:rPr>
      </w:pPr>
      <w:bookmarkStart w:id="303" w:name="_Toc2877"/>
      <w:r>
        <w:rPr>
          <w:rFonts w:hint="eastAsia" w:ascii="宋体" w:hAnsi="宋体" w:eastAsia="宋体" w:cs="宋体"/>
          <w:color w:val="auto"/>
          <w:sz w:val="24"/>
          <w:szCs w:val="24"/>
        </w:rPr>
        <w:t>响应分级</w:t>
      </w:r>
      <w:bookmarkEnd w:id="303"/>
    </w:p>
    <w:p w14:paraId="456B9AC4">
      <w:pPr>
        <w:pStyle w:val="50"/>
        <w:spacing w:line="360" w:lineRule="auto"/>
        <w:ind w:left="420" w:firstLine="0" w:firstLineChars="0"/>
        <w:jc w:val="center"/>
        <w:rPr>
          <w:rFonts w:hint="eastAsia" w:ascii="宋体" w:hAnsi="宋体" w:eastAsia="宋体" w:cs="宋体"/>
          <w:b/>
          <w:color w:val="auto"/>
          <w:sz w:val="24"/>
          <w:szCs w:val="24"/>
        </w:rPr>
      </w:pPr>
      <w:r>
        <w:rPr>
          <w:rFonts w:hint="eastAsia" w:ascii="宋体" w:hAnsi="宋体" w:eastAsia="宋体" w:cs="宋体"/>
          <w:b/>
          <w:color w:val="auto"/>
          <w:sz w:val="21"/>
          <w:szCs w:val="21"/>
        </w:rPr>
        <w:t>表</w:t>
      </w:r>
      <w:r>
        <w:rPr>
          <w:rFonts w:hint="eastAsia" w:ascii="宋体" w:hAnsi="宋体" w:eastAsia="宋体" w:cs="宋体"/>
          <w:b/>
          <w:color w:val="auto"/>
          <w:sz w:val="21"/>
          <w:szCs w:val="21"/>
          <w:lang w:val="en-US" w:eastAsia="zh-CN"/>
        </w:rPr>
        <w:t>9</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rPr>
        <w:t>-1 响应等级</w:t>
      </w:r>
    </w:p>
    <w:tbl>
      <w:tblPr>
        <w:tblStyle w:val="26"/>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880"/>
        <w:gridCol w:w="1220"/>
        <w:gridCol w:w="1160"/>
        <w:gridCol w:w="1220"/>
        <w:gridCol w:w="1240"/>
        <w:gridCol w:w="1329"/>
      </w:tblGrid>
      <w:tr w14:paraId="0D8C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restart"/>
            <w:vAlign w:val="center"/>
          </w:tcPr>
          <w:p w14:paraId="0D3AE507">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事故危</w:t>
            </w:r>
          </w:p>
          <w:p w14:paraId="3EC8530E">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害程度</w:t>
            </w:r>
          </w:p>
        </w:tc>
        <w:tc>
          <w:tcPr>
            <w:tcW w:w="1880" w:type="dxa"/>
            <w:vMerge w:val="restart"/>
            <w:vAlign w:val="center"/>
          </w:tcPr>
          <w:p w14:paraId="32FB816D">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影响范围</w:t>
            </w:r>
          </w:p>
        </w:tc>
        <w:tc>
          <w:tcPr>
            <w:tcW w:w="3600" w:type="dxa"/>
            <w:gridSpan w:val="3"/>
            <w:vAlign w:val="center"/>
          </w:tcPr>
          <w:p w14:paraId="05BBDA60">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单位控制事态的能力</w:t>
            </w:r>
          </w:p>
        </w:tc>
        <w:tc>
          <w:tcPr>
            <w:tcW w:w="1240" w:type="dxa"/>
            <w:vMerge w:val="restart"/>
            <w:vAlign w:val="center"/>
          </w:tcPr>
          <w:p w14:paraId="13D5091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事故等级</w:t>
            </w:r>
          </w:p>
        </w:tc>
        <w:tc>
          <w:tcPr>
            <w:tcW w:w="1329" w:type="dxa"/>
            <w:vMerge w:val="restart"/>
            <w:vAlign w:val="center"/>
          </w:tcPr>
          <w:p w14:paraId="731380BD">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响应级别</w:t>
            </w:r>
          </w:p>
        </w:tc>
      </w:tr>
      <w:tr w14:paraId="109A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continue"/>
            <w:vAlign w:val="center"/>
          </w:tcPr>
          <w:p w14:paraId="29032292">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880" w:type="dxa"/>
            <w:vMerge w:val="continue"/>
            <w:vAlign w:val="center"/>
          </w:tcPr>
          <w:p w14:paraId="3FC416DC">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20" w:type="dxa"/>
            <w:vAlign w:val="center"/>
          </w:tcPr>
          <w:p w14:paraId="50277F59">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项目部</w:t>
            </w:r>
          </w:p>
        </w:tc>
        <w:tc>
          <w:tcPr>
            <w:tcW w:w="1160" w:type="dxa"/>
            <w:vAlign w:val="center"/>
          </w:tcPr>
          <w:p w14:paraId="35CD153E">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w:t>
            </w:r>
          </w:p>
        </w:tc>
        <w:tc>
          <w:tcPr>
            <w:tcW w:w="1220" w:type="dxa"/>
            <w:vAlign w:val="center"/>
          </w:tcPr>
          <w:p w14:paraId="49C8D851">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集团公司</w:t>
            </w:r>
          </w:p>
        </w:tc>
        <w:tc>
          <w:tcPr>
            <w:tcW w:w="1240" w:type="dxa"/>
            <w:vMerge w:val="continue"/>
            <w:vAlign w:val="center"/>
          </w:tcPr>
          <w:p w14:paraId="301EB7BC">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329" w:type="dxa"/>
            <w:vMerge w:val="continue"/>
            <w:vAlign w:val="center"/>
          </w:tcPr>
          <w:p w14:paraId="171F23FA">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r>
      <w:tr w14:paraId="4E34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0E96FED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很小</w:t>
            </w:r>
          </w:p>
        </w:tc>
        <w:tc>
          <w:tcPr>
            <w:tcW w:w="1880" w:type="dxa"/>
            <w:vAlign w:val="center"/>
          </w:tcPr>
          <w:p w14:paraId="5862A31F">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操作者本人</w:t>
            </w:r>
          </w:p>
        </w:tc>
        <w:tc>
          <w:tcPr>
            <w:tcW w:w="1220" w:type="dxa"/>
            <w:vAlign w:val="center"/>
          </w:tcPr>
          <w:p w14:paraId="4805A3E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能够控制</w:t>
            </w:r>
          </w:p>
        </w:tc>
        <w:tc>
          <w:tcPr>
            <w:tcW w:w="1160" w:type="dxa"/>
            <w:vAlign w:val="center"/>
          </w:tcPr>
          <w:p w14:paraId="428D3745">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20" w:type="dxa"/>
            <w:vAlign w:val="center"/>
          </w:tcPr>
          <w:p w14:paraId="52573BD9">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40" w:type="dxa"/>
            <w:vAlign w:val="center"/>
          </w:tcPr>
          <w:p w14:paraId="76130C28">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轻、重伤</w:t>
            </w:r>
          </w:p>
        </w:tc>
        <w:tc>
          <w:tcPr>
            <w:tcW w:w="1329" w:type="dxa"/>
            <w:vAlign w:val="center"/>
          </w:tcPr>
          <w:p w14:paraId="6BEEADA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项目部</w:t>
            </w:r>
          </w:p>
        </w:tc>
      </w:tr>
      <w:tr w14:paraId="7DAE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6EF1C01C">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一般</w:t>
            </w:r>
          </w:p>
        </w:tc>
        <w:tc>
          <w:tcPr>
            <w:tcW w:w="1880" w:type="dxa"/>
            <w:vAlign w:val="center"/>
          </w:tcPr>
          <w:p w14:paraId="6F153EBE">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操作者本人或作业区</w:t>
            </w:r>
          </w:p>
        </w:tc>
        <w:tc>
          <w:tcPr>
            <w:tcW w:w="1220" w:type="dxa"/>
            <w:vAlign w:val="center"/>
          </w:tcPr>
          <w:p w14:paraId="48D03AF9">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不易控制</w:t>
            </w:r>
          </w:p>
        </w:tc>
        <w:tc>
          <w:tcPr>
            <w:tcW w:w="1160" w:type="dxa"/>
            <w:vAlign w:val="center"/>
          </w:tcPr>
          <w:p w14:paraId="4878A78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w:t>
            </w:r>
          </w:p>
        </w:tc>
        <w:tc>
          <w:tcPr>
            <w:tcW w:w="1220" w:type="dxa"/>
            <w:vAlign w:val="center"/>
          </w:tcPr>
          <w:p w14:paraId="6924BC9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40" w:type="dxa"/>
            <w:vAlign w:val="center"/>
          </w:tcPr>
          <w:p w14:paraId="27C5FDB5">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四级</w:t>
            </w:r>
          </w:p>
        </w:tc>
        <w:tc>
          <w:tcPr>
            <w:tcW w:w="1329" w:type="dxa"/>
            <w:vAlign w:val="center"/>
          </w:tcPr>
          <w:p w14:paraId="32E8687F">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w:t>
            </w:r>
          </w:p>
        </w:tc>
      </w:tr>
      <w:tr w14:paraId="17BE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3A8C7A46">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严重</w:t>
            </w:r>
          </w:p>
        </w:tc>
        <w:tc>
          <w:tcPr>
            <w:tcW w:w="1880" w:type="dxa"/>
            <w:vAlign w:val="center"/>
          </w:tcPr>
          <w:p w14:paraId="64F23ABB">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周边环境</w:t>
            </w:r>
          </w:p>
        </w:tc>
        <w:tc>
          <w:tcPr>
            <w:tcW w:w="1220" w:type="dxa"/>
            <w:vAlign w:val="center"/>
          </w:tcPr>
          <w:p w14:paraId="444423B0">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无法控制</w:t>
            </w:r>
          </w:p>
        </w:tc>
        <w:tc>
          <w:tcPr>
            <w:tcW w:w="1160" w:type="dxa"/>
            <w:vAlign w:val="center"/>
          </w:tcPr>
          <w:p w14:paraId="178E9D8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不易控制</w:t>
            </w:r>
          </w:p>
        </w:tc>
        <w:tc>
          <w:tcPr>
            <w:tcW w:w="1220" w:type="dxa"/>
            <w:vAlign w:val="center"/>
          </w:tcPr>
          <w:p w14:paraId="1D5B5DC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w:t>
            </w:r>
          </w:p>
        </w:tc>
        <w:tc>
          <w:tcPr>
            <w:tcW w:w="1240" w:type="dxa"/>
            <w:vAlign w:val="center"/>
          </w:tcPr>
          <w:p w14:paraId="17BB0672">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四级以上安全事故</w:t>
            </w:r>
          </w:p>
        </w:tc>
        <w:tc>
          <w:tcPr>
            <w:tcW w:w="1329" w:type="dxa"/>
            <w:vAlign w:val="center"/>
          </w:tcPr>
          <w:p w14:paraId="7C8C3258">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集团公司</w:t>
            </w:r>
          </w:p>
        </w:tc>
      </w:tr>
    </w:tbl>
    <w:p w14:paraId="0B9B68F9">
      <w:pPr>
        <w:pStyle w:val="48"/>
        <w:numPr>
          <w:ilvl w:val="0"/>
          <w:numId w:val="16"/>
        </w:numPr>
        <w:spacing w:line="360" w:lineRule="auto"/>
        <w:ind w:firstLineChars="0"/>
        <w:outlineLvl w:val="9"/>
        <w:rPr>
          <w:rFonts w:hint="eastAsia" w:ascii="宋体" w:hAnsi="宋体" w:eastAsia="宋体" w:cs="宋体"/>
          <w:color w:val="auto"/>
          <w:sz w:val="24"/>
          <w:szCs w:val="24"/>
        </w:rPr>
      </w:pPr>
      <w:bookmarkStart w:id="304" w:name="_Toc422"/>
      <w:r>
        <w:rPr>
          <w:rFonts w:hint="eastAsia" w:ascii="宋体" w:hAnsi="宋体" w:eastAsia="宋体" w:cs="宋体"/>
          <w:color w:val="auto"/>
          <w:sz w:val="24"/>
          <w:szCs w:val="24"/>
        </w:rPr>
        <w:t>事故发生后的内部报告程序</w:t>
      </w:r>
      <w:bookmarkEnd w:id="304"/>
    </w:p>
    <w:p w14:paraId="37A5B871">
      <w:pPr>
        <w:pStyle w:val="48"/>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发生事故后，现场操作或作业人员第一时间通知主管，街道报告后，立即进行现场确认并上报应急救援指挥部报告情况（发生事故设备型号、参数、位置、事故程度、大致损失情况）。按图所示流程进行。</w:t>
      </w:r>
    </w:p>
    <w:p w14:paraId="562FA737">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5433060" cy="723900"/>
            <wp:effectExtent l="0" t="0" r="7620" b="0"/>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
                    <pic:cNvPicPr>
                      <a:picLocks noChangeAspect="1"/>
                    </pic:cNvPicPr>
                  </pic:nvPicPr>
                  <pic:blipFill>
                    <a:blip r:embed="rId36"/>
                    <a:stretch>
                      <a:fillRect/>
                    </a:stretch>
                  </pic:blipFill>
                  <pic:spPr>
                    <a:xfrm>
                      <a:off x="0" y="0"/>
                      <a:ext cx="5433060" cy="723900"/>
                    </a:xfrm>
                    <a:prstGeom prst="rect">
                      <a:avLst/>
                    </a:prstGeom>
                    <a:noFill/>
                    <a:ln>
                      <a:noFill/>
                    </a:ln>
                  </pic:spPr>
                </pic:pic>
              </a:graphicData>
            </a:graphic>
          </wp:inline>
        </w:drawing>
      </w:r>
    </w:p>
    <w:p w14:paraId="3D5A0669">
      <w:pPr>
        <w:pStyle w:val="50"/>
        <w:spacing w:line="360" w:lineRule="auto"/>
        <w:ind w:left="420" w:firstLine="0" w:firstLineChars="0"/>
        <w:jc w:val="center"/>
        <w:rPr>
          <w:rFonts w:hint="default" w:ascii="宋体" w:hAnsi="宋体" w:eastAsia="宋体" w:cs="宋体"/>
          <w:b/>
          <w:color w:val="auto"/>
          <w:sz w:val="24"/>
          <w:szCs w:val="24"/>
          <w:lang w:val="en-US" w:eastAsia="zh-CN"/>
        </w:rPr>
      </w:pPr>
      <w:r>
        <w:rPr>
          <w:rFonts w:hint="eastAsia" w:ascii="宋体" w:hAnsi="宋体" w:eastAsia="宋体" w:cs="宋体"/>
          <w:b/>
          <w:color w:val="auto"/>
          <w:sz w:val="21"/>
          <w:szCs w:val="21"/>
          <w:lang w:val="en-US" w:eastAsia="zh-CN"/>
        </w:rPr>
        <w:t>图9</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rPr>
        <w:t xml:space="preserve">-1 </w:t>
      </w:r>
      <w:r>
        <w:rPr>
          <w:rFonts w:hint="eastAsia" w:ascii="宋体" w:hAnsi="宋体" w:eastAsia="宋体" w:cs="宋体"/>
          <w:b/>
          <w:color w:val="auto"/>
          <w:sz w:val="21"/>
          <w:szCs w:val="21"/>
          <w:lang w:val="en-US" w:eastAsia="zh-CN"/>
        </w:rPr>
        <w:t>事故报告流程图</w:t>
      </w:r>
    </w:p>
    <w:p w14:paraId="3F753EA5">
      <w:pPr>
        <w:pStyle w:val="48"/>
        <w:numPr>
          <w:ilvl w:val="0"/>
          <w:numId w:val="16"/>
        </w:numPr>
        <w:spacing w:line="360" w:lineRule="auto"/>
        <w:ind w:firstLineChars="0"/>
        <w:outlineLvl w:val="9"/>
        <w:rPr>
          <w:rFonts w:hint="eastAsia" w:ascii="宋体" w:hAnsi="宋体" w:eastAsia="宋体" w:cs="宋体"/>
          <w:color w:val="auto"/>
          <w:sz w:val="24"/>
          <w:szCs w:val="24"/>
        </w:rPr>
      </w:pPr>
      <w:bookmarkStart w:id="305" w:name="_Toc3451"/>
      <w:r>
        <w:rPr>
          <w:rFonts w:hint="eastAsia" w:ascii="宋体" w:hAnsi="宋体" w:eastAsia="宋体" w:cs="宋体"/>
          <w:color w:val="auto"/>
          <w:sz w:val="24"/>
          <w:szCs w:val="24"/>
        </w:rPr>
        <w:t>响应程序</w:t>
      </w:r>
      <w:bookmarkEnd w:id="305"/>
    </w:p>
    <w:p w14:paraId="54224565">
      <w:pPr>
        <w:pStyle w:val="48"/>
        <w:numPr>
          <w:ilvl w:val="0"/>
          <w:numId w:val="1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应急指挥</w:t>
      </w:r>
    </w:p>
    <w:p w14:paraId="441F5134">
      <w:pPr>
        <w:pStyle w:val="48"/>
        <w:numPr>
          <w:ilvl w:val="0"/>
          <w:numId w:val="1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发现险情后，立即启动项目部应急预案，努力将事故危害程度降低到最</w:t>
      </w:r>
    </w:p>
    <w:p w14:paraId="260B3E71">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小。</w:t>
      </w:r>
    </w:p>
    <w:p w14:paraId="4CCE5566">
      <w:pPr>
        <w:pStyle w:val="48"/>
        <w:numPr>
          <w:ilvl w:val="0"/>
          <w:numId w:val="1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当施工现场发生无法或不易控制的安全生产事故时，启动公司专项应急</w:t>
      </w:r>
    </w:p>
    <w:p w14:paraId="313EAA2B">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预案。公司应急救援指挥中心接到响应级别事故报告后，经对事故严重程度核实后，判断是否有能力组织救援。</w:t>
      </w:r>
    </w:p>
    <w:p w14:paraId="44989F15">
      <w:pPr>
        <w:pStyle w:val="48"/>
        <w:numPr>
          <w:ilvl w:val="0"/>
          <w:numId w:val="1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如有能力组织救援，及时启动公司专项应急救援预案，否则立即向集团</w:t>
      </w:r>
    </w:p>
    <w:p w14:paraId="70370527">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公司报告。</w:t>
      </w:r>
    </w:p>
    <w:p w14:paraId="315E7392">
      <w:pPr>
        <w:pStyle w:val="48"/>
        <w:numPr>
          <w:ilvl w:val="0"/>
          <w:numId w:val="1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公司应急救援指挥中心通知应急指挥人员和工作组，停止手头一切工作，</w:t>
      </w:r>
    </w:p>
    <w:p w14:paraId="239E8060">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立即到位，通报事故情况，按照各职能小组分工组织救援。</w:t>
      </w:r>
    </w:p>
    <w:p w14:paraId="176527C9">
      <w:pPr>
        <w:pStyle w:val="48"/>
        <w:numPr>
          <w:ilvl w:val="0"/>
          <w:numId w:val="16"/>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应急行动</w:t>
      </w:r>
    </w:p>
    <w:p w14:paraId="79980C17">
      <w:pPr>
        <w:pStyle w:val="48"/>
        <w:numPr>
          <w:ilvl w:val="0"/>
          <w:numId w:val="18"/>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指挥人员到达现场后，立即了解现场事故情况，划定安全和危险区域，</w:t>
      </w:r>
    </w:p>
    <w:p w14:paraId="4E34C9A7">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设立标志，实行现场保护，安全警戒，疏导车流，保障救援道路的畅通，维护好现场秩序。</w:t>
      </w:r>
    </w:p>
    <w:p w14:paraId="702EDE0F">
      <w:pPr>
        <w:pStyle w:val="48"/>
        <w:numPr>
          <w:ilvl w:val="0"/>
          <w:numId w:val="18"/>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按预案规定职责明确各应急工作组救援任务,组织救援。</w:t>
      </w:r>
    </w:p>
    <w:p w14:paraId="6655A714">
      <w:pPr>
        <w:pStyle w:val="48"/>
        <w:numPr>
          <w:ilvl w:val="0"/>
          <w:numId w:val="18"/>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对事故现场进行调查取证，因抢救人员、防止事态扩大、恢复生产及疏</w:t>
      </w:r>
    </w:p>
    <w:p w14:paraId="660D8D56">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通交通等原因，需要移动现场物件的，应当做好标志，采取拍照、摄像、绘图等方法详细记录事故现场原貌，妥善保存现场重要痕迹、物证。</w:t>
      </w:r>
    </w:p>
    <w:p w14:paraId="0A2DB5B8">
      <w:pPr>
        <w:pStyle w:val="48"/>
        <w:numPr>
          <w:ilvl w:val="0"/>
          <w:numId w:val="16"/>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资源调配</w:t>
      </w:r>
    </w:p>
    <w:p w14:paraId="4235D6F2">
      <w:pPr>
        <w:pStyle w:val="48"/>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组织抢险救援队伍,调配应急救援物资、装备、器材、药品、医疗器械、抢险车辆等物资，为应急行动做好充分准备。</w:t>
      </w:r>
    </w:p>
    <w:p w14:paraId="478F74C0">
      <w:pPr>
        <w:pStyle w:val="48"/>
        <w:numPr>
          <w:ilvl w:val="0"/>
          <w:numId w:val="16"/>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应急避险</w:t>
      </w:r>
    </w:p>
    <w:p w14:paraId="293609E2">
      <w:pPr>
        <w:pStyle w:val="48"/>
        <w:numPr>
          <w:ilvl w:val="0"/>
          <w:numId w:val="19"/>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抢险车辆赶往事发现场和急救车辆护送伤害人员到达医院的途中，按交</w:t>
      </w:r>
    </w:p>
    <w:p w14:paraId="7A803615">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通规则正确驾驶车辆，避免交通事故发生。</w:t>
      </w:r>
    </w:p>
    <w:p w14:paraId="56AB9099">
      <w:pPr>
        <w:pStyle w:val="48"/>
        <w:numPr>
          <w:ilvl w:val="0"/>
          <w:numId w:val="19"/>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在疏散人群过程中，要选择安全通道，合理有序引导撤离，防止相互践</w:t>
      </w:r>
    </w:p>
    <w:p w14:paraId="61F3E229">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踏受到伤害。</w:t>
      </w:r>
    </w:p>
    <w:p w14:paraId="59A89786">
      <w:pPr>
        <w:pStyle w:val="48"/>
        <w:numPr>
          <w:ilvl w:val="0"/>
          <w:numId w:val="19"/>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在现场抢救伤员的过程中，要根据伤员受伤部位和伤害程度,正确施救，</w:t>
      </w:r>
    </w:p>
    <w:p w14:paraId="1F08FAD3">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避免盲目抬运拖拉,给后续抢救工作带来麻烦,防止使受伤人员再次受伤或加重伤害程度。</w:t>
      </w:r>
    </w:p>
    <w:p w14:paraId="67210F79">
      <w:pPr>
        <w:pStyle w:val="3"/>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eastAsia="宋体" w:cs="宋体"/>
          <w:color w:val="auto"/>
          <w:sz w:val="28"/>
          <w:szCs w:val="28"/>
        </w:rPr>
      </w:pPr>
      <w:bookmarkStart w:id="306" w:name="_Toc24493"/>
      <w:bookmarkStart w:id="307" w:name="_Toc16079"/>
      <w:bookmarkStart w:id="308" w:name="_Toc10409842"/>
      <w:bookmarkStart w:id="309" w:name="_Toc27986"/>
      <w:bookmarkStart w:id="310" w:name="_Toc17732"/>
      <w:bookmarkStart w:id="311" w:name="_Toc24033"/>
      <w:r>
        <w:rPr>
          <w:rFonts w:hint="eastAsia" w:ascii="等线" w:hAnsi="等线" w:eastAsia="等线" w:cs="等线"/>
          <w:color w:val="auto"/>
          <w:sz w:val="28"/>
          <w:szCs w:val="28"/>
          <w:lang w:val="en-US" w:eastAsia="zh-CN"/>
        </w:rPr>
        <w:t xml:space="preserve">9.5 </w:t>
      </w:r>
      <w:r>
        <w:rPr>
          <w:rFonts w:hint="eastAsia" w:ascii="宋体" w:hAnsi="宋体" w:eastAsia="宋体" w:cs="宋体"/>
          <w:color w:val="auto"/>
          <w:sz w:val="28"/>
          <w:szCs w:val="28"/>
        </w:rPr>
        <w:t>突发事件应急</w:t>
      </w:r>
      <w:r>
        <w:rPr>
          <w:rFonts w:hint="eastAsia" w:ascii="宋体" w:hAnsi="宋体" w:cs="宋体"/>
          <w:color w:val="auto"/>
          <w:sz w:val="28"/>
          <w:szCs w:val="28"/>
          <w:lang w:val="en-US" w:eastAsia="zh-CN"/>
        </w:rPr>
        <w:t>处置措施和</w:t>
      </w:r>
      <w:r>
        <w:rPr>
          <w:rFonts w:hint="eastAsia" w:ascii="宋体" w:hAnsi="宋体" w:eastAsia="宋体" w:cs="宋体"/>
          <w:color w:val="auto"/>
          <w:sz w:val="28"/>
          <w:szCs w:val="28"/>
        </w:rPr>
        <w:t>预案</w:t>
      </w:r>
      <w:bookmarkEnd w:id="306"/>
      <w:bookmarkEnd w:id="307"/>
      <w:bookmarkEnd w:id="308"/>
      <w:bookmarkEnd w:id="309"/>
      <w:bookmarkEnd w:id="310"/>
      <w:bookmarkEnd w:id="311"/>
    </w:p>
    <w:p w14:paraId="4153E216">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4"/>
          <w:szCs w:val="24"/>
        </w:rPr>
      </w:pPr>
      <w:bookmarkStart w:id="312" w:name="_Toc530055723"/>
      <w:r>
        <w:rPr>
          <w:rFonts w:hint="eastAsia" w:eastAsia="等线" w:cs="等线"/>
          <w:b/>
          <w:color w:val="auto"/>
          <w:sz w:val="28"/>
          <w:szCs w:val="28"/>
          <w:lang w:val="en-US" w:eastAsia="zh-CN"/>
        </w:rPr>
        <w:t>9.5.1</w:t>
      </w:r>
      <w:r>
        <w:rPr>
          <w:rFonts w:hint="eastAsia" w:ascii="宋体" w:hAnsi="宋体" w:eastAsia="宋体" w:cs="宋体"/>
          <w:b/>
          <w:color w:val="auto"/>
          <w:sz w:val="28"/>
          <w:szCs w:val="28"/>
        </w:rPr>
        <w:t>高空坠落应急处置措施</w:t>
      </w:r>
      <w:bookmarkEnd w:id="312"/>
    </w:p>
    <w:p w14:paraId="1340DA9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2E99E47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43CE749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6320657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47AE51F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（5）遇有创伤性出血的伤员，应迅速包扎止血，使伤员保持在头底脚高的卧位，并注意保暖。正确的现场止血处理措施：</w:t>
      </w:r>
    </w:p>
    <w:p w14:paraId="30472CB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a.一般伤口的止血法：先用生理盐水（0.9%Nacl溶液）冲洗伤口，涂上红汞水，然后盖上消毒纱布，用绷带较紧地包扎。</w:t>
      </w:r>
    </w:p>
    <w:p w14:paraId="3B79814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b.加压包扎止血法：用纱布、棉花等作成软件垫，放在伤口上再加包扎，来增强压力而达到止血。</w:t>
      </w:r>
    </w:p>
    <w:p w14:paraId="0CF3E27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02BEC0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（6）动用最快的交通工具或其他措施，及时把伤者送往邻近医院抢救，运送途中应尽量减少颠簸。同时密切注意伤者的呼吸、脉搏、血压及伤口的情况。</w:t>
      </w:r>
    </w:p>
    <w:p w14:paraId="448A4BE4">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8"/>
          <w:szCs w:val="28"/>
        </w:rPr>
      </w:pPr>
      <w:bookmarkStart w:id="313" w:name="_Toc530055724"/>
      <w:r>
        <w:rPr>
          <w:rFonts w:hint="eastAsia" w:eastAsia="等线" w:cs="等线"/>
          <w:b/>
          <w:color w:val="auto"/>
          <w:sz w:val="28"/>
          <w:szCs w:val="28"/>
          <w:lang w:val="en-US" w:eastAsia="zh-CN"/>
        </w:rPr>
        <w:t>9.5.</w:t>
      </w:r>
      <w:r>
        <w:rPr>
          <w:rFonts w:hint="eastAsia" w:ascii="等线" w:hAnsi="等线" w:eastAsia="等线" w:cs="等线"/>
          <w:b/>
          <w:color w:val="auto"/>
          <w:sz w:val="28"/>
          <w:szCs w:val="28"/>
        </w:rPr>
        <w:t>2</w:t>
      </w:r>
      <w:r>
        <w:rPr>
          <w:rFonts w:hint="eastAsia" w:ascii="宋体" w:hAnsi="宋体" w:eastAsia="宋体" w:cs="宋体"/>
          <w:b/>
          <w:color w:val="auto"/>
          <w:sz w:val="28"/>
          <w:szCs w:val="28"/>
        </w:rPr>
        <w:t>物体打击应急处置措施</w:t>
      </w:r>
      <w:bookmarkEnd w:id="313"/>
    </w:p>
    <w:p w14:paraId="730F5E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当发生物体打击事故后，抢救的重点放在颅脑损伤、胸部骨折和出血上进行处理。</w:t>
      </w:r>
    </w:p>
    <w:p w14:paraId="021A5B2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46DB756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（2）遇呼吸、心跳停止者，应立即进行人工呼吸，胸外心脏挤压。处于休克状态的伤员要让其安静、保暖、平卧、少动，并将下肢抬高约20度左右，尽快送医院进行抢救治疗。</w:t>
      </w:r>
    </w:p>
    <w:p w14:paraId="6E383FB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1CD85C38">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8"/>
          <w:szCs w:val="28"/>
        </w:rPr>
      </w:pPr>
      <w:bookmarkStart w:id="314" w:name="_Toc530055725"/>
      <w:r>
        <w:rPr>
          <w:rFonts w:hint="eastAsia" w:eastAsia="等线" w:cs="等线"/>
          <w:b/>
          <w:color w:val="auto"/>
          <w:sz w:val="28"/>
          <w:szCs w:val="28"/>
          <w:lang w:val="en-US" w:eastAsia="zh-CN"/>
        </w:rPr>
        <w:t>9.5.</w:t>
      </w:r>
      <w:r>
        <w:rPr>
          <w:rFonts w:hint="eastAsia" w:ascii="等线" w:hAnsi="等线" w:eastAsia="等线" w:cs="等线"/>
          <w:b/>
          <w:color w:val="auto"/>
          <w:sz w:val="28"/>
          <w:szCs w:val="28"/>
        </w:rPr>
        <w:t>3</w:t>
      </w:r>
      <w:r>
        <w:rPr>
          <w:rFonts w:hint="eastAsia" w:ascii="宋体" w:hAnsi="宋体" w:eastAsia="宋体" w:cs="宋体"/>
          <w:b/>
          <w:color w:val="auto"/>
          <w:sz w:val="28"/>
          <w:szCs w:val="28"/>
        </w:rPr>
        <w:t>机械伤害应急处置措施</w:t>
      </w:r>
      <w:bookmarkEnd w:id="314"/>
      <w:r>
        <w:rPr>
          <w:rFonts w:hint="eastAsia" w:ascii="宋体" w:hAnsi="宋体" w:eastAsia="宋体" w:cs="宋体"/>
          <w:b/>
          <w:color w:val="auto"/>
          <w:sz w:val="28"/>
          <w:szCs w:val="28"/>
        </w:rPr>
        <w:t xml:space="preserve"> </w:t>
      </w:r>
    </w:p>
    <w:p w14:paraId="69DF990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当施工人员发生机械伤害事故时，迅速确定事故发生的准确位置、可能波及的范围、设备损坏的程度、人员伤亡等情况，观察伤者的受伤情况、部位、伤害性质，急救人员应尽快赶往出事地点。</w:t>
      </w:r>
    </w:p>
    <w:p w14:paraId="0942230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（1）休克、昏迷急救</w:t>
      </w:r>
    </w:p>
    <w:p w14:paraId="55C630E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让休克者平卧、不用枕头，腿部抬高30度。若属于心原性休克同时伴有心力衰竭、气急，不能平卧时，可采用半卧，注意保暖和安静，尽量不要搬动，如必须搬动时，动作要轻。</w:t>
      </w:r>
    </w:p>
    <w:p w14:paraId="0248391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（2）骨折急救</w:t>
      </w:r>
    </w:p>
    <w:p w14:paraId="3E30EF9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a.固定断骨的材料可就地取材，如棍、木板、拐杖、硬纸板等都可作为固定材料，长短要以能固定住骨折处上下两个关节或不使断骨错动为准。 </w:t>
      </w:r>
    </w:p>
    <w:p w14:paraId="6C27C94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b.脊柱骨折或骨折或颈部骨折时，除非是特殊情况如室内失火，否则应让伤者留在原地，等待携有医疗器材的医护人员来搬动。  </w:t>
      </w:r>
    </w:p>
    <w:p w14:paraId="640EAD5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46DCB64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（3）严重出血的急救</w:t>
      </w:r>
    </w:p>
    <w:p w14:paraId="288794E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止血的方法：</w:t>
      </w:r>
    </w:p>
    <w:p w14:paraId="6291DF2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a.一般止血法：一般伤口小的出血，先用生理盐水涂上红汞药水，然后盖上消毒纱布，用绷带较紧地包扎。</w:t>
      </w:r>
    </w:p>
    <w:p w14:paraId="785667A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03EC54EC">
      <w:pPr>
        <w:spacing w:line="360" w:lineRule="auto"/>
        <w:ind w:firstLine="360" w:firstLineChars="15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（4）肢体切断断肢(指)后，有时即刻造成伤者因流血或疼痛而发生休克，所以应设法首先止血，防止伤员休克。其急救要点为：</w:t>
      </w:r>
    </w:p>
    <w:p w14:paraId="7F4CD13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a.让伤者躺下，用一块纱布或清洁布块(如翻出干净手帕的内面)，放在断肢伤口上，再用绷带固定位置。如果找不到绷带，也可用围巾包扎。</w:t>
      </w:r>
    </w:p>
    <w:p w14:paraId="1D98B4B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b.如是手臂切断，用绷带把断臂挂在胸前，固定位置；若是一条腿断了，则与另一条腿扎在一起。</w:t>
      </w:r>
    </w:p>
    <w:p w14:paraId="63021BAF">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c.料理好伤者后，设法找回断肢。倘若离断的伤肢(指)仍在机器中，千万不能将肢体强行拉出，或将机器倒开(转)，以免增加损伤的机会。正确的方法应是拆开机器后取出。</w:t>
      </w:r>
    </w:p>
    <w:p w14:paraId="4FC337B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7F8B7C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e.离断后的伤肢，如有少许皮肤或其他肌腱相连，不能将其离断，应放在夹板或阔竹片上，然后包扎，立即送到医院作紧急处理。</w:t>
      </w:r>
    </w:p>
    <w:p w14:paraId="00D0E49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f.严禁在离断伤肢(指)的断端涂抹各种药物及药水(包括消毒剂)，更不能涂抹牙膏、灶灰之类试图止血。</w:t>
      </w:r>
    </w:p>
    <w:p w14:paraId="5DBB8A89">
      <w:pPr>
        <w:spacing w:line="360" w:lineRule="auto"/>
        <w:ind w:firstLine="199" w:firstLineChars="83"/>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（5）一般性外伤</w:t>
      </w:r>
    </w:p>
    <w:p w14:paraId="65704D7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a.视伤情送往医院，防止破伤风。</w:t>
      </w:r>
    </w:p>
    <w:p w14:paraId="4609332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b.轻微内伤，送医院检查。</w:t>
      </w:r>
    </w:p>
    <w:p w14:paraId="63EF08BF">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4"/>
          <w:szCs w:val="24"/>
        </w:rPr>
      </w:pPr>
      <w:bookmarkStart w:id="315" w:name="_Toc530055726"/>
      <w:r>
        <w:rPr>
          <w:rFonts w:hint="eastAsia" w:eastAsia="等线" w:cs="等线"/>
          <w:b/>
          <w:color w:val="auto"/>
          <w:sz w:val="28"/>
          <w:szCs w:val="28"/>
          <w:lang w:val="en-US" w:eastAsia="zh-CN"/>
        </w:rPr>
        <w:t>9.5.</w:t>
      </w:r>
      <w:r>
        <w:rPr>
          <w:rFonts w:hint="eastAsia" w:ascii="等线" w:hAnsi="等线" w:eastAsia="等线" w:cs="等线"/>
          <w:b/>
          <w:color w:val="auto"/>
          <w:sz w:val="28"/>
          <w:szCs w:val="28"/>
        </w:rPr>
        <w:t>4</w:t>
      </w:r>
      <w:r>
        <w:rPr>
          <w:rFonts w:hint="eastAsia" w:ascii="宋体" w:hAnsi="宋体" w:eastAsia="宋体" w:cs="宋体"/>
          <w:b/>
          <w:color w:val="auto"/>
          <w:sz w:val="28"/>
          <w:szCs w:val="28"/>
        </w:rPr>
        <w:t>触电应急处置措施</w:t>
      </w:r>
      <w:bookmarkEnd w:id="315"/>
      <w:r>
        <w:rPr>
          <w:rFonts w:hint="eastAsia" w:ascii="宋体" w:hAnsi="宋体" w:eastAsia="宋体" w:cs="宋体"/>
          <w:b/>
          <w:color w:val="auto"/>
          <w:sz w:val="24"/>
          <w:szCs w:val="24"/>
        </w:rPr>
        <w:t xml:space="preserve"> </w:t>
      </w:r>
    </w:p>
    <w:p w14:paraId="633D8CC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（1）迅速脱离电源  </w:t>
      </w:r>
    </w:p>
    <w:p w14:paraId="5969CA5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人体触电以后，可能由于痉挛或失去知觉等原因而紧抓带电体，不能自己摆脱电源。抢救触电者的首要步骤就是使触电者尽快脱离电源。 </w:t>
      </w:r>
    </w:p>
    <w:p w14:paraId="79585FB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使触电者脱离电源的方法：  </w:t>
      </w:r>
    </w:p>
    <w:p w14:paraId="6A648E3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a.立即将闸刀打开或将插头拨掉，切断电源。要注意，普通的电灯开关（如拉线开关）只能关断一根线，有时关断的不是相线，并未真正切断电源。 </w:t>
      </w:r>
    </w:p>
    <w:p w14:paraId="6057DC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b.找不到开关或插头时，可用绝缘的物体（如干燥的木棒、竹杆、手套等）将电线拨开，使触电者脱离电源。</w:t>
      </w:r>
    </w:p>
    <w:p w14:paraId="6A3E38B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c.用绝缘工具（如带绝缘的电工钳、木柄斧头以及锄头等）切断电线来切断电源。</w:t>
      </w:r>
    </w:p>
    <w:p w14:paraId="184B5F3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d.遇高压触电事故，立即通过有关部门停电。 </w:t>
      </w:r>
    </w:p>
    <w:p w14:paraId="3795A8F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总之，要因地制宜，灵活运用各种方法，快速切断电源，防止事故扩大。</w:t>
      </w:r>
    </w:p>
    <w:p w14:paraId="02563F8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（2）现场急救方法</w:t>
      </w:r>
    </w:p>
    <w:p w14:paraId="0C7341E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077FAF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a.口对口人工呼吸法：是用人工的方法来代替肺的呼吸活动，使空气有节律地进入和排出肺脏，供给体内足够的氧气，充分排出二氧化碳，维持正常的通气功能。 </w:t>
      </w:r>
    </w:p>
    <w:p w14:paraId="6EAD700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b.体外心脏挤压法：是指有节律地对心脏挤压，用人工的方法代替心脏的自然收缩，使心脏恢复搏动功能，维持血液循环。</w:t>
      </w:r>
    </w:p>
    <w:p w14:paraId="48D1DA4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（3）触电急救方法</w:t>
      </w:r>
    </w:p>
    <w:p w14:paraId="5D04076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触电病人一般有以下四种症状，可分别给予正确的对症救治：</w:t>
      </w:r>
    </w:p>
    <w:p w14:paraId="4CE5F21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a.神志尚清醒，但心慌力乏，四肢麻木。该类病人一般只需将其扶到清凉通风之处休息，让其自然慢慢恢复。但要派专人照料护理，因为有的病人在几小时后会发生病变而突然死亡。</w:t>
      </w:r>
    </w:p>
    <w:p w14:paraId="769E0B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b.有心跳，但呼吸停止或极微弱。该类病人应该采用口对口人工呼吸法进行急救。人工呼吸法可按下述口诀进行，频率是每分钟约12次：清理口腔防堵塞，鼻孔朝天头后仰；贴嘴吹气胸扩张，放开口鼻换气畅。</w:t>
      </w:r>
    </w:p>
    <w:p w14:paraId="24659A1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c.有呼吸，但心跳停止或极微弱。该类病人应该采用人工胸外心脏挤压法来恢复病人的心跳。一般可以按下述口诀进行，频率是每分钟约60~80次。当胸一手掌，中指对凹膛；掌根用力向下压，压下突然收。</w:t>
      </w:r>
    </w:p>
    <w:p w14:paraId="245F2C2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3F7D1003">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8"/>
          <w:szCs w:val="28"/>
        </w:rPr>
      </w:pPr>
      <w:bookmarkStart w:id="316" w:name="_Toc530055727"/>
      <w:r>
        <w:rPr>
          <w:rFonts w:hint="eastAsia" w:eastAsia="等线" w:cs="等线"/>
          <w:b/>
          <w:color w:val="auto"/>
          <w:sz w:val="28"/>
          <w:szCs w:val="28"/>
          <w:lang w:val="en-US" w:eastAsia="zh-CN"/>
        </w:rPr>
        <w:t>9.5.</w:t>
      </w:r>
      <w:r>
        <w:rPr>
          <w:rFonts w:hint="eastAsia" w:ascii="等线" w:hAnsi="等线" w:eastAsia="等线" w:cs="等线"/>
          <w:b/>
          <w:color w:val="auto"/>
          <w:sz w:val="28"/>
          <w:szCs w:val="28"/>
        </w:rPr>
        <w:t>5</w:t>
      </w:r>
      <w:r>
        <w:rPr>
          <w:rFonts w:hint="eastAsia" w:ascii="宋体" w:hAnsi="宋体" w:eastAsia="宋体" w:cs="宋体"/>
          <w:b/>
          <w:color w:val="auto"/>
          <w:sz w:val="28"/>
          <w:szCs w:val="28"/>
        </w:rPr>
        <w:t>落水人员应急处置措施</w:t>
      </w:r>
      <w:bookmarkEnd w:id="316"/>
    </w:p>
    <w:p w14:paraId="4A8DB556">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（1）交通船舶必须符合水上航行安全要求，备妥救生工具如救生衣、救生圈、救生竹篙等救生器材。</w:t>
      </w:r>
    </w:p>
    <w:p w14:paraId="747C243D">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（2）水上施工作业及船上流动作业人员应按规定穿着救生衣。符合高处作业条件的，还应按高处作业的规定系好安全带。</w:t>
      </w:r>
    </w:p>
    <w:p w14:paraId="7D727BA7">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（3）交通船必须按定员，不准超载。乘坐人员应听从船员的指挥，船到位后，应待靠稳拴牢方可上、下。不得抢上抢下或船未靠稳就跳船。</w:t>
      </w:r>
    </w:p>
    <w:p w14:paraId="5775D344">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（4）乘坐人员应听从船员的指挥，自觉入舱，不得站立和坐骑在船头、船尾和船帮上，遇有风浪时，船上乘坐人员不得来回走动。非本船驾驶人员严禁擅自操作。</w:t>
      </w:r>
    </w:p>
    <w:p w14:paraId="32196108">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（5）施工人员应开展游泳培训，加强自救和互救的能力。</w:t>
      </w:r>
    </w:p>
    <w:p w14:paraId="47F91F5D">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（6）人员上下通道必须设安全网，跳板要固定。作业平台应满铺脚手板，周边必须有栏杆和安全网等可靠的临边维护。</w:t>
      </w:r>
    </w:p>
    <w:p w14:paraId="46BC799C">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（7）作业平台上应配置足够数量的救生圈等救生设备，并配备一定数量的固定式防水灯，保证夜间足够的照明。</w:t>
      </w:r>
    </w:p>
    <w:p w14:paraId="18232828">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（8）作业平台上设置多条安全通道，以防不测时人员迅速疏散。</w:t>
      </w:r>
    </w:p>
    <w:p w14:paraId="4121D11D">
      <w:pPr>
        <w:pStyle w:val="3"/>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color w:val="auto"/>
        </w:rPr>
      </w:pPr>
      <w:bookmarkStart w:id="317" w:name="_Toc23368"/>
      <w:bookmarkStart w:id="318" w:name="_Toc18811"/>
      <w:bookmarkStart w:id="319" w:name="_Toc17826"/>
      <w:bookmarkStart w:id="320" w:name="_Toc10887"/>
      <w:bookmarkStart w:id="321" w:name="_Toc7406"/>
      <w:bookmarkStart w:id="322" w:name="_Toc11464"/>
      <w:bookmarkStart w:id="323" w:name="_Toc10409843"/>
      <w:bookmarkStart w:id="324" w:name="_Toc20264"/>
      <w:r>
        <w:rPr>
          <w:rFonts w:hint="eastAsia" w:ascii="等线" w:hAnsi="等线" w:eastAsia="等线" w:cs="等线"/>
          <w:color w:val="auto"/>
          <w:sz w:val="28"/>
          <w:szCs w:val="28"/>
          <w:lang w:val="en-US" w:eastAsia="zh-CN"/>
        </w:rPr>
        <w:t xml:space="preserve">9.6 </w:t>
      </w:r>
      <w:bookmarkStart w:id="325" w:name="_Toc4613"/>
      <w:r>
        <w:rPr>
          <w:rFonts w:hint="eastAsia"/>
          <w:color w:val="auto"/>
        </w:rPr>
        <w:t>施工现场的急救步骤</w:t>
      </w:r>
      <w:bookmarkEnd w:id="317"/>
      <w:bookmarkEnd w:id="318"/>
      <w:bookmarkEnd w:id="319"/>
      <w:bookmarkEnd w:id="320"/>
      <w:bookmarkEnd w:id="325"/>
    </w:p>
    <w:p w14:paraId="76B7DA28">
      <w:pPr>
        <w:keepNext w:val="0"/>
        <w:keepLines w:val="0"/>
        <w:pageBreakBefore w:val="0"/>
        <w:widowControl w:val="0"/>
        <w:kinsoku/>
        <w:wordWrap/>
        <w:overflowPunct/>
        <w:topLinePunct w:val="0"/>
        <w:autoSpaceDE/>
        <w:autoSpaceDN/>
        <w:bidi w:val="0"/>
        <w:adjustRightInd/>
        <w:snapToGrid/>
        <w:spacing w:before="260" w:after="260" w:line="413" w:lineRule="auto"/>
        <w:ind w:firstLine="562" w:firstLineChars="200"/>
        <w:textAlignment w:val="auto"/>
        <w:outlineLvl w:val="2"/>
        <w:rPr>
          <w:rFonts w:hint="eastAsia" w:ascii="宋体" w:hAnsi="宋体" w:eastAsia="宋体" w:cs="宋体"/>
          <w:b/>
          <w:color w:val="auto"/>
          <w:sz w:val="28"/>
          <w:szCs w:val="28"/>
        </w:rPr>
      </w:pPr>
      <w:bookmarkStart w:id="326" w:name="_Toc528765883"/>
      <w:bookmarkStart w:id="327" w:name="_Toc18994"/>
      <w:r>
        <w:rPr>
          <w:rFonts w:hint="eastAsia" w:ascii="宋体" w:hAnsi="宋体" w:eastAsia="宋体" w:cs="宋体"/>
          <w:b/>
          <w:color w:val="auto"/>
          <w:sz w:val="28"/>
          <w:szCs w:val="28"/>
          <w:lang w:val="en-US" w:eastAsia="zh-CN"/>
        </w:rPr>
        <w:t>9.6.1</w:t>
      </w:r>
      <w:r>
        <w:rPr>
          <w:rFonts w:hint="eastAsia" w:ascii="宋体" w:hAnsi="宋体" w:eastAsia="宋体" w:cs="宋体"/>
          <w:b/>
          <w:color w:val="auto"/>
          <w:sz w:val="28"/>
          <w:szCs w:val="28"/>
        </w:rPr>
        <w:t>电话报警</w:t>
      </w:r>
      <w:bookmarkEnd w:id="326"/>
      <w:bookmarkEnd w:id="327"/>
    </w:p>
    <w:p w14:paraId="754421B0">
      <w:pPr>
        <w:spacing w:line="360" w:lineRule="auto"/>
        <w:ind w:firstLine="480" w:firstLineChars="200"/>
        <w:rPr>
          <w:rFonts w:ascii="宋体" w:hAnsi="宋体"/>
          <w:color w:val="auto"/>
          <w:sz w:val="24"/>
        </w:rPr>
      </w:pPr>
      <w:r>
        <w:rPr>
          <w:rFonts w:hint="eastAsia" w:ascii="宋体" w:hAnsi="宋体" w:eastAsia="宋体" w:cs="宋体"/>
          <w:color w:val="auto"/>
          <w:kern w:val="2"/>
          <w:sz w:val="24"/>
          <w:szCs w:val="24"/>
        </w:rPr>
        <w:t>事故发生第一时间，要立即报告，救护小组迅速采取有效急救措施，同时报警求救：</w:t>
      </w:r>
    </w:p>
    <w:p w14:paraId="1BFE58B2">
      <w:pPr>
        <w:spacing w:line="360" w:lineRule="auto"/>
        <w:ind w:firstLine="482" w:firstLineChars="200"/>
        <w:rPr>
          <w:rFonts w:hint="eastAsia" w:ascii="宋体" w:hAnsi="宋体"/>
          <w:color w:val="auto"/>
          <w:sz w:val="24"/>
        </w:rPr>
      </w:pPr>
      <w:r>
        <w:rPr>
          <w:rFonts w:hint="eastAsia" w:ascii="宋体" w:hAnsi="宋体"/>
          <w:b/>
          <w:color w:val="auto"/>
          <w:sz w:val="24"/>
        </w:rPr>
        <w:t>火警</w:t>
      </w:r>
      <w:r>
        <w:rPr>
          <w:rFonts w:hint="eastAsia" w:ascii="宋体" w:hAnsi="宋体"/>
          <w:color w:val="auto"/>
          <w:sz w:val="24"/>
        </w:rPr>
        <w:t xml:space="preserve">：119    </w:t>
      </w:r>
      <w:r>
        <w:rPr>
          <w:rFonts w:hint="eastAsia" w:ascii="宋体" w:hAnsi="宋体"/>
          <w:b/>
          <w:color w:val="auto"/>
          <w:sz w:val="24"/>
        </w:rPr>
        <w:t>匪警</w:t>
      </w:r>
      <w:r>
        <w:rPr>
          <w:rFonts w:hint="eastAsia" w:ascii="宋体" w:hAnsi="宋体"/>
          <w:color w:val="auto"/>
          <w:sz w:val="24"/>
        </w:rPr>
        <w:t xml:space="preserve">：110   </w:t>
      </w:r>
      <w:r>
        <w:rPr>
          <w:rFonts w:hint="eastAsia" w:ascii="宋体" w:hAnsi="宋体"/>
          <w:b/>
          <w:color w:val="auto"/>
          <w:sz w:val="24"/>
        </w:rPr>
        <w:t>急救电话</w:t>
      </w:r>
      <w:r>
        <w:rPr>
          <w:rFonts w:hint="eastAsia" w:ascii="宋体" w:hAnsi="宋体"/>
          <w:color w:val="auto"/>
          <w:sz w:val="24"/>
        </w:rPr>
        <w:t>：120</w:t>
      </w:r>
    </w:p>
    <w:p w14:paraId="3C9DF8DE">
      <w:pPr>
        <w:spacing w:line="360" w:lineRule="auto"/>
        <w:ind w:firstLine="472" w:firstLineChars="196"/>
        <w:rPr>
          <w:rFonts w:hint="eastAsia" w:ascii="宋体" w:hAnsi="宋体" w:eastAsia="宋体" w:cs="Times New Roman"/>
          <w:b/>
          <w:bCs/>
          <w:color w:val="auto"/>
          <w:sz w:val="24"/>
        </w:rPr>
      </w:pPr>
      <w:r>
        <w:rPr>
          <w:rFonts w:hint="eastAsia" w:ascii="宋体" w:hAnsi="宋体" w:cs="Times New Roman"/>
          <w:b/>
          <w:bCs/>
          <w:color w:val="auto"/>
          <w:sz w:val="24"/>
          <w:lang w:val="en-US" w:eastAsia="zh-CN"/>
        </w:rPr>
        <w:t xml:space="preserve"> </w:t>
      </w:r>
      <w:r>
        <w:rPr>
          <w:rFonts w:hint="eastAsia" w:ascii="宋体" w:hAnsi="宋体" w:eastAsia="宋体" w:cs="Times New Roman"/>
          <w:b/>
          <w:bCs/>
          <w:color w:val="auto"/>
          <w:sz w:val="24"/>
        </w:rPr>
        <w:t>医院：</w:t>
      </w:r>
    </w:p>
    <w:p w14:paraId="4D73427A">
      <w:pPr>
        <w:spacing w:line="360" w:lineRule="auto"/>
        <w:ind w:firstLine="472" w:firstLineChars="196"/>
        <w:rPr>
          <w:rFonts w:hint="eastAsia" w:ascii="宋体" w:hAnsi="宋体" w:eastAsia="宋体" w:cs="Times New Roman"/>
          <w:color w:val="auto"/>
          <w:sz w:val="24"/>
          <w:lang w:eastAsia="zh-CN"/>
        </w:rPr>
      </w:pPr>
      <w:r>
        <w:rPr>
          <w:rFonts w:hint="eastAsia" w:ascii="宋体" w:hAnsi="宋体" w:eastAsia="宋体" w:cs="Times New Roman"/>
          <w:b/>
          <w:bCs/>
          <w:color w:val="auto"/>
          <w:sz w:val="24"/>
        </w:rPr>
        <w:t>地址</w:t>
      </w:r>
      <w:r>
        <w:rPr>
          <w:rFonts w:hint="eastAsia" w:ascii="宋体" w:hAnsi="宋体" w:eastAsia="宋体" w:cs="Times New Roman"/>
          <w:color w:val="auto"/>
          <w:sz w:val="24"/>
        </w:rPr>
        <w:t>：</w:t>
      </w:r>
      <w:r>
        <w:rPr>
          <w:rFonts w:hint="eastAsia" w:ascii="宋体" w:hAnsi="宋体" w:cs="宋体"/>
          <w:color w:val="auto"/>
          <w:kern w:val="22"/>
          <w:szCs w:val="21"/>
          <w:lang w:val="en-US" w:eastAsia="zh-CN"/>
        </w:rPr>
        <w:t xml:space="preserve"> </w:t>
      </w:r>
    </w:p>
    <w:p w14:paraId="388E1C27">
      <w:pPr>
        <w:spacing w:line="360" w:lineRule="auto"/>
        <w:ind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拨打电话报告时，不要惊慌，必须讲清事故情况和已采取的措施，让救护人员做好急救准备，讲清事故发生地点、附近特征，单位名称，负责人姓名、电话；报告程序：逐级也可越级。</w:t>
      </w:r>
    </w:p>
    <w:p w14:paraId="1905C251">
      <w:pPr>
        <w:spacing w:line="360" w:lineRule="auto"/>
        <w:ind w:firstLine="482" w:firstLineChars="200"/>
        <w:rPr>
          <w:rFonts w:ascii="宋体" w:hAnsi="宋体"/>
          <w:color w:val="auto"/>
          <w:sz w:val="24"/>
        </w:rPr>
      </w:pPr>
      <w:r>
        <w:rPr>
          <w:rFonts w:hint="eastAsia" w:ascii="宋体" w:hAnsi="宋体"/>
          <w:b/>
          <w:color w:val="auto"/>
          <w:sz w:val="24"/>
        </w:rPr>
        <w:t>救援地址地图</w:t>
      </w:r>
      <w:r>
        <w:rPr>
          <w:rFonts w:hint="eastAsia" w:ascii="宋体" w:hAnsi="宋体"/>
          <w:color w:val="auto"/>
          <w:sz w:val="24"/>
        </w:rPr>
        <w:t>：</w:t>
      </w:r>
    </w:p>
    <w:p w14:paraId="5186B329">
      <w:pPr>
        <w:widowControl/>
        <w:jc w:val="center"/>
        <w:rPr>
          <w:rFonts w:hint="eastAsia" w:ascii="宋体" w:hAnsi="宋体" w:eastAsia="宋体" w:cs="宋体"/>
          <w:color w:val="auto"/>
          <w:kern w:val="0"/>
          <w:sz w:val="24"/>
          <w:lang w:eastAsia="zh-CN"/>
        </w:rPr>
      </w:pPr>
    </w:p>
    <w:p w14:paraId="618D3380">
      <w:pPr>
        <w:keepNext w:val="0"/>
        <w:keepLines w:val="0"/>
        <w:pageBreakBefore w:val="0"/>
        <w:widowControl w:val="0"/>
        <w:kinsoku/>
        <w:wordWrap/>
        <w:overflowPunct/>
        <w:topLinePunct w:val="0"/>
        <w:autoSpaceDE/>
        <w:autoSpaceDN/>
        <w:bidi w:val="0"/>
        <w:adjustRightInd/>
        <w:snapToGrid/>
        <w:spacing w:before="260" w:after="260" w:line="413" w:lineRule="auto"/>
        <w:ind w:firstLine="562" w:firstLineChars="200"/>
        <w:textAlignment w:val="auto"/>
        <w:outlineLvl w:val="2"/>
        <w:rPr>
          <w:rFonts w:hint="eastAsia" w:ascii="宋体" w:hAnsi="宋体" w:eastAsia="宋体" w:cs="宋体"/>
          <w:b/>
          <w:color w:val="auto"/>
          <w:sz w:val="28"/>
          <w:szCs w:val="28"/>
          <w:lang w:val="en-US" w:eastAsia="zh-CN"/>
        </w:rPr>
      </w:pPr>
      <w:bookmarkStart w:id="328" w:name="_Toc528765884"/>
      <w:bookmarkStart w:id="329" w:name="_Toc12893"/>
      <w:r>
        <w:rPr>
          <w:rFonts w:hint="eastAsia" w:ascii="宋体" w:hAnsi="宋体" w:eastAsia="宋体" w:cs="宋体"/>
          <w:b/>
          <w:color w:val="auto"/>
          <w:sz w:val="28"/>
          <w:szCs w:val="28"/>
          <w:lang w:val="en-US" w:eastAsia="zh-CN"/>
        </w:rPr>
        <w:t>9.6.2现场疏导、自救</w:t>
      </w:r>
      <w:bookmarkEnd w:id="328"/>
      <w:bookmarkEnd w:id="329"/>
    </w:p>
    <w:p w14:paraId="53397A7A">
      <w:pPr>
        <w:spacing w:line="360" w:lineRule="auto"/>
        <w:ind w:firstLine="480" w:firstLineChars="200"/>
        <w:rPr>
          <w:rFonts w:ascii="宋体" w:hAnsi="宋体"/>
          <w:color w:val="auto"/>
          <w:sz w:val="24"/>
        </w:rPr>
      </w:pPr>
      <w:r>
        <w:rPr>
          <w:rFonts w:hint="eastAsia" w:ascii="宋体" w:hAnsi="宋体" w:eastAsia="宋体" w:cs="宋体"/>
          <w:color w:val="auto"/>
          <w:kern w:val="2"/>
          <w:sz w:val="24"/>
          <w:szCs w:val="24"/>
        </w:rPr>
        <w:t>在电话报救的同时，由各小组紧急就位，根据现场实际情况对伤员或财物进行救护，有次序地组织人员安全撤离，疏散群众，清理救护通道。</w:t>
      </w:r>
    </w:p>
    <w:p w14:paraId="5330D8A4">
      <w:pPr>
        <w:pStyle w:val="3"/>
        <w:numPr>
          <w:ilvl w:val="0"/>
          <w:numId w:val="0"/>
        </w:numPr>
        <w:outlineLvl w:val="1"/>
        <w:rPr>
          <w:color w:val="auto"/>
        </w:rPr>
      </w:pPr>
      <w:bookmarkStart w:id="330" w:name="_Toc20332"/>
      <w:r>
        <w:rPr>
          <w:rFonts w:hint="eastAsia"/>
          <w:color w:val="auto"/>
          <w:lang w:val="en-US" w:eastAsia="zh-CN"/>
        </w:rPr>
        <w:t xml:space="preserve">9.7 </w:t>
      </w:r>
      <w:r>
        <w:rPr>
          <w:rFonts w:hint="eastAsia"/>
          <w:color w:val="auto"/>
        </w:rPr>
        <w:t>应急保障</w:t>
      </w:r>
      <w:bookmarkEnd w:id="321"/>
      <w:bookmarkEnd w:id="322"/>
      <w:bookmarkEnd w:id="323"/>
      <w:bookmarkEnd w:id="324"/>
      <w:bookmarkEnd w:id="330"/>
    </w:p>
    <w:p w14:paraId="0102057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（1）通信与信息保障</w:t>
      </w:r>
    </w:p>
    <w:p w14:paraId="7A26E1A2">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1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①</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项目经理部建立上下级之间的应急通信联络渠道，应急领导小组办公室要及时更新项目人员领导的联系方式，报告项目公司并</w:t>
      </w:r>
      <w:r>
        <w:rPr>
          <w:rFonts w:hint="eastAsia" w:ascii="Times New Roman" w:hAnsi="Times New Roman" w:eastAsia="宋体" w:cs="Times New Roman"/>
          <w:color w:val="auto"/>
          <w:kern w:val="2"/>
          <w:sz w:val="24"/>
          <w:szCs w:val="22"/>
          <w:lang w:val="en-US" w:eastAsia="zh-CN" w:bidi="ar-SA"/>
        </w:rPr>
        <w:t>及时</w:t>
      </w:r>
      <w:r>
        <w:rPr>
          <w:rFonts w:hint="default" w:ascii="Times New Roman" w:hAnsi="Times New Roman" w:eastAsia="宋体" w:cs="Times New Roman"/>
          <w:color w:val="auto"/>
          <w:kern w:val="2"/>
          <w:sz w:val="24"/>
          <w:szCs w:val="22"/>
          <w:lang w:val="en-US" w:eastAsia="zh-CN" w:bidi="ar-SA"/>
        </w:rPr>
        <w:t>下发到各部门。</w:t>
      </w:r>
    </w:p>
    <w:p w14:paraId="5261DEC5">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2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②</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为确保可以及时联系到相关人员，项目经理部配备对讲机。</w:t>
      </w:r>
    </w:p>
    <w:p w14:paraId="2AB32BF2">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3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③</w:t>
      </w:r>
      <w:r>
        <w:rPr>
          <w:rFonts w:hint="default" w:ascii="Times New Roman" w:hAnsi="Times New Roman" w:eastAsia="宋体" w:cs="Times New Roman"/>
          <w:color w:val="auto"/>
          <w:kern w:val="2"/>
          <w:sz w:val="24"/>
          <w:szCs w:val="22"/>
          <w:lang w:val="en-US" w:eastAsia="zh-CN" w:bidi="ar-SA"/>
        </w:rPr>
        <w:fldChar w:fldCharType="end"/>
      </w:r>
      <w:r>
        <w:rPr>
          <w:rFonts w:hint="default" w:ascii="Times New Roman" w:hAnsi="Times New Roman" w:eastAsia="宋体" w:cs="Times New Roman"/>
          <w:color w:val="auto"/>
          <w:kern w:val="2"/>
          <w:sz w:val="24"/>
          <w:szCs w:val="22"/>
          <w:lang w:val="en-US" w:eastAsia="zh-CN" w:bidi="ar-SA"/>
        </w:rPr>
        <w:t>项目经理部主要领导手机保持24小时不关机，晚上及节假日安排人员接听电话。</w:t>
      </w:r>
    </w:p>
    <w:p w14:paraId="2273A8AE">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4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④</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建立与上级应急部门、救援机构、所在地医院、管线权属单位的应急通信联络渠道，尽可能设立备用联络渠道，保证在任何时候的通信畅通，如通信方式有改变，应及时予以更新。</w:t>
      </w:r>
    </w:p>
    <w:p w14:paraId="5C05F9F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（2）应急队伍保障</w:t>
      </w:r>
    </w:p>
    <w:p w14:paraId="78353CCA">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1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①</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兼职应急队伍</w:t>
      </w:r>
    </w:p>
    <w:p w14:paraId="66361633">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本项目建立兼职应急救援队伍1支，由应急领导小组组织日常应急安全教育和培训，组织应急演练，一旦发生险情及时进入应急抢险状态，确保应急预案的有效实施。</w:t>
      </w:r>
    </w:p>
    <w:p w14:paraId="35E3F1A4">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2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②</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专业应急队伍</w:t>
      </w:r>
    </w:p>
    <w:p w14:paraId="486E7670">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当事故发展超过了项目部应急救援力量的能力时，由应急指挥部总指挥请求地方应急救援队、专业应急救援队、医院、公安、消防</w:t>
      </w:r>
      <w:r>
        <w:rPr>
          <w:rFonts w:hint="eastAsia" w:ascii="Times New Roman" w:hAnsi="Times New Roman" w:eastAsia="宋体" w:cs="Times New Roman"/>
          <w:color w:val="auto"/>
          <w:kern w:val="2"/>
          <w:sz w:val="24"/>
          <w:szCs w:val="22"/>
          <w:lang w:val="en-US" w:eastAsia="zh-CN" w:bidi="ar-SA"/>
        </w:rPr>
        <w:t>等其他</w:t>
      </w:r>
      <w:r>
        <w:rPr>
          <w:rFonts w:hint="default" w:ascii="Times New Roman" w:hAnsi="Times New Roman" w:eastAsia="宋体" w:cs="Times New Roman"/>
          <w:color w:val="auto"/>
          <w:kern w:val="2"/>
          <w:sz w:val="24"/>
          <w:szCs w:val="22"/>
          <w:lang w:val="en-US" w:eastAsia="zh-CN" w:bidi="ar-SA"/>
        </w:rPr>
        <w:t>外部单位力量参与救援。</w:t>
      </w:r>
    </w:p>
    <w:p w14:paraId="47C08F18">
      <w:pPr>
        <w:numPr>
          <w:ilvl w:val="0"/>
          <w:numId w:val="14"/>
        </w:numPr>
        <w:spacing w:line="360" w:lineRule="auto"/>
        <w:ind w:left="480" w:leftChars="200" w:firstLine="0" w:firstLineChars="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应急物资装备保障</w:t>
      </w:r>
    </w:p>
    <w:p w14:paraId="01E7FC40">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应急领导小组办公室负责储备必要、充足的备用柴油、发电机等应急物资，明确应急物资和装备的类型、数量、性能、存放位置，运输及使用条件、管理责任人及其联系方式等，定期检查应急物资、装备，及时补充并确保其处于可用状态。</w:t>
      </w:r>
    </w:p>
    <w:p w14:paraId="393DE2E7">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有效利用内、外部资源，建立应急物资供应、共享、获得渠道，保证应急物资及时调入。紧急情况下，可通过当地政府调动社会力量参与突发应急事件处置，依法征用调用车辆、物资、人员，全力投入应急抢险。</w:t>
      </w:r>
    </w:p>
    <w:p w14:paraId="4889E09A">
      <w:pPr>
        <w:pStyle w:val="11"/>
        <w:numPr>
          <w:ilvl w:val="0"/>
          <w:numId w:val="0"/>
        </w:numPr>
        <w:ind w:leftChars="200"/>
        <w:rPr>
          <w:rFonts w:hint="default"/>
          <w:color w:val="auto"/>
          <w:lang w:val="en-US"/>
        </w:rPr>
      </w:pPr>
      <w:r>
        <w:rPr>
          <w:rFonts w:hint="default" w:ascii="Times New Roman" w:hAnsi="Times New Roman" w:eastAsia="宋体" w:cs="Times New Roman"/>
          <w:color w:val="auto"/>
          <w:kern w:val="2"/>
          <w:sz w:val="24"/>
          <w:szCs w:val="22"/>
          <w:lang w:val="en-US" w:eastAsia="zh-CN" w:bidi="ar-SA"/>
        </w:rPr>
        <w:t>应急物资装备清单见</w:t>
      </w:r>
      <w:r>
        <w:rPr>
          <w:rFonts w:hint="eastAsia" w:ascii="Times New Roman" w:hAnsi="Times New Roman" w:cs="Times New Roman"/>
          <w:color w:val="auto"/>
          <w:kern w:val="2"/>
          <w:sz w:val="24"/>
          <w:szCs w:val="22"/>
          <w:lang w:val="en-US" w:eastAsia="zh-CN" w:bidi="ar-SA"/>
        </w:rPr>
        <w:t>下表：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28"/>
        <w:gridCol w:w="2038"/>
        <w:gridCol w:w="876"/>
        <w:gridCol w:w="728"/>
        <w:gridCol w:w="1346"/>
        <w:gridCol w:w="1273"/>
        <w:gridCol w:w="809"/>
      </w:tblGrid>
      <w:tr w14:paraId="71E4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5" w:type="pct"/>
            <w:shd w:val="clear" w:color="auto" w:fill="auto"/>
            <w:vAlign w:val="center"/>
          </w:tcPr>
          <w:p w14:paraId="0F817D2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序号</w:t>
            </w:r>
          </w:p>
        </w:tc>
        <w:tc>
          <w:tcPr>
            <w:tcW w:w="427" w:type="pct"/>
            <w:shd w:val="clear" w:color="auto" w:fill="auto"/>
            <w:vAlign w:val="center"/>
          </w:tcPr>
          <w:p w14:paraId="6850A95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类别</w:t>
            </w:r>
          </w:p>
        </w:tc>
        <w:tc>
          <w:tcPr>
            <w:tcW w:w="1196" w:type="pct"/>
            <w:shd w:val="clear" w:color="auto" w:fill="auto"/>
            <w:vAlign w:val="center"/>
          </w:tcPr>
          <w:p w14:paraId="4061BD7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物品名称</w:t>
            </w:r>
          </w:p>
        </w:tc>
        <w:tc>
          <w:tcPr>
            <w:tcW w:w="514" w:type="pct"/>
            <w:shd w:val="clear" w:color="auto" w:fill="auto"/>
            <w:vAlign w:val="center"/>
          </w:tcPr>
          <w:p w14:paraId="5FDE1D6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单位</w:t>
            </w:r>
          </w:p>
        </w:tc>
        <w:tc>
          <w:tcPr>
            <w:tcW w:w="427" w:type="pct"/>
            <w:shd w:val="clear" w:color="auto" w:fill="auto"/>
            <w:vAlign w:val="center"/>
          </w:tcPr>
          <w:p w14:paraId="67287A1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数量</w:t>
            </w:r>
          </w:p>
        </w:tc>
        <w:tc>
          <w:tcPr>
            <w:tcW w:w="790" w:type="pct"/>
            <w:shd w:val="clear" w:color="auto" w:fill="auto"/>
            <w:vAlign w:val="center"/>
          </w:tcPr>
          <w:p w14:paraId="618B4F2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存放位置</w:t>
            </w:r>
          </w:p>
        </w:tc>
        <w:tc>
          <w:tcPr>
            <w:tcW w:w="747" w:type="pct"/>
            <w:shd w:val="clear" w:color="auto" w:fill="auto"/>
            <w:vAlign w:val="center"/>
          </w:tcPr>
          <w:p w14:paraId="2A5817A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储备状态</w:t>
            </w:r>
          </w:p>
        </w:tc>
        <w:tc>
          <w:tcPr>
            <w:tcW w:w="475" w:type="pct"/>
            <w:shd w:val="clear" w:color="auto" w:fill="auto"/>
            <w:vAlign w:val="center"/>
          </w:tcPr>
          <w:p w14:paraId="1A3CAD4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备注</w:t>
            </w:r>
          </w:p>
        </w:tc>
      </w:tr>
      <w:tr w14:paraId="0AAA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6B484B0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427" w:type="pct"/>
            <w:vMerge w:val="restart"/>
            <w:shd w:val="clear" w:color="auto" w:fill="auto"/>
            <w:vAlign w:val="center"/>
          </w:tcPr>
          <w:p w14:paraId="000F603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医疗器材</w:t>
            </w:r>
          </w:p>
        </w:tc>
        <w:tc>
          <w:tcPr>
            <w:tcW w:w="1196" w:type="pct"/>
            <w:shd w:val="clear" w:color="auto" w:fill="auto"/>
            <w:vAlign w:val="center"/>
          </w:tcPr>
          <w:p w14:paraId="72AD37D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急救药箱</w:t>
            </w:r>
          </w:p>
        </w:tc>
        <w:tc>
          <w:tcPr>
            <w:tcW w:w="514" w:type="pct"/>
            <w:shd w:val="clear" w:color="auto" w:fill="auto"/>
            <w:vAlign w:val="center"/>
          </w:tcPr>
          <w:p w14:paraId="0C084D8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63FD349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shd w:val="clear" w:color="auto" w:fill="auto"/>
            <w:vAlign w:val="center"/>
          </w:tcPr>
          <w:p w14:paraId="1121BEC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0A7764F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921AF90">
            <w:pPr>
              <w:pStyle w:val="41"/>
              <w:rPr>
                <w:rFonts w:hint="eastAsia" w:ascii="宋体" w:hAnsi="宋体" w:eastAsia="宋体" w:cs="宋体"/>
                <w:b w:val="0"/>
                <w:bCs w:val="0"/>
                <w:color w:val="auto"/>
                <w:sz w:val="21"/>
                <w:szCs w:val="21"/>
              </w:rPr>
            </w:pPr>
          </w:p>
        </w:tc>
      </w:tr>
      <w:tr w14:paraId="35A9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354A273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427" w:type="pct"/>
            <w:vMerge w:val="continue"/>
            <w:shd w:val="clear" w:color="auto" w:fill="auto"/>
            <w:vAlign w:val="center"/>
          </w:tcPr>
          <w:p w14:paraId="6AC8D946">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5FCB1F4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纯棉弹性绷带</w:t>
            </w:r>
          </w:p>
        </w:tc>
        <w:tc>
          <w:tcPr>
            <w:tcW w:w="514" w:type="pct"/>
            <w:shd w:val="clear" w:color="auto" w:fill="auto"/>
            <w:vAlign w:val="center"/>
          </w:tcPr>
          <w:p w14:paraId="647CEFB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卷</w:t>
            </w:r>
          </w:p>
        </w:tc>
        <w:tc>
          <w:tcPr>
            <w:tcW w:w="427" w:type="pct"/>
            <w:shd w:val="clear" w:color="auto" w:fill="auto"/>
            <w:vAlign w:val="center"/>
          </w:tcPr>
          <w:p w14:paraId="2B0777F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7D8A640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4258CDC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6835AE8">
            <w:pPr>
              <w:pStyle w:val="41"/>
              <w:rPr>
                <w:rFonts w:hint="eastAsia" w:ascii="宋体" w:hAnsi="宋体" w:eastAsia="宋体" w:cs="宋体"/>
                <w:b w:val="0"/>
                <w:bCs w:val="0"/>
                <w:color w:val="auto"/>
                <w:sz w:val="21"/>
                <w:szCs w:val="21"/>
              </w:rPr>
            </w:pPr>
          </w:p>
        </w:tc>
      </w:tr>
      <w:tr w14:paraId="426E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A5C376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427" w:type="pct"/>
            <w:vMerge w:val="continue"/>
            <w:shd w:val="clear" w:color="auto" w:fill="auto"/>
            <w:vAlign w:val="center"/>
          </w:tcPr>
          <w:p w14:paraId="4CE33CFD">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6061276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止血布</w:t>
            </w:r>
          </w:p>
        </w:tc>
        <w:tc>
          <w:tcPr>
            <w:tcW w:w="514" w:type="pct"/>
            <w:shd w:val="clear" w:color="auto" w:fill="auto"/>
            <w:vAlign w:val="center"/>
          </w:tcPr>
          <w:p w14:paraId="45B0A66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张</w:t>
            </w:r>
          </w:p>
        </w:tc>
        <w:tc>
          <w:tcPr>
            <w:tcW w:w="427" w:type="pct"/>
            <w:shd w:val="clear" w:color="auto" w:fill="auto"/>
            <w:vAlign w:val="center"/>
          </w:tcPr>
          <w:p w14:paraId="07148E7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7CC4E68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2D69F22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2F466F4">
            <w:pPr>
              <w:pStyle w:val="41"/>
              <w:rPr>
                <w:rFonts w:hint="eastAsia" w:ascii="宋体" w:hAnsi="宋体" w:eastAsia="宋体" w:cs="宋体"/>
                <w:b w:val="0"/>
                <w:bCs w:val="0"/>
                <w:color w:val="auto"/>
                <w:sz w:val="21"/>
                <w:szCs w:val="21"/>
              </w:rPr>
            </w:pPr>
          </w:p>
        </w:tc>
      </w:tr>
      <w:tr w14:paraId="3F97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6EE3C33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w:t>
            </w:r>
          </w:p>
        </w:tc>
        <w:tc>
          <w:tcPr>
            <w:tcW w:w="427" w:type="pct"/>
            <w:vMerge w:val="continue"/>
            <w:shd w:val="clear" w:color="auto" w:fill="auto"/>
            <w:vAlign w:val="center"/>
          </w:tcPr>
          <w:p w14:paraId="0F7BF34B">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64AED42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创可贴</w:t>
            </w:r>
          </w:p>
        </w:tc>
        <w:tc>
          <w:tcPr>
            <w:tcW w:w="514" w:type="pct"/>
            <w:shd w:val="clear" w:color="auto" w:fill="auto"/>
            <w:vAlign w:val="center"/>
          </w:tcPr>
          <w:p w14:paraId="48835CB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张</w:t>
            </w:r>
          </w:p>
        </w:tc>
        <w:tc>
          <w:tcPr>
            <w:tcW w:w="427" w:type="pct"/>
            <w:shd w:val="clear" w:color="auto" w:fill="auto"/>
            <w:vAlign w:val="center"/>
          </w:tcPr>
          <w:p w14:paraId="17D56E9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100</w:t>
            </w:r>
          </w:p>
        </w:tc>
        <w:tc>
          <w:tcPr>
            <w:tcW w:w="790" w:type="pct"/>
            <w:shd w:val="clear" w:color="auto" w:fill="auto"/>
            <w:vAlign w:val="center"/>
          </w:tcPr>
          <w:p w14:paraId="4AAD6CE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52BD059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BF8F288">
            <w:pPr>
              <w:pStyle w:val="41"/>
              <w:rPr>
                <w:rFonts w:hint="eastAsia" w:ascii="宋体" w:hAnsi="宋体" w:eastAsia="宋体" w:cs="宋体"/>
                <w:b w:val="0"/>
                <w:bCs w:val="0"/>
                <w:color w:val="auto"/>
                <w:sz w:val="21"/>
                <w:szCs w:val="21"/>
              </w:rPr>
            </w:pPr>
          </w:p>
        </w:tc>
      </w:tr>
      <w:tr w14:paraId="73A8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2347CAD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427" w:type="pct"/>
            <w:vMerge w:val="continue"/>
            <w:shd w:val="clear" w:color="auto" w:fill="auto"/>
            <w:vAlign w:val="center"/>
          </w:tcPr>
          <w:p w14:paraId="73453CAE">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61099D3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脱脂棉</w:t>
            </w:r>
          </w:p>
        </w:tc>
        <w:tc>
          <w:tcPr>
            <w:tcW w:w="514" w:type="pct"/>
            <w:shd w:val="clear" w:color="auto" w:fill="auto"/>
            <w:vAlign w:val="center"/>
          </w:tcPr>
          <w:p w14:paraId="68B8B74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卷</w:t>
            </w:r>
          </w:p>
        </w:tc>
        <w:tc>
          <w:tcPr>
            <w:tcW w:w="427" w:type="pct"/>
            <w:shd w:val="clear" w:color="auto" w:fill="auto"/>
            <w:vAlign w:val="center"/>
          </w:tcPr>
          <w:p w14:paraId="0AAD10C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495E04D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3AA5D14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4B39924">
            <w:pPr>
              <w:pStyle w:val="41"/>
              <w:rPr>
                <w:rFonts w:hint="eastAsia" w:ascii="宋体" w:hAnsi="宋体" w:eastAsia="宋体" w:cs="宋体"/>
                <w:b w:val="0"/>
                <w:bCs w:val="0"/>
                <w:color w:val="auto"/>
                <w:sz w:val="21"/>
                <w:szCs w:val="21"/>
              </w:rPr>
            </w:pPr>
          </w:p>
        </w:tc>
      </w:tr>
      <w:tr w14:paraId="73CB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43975A6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427" w:type="pct"/>
            <w:vMerge w:val="continue"/>
            <w:shd w:val="clear" w:color="auto" w:fill="auto"/>
            <w:vAlign w:val="center"/>
          </w:tcPr>
          <w:p w14:paraId="65D386FB">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5C6E5D4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消毒棉签</w:t>
            </w:r>
          </w:p>
        </w:tc>
        <w:tc>
          <w:tcPr>
            <w:tcW w:w="514" w:type="pct"/>
            <w:shd w:val="clear" w:color="auto" w:fill="auto"/>
            <w:vAlign w:val="center"/>
          </w:tcPr>
          <w:p w14:paraId="4BE5C31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袋</w:t>
            </w:r>
          </w:p>
        </w:tc>
        <w:tc>
          <w:tcPr>
            <w:tcW w:w="427" w:type="pct"/>
            <w:shd w:val="clear" w:color="auto" w:fill="auto"/>
            <w:vAlign w:val="center"/>
          </w:tcPr>
          <w:p w14:paraId="3DF9A6B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20</w:t>
            </w:r>
          </w:p>
        </w:tc>
        <w:tc>
          <w:tcPr>
            <w:tcW w:w="790" w:type="pct"/>
            <w:shd w:val="clear" w:color="auto" w:fill="auto"/>
            <w:vAlign w:val="center"/>
          </w:tcPr>
          <w:p w14:paraId="776468D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6DD3EE6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74C6A345">
            <w:pPr>
              <w:pStyle w:val="41"/>
              <w:rPr>
                <w:rFonts w:hint="eastAsia" w:ascii="宋体" w:hAnsi="宋体" w:eastAsia="宋体" w:cs="宋体"/>
                <w:b w:val="0"/>
                <w:bCs w:val="0"/>
                <w:color w:val="auto"/>
                <w:sz w:val="21"/>
                <w:szCs w:val="21"/>
              </w:rPr>
            </w:pPr>
          </w:p>
        </w:tc>
      </w:tr>
      <w:tr w14:paraId="7494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47AB75E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w:t>
            </w:r>
          </w:p>
        </w:tc>
        <w:tc>
          <w:tcPr>
            <w:tcW w:w="427" w:type="pct"/>
            <w:vMerge w:val="continue"/>
            <w:shd w:val="clear" w:color="auto" w:fill="auto"/>
            <w:vAlign w:val="center"/>
          </w:tcPr>
          <w:p w14:paraId="66407E0F">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753B139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其他医疗器材</w:t>
            </w:r>
          </w:p>
        </w:tc>
        <w:tc>
          <w:tcPr>
            <w:tcW w:w="514" w:type="pct"/>
            <w:shd w:val="clear" w:color="auto" w:fill="auto"/>
            <w:vAlign w:val="center"/>
          </w:tcPr>
          <w:p w14:paraId="6A7F365D">
            <w:pPr>
              <w:pStyle w:val="41"/>
              <w:rPr>
                <w:rFonts w:hint="eastAsia" w:ascii="宋体" w:hAnsi="宋体" w:eastAsia="宋体" w:cs="宋体"/>
                <w:b w:val="0"/>
                <w:bCs w:val="0"/>
                <w:color w:val="auto"/>
                <w:sz w:val="21"/>
                <w:szCs w:val="21"/>
              </w:rPr>
            </w:pPr>
          </w:p>
        </w:tc>
        <w:tc>
          <w:tcPr>
            <w:tcW w:w="427" w:type="pct"/>
            <w:shd w:val="clear" w:color="auto" w:fill="auto"/>
            <w:vAlign w:val="center"/>
          </w:tcPr>
          <w:p w14:paraId="7EB62A8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若干</w:t>
            </w:r>
          </w:p>
        </w:tc>
        <w:tc>
          <w:tcPr>
            <w:tcW w:w="790" w:type="pct"/>
            <w:shd w:val="clear" w:color="auto" w:fill="auto"/>
            <w:vAlign w:val="center"/>
          </w:tcPr>
          <w:p w14:paraId="4095A83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072BC6F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3F065DF">
            <w:pPr>
              <w:pStyle w:val="41"/>
              <w:rPr>
                <w:rFonts w:hint="eastAsia" w:ascii="宋体" w:hAnsi="宋体" w:eastAsia="宋体" w:cs="宋体"/>
                <w:b w:val="0"/>
                <w:bCs w:val="0"/>
                <w:color w:val="auto"/>
                <w:sz w:val="21"/>
                <w:szCs w:val="21"/>
              </w:rPr>
            </w:pPr>
          </w:p>
        </w:tc>
      </w:tr>
      <w:tr w14:paraId="7FD1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4EF865F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w:t>
            </w:r>
          </w:p>
        </w:tc>
        <w:tc>
          <w:tcPr>
            <w:tcW w:w="427" w:type="pct"/>
            <w:vMerge w:val="restart"/>
            <w:shd w:val="clear" w:color="auto" w:fill="auto"/>
            <w:vAlign w:val="center"/>
          </w:tcPr>
          <w:p w14:paraId="7B53373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抢救工具</w:t>
            </w:r>
          </w:p>
        </w:tc>
        <w:tc>
          <w:tcPr>
            <w:tcW w:w="1196" w:type="pct"/>
            <w:shd w:val="clear" w:color="auto" w:fill="auto"/>
            <w:vAlign w:val="center"/>
          </w:tcPr>
          <w:p w14:paraId="76E5511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救生圈</w:t>
            </w:r>
          </w:p>
        </w:tc>
        <w:tc>
          <w:tcPr>
            <w:tcW w:w="514" w:type="pct"/>
            <w:shd w:val="clear" w:color="auto" w:fill="auto"/>
            <w:vAlign w:val="center"/>
          </w:tcPr>
          <w:p w14:paraId="6F4B0A8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3784E72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461A855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038ED0B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3CF9F93">
            <w:pPr>
              <w:pStyle w:val="41"/>
              <w:rPr>
                <w:rFonts w:hint="eastAsia" w:ascii="宋体" w:hAnsi="宋体" w:eastAsia="宋体" w:cs="宋体"/>
                <w:b w:val="0"/>
                <w:bCs w:val="0"/>
                <w:color w:val="auto"/>
                <w:sz w:val="21"/>
                <w:szCs w:val="21"/>
              </w:rPr>
            </w:pPr>
          </w:p>
        </w:tc>
      </w:tr>
      <w:tr w14:paraId="73FE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2DB62C7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9</w:t>
            </w:r>
          </w:p>
        </w:tc>
        <w:tc>
          <w:tcPr>
            <w:tcW w:w="427" w:type="pct"/>
            <w:vMerge w:val="continue"/>
            <w:shd w:val="clear" w:color="auto" w:fill="auto"/>
            <w:vAlign w:val="center"/>
          </w:tcPr>
          <w:p w14:paraId="72064A17">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33B0F36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安全绳</w:t>
            </w:r>
          </w:p>
        </w:tc>
        <w:tc>
          <w:tcPr>
            <w:tcW w:w="514" w:type="pct"/>
            <w:shd w:val="clear" w:color="auto" w:fill="auto"/>
            <w:vAlign w:val="center"/>
          </w:tcPr>
          <w:p w14:paraId="5A69311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米</w:t>
            </w:r>
          </w:p>
        </w:tc>
        <w:tc>
          <w:tcPr>
            <w:tcW w:w="427" w:type="pct"/>
            <w:shd w:val="clear" w:color="auto" w:fill="auto"/>
            <w:vAlign w:val="center"/>
          </w:tcPr>
          <w:p w14:paraId="0112BA0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500</w:t>
            </w:r>
          </w:p>
        </w:tc>
        <w:tc>
          <w:tcPr>
            <w:tcW w:w="790" w:type="pct"/>
            <w:shd w:val="clear" w:color="auto" w:fill="auto"/>
            <w:vAlign w:val="center"/>
          </w:tcPr>
          <w:p w14:paraId="41AF586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067A86E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86F2A63">
            <w:pPr>
              <w:pStyle w:val="41"/>
              <w:rPr>
                <w:rFonts w:hint="eastAsia" w:ascii="宋体" w:hAnsi="宋体" w:eastAsia="宋体" w:cs="宋体"/>
                <w:b w:val="0"/>
                <w:bCs w:val="0"/>
                <w:color w:val="auto"/>
                <w:sz w:val="21"/>
                <w:szCs w:val="21"/>
              </w:rPr>
            </w:pPr>
          </w:p>
        </w:tc>
      </w:tr>
      <w:tr w14:paraId="3AFD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561DE8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427" w:type="pct"/>
            <w:vMerge w:val="continue"/>
            <w:shd w:val="clear" w:color="auto" w:fill="auto"/>
            <w:vAlign w:val="center"/>
          </w:tcPr>
          <w:p w14:paraId="3B10E183">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7FCF467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救生衣</w:t>
            </w:r>
          </w:p>
        </w:tc>
        <w:tc>
          <w:tcPr>
            <w:tcW w:w="514" w:type="pct"/>
            <w:shd w:val="clear" w:color="auto" w:fill="auto"/>
            <w:vAlign w:val="center"/>
          </w:tcPr>
          <w:p w14:paraId="7B7FF00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件</w:t>
            </w:r>
          </w:p>
        </w:tc>
        <w:tc>
          <w:tcPr>
            <w:tcW w:w="427" w:type="pct"/>
            <w:shd w:val="clear" w:color="auto" w:fill="auto"/>
            <w:vAlign w:val="center"/>
          </w:tcPr>
          <w:p w14:paraId="76E6338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44952F2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239A26D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0E555D8">
            <w:pPr>
              <w:pStyle w:val="41"/>
              <w:rPr>
                <w:rFonts w:hint="eastAsia" w:ascii="宋体" w:hAnsi="宋体" w:eastAsia="宋体" w:cs="宋体"/>
                <w:b w:val="0"/>
                <w:bCs w:val="0"/>
                <w:color w:val="auto"/>
                <w:sz w:val="21"/>
                <w:szCs w:val="21"/>
              </w:rPr>
            </w:pPr>
          </w:p>
        </w:tc>
      </w:tr>
      <w:tr w14:paraId="26B1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A67B59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11</w:t>
            </w:r>
          </w:p>
        </w:tc>
        <w:tc>
          <w:tcPr>
            <w:tcW w:w="427" w:type="pct"/>
            <w:vMerge w:val="continue"/>
            <w:shd w:val="clear" w:color="auto" w:fill="auto"/>
            <w:vAlign w:val="center"/>
          </w:tcPr>
          <w:p w14:paraId="49DEE31D">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41547BF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安全带</w:t>
            </w:r>
          </w:p>
        </w:tc>
        <w:tc>
          <w:tcPr>
            <w:tcW w:w="514" w:type="pct"/>
            <w:shd w:val="clear" w:color="auto" w:fill="auto"/>
            <w:vAlign w:val="center"/>
          </w:tcPr>
          <w:p w14:paraId="78079A6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副</w:t>
            </w:r>
          </w:p>
        </w:tc>
        <w:tc>
          <w:tcPr>
            <w:tcW w:w="427" w:type="pct"/>
            <w:shd w:val="clear" w:color="auto" w:fill="auto"/>
            <w:vAlign w:val="center"/>
          </w:tcPr>
          <w:p w14:paraId="725C6E8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0EC7296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313AB3B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3CC3E026">
            <w:pPr>
              <w:pStyle w:val="41"/>
              <w:rPr>
                <w:rFonts w:hint="eastAsia" w:ascii="宋体" w:hAnsi="宋体" w:eastAsia="宋体" w:cs="宋体"/>
                <w:b w:val="0"/>
                <w:bCs w:val="0"/>
                <w:color w:val="auto"/>
                <w:sz w:val="21"/>
                <w:szCs w:val="21"/>
              </w:rPr>
            </w:pPr>
          </w:p>
        </w:tc>
      </w:tr>
      <w:tr w14:paraId="798F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6CDA7F1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12</w:t>
            </w:r>
          </w:p>
        </w:tc>
        <w:tc>
          <w:tcPr>
            <w:tcW w:w="427" w:type="pct"/>
            <w:vMerge w:val="continue"/>
            <w:shd w:val="clear" w:color="auto" w:fill="auto"/>
            <w:vAlign w:val="center"/>
          </w:tcPr>
          <w:p w14:paraId="4C0D5D76">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1F053F1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铁锨</w:t>
            </w:r>
          </w:p>
        </w:tc>
        <w:tc>
          <w:tcPr>
            <w:tcW w:w="514" w:type="pct"/>
            <w:shd w:val="clear" w:color="auto" w:fill="auto"/>
            <w:vAlign w:val="center"/>
          </w:tcPr>
          <w:p w14:paraId="49819EA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shd w:val="clear" w:color="auto" w:fill="auto"/>
            <w:vAlign w:val="center"/>
          </w:tcPr>
          <w:p w14:paraId="6F7339D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1844D8B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47A8404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0DF2C53">
            <w:pPr>
              <w:pStyle w:val="41"/>
              <w:rPr>
                <w:rFonts w:hint="eastAsia" w:ascii="宋体" w:hAnsi="宋体" w:eastAsia="宋体" w:cs="宋体"/>
                <w:b w:val="0"/>
                <w:bCs w:val="0"/>
                <w:color w:val="auto"/>
                <w:sz w:val="21"/>
                <w:szCs w:val="21"/>
              </w:rPr>
            </w:pPr>
          </w:p>
        </w:tc>
      </w:tr>
      <w:tr w14:paraId="186A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2A98AE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13</w:t>
            </w:r>
          </w:p>
        </w:tc>
        <w:tc>
          <w:tcPr>
            <w:tcW w:w="427" w:type="pct"/>
            <w:vMerge w:val="continue"/>
            <w:shd w:val="clear" w:color="auto" w:fill="auto"/>
            <w:vAlign w:val="center"/>
          </w:tcPr>
          <w:p w14:paraId="003DD50F">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6D523B3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撬棍</w:t>
            </w:r>
          </w:p>
        </w:tc>
        <w:tc>
          <w:tcPr>
            <w:tcW w:w="514" w:type="pct"/>
            <w:shd w:val="clear" w:color="auto" w:fill="auto"/>
            <w:vAlign w:val="center"/>
          </w:tcPr>
          <w:p w14:paraId="06924B1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shd w:val="clear" w:color="auto" w:fill="auto"/>
            <w:vAlign w:val="center"/>
          </w:tcPr>
          <w:p w14:paraId="27665B5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006A94C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7E403C5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4BFBF51">
            <w:pPr>
              <w:pStyle w:val="41"/>
              <w:rPr>
                <w:rFonts w:hint="eastAsia" w:ascii="宋体" w:hAnsi="宋体" w:eastAsia="宋体" w:cs="宋体"/>
                <w:b w:val="0"/>
                <w:bCs w:val="0"/>
                <w:color w:val="auto"/>
                <w:sz w:val="21"/>
                <w:szCs w:val="21"/>
              </w:rPr>
            </w:pPr>
          </w:p>
        </w:tc>
      </w:tr>
      <w:tr w14:paraId="5318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F80E06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14</w:t>
            </w:r>
          </w:p>
        </w:tc>
        <w:tc>
          <w:tcPr>
            <w:tcW w:w="427" w:type="pct"/>
            <w:vMerge w:val="continue"/>
            <w:shd w:val="clear" w:color="auto" w:fill="auto"/>
            <w:vAlign w:val="center"/>
          </w:tcPr>
          <w:p w14:paraId="68B4F5BA">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4405D12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气割工具</w:t>
            </w:r>
          </w:p>
        </w:tc>
        <w:tc>
          <w:tcPr>
            <w:tcW w:w="514" w:type="pct"/>
            <w:shd w:val="clear" w:color="auto" w:fill="auto"/>
            <w:vAlign w:val="center"/>
          </w:tcPr>
          <w:p w14:paraId="389169C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套</w:t>
            </w:r>
          </w:p>
        </w:tc>
        <w:tc>
          <w:tcPr>
            <w:tcW w:w="427" w:type="pct"/>
            <w:shd w:val="clear" w:color="auto" w:fill="auto"/>
            <w:vAlign w:val="center"/>
          </w:tcPr>
          <w:p w14:paraId="64ED884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790" w:type="pct"/>
            <w:shd w:val="clear" w:color="auto" w:fill="auto"/>
            <w:vAlign w:val="center"/>
          </w:tcPr>
          <w:p w14:paraId="21AAF36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6C9A2B6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7986535">
            <w:pPr>
              <w:pStyle w:val="41"/>
              <w:rPr>
                <w:rFonts w:hint="eastAsia" w:ascii="宋体" w:hAnsi="宋体" w:eastAsia="宋体" w:cs="宋体"/>
                <w:b w:val="0"/>
                <w:bCs w:val="0"/>
                <w:color w:val="auto"/>
                <w:sz w:val="21"/>
                <w:szCs w:val="21"/>
              </w:rPr>
            </w:pPr>
          </w:p>
        </w:tc>
      </w:tr>
      <w:tr w14:paraId="04C3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05F2E0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15</w:t>
            </w:r>
          </w:p>
        </w:tc>
        <w:tc>
          <w:tcPr>
            <w:tcW w:w="427" w:type="pct"/>
            <w:vMerge w:val="continue"/>
            <w:shd w:val="clear" w:color="auto" w:fill="auto"/>
            <w:vAlign w:val="center"/>
          </w:tcPr>
          <w:p w14:paraId="6A3D33D7">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62636C6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简易担架</w:t>
            </w:r>
          </w:p>
        </w:tc>
        <w:tc>
          <w:tcPr>
            <w:tcW w:w="514" w:type="pct"/>
            <w:shd w:val="clear" w:color="auto" w:fill="auto"/>
            <w:vAlign w:val="center"/>
          </w:tcPr>
          <w:p w14:paraId="1AFE173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6F3D14A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790" w:type="pct"/>
            <w:shd w:val="clear" w:color="auto" w:fill="auto"/>
            <w:vAlign w:val="center"/>
          </w:tcPr>
          <w:p w14:paraId="603C7AB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7983C8F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C0D7144">
            <w:pPr>
              <w:pStyle w:val="41"/>
              <w:rPr>
                <w:rFonts w:hint="eastAsia" w:ascii="宋体" w:hAnsi="宋体" w:eastAsia="宋体" w:cs="宋体"/>
                <w:b w:val="0"/>
                <w:bCs w:val="0"/>
                <w:color w:val="auto"/>
                <w:sz w:val="21"/>
                <w:szCs w:val="21"/>
              </w:rPr>
            </w:pPr>
          </w:p>
        </w:tc>
      </w:tr>
      <w:tr w14:paraId="51D8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8E14AD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16</w:t>
            </w:r>
          </w:p>
        </w:tc>
        <w:tc>
          <w:tcPr>
            <w:tcW w:w="427" w:type="pct"/>
            <w:vMerge w:val="restart"/>
            <w:shd w:val="clear" w:color="auto" w:fill="auto"/>
            <w:vAlign w:val="center"/>
          </w:tcPr>
          <w:p w14:paraId="7624925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照明器材</w:t>
            </w:r>
          </w:p>
        </w:tc>
        <w:tc>
          <w:tcPr>
            <w:tcW w:w="1196" w:type="pct"/>
            <w:shd w:val="clear" w:color="auto" w:fill="auto"/>
            <w:vAlign w:val="center"/>
          </w:tcPr>
          <w:p w14:paraId="272B9D9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手电筒</w:t>
            </w:r>
          </w:p>
        </w:tc>
        <w:tc>
          <w:tcPr>
            <w:tcW w:w="514" w:type="pct"/>
            <w:shd w:val="clear" w:color="auto" w:fill="auto"/>
            <w:vAlign w:val="center"/>
          </w:tcPr>
          <w:p w14:paraId="68EF372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shd w:val="clear" w:color="auto" w:fill="auto"/>
            <w:vAlign w:val="center"/>
          </w:tcPr>
          <w:p w14:paraId="5FD26AF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0449F81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41E70A7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F8C4559">
            <w:pPr>
              <w:pStyle w:val="41"/>
              <w:rPr>
                <w:rFonts w:hint="eastAsia" w:ascii="宋体" w:hAnsi="宋体" w:eastAsia="宋体" w:cs="宋体"/>
                <w:b w:val="0"/>
                <w:bCs w:val="0"/>
                <w:color w:val="auto"/>
                <w:sz w:val="21"/>
                <w:szCs w:val="21"/>
              </w:rPr>
            </w:pPr>
          </w:p>
        </w:tc>
      </w:tr>
      <w:tr w14:paraId="1B7A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3CC906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17</w:t>
            </w:r>
          </w:p>
        </w:tc>
        <w:tc>
          <w:tcPr>
            <w:tcW w:w="427" w:type="pct"/>
            <w:vMerge w:val="continue"/>
            <w:shd w:val="clear" w:color="auto" w:fill="auto"/>
            <w:vAlign w:val="center"/>
          </w:tcPr>
          <w:p w14:paraId="4E966CF3">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79A5BAF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应急灯具</w:t>
            </w:r>
          </w:p>
        </w:tc>
        <w:tc>
          <w:tcPr>
            <w:tcW w:w="514" w:type="pct"/>
            <w:shd w:val="clear" w:color="auto" w:fill="auto"/>
            <w:vAlign w:val="center"/>
          </w:tcPr>
          <w:p w14:paraId="1827DA6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0B77C01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6993147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6C2F5C5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6FC4DDB9">
            <w:pPr>
              <w:pStyle w:val="41"/>
              <w:rPr>
                <w:rFonts w:hint="eastAsia" w:ascii="宋体" w:hAnsi="宋体" w:eastAsia="宋体" w:cs="宋体"/>
                <w:b w:val="0"/>
                <w:bCs w:val="0"/>
                <w:color w:val="auto"/>
                <w:sz w:val="21"/>
                <w:szCs w:val="21"/>
              </w:rPr>
            </w:pPr>
          </w:p>
        </w:tc>
      </w:tr>
      <w:tr w14:paraId="161C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0256C0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18</w:t>
            </w:r>
          </w:p>
        </w:tc>
        <w:tc>
          <w:tcPr>
            <w:tcW w:w="427" w:type="pct"/>
            <w:vMerge w:val="restart"/>
            <w:shd w:val="clear" w:color="auto" w:fill="auto"/>
            <w:vAlign w:val="center"/>
          </w:tcPr>
          <w:p w14:paraId="71BDBE9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通讯器材</w:t>
            </w:r>
          </w:p>
        </w:tc>
        <w:tc>
          <w:tcPr>
            <w:tcW w:w="1196" w:type="pct"/>
            <w:shd w:val="clear" w:color="auto" w:fill="auto"/>
            <w:vAlign w:val="center"/>
          </w:tcPr>
          <w:p w14:paraId="3C28414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对讲机</w:t>
            </w:r>
          </w:p>
        </w:tc>
        <w:tc>
          <w:tcPr>
            <w:tcW w:w="514" w:type="pct"/>
            <w:shd w:val="clear" w:color="auto" w:fill="auto"/>
            <w:vAlign w:val="center"/>
          </w:tcPr>
          <w:p w14:paraId="706A57B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部</w:t>
            </w:r>
          </w:p>
        </w:tc>
        <w:tc>
          <w:tcPr>
            <w:tcW w:w="427" w:type="pct"/>
            <w:shd w:val="clear" w:color="auto" w:fill="auto"/>
            <w:vAlign w:val="center"/>
          </w:tcPr>
          <w:p w14:paraId="5CA0A92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1B35364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7B509F3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2747D874">
            <w:pPr>
              <w:pStyle w:val="41"/>
              <w:rPr>
                <w:rFonts w:hint="eastAsia" w:ascii="宋体" w:hAnsi="宋体" w:eastAsia="宋体" w:cs="宋体"/>
                <w:b w:val="0"/>
                <w:bCs w:val="0"/>
                <w:color w:val="auto"/>
                <w:sz w:val="21"/>
                <w:szCs w:val="21"/>
              </w:rPr>
            </w:pPr>
          </w:p>
        </w:tc>
      </w:tr>
      <w:tr w14:paraId="233E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4CE655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19</w:t>
            </w:r>
          </w:p>
        </w:tc>
        <w:tc>
          <w:tcPr>
            <w:tcW w:w="427" w:type="pct"/>
            <w:vMerge w:val="continue"/>
            <w:shd w:val="clear" w:color="auto" w:fill="auto"/>
            <w:vAlign w:val="center"/>
          </w:tcPr>
          <w:p w14:paraId="37A37E20">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6FADD51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手机</w:t>
            </w:r>
          </w:p>
        </w:tc>
        <w:tc>
          <w:tcPr>
            <w:tcW w:w="514" w:type="pct"/>
            <w:shd w:val="clear" w:color="auto" w:fill="auto"/>
            <w:vAlign w:val="center"/>
          </w:tcPr>
          <w:p w14:paraId="399D022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部</w:t>
            </w:r>
          </w:p>
        </w:tc>
        <w:tc>
          <w:tcPr>
            <w:tcW w:w="427" w:type="pct"/>
            <w:shd w:val="clear" w:color="auto" w:fill="auto"/>
            <w:vAlign w:val="center"/>
          </w:tcPr>
          <w:p w14:paraId="1B3BF31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若干</w:t>
            </w:r>
          </w:p>
        </w:tc>
        <w:tc>
          <w:tcPr>
            <w:tcW w:w="790" w:type="pct"/>
            <w:shd w:val="clear" w:color="auto" w:fill="auto"/>
            <w:vAlign w:val="center"/>
          </w:tcPr>
          <w:p w14:paraId="492B04A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51C3379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7F6CF6BA">
            <w:pPr>
              <w:pStyle w:val="41"/>
              <w:rPr>
                <w:rFonts w:hint="eastAsia" w:ascii="宋体" w:hAnsi="宋体" w:eastAsia="宋体" w:cs="宋体"/>
                <w:b w:val="0"/>
                <w:bCs w:val="0"/>
                <w:color w:val="auto"/>
                <w:sz w:val="21"/>
                <w:szCs w:val="21"/>
              </w:rPr>
            </w:pPr>
          </w:p>
        </w:tc>
      </w:tr>
      <w:tr w14:paraId="6921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7DEB62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20</w:t>
            </w:r>
          </w:p>
        </w:tc>
        <w:tc>
          <w:tcPr>
            <w:tcW w:w="427" w:type="pct"/>
            <w:vMerge w:val="restart"/>
            <w:shd w:val="clear" w:color="auto" w:fill="auto"/>
            <w:vAlign w:val="center"/>
          </w:tcPr>
          <w:p w14:paraId="3B97280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抢救设备</w:t>
            </w:r>
          </w:p>
        </w:tc>
        <w:tc>
          <w:tcPr>
            <w:tcW w:w="1196" w:type="pct"/>
            <w:shd w:val="clear" w:color="auto" w:fill="auto"/>
            <w:vAlign w:val="center"/>
          </w:tcPr>
          <w:p w14:paraId="12A876D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汽车吊</w:t>
            </w:r>
          </w:p>
        </w:tc>
        <w:tc>
          <w:tcPr>
            <w:tcW w:w="514" w:type="pct"/>
            <w:shd w:val="clear" w:color="auto" w:fill="auto"/>
            <w:vAlign w:val="center"/>
          </w:tcPr>
          <w:p w14:paraId="5E1CDB7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辆</w:t>
            </w:r>
          </w:p>
        </w:tc>
        <w:tc>
          <w:tcPr>
            <w:tcW w:w="427" w:type="pct"/>
            <w:shd w:val="clear" w:color="auto" w:fill="auto"/>
            <w:vAlign w:val="center"/>
          </w:tcPr>
          <w:p w14:paraId="49FEFE5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shd w:val="clear" w:color="auto" w:fill="auto"/>
            <w:vAlign w:val="center"/>
          </w:tcPr>
          <w:p w14:paraId="65AC7F2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3E4127B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4E0C9D03">
            <w:pPr>
              <w:pStyle w:val="41"/>
              <w:rPr>
                <w:rFonts w:hint="eastAsia" w:ascii="宋体" w:hAnsi="宋体" w:eastAsia="宋体" w:cs="宋体"/>
                <w:b w:val="0"/>
                <w:bCs w:val="0"/>
                <w:color w:val="auto"/>
                <w:sz w:val="21"/>
                <w:szCs w:val="21"/>
              </w:rPr>
            </w:pPr>
          </w:p>
        </w:tc>
      </w:tr>
      <w:tr w14:paraId="1721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2D67AE5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21</w:t>
            </w:r>
          </w:p>
        </w:tc>
        <w:tc>
          <w:tcPr>
            <w:tcW w:w="427" w:type="pct"/>
            <w:vMerge w:val="continue"/>
            <w:shd w:val="clear" w:color="auto" w:fill="auto"/>
            <w:vAlign w:val="center"/>
          </w:tcPr>
          <w:p w14:paraId="5C459D3C">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01C7E0D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面包车</w:t>
            </w:r>
          </w:p>
        </w:tc>
        <w:tc>
          <w:tcPr>
            <w:tcW w:w="514" w:type="pct"/>
            <w:shd w:val="clear" w:color="auto" w:fill="auto"/>
            <w:vAlign w:val="center"/>
          </w:tcPr>
          <w:p w14:paraId="1C757A9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辆</w:t>
            </w:r>
          </w:p>
        </w:tc>
        <w:tc>
          <w:tcPr>
            <w:tcW w:w="427" w:type="pct"/>
            <w:shd w:val="clear" w:color="auto" w:fill="auto"/>
            <w:vAlign w:val="center"/>
          </w:tcPr>
          <w:p w14:paraId="279641C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shd w:val="clear" w:color="auto" w:fill="auto"/>
            <w:vAlign w:val="center"/>
          </w:tcPr>
          <w:p w14:paraId="3CCE647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71A7F8E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33588F68">
            <w:pPr>
              <w:pStyle w:val="41"/>
              <w:rPr>
                <w:rFonts w:hint="eastAsia" w:ascii="宋体" w:hAnsi="宋体" w:eastAsia="宋体" w:cs="宋体"/>
                <w:b w:val="0"/>
                <w:bCs w:val="0"/>
                <w:color w:val="auto"/>
                <w:sz w:val="21"/>
                <w:szCs w:val="21"/>
              </w:rPr>
            </w:pPr>
          </w:p>
        </w:tc>
      </w:tr>
      <w:tr w14:paraId="210A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350A6F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22</w:t>
            </w:r>
          </w:p>
        </w:tc>
        <w:tc>
          <w:tcPr>
            <w:tcW w:w="427" w:type="pct"/>
            <w:vMerge w:val="restart"/>
            <w:shd w:val="clear" w:color="auto" w:fill="auto"/>
            <w:vAlign w:val="center"/>
          </w:tcPr>
          <w:p w14:paraId="20502FA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灭火器材</w:t>
            </w:r>
          </w:p>
        </w:tc>
        <w:tc>
          <w:tcPr>
            <w:tcW w:w="1196" w:type="pct"/>
            <w:shd w:val="clear" w:color="auto" w:fill="auto"/>
            <w:vAlign w:val="center"/>
          </w:tcPr>
          <w:p w14:paraId="07F5E7D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灭火器</w:t>
            </w:r>
          </w:p>
        </w:tc>
        <w:tc>
          <w:tcPr>
            <w:tcW w:w="514" w:type="pct"/>
            <w:shd w:val="clear" w:color="auto" w:fill="auto"/>
            <w:vAlign w:val="center"/>
          </w:tcPr>
          <w:p w14:paraId="51AF928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7ACDD3E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5502D0E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75BB51F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4EEDA1F">
            <w:pPr>
              <w:pStyle w:val="41"/>
              <w:rPr>
                <w:rFonts w:hint="eastAsia" w:ascii="宋体" w:hAnsi="宋体" w:eastAsia="宋体" w:cs="宋体"/>
                <w:b w:val="0"/>
                <w:bCs w:val="0"/>
                <w:color w:val="auto"/>
                <w:sz w:val="21"/>
                <w:szCs w:val="21"/>
              </w:rPr>
            </w:pPr>
          </w:p>
        </w:tc>
      </w:tr>
      <w:tr w14:paraId="1240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CC0336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23</w:t>
            </w:r>
          </w:p>
        </w:tc>
        <w:tc>
          <w:tcPr>
            <w:tcW w:w="427" w:type="pct"/>
            <w:vMerge w:val="continue"/>
            <w:shd w:val="clear" w:color="auto" w:fill="auto"/>
            <w:vAlign w:val="center"/>
          </w:tcPr>
          <w:p w14:paraId="26151F97">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53CE77C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消防砂箱</w:t>
            </w:r>
          </w:p>
        </w:tc>
        <w:tc>
          <w:tcPr>
            <w:tcW w:w="514" w:type="pct"/>
            <w:shd w:val="clear" w:color="auto" w:fill="auto"/>
            <w:vAlign w:val="center"/>
          </w:tcPr>
          <w:p w14:paraId="1F66BFC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3502C52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3B5126B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30B632D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3DFD8452">
            <w:pPr>
              <w:pStyle w:val="41"/>
              <w:rPr>
                <w:rFonts w:hint="eastAsia" w:ascii="宋体" w:hAnsi="宋体" w:eastAsia="宋体" w:cs="宋体"/>
                <w:b w:val="0"/>
                <w:bCs w:val="0"/>
                <w:color w:val="auto"/>
                <w:sz w:val="21"/>
                <w:szCs w:val="21"/>
              </w:rPr>
            </w:pPr>
          </w:p>
        </w:tc>
      </w:tr>
    </w:tbl>
    <w:p w14:paraId="6E5A8A1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（4）经费保障</w:t>
      </w:r>
    </w:p>
    <w:p w14:paraId="1ADF6265">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（1）建立应急资金保障制度，制定年度应急保障计划，设立应急资金</w:t>
      </w:r>
      <w:r>
        <w:rPr>
          <w:rFonts w:hint="eastAsia" w:ascii="Times New Roman" w:hAnsi="Times New Roman" w:eastAsia="宋体" w:cs="Times New Roman"/>
          <w:color w:val="auto"/>
          <w:kern w:val="2"/>
          <w:sz w:val="24"/>
          <w:szCs w:val="22"/>
          <w:lang w:val="en-US" w:eastAsia="zh-CN" w:bidi="ar-SA"/>
        </w:rPr>
        <w:t>管理台账</w:t>
      </w:r>
      <w:r>
        <w:rPr>
          <w:rFonts w:hint="default" w:ascii="Times New Roman" w:hAnsi="Times New Roman" w:eastAsia="宋体" w:cs="Times New Roman"/>
          <w:color w:val="auto"/>
          <w:kern w:val="2"/>
          <w:sz w:val="24"/>
          <w:szCs w:val="22"/>
          <w:lang w:val="en-US" w:eastAsia="zh-CN" w:bidi="ar-SA"/>
        </w:rPr>
        <w:t>，设立和提取安全生产专项费用。</w:t>
      </w:r>
    </w:p>
    <w:p w14:paraId="613B341C">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（2）应急领导小组保证每年投入一定的经费用于应急救援队伍培训演练和购买必要的设备，应急救援经费在安全专项经费中支出，并设置应急备用金</w:t>
      </w:r>
      <w:r>
        <w:rPr>
          <w:rFonts w:hint="eastAsia" w:ascii="Times New Roman" w:hAnsi="Times New Roman" w:eastAsia="宋体" w:cs="Times New Roman"/>
          <w:color w:val="auto"/>
          <w:kern w:val="2"/>
          <w:sz w:val="24"/>
          <w:szCs w:val="22"/>
          <w:lang w:val="en-US" w:eastAsia="zh-CN" w:bidi="ar-SA"/>
        </w:rPr>
        <w:t>。</w:t>
      </w:r>
    </w:p>
    <w:p w14:paraId="5C661A8D">
      <w:pPr>
        <w:spacing w:line="360" w:lineRule="auto"/>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（5）其他保障</w:t>
      </w:r>
    </w:p>
    <w:p w14:paraId="6FFCAA4A">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1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①</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交通运输保障：应急救援工作需要配备交通运输工具，发生应急事故时，项目部所有车辆由应急指挥部统一调度，必要时可临时征用各施工队伍车辆，为应急救援工作提供交通运输支持。</w:t>
      </w:r>
    </w:p>
    <w:p w14:paraId="20F6EBE7">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2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②</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技术保障：由项目部总工程师领导，组织项目部工程技术人员，根据事故发生的类型，严重程度、影响范围制定相应的应急救援技术措施，并符合相关规范的要求。当由上级单位统一组织制定技术措施时服从上级单位的相关安排。</w:t>
      </w:r>
    </w:p>
    <w:p w14:paraId="6EA65146">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3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③</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医疗保障：应急领导小组办公室提前掌握当地医院信息或签订医疗急救协议，有医疗需求时及时送医或到现场急救；安排专人负责跟进伤员医治。组织相关人员进行急救培训，现场配备必要、常用急救药材、器材。为职工购买工伤保险、团体意外伤害保险。</w:t>
      </w:r>
    </w:p>
    <w:p w14:paraId="102DFC56">
      <w:pPr>
        <w:spacing w:line="360" w:lineRule="auto"/>
        <w:ind w:firstLine="480"/>
        <w:rPr>
          <w:rFonts w:hint="eastAsia" w:ascii="宋体" w:hAnsi="宋体" w:eastAsia="宋体" w:cs="宋体"/>
          <w:color w:val="auto"/>
          <w:kern w:val="2"/>
          <w:sz w:val="24"/>
          <w:szCs w:val="24"/>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4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④</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后勤保障：应急领导小组办公室配备应急救援物资，并定期组织检查、维护；与地方酒店、宾馆签订合作协议，确保事故发生后人员基本生活保障。</w:t>
      </w:r>
    </w:p>
    <w:bookmarkEnd w:id="241"/>
    <w:bookmarkEnd w:id="242"/>
    <w:bookmarkEnd w:id="243"/>
    <w:p w14:paraId="02CFF874">
      <w:pPr>
        <w:ind w:firstLine="480"/>
        <w:rPr>
          <w:color w:val="auto"/>
        </w:rPr>
      </w:pPr>
    </w:p>
    <w:p w14:paraId="68F9A500">
      <w:pPr>
        <w:ind w:firstLine="480"/>
        <w:rPr>
          <w:color w:val="auto"/>
        </w:rPr>
      </w:pPr>
    </w:p>
    <w:p w14:paraId="2F9FDEEF">
      <w:pPr>
        <w:widowControl/>
        <w:ind w:firstLine="0" w:firstLineChars="0"/>
        <w:jc w:val="left"/>
        <w:rPr>
          <w:rFonts w:cstheme="majorBidi"/>
          <w:b/>
          <w:bCs/>
          <w:color w:val="auto"/>
          <w:sz w:val="32"/>
          <w:szCs w:val="32"/>
        </w:rPr>
      </w:pPr>
      <w:r>
        <w:rPr>
          <w:color w:val="auto"/>
        </w:rPr>
        <w:br w:type="page"/>
      </w:r>
    </w:p>
    <w:p w14:paraId="45A0FA1A">
      <w:pPr>
        <w:pStyle w:val="2"/>
        <w:numPr>
          <w:ilvl w:val="0"/>
          <w:numId w:val="0"/>
        </w:numPr>
        <w:spacing w:before="156" w:after="156"/>
        <w:ind w:leftChars="0"/>
        <w:jc w:val="center"/>
        <w:rPr>
          <w:color w:val="auto"/>
        </w:rPr>
      </w:pPr>
      <w:bookmarkStart w:id="331" w:name="_Toc13614"/>
      <w:bookmarkStart w:id="332" w:name="_Toc11327"/>
      <w:bookmarkStart w:id="333" w:name="_Toc27911"/>
      <w:bookmarkStart w:id="334" w:name="_Toc40778460"/>
      <w:r>
        <w:rPr>
          <w:rFonts w:hint="eastAsia"/>
          <w:color w:val="auto"/>
          <w:lang w:val="en-US" w:eastAsia="zh-CN"/>
        </w:rPr>
        <w:t>10</w:t>
      </w:r>
      <w:r>
        <w:rPr>
          <w:rFonts w:hint="eastAsia"/>
          <w:color w:val="auto"/>
        </w:rPr>
        <w:t>绿色及文明施工</w:t>
      </w:r>
      <w:bookmarkEnd w:id="331"/>
      <w:bookmarkEnd w:id="332"/>
    </w:p>
    <w:p w14:paraId="7534E80C">
      <w:pPr>
        <w:pStyle w:val="3"/>
        <w:numPr>
          <w:ilvl w:val="1"/>
          <w:numId w:val="0"/>
        </w:numPr>
        <w:spacing w:before="156" w:after="156"/>
        <w:rPr>
          <w:color w:val="auto"/>
        </w:rPr>
      </w:pPr>
      <w:bookmarkStart w:id="335" w:name="_Toc17602"/>
      <w:bookmarkStart w:id="336" w:name="_Toc15038"/>
      <w:bookmarkStart w:id="337" w:name="_Toc65792319"/>
      <w:bookmarkStart w:id="338" w:name="_Toc24477"/>
      <w:bookmarkStart w:id="339" w:name="_Toc28274"/>
      <w:r>
        <w:rPr>
          <w:rFonts w:hint="eastAsia"/>
          <w:color w:val="auto"/>
        </w:rPr>
        <w:t>10.1</w:t>
      </w:r>
      <w:r>
        <w:rPr>
          <w:color w:val="auto"/>
        </w:rPr>
        <w:t>绿色及文明施工组织机构</w:t>
      </w:r>
      <w:bookmarkEnd w:id="335"/>
      <w:bookmarkEnd w:id="336"/>
      <w:bookmarkEnd w:id="337"/>
      <w:bookmarkEnd w:id="338"/>
      <w:bookmarkEnd w:id="339"/>
    </w:p>
    <w:p w14:paraId="5650C3A5">
      <w:pPr>
        <w:ind w:firstLine="480"/>
        <w:rPr>
          <w:color w:val="auto"/>
        </w:rPr>
      </w:pPr>
      <w:r>
        <w:rPr>
          <w:rFonts w:hint="eastAsia"/>
          <w:color w:val="auto"/>
        </w:rPr>
        <w:t>成立由项目经理为组长的绿色文明施工管理小组，全面开展文明工地、绿色施工活动，创造良好的施工环境和氛围，保证工程的顺利完成。绿色文明施工管理小组组织机构如</w:t>
      </w:r>
      <w:r>
        <w:rPr>
          <w:color w:val="auto"/>
        </w:rPr>
        <w:fldChar w:fldCharType="begin"/>
      </w:r>
      <w:r>
        <w:rPr>
          <w:color w:val="auto"/>
        </w:rPr>
        <w:instrText xml:space="preserve"> </w:instrText>
      </w:r>
      <w:r>
        <w:rPr>
          <w:rFonts w:hint="eastAsia"/>
          <w:color w:val="auto"/>
        </w:rPr>
        <w:instrText xml:space="preserve">REF _Ref62590350 \h</w:instrText>
      </w:r>
      <w:r>
        <w:rPr>
          <w:color w:val="auto"/>
        </w:rPr>
        <w:instrText xml:space="preserve"> </w:instrText>
      </w:r>
      <w:r>
        <w:rPr>
          <w:color w:val="auto"/>
        </w:rPr>
        <w:fldChar w:fldCharType="separate"/>
      </w:r>
      <w:r>
        <w:rPr>
          <w:rFonts w:hint="eastAsia"/>
          <w:color w:val="auto"/>
        </w:rPr>
        <w:t xml:space="preserve">图 </w:t>
      </w:r>
      <w:r>
        <w:rPr>
          <w:color w:val="auto"/>
        </w:rPr>
        <w:t>10.1</w:t>
      </w:r>
      <w:r>
        <w:rPr>
          <w:color w:val="auto"/>
        </w:rPr>
        <w:noBreakHyphen/>
      </w:r>
      <w:r>
        <w:rPr>
          <w:color w:val="auto"/>
        </w:rPr>
        <w:t>1</w:t>
      </w:r>
      <w:r>
        <w:rPr>
          <w:color w:val="auto"/>
        </w:rPr>
        <w:fldChar w:fldCharType="end"/>
      </w:r>
      <w:r>
        <w:rPr>
          <w:color w:val="auto"/>
        </w:rPr>
        <w:t>所示，组织机构成员如下：</w:t>
      </w:r>
    </w:p>
    <w:p w14:paraId="37C37E68">
      <w:pPr>
        <w:ind w:firstLine="480"/>
        <w:rPr>
          <w:rFonts w:hint="eastAsia"/>
          <w:color w:val="auto"/>
          <w:lang w:val="en-US" w:eastAsia="zh-CN"/>
        </w:rPr>
      </w:pPr>
      <w:r>
        <w:rPr>
          <w:rFonts w:hint="eastAsia"/>
          <w:color w:val="auto"/>
        </w:rPr>
        <w:t>组长：</w:t>
      </w:r>
      <w:r>
        <w:rPr>
          <w:rFonts w:hint="eastAsia"/>
          <w:color w:val="auto"/>
          <w:lang w:val="en-US" w:eastAsia="zh-CN"/>
        </w:rPr>
        <w:t xml:space="preserve"> </w:t>
      </w:r>
    </w:p>
    <w:p w14:paraId="7A155CFB">
      <w:pPr>
        <w:ind w:firstLine="480"/>
        <w:rPr>
          <w:rFonts w:hint="eastAsia"/>
          <w:color w:val="auto"/>
          <w:lang w:val="en-US" w:eastAsia="zh-CN"/>
        </w:rPr>
      </w:pPr>
      <w:r>
        <w:rPr>
          <w:rFonts w:hint="eastAsia"/>
          <w:color w:val="auto"/>
        </w:rPr>
        <w:t>副组长：</w:t>
      </w:r>
      <w:r>
        <w:rPr>
          <w:rFonts w:hint="eastAsia"/>
          <w:color w:val="auto"/>
          <w:lang w:val="en-US" w:eastAsia="zh-CN"/>
        </w:rPr>
        <w:t xml:space="preserve"> </w:t>
      </w:r>
    </w:p>
    <w:p w14:paraId="7CA8263D">
      <w:pPr>
        <w:ind w:firstLine="480"/>
        <w:rPr>
          <w:rFonts w:hint="default" w:eastAsia="宋体"/>
          <w:color w:val="auto"/>
          <w:lang w:val="en-US" w:eastAsia="zh-CN"/>
        </w:rPr>
      </w:pPr>
      <w:r>
        <w:rPr>
          <w:rFonts w:hint="eastAsia"/>
          <w:color w:val="auto"/>
        </w:rPr>
        <w:t>小组成员：</w:t>
      </w:r>
      <w:r>
        <w:rPr>
          <w:rFonts w:hint="eastAsia"/>
          <w:color w:val="auto"/>
          <w:lang w:val="en-US" w:eastAsia="zh-CN"/>
        </w:rPr>
        <w:t xml:space="preserve"> </w:t>
      </w:r>
    </w:p>
    <w:p w14:paraId="08EDE04A">
      <w:pPr>
        <w:pStyle w:val="3"/>
        <w:numPr>
          <w:ilvl w:val="1"/>
          <w:numId w:val="0"/>
        </w:numPr>
        <w:spacing w:before="156" w:after="156"/>
        <w:rPr>
          <w:color w:val="auto"/>
        </w:rPr>
      </w:pPr>
      <w:bookmarkStart w:id="340" w:name="_Toc9765"/>
      <w:bookmarkStart w:id="341" w:name="_Toc13914"/>
      <w:bookmarkStart w:id="342" w:name="_Toc65792320"/>
      <w:bookmarkStart w:id="343" w:name="_Toc493"/>
      <w:bookmarkStart w:id="344" w:name="_Toc32434"/>
      <w:r>
        <w:rPr>
          <w:rFonts w:hint="eastAsia"/>
          <w:color w:val="auto"/>
        </w:rPr>
        <w:t>10.2</w:t>
      </w:r>
      <w:r>
        <w:rPr>
          <w:color w:val="auto"/>
        </w:rPr>
        <w:t>绿色及文明施工保证体系</w:t>
      </w:r>
      <w:bookmarkEnd w:id="340"/>
      <w:bookmarkEnd w:id="341"/>
      <w:bookmarkEnd w:id="342"/>
      <w:bookmarkEnd w:id="343"/>
      <w:bookmarkEnd w:id="344"/>
    </w:p>
    <w:p w14:paraId="7333B98D">
      <w:pPr>
        <w:ind w:firstLine="480"/>
        <w:rPr>
          <w:color w:val="auto"/>
        </w:rPr>
      </w:pPr>
      <w:r>
        <w:rPr>
          <w:rFonts w:hint="eastAsia"/>
          <w:color w:val="auto"/>
        </w:rPr>
        <w:t>根据施工区域周边环境特点，依据有关法律、法规及建设单位的规定，，制定详细的绿色文明施工措施，从思想保证、制度保证、过程控制、资源保证、技术保证、组织保证六个方面控制。绿色文明施工保证体系见</w:t>
      </w:r>
      <w:r>
        <w:rPr>
          <w:color w:val="auto"/>
        </w:rPr>
        <w:fldChar w:fldCharType="begin"/>
      </w:r>
      <w:r>
        <w:rPr>
          <w:color w:val="auto"/>
        </w:rPr>
        <w:instrText xml:space="preserve"> </w:instrText>
      </w:r>
      <w:r>
        <w:rPr>
          <w:rFonts w:hint="eastAsia"/>
          <w:color w:val="auto"/>
        </w:rPr>
        <w:instrText xml:space="preserve">REF _Ref62590410 \h</w:instrText>
      </w:r>
      <w:r>
        <w:rPr>
          <w:color w:val="auto"/>
        </w:rPr>
        <w:instrText xml:space="preserve"> </w:instrText>
      </w:r>
      <w:r>
        <w:rPr>
          <w:color w:val="auto"/>
        </w:rPr>
        <w:fldChar w:fldCharType="separate"/>
      </w:r>
      <w:r>
        <w:rPr>
          <w:rFonts w:hint="eastAsia"/>
          <w:color w:val="auto"/>
        </w:rPr>
        <w:t xml:space="preserve">图 </w:t>
      </w:r>
      <w:r>
        <w:rPr>
          <w:color w:val="auto"/>
        </w:rPr>
        <w:t>10.2</w:t>
      </w:r>
      <w:r>
        <w:rPr>
          <w:color w:val="auto"/>
        </w:rPr>
        <w:noBreakHyphen/>
      </w:r>
      <w:r>
        <w:rPr>
          <w:color w:val="auto"/>
        </w:rPr>
        <w:t>1</w:t>
      </w:r>
      <w:r>
        <w:rPr>
          <w:color w:val="auto"/>
        </w:rPr>
        <w:fldChar w:fldCharType="end"/>
      </w:r>
      <w:r>
        <w:rPr>
          <w:rFonts w:hint="eastAsia"/>
          <w:color w:val="auto"/>
        </w:rPr>
        <w:t>。</w:t>
      </w:r>
    </w:p>
    <w:p w14:paraId="073E35A3">
      <w:pPr>
        <w:pStyle w:val="32"/>
        <w:rPr>
          <w:rFonts w:eastAsia="仿宋"/>
          <w:color w:val="auto"/>
        </w:rPr>
      </w:pPr>
      <w:r>
        <w:rPr>
          <w:rFonts w:eastAsia="仿宋"/>
          <w:color w:val="auto"/>
        </w:rPr>
        <w:object>
          <v:shape id="_x0000_i1025" o:spt="75" type="#_x0000_t75" style="height:312.4pt;width:384.1pt;" o:ole="t" filled="f" o:preferrelative="t" stroked="f" coordsize="21600,21600">
            <v:path/>
            <v:fill on="f" focussize="0,0"/>
            <v:stroke on="f"/>
            <v:imagedata r:id="rId38" o:title=""/>
            <o:lock v:ext="edit" aspectratio="t"/>
            <w10:wrap type="none"/>
            <w10:anchorlock/>
          </v:shape>
          <o:OLEObject Type="Embed" ProgID="Visio.Drawing.15" ShapeID="_x0000_i1025" DrawAspect="Content" ObjectID="_1468075725" r:id="rId37">
            <o:LockedField>false</o:LockedField>
          </o:OLEObject>
        </w:object>
      </w:r>
    </w:p>
    <w:p w14:paraId="69758BC4">
      <w:pPr>
        <w:pStyle w:val="32"/>
        <w:rPr>
          <w:color w:val="auto"/>
        </w:rPr>
      </w:pPr>
      <w:bookmarkStart w:id="345" w:name="_Ref62590410"/>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10.2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1</w:t>
      </w:r>
      <w:r>
        <w:rPr>
          <w:color w:val="auto"/>
        </w:rPr>
        <w:fldChar w:fldCharType="end"/>
      </w:r>
      <w:bookmarkEnd w:id="345"/>
      <w:r>
        <w:rPr>
          <w:color w:val="auto"/>
        </w:rPr>
        <w:t xml:space="preserve"> </w:t>
      </w:r>
      <w:r>
        <w:rPr>
          <w:rFonts w:hint="eastAsia"/>
          <w:color w:val="auto"/>
        </w:rPr>
        <w:t>文明施工及环境保护保证体系</w:t>
      </w:r>
    </w:p>
    <w:p w14:paraId="2CDECC1B">
      <w:pPr>
        <w:pStyle w:val="3"/>
        <w:numPr>
          <w:ilvl w:val="1"/>
          <w:numId w:val="0"/>
        </w:numPr>
        <w:spacing w:before="156" w:after="156"/>
        <w:rPr>
          <w:color w:val="auto"/>
        </w:rPr>
      </w:pPr>
      <w:bookmarkStart w:id="346" w:name="_Toc14438"/>
      <w:bookmarkStart w:id="347" w:name="_Toc12111"/>
      <w:bookmarkStart w:id="348" w:name="_Toc21347"/>
      <w:bookmarkStart w:id="349" w:name="_Toc29544"/>
      <w:bookmarkStart w:id="350" w:name="_Toc65792321"/>
      <w:r>
        <w:rPr>
          <w:rFonts w:hint="eastAsia"/>
          <w:color w:val="auto"/>
        </w:rPr>
        <w:t>10.3</w:t>
      </w:r>
      <w:r>
        <w:rPr>
          <w:color w:val="auto"/>
        </w:rPr>
        <w:t>绿色施工保证措施</w:t>
      </w:r>
      <w:bookmarkEnd w:id="346"/>
      <w:bookmarkEnd w:id="347"/>
      <w:bookmarkEnd w:id="348"/>
      <w:bookmarkEnd w:id="349"/>
      <w:bookmarkEnd w:id="350"/>
    </w:p>
    <w:p w14:paraId="15939ECF">
      <w:pPr>
        <w:pStyle w:val="4"/>
        <w:numPr>
          <w:ilvl w:val="2"/>
          <w:numId w:val="0"/>
        </w:numPr>
        <w:spacing w:before="156" w:after="156"/>
        <w:rPr>
          <w:color w:val="auto"/>
        </w:rPr>
      </w:pPr>
      <w:bookmarkStart w:id="351" w:name="_Toc3840"/>
      <w:r>
        <w:rPr>
          <w:rFonts w:hint="eastAsia"/>
          <w:color w:val="auto"/>
        </w:rPr>
        <w:t xml:space="preserve">10.3.1 </w:t>
      </w:r>
      <w:r>
        <w:rPr>
          <w:color w:val="auto"/>
        </w:rPr>
        <w:t>固体废弃物污染防治措施</w:t>
      </w:r>
      <w:bookmarkEnd w:id="351"/>
    </w:p>
    <w:p w14:paraId="02A1F59B">
      <w:pPr>
        <w:ind w:firstLine="480"/>
        <w:rPr>
          <w:color w:val="auto"/>
        </w:rPr>
      </w:pPr>
      <w:r>
        <w:rPr>
          <w:rFonts w:hint="eastAsia"/>
          <w:color w:val="auto"/>
        </w:rPr>
        <w:t>（</w:t>
      </w:r>
      <w:r>
        <w:rPr>
          <w:color w:val="auto"/>
        </w:rPr>
        <w:t>1）合理利用土石方，基坑开挖出的土方，在满足使用要求的情况下，用于便道填筑或基坑回填。</w:t>
      </w:r>
    </w:p>
    <w:p w14:paraId="5BCFAC5C">
      <w:pPr>
        <w:ind w:firstLine="480"/>
        <w:rPr>
          <w:color w:val="auto"/>
        </w:rPr>
      </w:pPr>
      <w:r>
        <w:rPr>
          <w:rFonts w:hint="eastAsia"/>
          <w:color w:val="auto"/>
        </w:rPr>
        <w:t>（</w:t>
      </w:r>
      <w:r>
        <w:rPr>
          <w:color w:val="auto"/>
        </w:rPr>
        <w:t>2）施工产生的废方、废弃混凝土等固体废弃物不得直接排放，应运至指定地点集中处理，避免污染环境。</w:t>
      </w:r>
    </w:p>
    <w:p w14:paraId="0A5B786B">
      <w:pPr>
        <w:ind w:firstLine="480"/>
        <w:rPr>
          <w:color w:val="auto"/>
        </w:rPr>
      </w:pPr>
      <w:r>
        <w:rPr>
          <w:rFonts w:hint="eastAsia"/>
          <w:color w:val="auto"/>
        </w:rPr>
        <w:t>（</w:t>
      </w:r>
      <w:r>
        <w:rPr>
          <w:color w:val="auto"/>
        </w:rPr>
        <w:t>3）施工现场设置垃圾桶收集各种垃圾，集中运至指定回收点进行处理。</w:t>
      </w:r>
    </w:p>
    <w:p w14:paraId="77A6556F">
      <w:pPr>
        <w:ind w:firstLine="480"/>
        <w:rPr>
          <w:color w:val="auto"/>
        </w:rPr>
      </w:pPr>
      <w:r>
        <w:rPr>
          <w:rFonts w:hint="eastAsia"/>
          <w:color w:val="auto"/>
        </w:rPr>
        <w:t>（</w:t>
      </w:r>
      <w:r>
        <w:rPr>
          <w:color w:val="auto"/>
        </w:rPr>
        <w:t>4）施工现场运送各种材料、预拌混凝土、垃圾等应采取遮盖或防护措施，防止溢撒。</w:t>
      </w:r>
    </w:p>
    <w:p w14:paraId="267DBF6D">
      <w:pPr>
        <w:pStyle w:val="4"/>
        <w:numPr>
          <w:ilvl w:val="2"/>
          <w:numId w:val="0"/>
        </w:numPr>
        <w:spacing w:before="156" w:after="156"/>
        <w:rPr>
          <w:color w:val="auto"/>
        </w:rPr>
      </w:pPr>
      <w:bookmarkStart w:id="352" w:name="_Toc9838"/>
      <w:r>
        <w:rPr>
          <w:rFonts w:hint="eastAsia"/>
          <w:color w:val="auto"/>
        </w:rPr>
        <w:t>10.3.2</w:t>
      </w:r>
      <w:r>
        <w:rPr>
          <w:color w:val="auto"/>
        </w:rPr>
        <w:t>水污染与水土流失防治措施</w:t>
      </w:r>
      <w:bookmarkEnd w:id="352"/>
    </w:p>
    <w:p w14:paraId="42C12346">
      <w:pPr>
        <w:ind w:firstLine="480"/>
        <w:rPr>
          <w:color w:val="auto"/>
        </w:rPr>
      </w:pPr>
      <w:r>
        <w:rPr>
          <w:rFonts w:hint="eastAsia"/>
          <w:color w:val="auto"/>
        </w:rPr>
        <w:t>（</w:t>
      </w:r>
      <w:r>
        <w:rPr>
          <w:color w:val="auto"/>
        </w:rPr>
        <w:t>1）修筑施工便道，开挖基坑时，保护好周围环境，减少对附近植被生态的破坏。</w:t>
      </w:r>
    </w:p>
    <w:p w14:paraId="7110B82D">
      <w:pPr>
        <w:ind w:firstLine="480"/>
        <w:rPr>
          <w:color w:val="auto"/>
        </w:rPr>
      </w:pPr>
      <w:r>
        <w:rPr>
          <w:rFonts w:hint="eastAsia"/>
          <w:color w:val="auto"/>
        </w:rPr>
        <w:t>（</w:t>
      </w:r>
      <w:r>
        <w:rPr>
          <w:color w:val="auto"/>
        </w:rPr>
        <w:t>2）施工人员生活区尽量远离长江，不向水库排放生活废物和生活污水。</w:t>
      </w:r>
    </w:p>
    <w:p w14:paraId="2C1273E8">
      <w:pPr>
        <w:ind w:firstLine="480"/>
        <w:rPr>
          <w:color w:val="auto"/>
        </w:rPr>
      </w:pPr>
      <w:r>
        <w:rPr>
          <w:rFonts w:hint="eastAsia"/>
          <w:color w:val="auto"/>
        </w:rPr>
        <w:t>（</w:t>
      </w:r>
      <w:r>
        <w:rPr>
          <w:color w:val="auto"/>
        </w:rPr>
        <w:t>3）施工机械（如吊机、运输车辆等）的废油料及润滑油等应进行专门回收，严禁直接排在施工现场。</w:t>
      </w:r>
    </w:p>
    <w:p w14:paraId="32F2CE91">
      <w:pPr>
        <w:ind w:firstLine="480"/>
        <w:rPr>
          <w:color w:val="auto"/>
        </w:rPr>
      </w:pPr>
      <w:r>
        <w:rPr>
          <w:rFonts w:hint="eastAsia"/>
          <w:color w:val="auto"/>
        </w:rPr>
        <w:t>（</w:t>
      </w:r>
      <w:r>
        <w:rPr>
          <w:color w:val="auto"/>
        </w:rPr>
        <w:t>4）对钢管桩表面泥土以及铁锈进行清理，避免污染水体。</w:t>
      </w:r>
    </w:p>
    <w:p w14:paraId="76E4AA9F">
      <w:pPr>
        <w:pStyle w:val="4"/>
        <w:numPr>
          <w:ilvl w:val="2"/>
          <w:numId w:val="0"/>
        </w:numPr>
        <w:spacing w:before="156" w:after="156"/>
        <w:rPr>
          <w:color w:val="auto"/>
        </w:rPr>
      </w:pPr>
      <w:bookmarkStart w:id="353" w:name="_Toc14868"/>
      <w:r>
        <w:rPr>
          <w:rFonts w:hint="eastAsia"/>
          <w:color w:val="auto"/>
        </w:rPr>
        <w:t>10.3.3</w:t>
      </w:r>
      <w:r>
        <w:rPr>
          <w:color w:val="auto"/>
        </w:rPr>
        <w:t>噪声污染防治措施</w:t>
      </w:r>
      <w:bookmarkEnd w:id="353"/>
    </w:p>
    <w:p w14:paraId="38FC7589">
      <w:pPr>
        <w:ind w:firstLine="480"/>
        <w:rPr>
          <w:color w:val="auto"/>
        </w:rPr>
      </w:pPr>
      <w:r>
        <w:rPr>
          <w:rFonts w:hint="eastAsia"/>
          <w:color w:val="auto"/>
        </w:rPr>
        <w:t>（</w:t>
      </w:r>
      <w:r>
        <w:rPr>
          <w:color w:val="auto"/>
        </w:rPr>
        <w:t>1）施工中注意选用效率高、噪声低的机械设备，并注意维修养护和正确使用，使之保持最佳工作状态和最低声级水平，可视情况给强噪声设备装隔声罩。</w:t>
      </w:r>
    </w:p>
    <w:p w14:paraId="5AEEA2CB">
      <w:pPr>
        <w:ind w:firstLine="480"/>
        <w:rPr>
          <w:color w:val="auto"/>
        </w:rPr>
      </w:pPr>
      <w:r>
        <w:rPr>
          <w:rFonts w:hint="eastAsia"/>
          <w:color w:val="auto"/>
        </w:rPr>
        <w:t>（</w:t>
      </w:r>
      <w:r>
        <w:rPr>
          <w:color w:val="auto"/>
        </w:rPr>
        <w:t>2）施工期间，注意控制施工车辆鸣笛，经过居民区的重型运输或施工机械，注意限速。</w:t>
      </w:r>
    </w:p>
    <w:p w14:paraId="0C4AD80A">
      <w:pPr>
        <w:ind w:firstLine="480"/>
        <w:rPr>
          <w:color w:val="auto"/>
        </w:rPr>
      </w:pPr>
      <w:r>
        <w:rPr>
          <w:rFonts w:hint="eastAsia"/>
          <w:color w:val="auto"/>
        </w:rPr>
        <w:t>（</w:t>
      </w:r>
      <w:r>
        <w:rPr>
          <w:color w:val="auto"/>
        </w:rPr>
        <w:t>3）合理安排施工活动，减少施工噪声影响时间，避免高噪声施工机械在同一区域内使用。</w:t>
      </w:r>
    </w:p>
    <w:p w14:paraId="5482F2BB">
      <w:pPr>
        <w:ind w:firstLine="480"/>
        <w:rPr>
          <w:color w:val="auto"/>
        </w:rPr>
      </w:pPr>
      <w:r>
        <w:rPr>
          <w:rFonts w:hint="eastAsia"/>
          <w:color w:val="auto"/>
        </w:rPr>
        <w:t>（</w:t>
      </w:r>
      <w:r>
        <w:rPr>
          <w:color w:val="auto"/>
        </w:rPr>
        <w:t>4）高噪声施工机械运行时尽量避开居民休息时间，晚上不进行钢管桩沉桩作业。</w:t>
      </w:r>
    </w:p>
    <w:p w14:paraId="62677E4A">
      <w:pPr>
        <w:pStyle w:val="4"/>
        <w:numPr>
          <w:ilvl w:val="2"/>
          <w:numId w:val="0"/>
        </w:numPr>
        <w:spacing w:before="156" w:after="156"/>
        <w:rPr>
          <w:color w:val="auto"/>
        </w:rPr>
      </w:pPr>
      <w:bookmarkStart w:id="354" w:name="_Toc14599"/>
      <w:r>
        <w:rPr>
          <w:rFonts w:hint="eastAsia"/>
          <w:color w:val="auto"/>
        </w:rPr>
        <w:t>10.3.4</w:t>
      </w:r>
      <w:r>
        <w:rPr>
          <w:color w:val="auto"/>
        </w:rPr>
        <w:t>大气污染防治措施</w:t>
      </w:r>
      <w:bookmarkEnd w:id="354"/>
    </w:p>
    <w:p w14:paraId="5DF1A481">
      <w:pPr>
        <w:ind w:firstLine="480"/>
        <w:rPr>
          <w:color w:val="auto"/>
        </w:rPr>
      </w:pPr>
      <w:r>
        <w:rPr>
          <w:rFonts w:hint="eastAsia"/>
          <w:color w:val="auto"/>
        </w:rPr>
        <w:t>（</w:t>
      </w:r>
      <w:r>
        <w:rPr>
          <w:color w:val="auto"/>
        </w:rPr>
        <w:t>1）在设备选型时选择低污染设备，机动车辆或机械设备的废气排放应符合国家和地方相关排放标准方能投入使用。</w:t>
      </w:r>
    </w:p>
    <w:p w14:paraId="4283D6B3">
      <w:pPr>
        <w:ind w:firstLine="480"/>
        <w:rPr>
          <w:color w:val="auto"/>
        </w:rPr>
      </w:pPr>
      <w:r>
        <w:rPr>
          <w:rFonts w:hint="eastAsia"/>
          <w:color w:val="auto"/>
        </w:rPr>
        <w:t>（</w:t>
      </w:r>
      <w:r>
        <w:rPr>
          <w:color w:val="auto"/>
        </w:rPr>
        <w:t>2）在运输物料时用蓬布覆盖严密，并装量适中，不得超限运输；对散装材料采用密闭运输、存放。</w:t>
      </w:r>
    </w:p>
    <w:p w14:paraId="27A8BB95">
      <w:pPr>
        <w:ind w:firstLine="480"/>
        <w:rPr>
          <w:color w:val="auto"/>
        </w:rPr>
      </w:pPr>
      <w:r>
        <w:rPr>
          <w:rFonts w:hint="eastAsia"/>
          <w:color w:val="auto"/>
        </w:rPr>
        <w:t>（</w:t>
      </w:r>
      <w:r>
        <w:rPr>
          <w:color w:val="auto"/>
        </w:rPr>
        <w:t>3）配备专用洒水车，对施工现场和运输便道经常洒水湿润，在现场车辆出入口设置清洗池，对车辆进行清洗，减少扬尘。</w:t>
      </w:r>
    </w:p>
    <w:p w14:paraId="6755D8FB">
      <w:pPr>
        <w:ind w:firstLine="480"/>
        <w:rPr>
          <w:color w:val="auto"/>
        </w:rPr>
      </w:pPr>
      <w:r>
        <w:rPr>
          <w:rFonts w:hint="eastAsia"/>
          <w:color w:val="auto"/>
        </w:rPr>
        <w:t>（</w:t>
      </w:r>
      <w:r>
        <w:rPr>
          <w:color w:val="auto"/>
        </w:rPr>
        <w:t>4）不得焚烧油毡、橡胶、塑料以及其他产生有毒有害烟尘和气体的物质。</w:t>
      </w:r>
    </w:p>
    <w:p w14:paraId="0DB89DF1">
      <w:pPr>
        <w:pStyle w:val="4"/>
        <w:numPr>
          <w:ilvl w:val="2"/>
          <w:numId w:val="0"/>
        </w:numPr>
        <w:spacing w:before="156" w:after="156"/>
        <w:rPr>
          <w:color w:val="auto"/>
        </w:rPr>
      </w:pPr>
      <w:bookmarkStart w:id="355" w:name="_Toc30571"/>
      <w:r>
        <w:rPr>
          <w:rFonts w:hint="eastAsia"/>
          <w:color w:val="auto"/>
        </w:rPr>
        <w:t>10.3.5</w:t>
      </w:r>
      <w:r>
        <w:rPr>
          <w:color w:val="auto"/>
        </w:rPr>
        <w:t>节能减排措施</w:t>
      </w:r>
      <w:bookmarkEnd w:id="355"/>
    </w:p>
    <w:p w14:paraId="1085FCF0">
      <w:pPr>
        <w:ind w:firstLine="480"/>
        <w:rPr>
          <w:color w:val="auto"/>
        </w:rPr>
      </w:pPr>
      <w:r>
        <w:rPr>
          <w:rFonts w:hint="eastAsia"/>
          <w:color w:val="auto"/>
        </w:rPr>
        <w:t>（</w:t>
      </w:r>
      <w:r>
        <w:rPr>
          <w:color w:val="auto"/>
        </w:rPr>
        <w:t>1）优先使用国家、行业推荐的节能、高效、环保的施工设备和机具。</w:t>
      </w:r>
    </w:p>
    <w:p w14:paraId="6D479131">
      <w:pPr>
        <w:ind w:firstLine="480"/>
        <w:rPr>
          <w:color w:val="auto"/>
        </w:rPr>
      </w:pPr>
      <w:r>
        <w:rPr>
          <w:rFonts w:hint="eastAsia"/>
          <w:color w:val="auto"/>
        </w:rPr>
        <w:t>（</w:t>
      </w:r>
      <w:r>
        <w:rPr>
          <w:color w:val="auto"/>
        </w:rPr>
        <w:t>2）节约用水、用电，施工用水优先采用天然水，施工用电优先选择接入电网。</w:t>
      </w:r>
    </w:p>
    <w:p w14:paraId="6925F485">
      <w:pPr>
        <w:ind w:firstLine="480"/>
        <w:rPr>
          <w:color w:val="auto"/>
        </w:rPr>
      </w:pPr>
      <w:r>
        <w:rPr>
          <w:rFonts w:hint="eastAsia"/>
          <w:color w:val="auto"/>
        </w:rPr>
        <w:t>（</w:t>
      </w:r>
      <w:r>
        <w:rPr>
          <w:color w:val="auto"/>
        </w:rPr>
        <w:t>3）建立施工机械设备管理制度，开展用油计量，完善设备档案，及时做好维修保养工作，使机械设备保持低耗、高效的状态。</w:t>
      </w:r>
    </w:p>
    <w:p w14:paraId="2D028073">
      <w:pPr>
        <w:ind w:firstLine="480"/>
        <w:rPr>
          <w:color w:val="auto"/>
        </w:rPr>
      </w:pPr>
      <w:r>
        <w:rPr>
          <w:rFonts w:hint="eastAsia"/>
          <w:color w:val="auto"/>
        </w:rPr>
        <w:t>（</w:t>
      </w:r>
      <w:r>
        <w:rPr>
          <w:color w:val="auto"/>
        </w:rPr>
        <w:t>4）合理安排工序，提高各种机械的使用率和满载率，降低设备的单位耗能。</w:t>
      </w:r>
    </w:p>
    <w:p w14:paraId="3F859509">
      <w:pPr>
        <w:pStyle w:val="3"/>
        <w:numPr>
          <w:ilvl w:val="1"/>
          <w:numId w:val="0"/>
        </w:numPr>
        <w:spacing w:before="156" w:after="156"/>
        <w:rPr>
          <w:color w:val="auto"/>
        </w:rPr>
      </w:pPr>
      <w:bookmarkStart w:id="356" w:name="_Toc4017"/>
      <w:bookmarkStart w:id="357" w:name="_Toc65792322"/>
      <w:bookmarkStart w:id="358" w:name="_Toc25689"/>
      <w:bookmarkStart w:id="359" w:name="_Toc14630"/>
      <w:bookmarkStart w:id="360" w:name="_Toc24000"/>
      <w:r>
        <w:rPr>
          <w:rFonts w:hint="eastAsia"/>
          <w:color w:val="auto"/>
        </w:rPr>
        <w:t>10.4</w:t>
      </w:r>
      <w:r>
        <w:rPr>
          <w:color w:val="auto"/>
        </w:rPr>
        <w:t>文明施工保证措施</w:t>
      </w:r>
      <w:bookmarkEnd w:id="356"/>
      <w:bookmarkEnd w:id="357"/>
      <w:bookmarkEnd w:id="358"/>
      <w:bookmarkEnd w:id="359"/>
      <w:bookmarkEnd w:id="360"/>
    </w:p>
    <w:p w14:paraId="1AC58A45">
      <w:pPr>
        <w:ind w:firstLine="480"/>
        <w:rPr>
          <w:color w:val="auto"/>
        </w:rPr>
      </w:pPr>
      <w:r>
        <w:rPr>
          <w:rFonts w:hint="eastAsia"/>
          <w:color w:val="auto"/>
        </w:rPr>
        <w:t>（</w:t>
      </w:r>
      <w:r>
        <w:rPr>
          <w:color w:val="auto"/>
        </w:rPr>
        <w:t>1）施工现场设置围挡，实行封闭管理，施工人员进入施工现场应佩戴工作卡。</w:t>
      </w:r>
    </w:p>
    <w:p w14:paraId="428CEF4F">
      <w:pPr>
        <w:ind w:firstLine="480"/>
        <w:rPr>
          <w:color w:val="auto"/>
        </w:rPr>
      </w:pPr>
      <w:r>
        <w:rPr>
          <w:rFonts w:hint="eastAsia"/>
          <w:color w:val="auto"/>
        </w:rPr>
        <w:t>（</w:t>
      </w:r>
      <w:r>
        <w:rPr>
          <w:color w:val="auto"/>
        </w:rPr>
        <w:t>2）施工便道与陶家岭路、康达街连接处设置进场大门，同时设置车辆冲洗设施，保证车辆行车无扬尘。</w:t>
      </w:r>
    </w:p>
    <w:p w14:paraId="683A2095">
      <w:pPr>
        <w:ind w:firstLine="480"/>
        <w:rPr>
          <w:color w:val="auto"/>
        </w:rPr>
      </w:pPr>
      <w:r>
        <w:rPr>
          <w:rFonts w:hint="eastAsia"/>
          <w:color w:val="auto"/>
        </w:rPr>
        <w:t>（</w:t>
      </w:r>
      <w:r>
        <w:rPr>
          <w:color w:val="auto"/>
        </w:rPr>
        <w:t>3）施工现场入口处按要求设置公示标牌，主要内容应包括：工程概况牌、安全生产牌、文明施工牌、管理人员名单及监督电话牌、施工现场总平面图等，标牌应规范、整齐、统一。</w:t>
      </w:r>
    </w:p>
    <w:p w14:paraId="518225CF">
      <w:pPr>
        <w:ind w:firstLine="480"/>
        <w:rPr>
          <w:color w:val="auto"/>
        </w:rPr>
      </w:pPr>
      <w:r>
        <w:rPr>
          <w:rFonts w:hint="eastAsia"/>
          <w:color w:val="auto"/>
        </w:rPr>
        <w:t>（</w:t>
      </w:r>
      <w:r>
        <w:rPr>
          <w:color w:val="auto"/>
        </w:rPr>
        <w:t>4）施工现场的主要道路及材料加工区地面应进行硬化处理，道路应畅通，路面应平整坚实、排水通畅，临边应设置防护栏等措施。</w:t>
      </w:r>
    </w:p>
    <w:p w14:paraId="003AC70D">
      <w:pPr>
        <w:ind w:firstLine="480"/>
        <w:rPr>
          <w:color w:val="auto"/>
        </w:rPr>
      </w:pPr>
      <w:r>
        <w:rPr>
          <w:rFonts w:hint="eastAsia"/>
          <w:color w:val="auto"/>
        </w:rPr>
        <w:t>（</w:t>
      </w:r>
      <w:r>
        <w:rPr>
          <w:color w:val="auto"/>
        </w:rPr>
        <w:t>5）施工作业人员、项目管理人员进入施工现场应统一穿着工作服，按要求穿戴安全防护用品，规范安全帽的佩戴。</w:t>
      </w:r>
    </w:p>
    <w:p w14:paraId="6F430032">
      <w:pPr>
        <w:ind w:firstLine="480"/>
        <w:rPr>
          <w:color w:val="auto"/>
        </w:rPr>
      </w:pPr>
      <w:r>
        <w:rPr>
          <w:rFonts w:hint="eastAsia"/>
          <w:color w:val="auto"/>
        </w:rPr>
        <w:t>（</w:t>
      </w:r>
      <w:r>
        <w:rPr>
          <w:color w:val="auto"/>
        </w:rPr>
        <w:t>6）严禁酒后上岗作业，严禁打架斗殴，严禁在施工现场嬉戏逗闹等不文明行为。</w:t>
      </w:r>
    </w:p>
    <w:p w14:paraId="7B2A856E">
      <w:pPr>
        <w:ind w:firstLine="480"/>
        <w:rPr>
          <w:color w:val="auto"/>
        </w:rPr>
      </w:pPr>
      <w:r>
        <w:rPr>
          <w:rFonts w:hint="eastAsia"/>
          <w:color w:val="auto"/>
        </w:rPr>
        <w:t>（</w:t>
      </w:r>
      <w:r>
        <w:rPr>
          <w:color w:val="auto"/>
        </w:rPr>
        <w:t>7）现场材料、构件、料具应按总平面布局进行码放，材料应码放整齐，并标明名称、规格等；材料码放应采取防火、防锈蚀、防雨等措施。</w:t>
      </w:r>
    </w:p>
    <w:p w14:paraId="14A80D1D">
      <w:pPr>
        <w:ind w:firstLine="480"/>
        <w:rPr>
          <w:color w:val="auto"/>
        </w:rPr>
      </w:pPr>
      <w:r>
        <w:rPr>
          <w:rFonts w:hint="eastAsia"/>
          <w:color w:val="auto"/>
        </w:rPr>
        <w:t>（</w:t>
      </w:r>
      <w:r>
        <w:rPr>
          <w:color w:val="auto"/>
        </w:rPr>
        <w:t>8）实行安全防护设施、安全标志标准化，确保安全防护设施齐全、完善、规范，标识清楚，警告标志醒目。</w:t>
      </w:r>
    </w:p>
    <w:p w14:paraId="5E041EA5">
      <w:pPr>
        <w:ind w:firstLine="480"/>
        <w:rPr>
          <w:color w:val="auto"/>
        </w:rPr>
      </w:pPr>
      <w:r>
        <w:rPr>
          <w:rFonts w:hint="eastAsia"/>
          <w:color w:val="auto"/>
        </w:rPr>
        <w:t>（</w:t>
      </w:r>
      <w:r>
        <w:rPr>
          <w:color w:val="auto"/>
        </w:rPr>
        <w:t>9）施工现场设置垃圾箱和废料箱，并安排专人每天进行清扫，做到</w:t>
      </w:r>
      <w:r>
        <w:rPr>
          <w:rFonts w:hint="eastAsia"/>
          <w:color w:val="auto"/>
        </w:rPr>
        <w:t>“</w:t>
      </w:r>
      <w:r>
        <w:rPr>
          <w:color w:val="auto"/>
        </w:rPr>
        <w:t>工完、料尽、场地清</w:t>
      </w:r>
      <w:r>
        <w:rPr>
          <w:rFonts w:hint="eastAsia"/>
          <w:color w:val="auto"/>
        </w:rPr>
        <w:t>”</w:t>
      </w:r>
      <w:r>
        <w:rPr>
          <w:color w:val="auto"/>
        </w:rPr>
        <w:t>；配备移动厕所等卫生设施，保持施工环境的整洁。</w:t>
      </w:r>
    </w:p>
    <w:p w14:paraId="0FC3C2F5">
      <w:pPr>
        <w:ind w:firstLine="480"/>
        <w:rPr>
          <w:color w:val="auto"/>
        </w:rPr>
      </w:pPr>
      <w:r>
        <w:rPr>
          <w:rFonts w:hint="eastAsia"/>
          <w:color w:val="auto"/>
        </w:rPr>
        <w:t>（</w:t>
      </w:r>
      <w:r>
        <w:rPr>
          <w:color w:val="auto"/>
        </w:rPr>
        <w:t>10）现场使用的主要机械设备应设置</w:t>
      </w:r>
      <w:r>
        <w:rPr>
          <w:rFonts w:hint="eastAsia"/>
          <w:color w:val="auto"/>
        </w:rPr>
        <w:t>“</w:t>
      </w:r>
      <w:r>
        <w:rPr>
          <w:color w:val="auto"/>
        </w:rPr>
        <w:t>设备标志牌</w:t>
      </w:r>
      <w:r>
        <w:rPr>
          <w:rFonts w:hint="eastAsia"/>
          <w:color w:val="auto"/>
        </w:rPr>
        <w:t>”</w:t>
      </w:r>
      <w:r>
        <w:rPr>
          <w:color w:val="auto"/>
        </w:rPr>
        <w:t>和</w:t>
      </w:r>
      <w:r>
        <w:rPr>
          <w:rFonts w:hint="eastAsia"/>
          <w:color w:val="auto"/>
        </w:rPr>
        <w:t>“</w:t>
      </w:r>
      <w:r>
        <w:rPr>
          <w:color w:val="auto"/>
        </w:rPr>
        <w:t>安全操作规程</w:t>
      </w:r>
      <w:r>
        <w:rPr>
          <w:rFonts w:hint="eastAsia"/>
          <w:color w:val="auto"/>
        </w:rPr>
        <w:t>”</w:t>
      </w:r>
      <w:r>
        <w:rPr>
          <w:color w:val="auto"/>
        </w:rPr>
        <w:t>，</w:t>
      </w:r>
      <w:r>
        <w:rPr>
          <w:rFonts w:hint="eastAsia"/>
          <w:color w:val="auto"/>
        </w:rPr>
        <w:t>“</w:t>
      </w:r>
      <w:r>
        <w:rPr>
          <w:color w:val="auto"/>
        </w:rPr>
        <w:t>设备标志牌</w:t>
      </w:r>
      <w:r>
        <w:rPr>
          <w:rFonts w:hint="eastAsia"/>
          <w:color w:val="auto"/>
        </w:rPr>
        <w:t>”</w:t>
      </w:r>
      <w:r>
        <w:rPr>
          <w:color w:val="auto"/>
        </w:rPr>
        <w:t>。</w:t>
      </w:r>
    </w:p>
    <w:p w14:paraId="279350E0">
      <w:pPr>
        <w:ind w:firstLine="480"/>
        <w:rPr>
          <w:rFonts w:hint="eastAsia"/>
          <w:color w:val="auto"/>
        </w:rPr>
      </w:pPr>
      <w:r>
        <w:rPr>
          <w:color w:val="auto"/>
        </w:rPr>
        <w:br w:type="page"/>
      </w:r>
    </w:p>
    <w:p w14:paraId="6342AB3B">
      <w:pPr>
        <w:pStyle w:val="2"/>
        <w:numPr>
          <w:ilvl w:val="0"/>
          <w:numId w:val="0"/>
        </w:numPr>
        <w:spacing w:before="156" w:after="156"/>
        <w:ind w:leftChars="0"/>
        <w:jc w:val="both"/>
        <w:rPr>
          <w:color w:val="auto"/>
        </w:rPr>
      </w:pPr>
      <w:bookmarkStart w:id="361" w:name="_Toc13901"/>
      <w:bookmarkStart w:id="362" w:name="_Toc31997"/>
      <w:r>
        <w:rPr>
          <w:rFonts w:hint="eastAsia"/>
          <w:color w:val="auto"/>
          <w:lang w:val="en-US" w:eastAsia="zh-CN"/>
        </w:rPr>
        <w:t>11</w:t>
      </w:r>
      <w:r>
        <w:rPr>
          <w:rFonts w:hint="eastAsia"/>
          <w:color w:val="auto"/>
        </w:rPr>
        <w:t>计算书及相关施工图纸</w:t>
      </w:r>
      <w:bookmarkEnd w:id="333"/>
      <w:bookmarkEnd w:id="334"/>
      <w:bookmarkEnd w:id="361"/>
      <w:bookmarkEnd w:id="362"/>
    </w:p>
    <w:p w14:paraId="29978FD4">
      <w:pPr>
        <w:pStyle w:val="4"/>
        <w:numPr>
          <w:ilvl w:val="2"/>
          <w:numId w:val="0"/>
        </w:numPr>
        <w:spacing w:before="0" w:after="0" w:line="360" w:lineRule="auto"/>
        <w:ind w:leftChars="0"/>
        <w:outlineLvl w:val="1"/>
        <w:rPr>
          <w:rFonts w:hint="eastAsia"/>
          <w:color w:val="auto"/>
          <w:sz w:val="24"/>
          <w:szCs w:val="24"/>
          <w:lang w:val="en-US" w:eastAsia="zh-CN"/>
        </w:rPr>
      </w:pPr>
      <w:bookmarkStart w:id="363" w:name="_Toc2724"/>
      <w:bookmarkStart w:id="364" w:name="_Toc795"/>
      <w:bookmarkStart w:id="365" w:name="_Toc16756"/>
      <w:r>
        <w:rPr>
          <w:rFonts w:hint="eastAsia"/>
          <w:color w:val="auto"/>
          <w:sz w:val="24"/>
          <w:szCs w:val="24"/>
          <w:lang w:val="en-US" w:eastAsia="zh-CN"/>
        </w:rPr>
        <w:t>11.1吊装分析</w:t>
      </w:r>
      <w:bookmarkEnd w:id="363"/>
    </w:p>
    <w:p w14:paraId="47967882">
      <w:pPr>
        <w:ind w:firstLine="422"/>
        <w:jc w:val="center"/>
        <w:rPr>
          <w:rFonts w:hint="eastAsia" w:ascii="Times New Roman" w:hAnsi="Times New Roman"/>
          <w:color w:val="auto"/>
          <w:szCs w:val="24"/>
        </w:rPr>
      </w:pPr>
      <w:r>
        <w:rPr>
          <w:rFonts w:hint="eastAsia" w:ascii="宋体" w:hAnsi="宋体" w:cs="黑体"/>
          <w:b/>
          <w:color w:val="auto"/>
          <w:sz w:val="21"/>
          <w:szCs w:val="21"/>
        </w:rPr>
        <w:t>表</w:t>
      </w:r>
      <w:r>
        <w:rPr>
          <w:rFonts w:hint="eastAsia" w:ascii="宋体" w:hAnsi="宋体" w:cs="黑体"/>
          <w:b/>
          <w:color w:val="auto"/>
          <w:sz w:val="21"/>
          <w:szCs w:val="21"/>
          <w:lang w:val="en-US" w:eastAsia="zh-CN"/>
        </w:rPr>
        <w:t>11.1</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eastAsia="宋体" w:cs="宋体"/>
          <w:b/>
          <w:bCs/>
          <w:color w:val="auto"/>
          <w:spacing w:val="4"/>
          <w:sz w:val="21"/>
          <w:szCs w:val="21"/>
        </w:rPr>
        <w:t xml:space="preserve"> </w:t>
      </w:r>
      <w:r>
        <w:rPr>
          <w:rFonts w:hint="eastAsia" w:ascii="宋体" w:hAnsi="宋体" w:cs="宋体"/>
          <w:b/>
          <w:bCs/>
          <w:color w:val="auto"/>
          <w:spacing w:val="4"/>
          <w:sz w:val="21"/>
          <w:szCs w:val="21"/>
          <w:lang w:val="en-US" w:eastAsia="zh-CN"/>
        </w:rPr>
        <w:t>XGT6015-8S1</w:t>
      </w:r>
      <w:r>
        <w:rPr>
          <w:rFonts w:hint="eastAsia" w:ascii="宋体" w:hAnsi="宋体" w:cs="宋体"/>
          <w:b/>
          <w:bCs/>
          <w:color w:val="auto"/>
          <w:sz w:val="21"/>
          <w:szCs w:val="21"/>
        </w:rPr>
        <w:t>塔式起重机主要部件</w:t>
      </w:r>
      <w:r>
        <w:rPr>
          <w:rFonts w:hint="eastAsia" w:ascii="宋体" w:hAnsi="宋体" w:cs="宋体"/>
          <w:b/>
          <w:bCs/>
          <w:color w:val="auto"/>
          <w:sz w:val="21"/>
          <w:szCs w:val="21"/>
          <w:lang w:eastAsia="zh-CN"/>
        </w:rPr>
        <w:t>吊重</w:t>
      </w:r>
      <w:r>
        <w:rPr>
          <w:rFonts w:hint="eastAsia" w:ascii="宋体" w:hAnsi="宋体" w:cs="宋体"/>
          <w:b/>
          <w:bCs/>
          <w:color w:val="auto"/>
          <w:sz w:val="21"/>
          <w:szCs w:val="21"/>
        </w:rPr>
        <w:t>参数</w:t>
      </w:r>
    </w:p>
    <w:tbl>
      <w:tblPr>
        <w:tblStyle w:val="26"/>
        <w:tblW w:w="91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3"/>
        <w:gridCol w:w="1567"/>
        <w:gridCol w:w="879"/>
        <w:gridCol w:w="1158"/>
        <w:gridCol w:w="1238"/>
        <w:gridCol w:w="3636"/>
      </w:tblGrid>
      <w:tr w14:paraId="03F24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73DA724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567"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6556636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名称</w:t>
            </w:r>
          </w:p>
        </w:tc>
        <w:tc>
          <w:tcPr>
            <w:tcW w:w="879"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7694907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重量(kg)</w:t>
            </w:r>
          </w:p>
        </w:tc>
        <w:tc>
          <w:tcPr>
            <w:tcW w:w="1158"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109EA32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1238"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3A54E1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吊装高度</w:t>
            </w:r>
          </w:p>
        </w:tc>
        <w:tc>
          <w:tcPr>
            <w:tcW w:w="3636"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0BE4C72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备注</w:t>
            </w:r>
          </w:p>
        </w:tc>
      </w:tr>
      <w:tr w14:paraId="1CFF5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4448">
            <w:pPr>
              <w:keepNext w:val="0"/>
              <w:keepLines w:val="0"/>
              <w:widowControl/>
              <w:numPr>
                <w:ilvl w:val="0"/>
                <w:numId w:val="20"/>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85C4">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平衡重A</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50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1200</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C6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43F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24.7</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352A">
            <w:pPr>
              <w:jc w:val="center"/>
              <w:rPr>
                <w:rFonts w:hint="eastAsia" w:ascii="宋体" w:hAnsi="宋体" w:eastAsia="宋体" w:cs="宋体"/>
                <w:i w:val="0"/>
                <w:iCs w:val="0"/>
                <w:color w:val="auto"/>
                <w:sz w:val="21"/>
                <w:szCs w:val="21"/>
                <w:u w:val="none"/>
              </w:rPr>
            </w:pPr>
          </w:p>
        </w:tc>
      </w:tr>
      <w:tr w14:paraId="7D689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7AEE">
            <w:pPr>
              <w:keepNext w:val="0"/>
              <w:keepLines w:val="0"/>
              <w:widowControl/>
              <w:numPr>
                <w:ilvl w:val="0"/>
                <w:numId w:val="20"/>
              </w:numPr>
              <w:suppressLineNumbers w:val="0"/>
              <w:tabs>
                <w:tab w:val="clear" w:pos="0"/>
              </w:tabs>
              <w:ind w:left="454" w:leftChars="0" w:hanging="454"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5A4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起重臂臂节7</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53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238</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66E4">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8BC0">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549F">
            <w:pPr>
              <w:jc w:val="center"/>
              <w:rPr>
                <w:rFonts w:hint="eastAsia" w:ascii="宋体" w:hAnsi="宋体" w:eastAsia="宋体" w:cs="宋体"/>
                <w:i w:val="0"/>
                <w:iCs w:val="0"/>
                <w:color w:val="auto"/>
                <w:sz w:val="21"/>
                <w:szCs w:val="21"/>
                <w:u w:val="none"/>
              </w:rPr>
            </w:pPr>
          </w:p>
        </w:tc>
      </w:tr>
      <w:tr w14:paraId="7B93E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50A8">
            <w:pPr>
              <w:keepNext w:val="0"/>
              <w:keepLines w:val="0"/>
              <w:widowControl/>
              <w:numPr>
                <w:ilvl w:val="0"/>
                <w:numId w:val="20"/>
              </w:numPr>
              <w:suppressLineNumbers w:val="0"/>
              <w:tabs>
                <w:tab w:val="clear" w:pos="0"/>
              </w:tabs>
              <w:ind w:left="454" w:leftChars="0" w:hanging="454"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6E35">
            <w:pPr>
              <w:keepNext w:val="0"/>
              <w:keepLines w:val="0"/>
              <w:widowControl/>
              <w:suppressLineNumbers w:val="0"/>
              <w:ind w:left="0" w:leftChars="0"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臂头</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6A1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73</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BB7E">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ACB6">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2BB9">
            <w:pPr>
              <w:jc w:val="center"/>
              <w:rPr>
                <w:rFonts w:hint="eastAsia" w:ascii="宋体" w:hAnsi="宋体" w:eastAsia="宋体" w:cs="宋体"/>
                <w:i w:val="0"/>
                <w:iCs w:val="0"/>
                <w:color w:val="auto"/>
                <w:sz w:val="21"/>
                <w:szCs w:val="21"/>
                <w:u w:val="none"/>
              </w:rPr>
            </w:pPr>
          </w:p>
        </w:tc>
      </w:tr>
    </w:tbl>
    <w:p w14:paraId="3673A40D">
      <w:pPr>
        <w:ind w:firstLine="48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根据表4.2</w:t>
      </w:r>
      <w:r>
        <w:rPr>
          <w:rFonts w:hint="default"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21"/>
          <w:lang w:val="en-US" w:eastAsia="zh-CN" w:bidi="ar-SA"/>
        </w:rPr>
        <w:t>1得知，</w:t>
      </w:r>
      <w:r>
        <w:rPr>
          <w:rFonts w:hint="eastAsia" w:cs="Times New Roman"/>
          <w:color w:val="auto"/>
          <w:kern w:val="2"/>
          <w:sz w:val="24"/>
          <w:szCs w:val="21"/>
          <w:lang w:val="en-US" w:eastAsia="zh-CN" w:bidi="ar-SA"/>
        </w:rPr>
        <w:t>作业</w:t>
      </w:r>
      <w:r>
        <w:rPr>
          <w:rFonts w:hint="default" w:ascii="Times New Roman" w:hAnsi="Times New Roman" w:eastAsia="宋体" w:cs="Times New Roman"/>
          <w:color w:val="auto"/>
          <w:kern w:val="2"/>
          <w:sz w:val="24"/>
          <w:szCs w:val="21"/>
          <w:lang w:val="en-US" w:eastAsia="zh-CN" w:bidi="ar-SA"/>
        </w:rPr>
        <w:t>时</w:t>
      </w:r>
      <w:r>
        <w:rPr>
          <w:rFonts w:hint="eastAsia" w:cs="Times New Roman"/>
          <w:color w:val="auto"/>
          <w:kern w:val="2"/>
          <w:sz w:val="24"/>
          <w:szCs w:val="21"/>
          <w:lang w:val="en-US" w:eastAsia="zh-CN" w:bidi="ar-SA"/>
        </w:rPr>
        <w:t>2#塔机</w:t>
      </w:r>
      <w:r>
        <w:rPr>
          <w:rFonts w:hint="default" w:ascii="Times New Roman" w:hAnsi="Times New Roman" w:eastAsia="宋体" w:cs="Times New Roman"/>
          <w:color w:val="auto"/>
          <w:kern w:val="2"/>
          <w:sz w:val="24"/>
          <w:szCs w:val="21"/>
          <w:lang w:val="en-US" w:eastAsia="zh-CN" w:bidi="ar-SA"/>
        </w:rPr>
        <w:t>最大重量</w:t>
      </w:r>
      <w:r>
        <w:rPr>
          <w:rFonts w:hint="eastAsia" w:cs="Times New Roman"/>
          <w:color w:val="auto"/>
          <w:kern w:val="2"/>
          <w:sz w:val="24"/>
          <w:szCs w:val="21"/>
          <w:lang w:val="en-US" w:eastAsia="zh-CN" w:bidi="ar-SA"/>
        </w:rPr>
        <w:t>为塔机平衡重1.2</w:t>
      </w:r>
      <w:r>
        <w:rPr>
          <w:rFonts w:hint="default" w:ascii="Times New Roman" w:hAnsi="Times New Roman" w:eastAsia="宋体" w:cs="Times New Roman"/>
          <w:color w:val="auto"/>
          <w:kern w:val="2"/>
          <w:sz w:val="24"/>
          <w:szCs w:val="21"/>
          <w:lang w:val="en-US" w:eastAsia="zh-CN" w:bidi="ar-SA"/>
        </w:rPr>
        <w:t>t考虑，吊装半径按</w:t>
      </w:r>
      <w:r>
        <w:rPr>
          <w:rFonts w:hint="eastAsia" w:cs="Times New Roman"/>
          <w:color w:val="auto"/>
          <w:kern w:val="2"/>
          <w:sz w:val="24"/>
          <w:szCs w:val="21"/>
          <w:lang w:val="en-US" w:eastAsia="zh-CN" w:bidi="ar-SA"/>
        </w:rPr>
        <w:t>51.5m</w:t>
      </w:r>
      <w:r>
        <w:rPr>
          <w:rFonts w:hint="default" w:ascii="Times New Roman" w:hAnsi="Times New Roman" w:eastAsia="宋体" w:cs="Times New Roman"/>
          <w:color w:val="auto"/>
          <w:kern w:val="2"/>
          <w:sz w:val="24"/>
          <w:szCs w:val="21"/>
          <w:lang w:val="en-US" w:eastAsia="zh-CN" w:bidi="ar-SA"/>
        </w:rPr>
        <w:t>考虑，</w:t>
      </w:r>
      <w:r>
        <w:rPr>
          <w:rFonts w:hint="eastAsia" w:cs="Times New Roman"/>
          <w:color w:val="auto"/>
          <w:kern w:val="2"/>
          <w:sz w:val="24"/>
          <w:szCs w:val="21"/>
          <w:lang w:val="en-US" w:eastAsia="zh-CN" w:bidi="ar-SA"/>
        </w:rPr>
        <w:t>4#塔机起重臂吊幅55m时</w:t>
      </w:r>
      <w:r>
        <w:rPr>
          <w:rFonts w:hint="default" w:ascii="Times New Roman" w:hAnsi="Times New Roman" w:eastAsia="宋体" w:cs="Times New Roman"/>
          <w:color w:val="auto"/>
          <w:kern w:val="2"/>
          <w:sz w:val="24"/>
          <w:szCs w:val="21"/>
          <w:lang w:val="en-US" w:eastAsia="zh-CN" w:bidi="ar-SA"/>
        </w:rPr>
        <w:t>，其额定起重量为</w:t>
      </w:r>
      <w:r>
        <w:rPr>
          <w:rFonts w:hint="eastAsia" w:cs="Times New Roman"/>
          <w:color w:val="auto"/>
          <w:kern w:val="2"/>
          <w:sz w:val="24"/>
          <w:szCs w:val="21"/>
          <w:lang w:val="en-US" w:eastAsia="zh-CN" w:bidi="ar-SA"/>
        </w:rPr>
        <w:t>1.7</w:t>
      </w:r>
      <w:r>
        <w:rPr>
          <w:rFonts w:hint="default" w:ascii="Times New Roman" w:hAnsi="Times New Roman" w:eastAsia="宋体" w:cs="Times New Roman"/>
          <w:color w:val="auto"/>
          <w:kern w:val="2"/>
          <w:sz w:val="24"/>
          <w:szCs w:val="21"/>
          <w:lang w:val="en-US" w:eastAsia="zh-CN" w:bidi="ar-SA"/>
        </w:rPr>
        <w:t>t，满足吊装要求。</w:t>
      </w:r>
    </w:p>
    <w:p w14:paraId="543E5536">
      <w:pPr>
        <w:pStyle w:val="49"/>
        <w:ind w:firstLine="480"/>
        <w:jc w:val="center"/>
        <w:rPr>
          <w:rFonts w:hint="eastAsia" w:ascii="宋体" w:hAnsi="宋体" w:eastAsia="宋体"/>
          <w:color w:val="auto"/>
          <w:szCs w:val="21"/>
          <w:lang w:eastAsia="zh-CN"/>
        </w:rPr>
      </w:pPr>
      <w:r>
        <w:rPr>
          <w:rFonts w:hint="eastAsia" w:ascii="宋体" w:hAnsi="宋体"/>
          <w:color w:val="auto"/>
        </w:rPr>
        <w:t>表</w:t>
      </w:r>
      <w:r>
        <w:rPr>
          <w:rFonts w:hint="eastAsia" w:ascii="宋体" w:hAnsi="宋体"/>
          <w:color w:val="auto"/>
          <w:lang w:val="en-US" w:eastAsia="zh-CN"/>
        </w:rPr>
        <w:t>11.1</w:t>
      </w:r>
      <w:r>
        <w:rPr>
          <w:rFonts w:hint="eastAsia" w:ascii="宋体" w:hAnsi="宋体"/>
          <w:color w:val="auto"/>
        </w:rPr>
        <w:t>-2</w:t>
      </w:r>
      <w:r>
        <w:rPr>
          <w:rFonts w:hint="eastAsia" w:ascii="宋体" w:hAnsi="宋体"/>
          <w:color w:val="auto"/>
          <w:lang w:eastAsia="zh-CN"/>
        </w:rPr>
        <w:t>　</w:t>
      </w:r>
      <w:r>
        <w:rPr>
          <w:rFonts w:hint="eastAsia" w:ascii="宋体" w:hAnsi="宋体"/>
          <w:color w:val="auto"/>
        </w:rPr>
        <w:t xml:space="preserve"> </w:t>
      </w:r>
      <w:r>
        <w:rPr>
          <w:rFonts w:hint="eastAsia" w:ascii="宋体" w:hAnsi="宋体" w:cs="宋体"/>
          <w:b/>
          <w:bCs/>
          <w:color w:val="auto"/>
          <w:spacing w:val="4"/>
          <w:sz w:val="21"/>
          <w:szCs w:val="21"/>
          <w:lang w:val="en-US" w:eastAsia="zh-CN"/>
        </w:rPr>
        <w:t>XGT6015-8S1</w:t>
      </w:r>
      <w:r>
        <w:rPr>
          <w:rFonts w:hint="eastAsia" w:ascii="宋体" w:hAnsi="宋体"/>
          <w:color w:val="auto"/>
        </w:rPr>
        <w:t>额定起重量表（单位：</w:t>
      </w:r>
      <w:r>
        <w:rPr>
          <w:rFonts w:ascii="宋体" w:hAnsi="宋体"/>
          <w:color w:val="auto"/>
        </w:rPr>
        <w:t>t</w:t>
      </w:r>
      <w:r>
        <w:rPr>
          <w:rFonts w:hint="eastAsia" w:ascii="宋体" w:hAnsi="宋体"/>
          <w:color w:val="auto"/>
        </w:rPr>
        <w:t>）</w:t>
      </w:r>
    </w:p>
    <w:p w14:paraId="298BF509">
      <w:pPr>
        <w:pStyle w:val="11"/>
        <w:ind w:left="0" w:leftChars="0" w:firstLine="0" w:firstLineChars="0"/>
        <w:jc w:val="center"/>
        <w:rPr>
          <w:rFonts w:hint="eastAsia"/>
          <w:color w:val="auto"/>
        </w:rPr>
      </w:pPr>
      <w:r>
        <w:drawing>
          <wp:inline distT="0" distB="0" distL="114300" distR="114300">
            <wp:extent cx="5757545" cy="3127375"/>
            <wp:effectExtent l="0" t="0" r="14605" b="1587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5"/>
                    <a:stretch>
                      <a:fillRect/>
                    </a:stretch>
                  </pic:blipFill>
                  <pic:spPr>
                    <a:xfrm>
                      <a:off x="0" y="0"/>
                      <a:ext cx="5757545" cy="3127375"/>
                    </a:xfrm>
                    <a:prstGeom prst="rect">
                      <a:avLst/>
                    </a:prstGeom>
                    <a:noFill/>
                    <a:ln>
                      <a:noFill/>
                    </a:ln>
                  </pic:spPr>
                </pic:pic>
              </a:graphicData>
            </a:graphic>
          </wp:inline>
        </w:drawing>
      </w:r>
    </w:p>
    <w:p w14:paraId="3690BF5E">
      <w:pPr>
        <w:pStyle w:val="49"/>
        <w:ind w:firstLine="480"/>
        <w:rPr>
          <w:rFonts w:ascii="宋体" w:hAnsi="宋体"/>
          <w:color w:val="auto"/>
          <w:szCs w:val="21"/>
        </w:rPr>
      </w:pPr>
    </w:p>
    <w:p w14:paraId="4C296053">
      <w:pPr>
        <w:pStyle w:val="4"/>
        <w:numPr>
          <w:ilvl w:val="2"/>
          <w:numId w:val="0"/>
        </w:numPr>
        <w:spacing w:before="0" w:after="0" w:line="360" w:lineRule="auto"/>
        <w:ind w:leftChars="0"/>
        <w:outlineLvl w:val="1"/>
        <w:rPr>
          <w:rFonts w:hint="eastAsia" w:ascii="Times New Roman" w:hAnsi="Times New Roman"/>
          <w:color w:val="auto"/>
          <w:sz w:val="24"/>
          <w:szCs w:val="24"/>
        </w:rPr>
      </w:pPr>
      <w:bookmarkStart w:id="366" w:name="_Toc17770"/>
      <w:r>
        <w:rPr>
          <w:rFonts w:hint="default"/>
          <w:color w:val="auto"/>
          <w:sz w:val="24"/>
          <w:szCs w:val="24"/>
          <w:lang w:val="en-US" w:eastAsia="zh-CN"/>
        </w:rPr>
        <w:t>11.</w:t>
      </w:r>
      <w:r>
        <w:rPr>
          <w:rFonts w:hint="eastAsia"/>
          <w:color w:val="auto"/>
          <w:sz w:val="24"/>
          <w:szCs w:val="24"/>
          <w:lang w:val="en-US" w:eastAsia="zh-CN"/>
        </w:rPr>
        <w:t>2</w:t>
      </w:r>
      <w:r>
        <w:rPr>
          <w:rFonts w:hint="eastAsia" w:ascii="Times New Roman" w:hAnsi="Times New Roman"/>
          <w:color w:val="auto"/>
          <w:sz w:val="24"/>
          <w:szCs w:val="24"/>
        </w:rPr>
        <w:t>吊索具选型计算</w:t>
      </w:r>
      <w:bookmarkEnd w:id="364"/>
      <w:bookmarkEnd w:id="365"/>
      <w:bookmarkEnd w:id="366"/>
    </w:p>
    <w:p w14:paraId="4A822BBA">
      <w:pPr>
        <w:pStyle w:val="4"/>
        <w:numPr>
          <w:ilvl w:val="2"/>
          <w:numId w:val="0"/>
        </w:numPr>
        <w:spacing w:before="156" w:after="156"/>
        <w:rPr>
          <w:rFonts w:hint="eastAsia" w:ascii="Times New Roman" w:hAnsi="Times New Roman"/>
          <w:color w:val="auto"/>
          <w:sz w:val="24"/>
          <w:szCs w:val="24"/>
        </w:rPr>
      </w:pPr>
      <w:bookmarkStart w:id="367" w:name="_Toc16842"/>
      <w:r>
        <w:rPr>
          <w:rFonts w:hint="eastAsia"/>
          <w:color w:val="auto"/>
          <w:lang w:val="en-US" w:eastAsia="zh-CN"/>
        </w:rPr>
        <w:t>11.2.1钢丝绳选型依据</w:t>
      </w:r>
      <w:bookmarkEnd w:id="367"/>
    </w:p>
    <w:p w14:paraId="08EA92CE">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7D97B39F">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19925B43">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6E633F60">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p w14:paraId="2E7DE5EA">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p w14:paraId="63EC2B1A">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31"/>
        <w:gridCol w:w="7288"/>
      </w:tblGrid>
      <w:tr w14:paraId="17E2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243841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7AEA329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3C8E098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0F27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4EAF28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003E97D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0EFCEBF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40B8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6C3EDD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6C1968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3638BA3F">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7B8E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FA53CA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0673616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6B5A6994">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2328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1D990E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000CC6F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369DF80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6C38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041E2B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23DF66A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2B9D7167">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74945F59">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214D476E">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77211B82">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8"/>
        <w:gridCol w:w="7328"/>
      </w:tblGrid>
      <w:tr w14:paraId="524B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FFB37C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539F92C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14A3BEE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06DB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0FFB7CF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A72E2F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0ACDD21C">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4540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4E9248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7FC3487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0B325CFE">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229E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6CBF749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1C8FECF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39489B2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5437860F">
      <w:pPr>
        <w:ind w:firstLine="480"/>
        <w:rPr>
          <w:rFonts w:ascii="Times New Roman" w:hAnsi="Times New Roman" w:eastAsia="宋体" w:cs="Times New Roman"/>
        </w:rPr>
      </w:pPr>
      <w:r>
        <w:rPr>
          <w:rFonts w:hint="eastAsia" w:ascii="Times New Roman" w:hAnsi="Times New Roman" w:eastAsia="宋体" w:cs="Times New Roman"/>
        </w:rPr>
        <w:t>采用四点吊的塔吊主要部件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cs="Times New Roman"/>
          <w:lang w:val="en-US" w:eastAsia="zh-CN"/>
        </w:rPr>
        <w:t>XGT6015-8S1塔机平衡臂</w:t>
      </w:r>
      <w:r>
        <w:rPr>
          <w:rFonts w:hint="eastAsia" w:ascii="Times New Roman" w:hAnsi="Times New Roman" w:eastAsia="宋体" w:cs="Times New Roman"/>
        </w:rPr>
        <w:t>，</w:t>
      </w:r>
      <w:r>
        <w:rPr>
          <w:rFonts w:hint="eastAsia" w:cs="Times New Roman"/>
          <w:lang w:val="en-US" w:eastAsia="zh-CN"/>
        </w:rPr>
        <w:t>平衡臂</w:t>
      </w:r>
      <w:r>
        <w:rPr>
          <w:rFonts w:hint="eastAsia" w:ascii="Times New Roman" w:hAnsi="Times New Roman" w:eastAsia="宋体" w:cs="Times New Roman"/>
        </w:rPr>
        <w:t>起重量约</w:t>
      </w:r>
      <w:r>
        <w:rPr>
          <w:rFonts w:hint="eastAsia" w:cs="Times New Roman"/>
          <w:lang w:val="en-US" w:eastAsia="zh-CN"/>
        </w:rPr>
        <w:t>4.05t</w:t>
      </w:r>
      <w:r>
        <w:rPr>
          <w:rFonts w:hint="eastAsia" w:ascii="Times New Roman" w:hAnsi="Times New Roman" w:eastAsia="宋体" w:cs="Times New Roman"/>
        </w:rPr>
        <w:t>，钢丝绳与</w:t>
      </w:r>
      <w:r>
        <w:rPr>
          <w:rFonts w:hint="eastAsia" w:cs="Times New Roman"/>
          <w:lang w:val="en-US" w:eastAsia="zh-CN"/>
        </w:rPr>
        <w:t>平衡臂成</w:t>
      </w:r>
      <w:r>
        <w:rPr>
          <w:rFonts w:hint="eastAsia" w:ascii="Times New Roman" w:hAnsi="Times New Roman" w:eastAsia="宋体" w:cs="Times New Roman"/>
        </w:rPr>
        <w:t>60°夹角，以</w:t>
      </w:r>
      <w:r>
        <w:rPr>
          <w:rFonts w:hint="eastAsia" w:cs="Times New Roman"/>
          <w:lang w:val="en-US" w:eastAsia="zh-CN"/>
        </w:rPr>
        <w:t>平衡臂</w:t>
      </w:r>
      <w:r>
        <w:rPr>
          <w:rFonts w:hint="eastAsia" w:ascii="Times New Roman" w:hAnsi="Times New Roman" w:eastAsia="宋体" w:cs="Times New Roman"/>
        </w:rPr>
        <w:t>顶部四个销轴孔作为吊装孔，钢丝绳采用压制接头。</w:t>
      </w:r>
    </w:p>
    <w:p w14:paraId="288988A1">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46206999">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4.05</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126.09</m:t>
          </m:r>
          <m:r>
            <m:rPr>
              <m:nor/>
              <m:sty m:val="p"/>
            </m:rPr>
            <w:rPr>
              <w:b w:val="0"/>
              <w:i w:val="0"/>
            </w:rPr>
            <m:t>N</m:t>
          </m:r>
        </m:oMath>
      </m:oMathPara>
    </w:p>
    <w:p w14:paraId="201795C1">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19D362C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126.09</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14.30</m:t>
          </m:r>
          <m:r>
            <m:rPr>
              <m:nor/>
              <m:sty m:val="p"/>
            </m:rPr>
            <w:rPr>
              <w:b w:val="0"/>
              <w:i w:val="0"/>
            </w:rPr>
            <m:t>mm</m:t>
          </m:r>
        </m:oMath>
      </m:oMathPara>
    </w:p>
    <w:p w14:paraId="3E356FF1">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φ16</w:t>
      </w:r>
      <w:r>
        <w:rPr>
          <w:rFonts w:hint="eastAsia" w:ascii="Times New Roman" w:hAnsi="Times New Roman" w:eastAsia="宋体" w:cs="Times New Roman"/>
        </w:rPr>
        <w:t>mm钢丝绳可满足要求。</w:t>
      </w:r>
    </w:p>
    <w:p w14:paraId="6590BC58">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cs="Times New Roman"/>
          <w:lang w:val="en-US" w:eastAsia="zh-CN"/>
        </w:rPr>
        <w:t>XGT6015-8S1塔机起重臂臂节一和二</w:t>
      </w:r>
      <w:r>
        <w:rPr>
          <w:rFonts w:hint="eastAsia" w:cs="Times New Roman"/>
          <w:lang w:eastAsia="zh-CN"/>
        </w:rPr>
        <w:t>，</w:t>
      </w:r>
      <w:r>
        <w:rPr>
          <w:rFonts w:hint="eastAsia" w:cs="Times New Roman"/>
          <w:highlight w:val="none"/>
          <w:lang w:val="en-US" w:eastAsia="zh-CN"/>
        </w:rPr>
        <w:t>起重臂</w:t>
      </w:r>
      <w:r>
        <w:rPr>
          <w:rFonts w:hint="eastAsia" w:ascii="Times New Roman" w:hAnsi="Times New Roman" w:eastAsia="宋体" w:cs="Times New Roman"/>
          <w:highlight w:val="none"/>
        </w:rPr>
        <w:t>总成</w:t>
      </w:r>
      <w:r>
        <w:rPr>
          <w:rFonts w:hint="eastAsia" w:ascii="Times New Roman" w:hAnsi="Times New Roman" w:eastAsia="宋体" w:cs="Times New Roman"/>
        </w:rPr>
        <w:t>最大重量约</w:t>
      </w:r>
      <w:r>
        <w:rPr>
          <w:rFonts w:hint="eastAsia" w:cs="Times New Roman"/>
          <w:lang w:val="en-US" w:eastAsia="zh-CN"/>
        </w:rPr>
        <w:t>3.782</w:t>
      </w:r>
      <w:r>
        <w:rPr>
          <w:rFonts w:hint="eastAsia" w:ascii="Times New Roman" w:hAnsi="Times New Roman" w:eastAsia="宋体" w:cs="Times New Roman"/>
        </w:rPr>
        <w:t>t，钢丝绳与起重臂成60°夹角，起重臂吊装采用两点吊，在起重臂腹杆上设置2个吊点，钢丝绳采用压制接头。</w:t>
      </w:r>
    </w:p>
    <w:p w14:paraId="4DA1E153">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5ABD94DE">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3.782</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176.62</m:t>
          </m:r>
          <m:r>
            <m:rPr>
              <m:nor/>
              <m:sty m:val="p"/>
            </m:rPr>
            <w:rPr>
              <w:b w:val="0"/>
              <w:i w:val="0"/>
            </w:rPr>
            <m:t>kN</m:t>
          </m:r>
        </m:oMath>
      </m:oMathPara>
    </w:p>
    <w:p w14:paraId="18549ED3">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282335E9">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176.62</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16.92</m:t>
          </m:r>
          <m:r>
            <m:rPr>
              <m:nor/>
              <m:sty m:val="p"/>
            </m:rPr>
            <w:rPr>
              <w:b w:val="0"/>
              <w:i w:val="0"/>
            </w:rPr>
            <m:t>mm</m:t>
          </m:r>
        </m:oMath>
      </m:oMathPara>
    </w:p>
    <w:p w14:paraId="78A66B35">
      <w:pPr>
        <w:ind w:firstLine="480"/>
        <w:rPr>
          <w:rFonts w:ascii="Times New Roman" w:hAnsi="Times New Roman" w:eastAsia="宋体" w:cs="Times New Roman"/>
        </w:rPr>
      </w:pPr>
      <w:r>
        <w:rPr>
          <w:rFonts w:hint="eastAsia" w:ascii="宋体" w:hAnsi="宋体" w:eastAsia="宋体" w:cs="宋体"/>
        </w:rPr>
        <w:t>采用</w:t>
      </w:r>
      <w:r>
        <w:rPr>
          <w:rFonts w:hint="eastAsia" w:ascii="SJQY" w:hAnsi="SJQY" w:eastAsia="SJQY" w:cs="Times New Roman"/>
          <w:lang w:val="en-US" w:eastAsia="zh-CN"/>
        </w:rPr>
        <w:t>φ18</w:t>
      </w:r>
      <w:r>
        <w:rPr>
          <w:rFonts w:hint="eastAsia" w:ascii="Times New Roman" w:hAnsi="Times New Roman" w:eastAsia="宋体" w:cs="Times New Roman"/>
        </w:rPr>
        <w:t>mm钢丝绳可满足要求。</w:t>
      </w:r>
    </w:p>
    <w:p w14:paraId="60C4F7D4">
      <w:pPr>
        <w:pStyle w:val="4"/>
        <w:numPr>
          <w:ilvl w:val="2"/>
          <w:numId w:val="0"/>
        </w:numPr>
        <w:spacing w:before="156" w:after="156"/>
        <w:rPr>
          <w:rFonts w:hint="eastAsia"/>
          <w:color w:val="auto"/>
          <w:lang w:val="en-US" w:eastAsia="zh-CN"/>
        </w:rPr>
      </w:pPr>
      <w:bookmarkStart w:id="368" w:name="_Toc132535969"/>
      <w:r>
        <w:rPr>
          <w:rFonts w:hint="eastAsia"/>
          <w:color w:val="auto"/>
          <w:lang w:val="en-US" w:eastAsia="zh-CN"/>
        </w:rPr>
        <w:t>11.2.2卸扣选型</w:t>
      </w:r>
      <w:bookmarkEnd w:id="368"/>
    </w:p>
    <w:p w14:paraId="03804205">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5D7DD98D">
      <w:pPr>
        <w:keepNext/>
        <w:tabs>
          <w:tab w:val="left" w:pos="360"/>
        </w:tabs>
        <w:spacing w:line="360" w:lineRule="auto"/>
        <w:jc w:val="center"/>
        <w:rPr>
          <w:rFonts w:ascii="Times New Roman" w:hAnsi="Times New Roman" w:eastAsia="黑体" w:cs="Times New Roman"/>
          <w:kern w:val="2"/>
          <w:sz w:val="21"/>
          <w:lang w:val="en-US" w:eastAsia="zh-CN" w:bidi="ar-SA"/>
        </w:rPr>
      </w:pPr>
      <w:r>
        <w:rPr>
          <w:rFonts w:hint="eastAsia" w:ascii="Times New Roman" w:hAnsi="Times New Roman" w:eastAsia="黑体" w:cs="Times New Roman"/>
          <w:kern w:val="2"/>
          <w:sz w:val="21"/>
          <w:lang w:val="en-US" w:eastAsia="zh-CN" w:bidi="ar-SA"/>
        </w:rPr>
        <w:t>表1</w:t>
      </w:r>
      <w:r>
        <w:rPr>
          <w:rFonts w:hint="eastAsia" w:eastAsia="黑体" w:cs="Times New Roman"/>
          <w:kern w:val="2"/>
          <w:sz w:val="21"/>
          <w:lang w:val="en-US" w:eastAsia="zh-CN" w:bidi="ar-SA"/>
        </w:rPr>
        <w:t>1</w:t>
      </w:r>
      <w:r>
        <w:rPr>
          <w:rFonts w:hint="eastAsia" w:ascii="Times New Roman" w:hAnsi="Times New Roman" w:eastAsia="黑体" w:cs="Times New Roman"/>
          <w:kern w:val="2"/>
          <w:sz w:val="21"/>
          <w:lang w:val="en-US" w:eastAsia="zh-CN" w:bidi="ar-SA"/>
        </w:rPr>
        <w:t>.</w:t>
      </w:r>
      <w:r>
        <w:rPr>
          <w:rFonts w:hint="eastAsia" w:eastAsia="黑体" w:cs="Times New Roman"/>
          <w:kern w:val="2"/>
          <w:sz w:val="21"/>
          <w:lang w:val="en-US" w:eastAsia="zh-CN" w:bidi="ar-SA"/>
        </w:rPr>
        <w:t>2</w:t>
      </w:r>
      <w:r>
        <w:rPr>
          <w:rFonts w:hint="eastAsia" w:ascii="Times New Roman" w:hAnsi="Times New Roman" w:eastAsia="黑体" w:cs="Times New Roman"/>
          <w:kern w:val="2"/>
          <w:sz w:val="21"/>
          <w:lang w:val="en-US" w:eastAsia="zh-CN" w:bidi="ar-SA"/>
        </w:rPr>
        <w:t>.2</w:t>
      </w:r>
      <w:r>
        <w:rPr>
          <w:rFonts w:hint="eastAsia" w:eastAsia="黑体" w:cs="Times New Roman"/>
          <w:kern w:val="2"/>
          <w:sz w:val="21"/>
          <w:lang w:val="en-US" w:eastAsia="zh-CN" w:bidi="ar-SA"/>
        </w:rPr>
        <w:t xml:space="preserve">  </w:t>
      </w:r>
      <w:r>
        <w:rPr>
          <w:rFonts w:hint="eastAsia" w:ascii="Times New Roman" w:hAnsi="Times New Roman" w:eastAsia="黑体" w:cs="Times New Roman"/>
          <w:kern w:val="2"/>
          <w:sz w:val="21"/>
          <w:lang w:val="en-US" w:eastAsia="zh-CN" w:bidi="ar-SA"/>
        </w:rPr>
        <w:t>D形卸扣尺寸</w:t>
      </w:r>
    </w:p>
    <w:tbl>
      <w:tblPr>
        <w:tblStyle w:val="87"/>
        <w:tblW w:w="501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5"/>
        <w:gridCol w:w="1108"/>
        <w:gridCol w:w="1108"/>
        <w:gridCol w:w="986"/>
        <w:gridCol w:w="932"/>
        <w:gridCol w:w="1182"/>
        <w:gridCol w:w="931"/>
        <w:gridCol w:w="1014"/>
      </w:tblGrid>
      <w:tr w14:paraId="44153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5" w:type="pct"/>
            <w:gridSpan w:val="3"/>
            <w:shd w:val="clear" w:color="auto" w:fill="4472C4"/>
            <w:vAlign w:val="center"/>
          </w:tcPr>
          <w:p w14:paraId="2901585B">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vAlign w:val="center"/>
          </w:tcPr>
          <w:p w14:paraId="688C7C92">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484A0FA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7" w:type="pct"/>
            <w:vMerge w:val="restart"/>
            <w:shd w:val="clear" w:color="auto" w:fill="4472C4"/>
            <w:vAlign w:val="center"/>
          </w:tcPr>
          <w:p w14:paraId="61066B4B">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7595627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706" w:type="pct"/>
            <w:vMerge w:val="restart"/>
            <w:shd w:val="clear" w:color="auto" w:fill="4472C4"/>
            <w:vAlign w:val="center"/>
          </w:tcPr>
          <w:p w14:paraId="128D2CA0">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419F9AB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vAlign w:val="center"/>
          </w:tcPr>
          <w:p w14:paraId="5E97D4FA">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56ECB9B3">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vAlign w:val="center"/>
          </w:tcPr>
          <w:p w14:paraId="152E755C">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2129EB1E">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22DC0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4472C4"/>
            <w:vAlign w:val="center"/>
          </w:tcPr>
          <w:p w14:paraId="16517557">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vAlign w:val="center"/>
          </w:tcPr>
          <w:p w14:paraId="2DF66AC2">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vAlign w:val="center"/>
          </w:tcPr>
          <w:p w14:paraId="5E1C5C5D">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vAlign w:val="center"/>
          </w:tcPr>
          <w:p w14:paraId="050A5A0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7" w:type="pct"/>
            <w:vMerge w:val="continue"/>
            <w:shd w:val="clear" w:color="auto" w:fill="auto"/>
            <w:vAlign w:val="center"/>
          </w:tcPr>
          <w:p w14:paraId="41066FF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706" w:type="pct"/>
            <w:vMerge w:val="continue"/>
            <w:shd w:val="clear" w:color="auto" w:fill="auto"/>
            <w:vAlign w:val="center"/>
          </w:tcPr>
          <w:p w14:paraId="55C5CBC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vAlign w:val="center"/>
          </w:tcPr>
          <w:p w14:paraId="074BB22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vAlign w:val="center"/>
          </w:tcPr>
          <w:p w14:paraId="4997947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10C1D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5" w:type="pct"/>
            <w:gridSpan w:val="3"/>
            <w:shd w:val="clear" w:color="auto" w:fill="auto"/>
            <w:vAlign w:val="center"/>
          </w:tcPr>
          <w:p w14:paraId="3651131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vAlign w:val="center"/>
          </w:tcPr>
          <w:p w14:paraId="70A63F3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0AF19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56FD918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vAlign w:val="center"/>
          </w:tcPr>
          <w:p w14:paraId="20BCAF8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0392F0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vAlign w:val="center"/>
          </w:tcPr>
          <w:p w14:paraId="0E4A78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57" w:type="pct"/>
            <w:shd w:val="clear" w:color="auto" w:fill="auto"/>
            <w:vAlign w:val="center"/>
          </w:tcPr>
          <w:p w14:paraId="37C04A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706" w:type="pct"/>
            <w:shd w:val="clear" w:color="auto" w:fill="auto"/>
            <w:vAlign w:val="center"/>
          </w:tcPr>
          <w:p w14:paraId="472CCD0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vAlign w:val="center"/>
          </w:tcPr>
          <w:p w14:paraId="331DC8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vAlign w:val="center"/>
          </w:tcPr>
          <w:p w14:paraId="66106E4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3F3E4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303DB82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31E2D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4B9C02E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vAlign w:val="center"/>
          </w:tcPr>
          <w:p w14:paraId="71B3DEF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57" w:type="pct"/>
            <w:shd w:val="clear" w:color="auto" w:fill="auto"/>
            <w:vAlign w:val="center"/>
          </w:tcPr>
          <w:p w14:paraId="54818E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706" w:type="pct"/>
            <w:shd w:val="clear" w:color="auto" w:fill="auto"/>
            <w:vAlign w:val="center"/>
          </w:tcPr>
          <w:p w14:paraId="7ADC665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vAlign w:val="center"/>
          </w:tcPr>
          <w:p w14:paraId="12EF4E4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vAlign w:val="center"/>
          </w:tcPr>
          <w:p w14:paraId="452BCBF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620B3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64CDB86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04EB3B6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5B96804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vAlign w:val="center"/>
          </w:tcPr>
          <w:p w14:paraId="1F0D611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57" w:type="pct"/>
            <w:shd w:val="clear" w:color="auto" w:fill="auto"/>
            <w:vAlign w:val="center"/>
          </w:tcPr>
          <w:p w14:paraId="672ED9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706" w:type="pct"/>
            <w:shd w:val="clear" w:color="auto" w:fill="auto"/>
            <w:vAlign w:val="center"/>
          </w:tcPr>
          <w:p w14:paraId="44F1124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vAlign w:val="center"/>
          </w:tcPr>
          <w:p w14:paraId="3AA891C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vAlign w:val="center"/>
          </w:tcPr>
          <w:p w14:paraId="725DFF7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71C16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6CF4FBA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3AD13D4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631DD1A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vAlign w:val="center"/>
          </w:tcPr>
          <w:p w14:paraId="5C1CD7A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57" w:type="pct"/>
            <w:shd w:val="clear" w:color="auto" w:fill="auto"/>
            <w:vAlign w:val="center"/>
          </w:tcPr>
          <w:p w14:paraId="0EC332A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706" w:type="pct"/>
            <w:shd w:val="clear" w:color="auto" w:fill="auto"/>
            <w:vAlign w:val="center"/>
          </w:tcPr>
          <w:p w14:paraId="673BBCF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vAlign w:val="center"/>
          </w:tcPr>
          <w:p w14:paraId="14F9C6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vAlign w:val="center"/>
          </w:tcPr>
          <w:p w14:paraId="5DEAFC2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46374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575E6B1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567E80E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2D3BBD8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vAlign w:val="center"/>
          </w:tcPr>
          <w:p w14:paraId="2E3F989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57" w:type="pct"/>
            <w:shd w:val="clear" w:color="auto" w:fill="auto"/>
            <w:vAlign w:val="center"/>
          </w:tcPr>
          <w:p w14:paraId="055A6E6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706" w:type="pct"/>
            <w:shd w:val="clear" w:color="auto" w:fill="auto"/>
            <w:vAlign w:val="center"/>
          </w:tcPr>
          <w:p w14:paraId="2F1ACC2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vAlign w:val="center"/>
          </w:tcPr>
          <w:p w14:paraId="3025DE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vAlign w:val="center"/>
          </w:tcPr>
          <w:p w14:paraId="3EDF301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240F1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586ACA0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406E43E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5BF71BC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vAlign w:val="center"/>
          </w:tcPr>
          <w:p w14:paraId="39F3F7A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57" w:type="pct"/>
            <w:shd w:val="clear" w:color="auto" w:fill="auto"/>
            <w:vAlign w:val="center"/>
          </w:tcPr>
          <w:p w14:paraId="3403947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706" w:type="pct"/>
            <w:shd w:val="clear" w:color="auto" w:fill="auto"/>
            <w:vAlign w:val="center"/>
          </w:tcPr>
          <w:p w14:paraId="11E75C8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vAlign w:val="center"/>
          </w:tcPr>
          <w:p w14:paraId="79B421A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vAlign w:val="center"/>
          </w:tcPr>
          <w:p w14:paraId="228B515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0F7AD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3635EF2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2B6009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1F5ED43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2C188F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57" w:type="pct"/>
            <w:shd w:val="clear" w:color="auto" w:fill="auto"/>
            <w:vAlign w:val="center"/>
          </w:tcPr>
          <w:p w14:paraId="5566EC1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706" w:type="pct"/>
            <w:shd w:val="clear" w:color="auto" w:fill="auto"/>
            <w:vAlign w:val="center"/>
          </w:tcPr>
          <w:p w14:paraId="1D48086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vAlign w:val="center"/>
          </w:tcPr>
          <w:p w14:paraId="378F9A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vAlign w:val="center"/>
          </w:tcPr>
          <w:p w14:paraId="13AAADC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0D24F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4BA410F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013E40C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630D286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7D90683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57" w:type="pct"/>
            <w:shd w:val="clear" w:color="auto" w:fill="auto"/>
            <w:vAlign w:val="center"/>
          </w:tcPr>
          <w:p w14:paraId="1EFB92A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706" w:type="pct"/>
            <w:shd w:val="clear" w:color="auto" w:fill="auto"/>
            <w:vAlign w:val="center"/>
          </w:tcPr>
          <w:p w14:paraId="4CCE422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vAlign w:val="center"/>
          </w:tcPr>
          <w:p w14:paraId="47FD71D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vAlign w:val="center"/>
          </w:tcPr>
          <w:p w14:paraId="216D367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63846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099DD18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61292B5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vAlign w:val="center"/>
          </w:tcPr>
          <w:p w14:paraId="67E0C60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0B21144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57" w:type="pct"/>
            <w:shd w:val="clear" w:color="auto" w:fill="auto"/>
            <w:vAlign w:val="center"/>
          </w:tcPr>
          <w:p w14:paraId="15A675B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706" w:type="pct"/>
            <w:shd w:val="clear" w:color="auto" w:fill="auto"/>
            <w:vAlign w:val="center"/>
          </w:tcPr>
          <w:p w14:paraId="1C67202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vAlign w:val="center"/>
          </w:tcPr>
          <w:p w14:paraId="67DC879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vAlign w:val="center"/>
          </w:tcPr>
          <w:p w14:paraId="758900D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6E418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00BF20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077E941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689C2A5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48E2DC1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57" w:type="pct"/>
            <w:shd w:val="clear" w:color="auto" w:fill="auto"/>
            <w:vAlign w:val="center"/>
          </w:tcPr>
          <w:p w14:paraId="0617431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706" w:type="pct"/>
            <w:shd w:val="clear" w:color="auto" w:fill="auto"/>
            <w:vAlign w:val="center"/>
          </w:tcPr>
          <w:p w14:paraId="73D8D38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vAlign w:val="center"/>
          </w:tcPr>
          <w:p w14:paraId="777E8F6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vAlign w:val="center"/>
          </w:tcPr>
          <w:p w14:paraId="071B5CA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4D6CC03A">
      <w:pPr>
        <w:ind w:firstLine="480"/>
        <w:rPr>
          <w:rFonts w:ascii="Times New Roman" w:hAnsi="Times New Roman" w:eastAsia="宋体" w:cs="Times New Roman"/>
        </w:rPr>
      </w:pPr>
      <w:r>
        <w:rPr>
          <w:rFonts w:hint="eastAsia" w:ascii="Times New Roman" w:hAnsi="Times New Roman" w:eastAsia="宋体" w:cs="Times New Roman"/>
        </w:rPr>
        <w:t>四点吊的塔吊主要部件为</w:t>
      </w:r>
      <w:r>
        <w:rPr>
          <w:rFonts w:hint="eastAsia" w:cs="Times New Roman"/>
          <w:lang w:val="en-US" w:eastAsia="zh-CN"/>
        </w:rPr>
        <w:t>XGT6015-8S1塔机平衡臂，平衡臂</w:t>
      </w:r>
      <w:r>
        <w:rPr>
          <w:rFonts w:hint="eastAsia" w:ascii="Times New Roman" w:hAnsi="Times New Roman" w:eastAsia="宋体" w:cs="Times New Roman"/>
        </w:rPr>
        <w:t>最大重量约</w:t>
      </w:r>
      <w:r>
        <w:rPr>
          <w:rFonts w:hint="eastAsia" w:cs="Times New Roman"/>
          <w:lang w:val="en-US" w:eastAsia="zh-CN"/>
        </w:rPr>
        <w:t>4.05</w:t>
      </w:r>
      <w:r>
        <w:rPr>
          <w:rFonts w:hint="eastAsia" w:ascii="Times New Roman" w:hAnsi="Times New Roman" w:eastAsia="宋体" w:cs="Times New Roman"/>
        </w:rPr>
        <w:t>t，钢丝绳连接卸扣工作荷载：</w:t>
      </w:r>
    </w:p>
    <w:p w14:paraId="3C051EDE">
      <w:pPr>
        <w:ind w:firstLine="480"/>
        <w:rPr>
          <w:rFonts w:ascii="Times New Roman" w:hAnsi="Times New Roman" w:eastAsia="宋体" w:cs="Times New Roman"/>
        </w:rPr>
      </w:pPr>
      <m:oMath>
        <m:r>
          <m:rPr>
            <m:nor/>
            <m:sty m:val="p"/>
          </m:rPr>
          <w:rPr>
            <w:b w:val="0"/>
            <w:i w:val="0"/>
          </w:rPr>
          <m:t>WL</m:t>
        </m:r>
        <m:sSub>
          <m:sSubPr>
            <m:ctrlPr>
              <w:rPr>
                <w:rFonts w:ascii="Cambria Math" w:hAnsi="Cambria Math"/>
                <w:i/>
              </w:rPr>
            </m:ctrlPr>
          </m:sSubPr>
          <m:e>
            <m:r>
              <m:rPr>
                <m:nor/>
                <m:sty m:val="p"/>
              </m:rPr>
              <w:rPr>
                <w:b w:val="0"/>
                <w:i w:val="0"/>
              </w:rPr>
              <m:t>L</m:t>
            </m:r>
            <m:ctrlPr>
              <w:rPr>
                <w:rFonts w:ascii="Cambria Math" w:hAnsi="Cambria Math"/>
                <w:i/>
              </w:rPr>
            </m:ctrlPr>
          </m:e>
          <m:sub>
            <m:r>
              <m:rPr>
                <m:nor/>
                <m:sty m:val="p"/>
              </m:rPr>
              <w:rPr>
                <w:b w:val="0"/>
                <w:i w:val="0"/>
              </w:rPr>
              <m:t>0</m:t>
            </m:r>
            <m:ctrlPr>
              <w:rPr>
                <w:rFonts w:ascii="Cambria Math" w:hAnsi="Cambria Math"/>
                <w:i/>
              </w:rPr>
            </m:ctrlPr>
          </m:sub>
        </m:sSub>
        <m:r>
          <m:rPr>
            <m:nor/>
            <m:sty m:val="p"/>
          </m:rPr>
          <w:rPr>
            <w:b w:val="0"/>
            <w:i w:val="0"/>
          </w:rPr>
          <m:t>=</m:t>
        </m:r>
        <m:f>
          <m:fPr>
            <m:ctrlPr>
              <w:rPr>
                <w:rFonts w:ascii="Cambria Math" w:hAnsi="Cambria Math"/>
                <w:i/>
              </w:rPr>
            </m:ctrlPr>
          </m:fPr>
          <m:num>
            <m:r>
              <m:rPr/>
              <w:rPr>
                <w:rFonts w:hint="default" w:ascii="Cambria Math" w:hAnsi="Cambria Math"/>
                <w:lang w:val="en-US" w:eastAsia="zh-CN"/>
              </w:rPr>
              <m:t>126.09</m:t>
            </m:r>
            <m:ctrlPr>
              <w:rPr>
                <w:rFonts w:ascii="Cambria Math" w:hAnsi="Cambria Math"/>
                <w:i/>
              </w:rPr>
            </m:ctrlPr>
          </m:num>
          <m:den>
            <m:r>
              <m:rPr>
                <m:nor/>
                <m:sty m:val="p"/>
              </m:rPr>
              <w:rPr>
                <w:b w:val="0"/>
                <w:i w:val="0"/>
              </w:rPr>
              <m:t>6</m:t>
            </m:r>
            <m:ctrlPr>
              <w:rPr>
                <w:rFonts w:ascii="Cambria Math" w:hAnsi="Cambria Math"/>
                <w:i/>
              </w:rPr>
            </m:ctrlPr>
          </m:den>
        </m:f>
        <m:r>
          <m:rPr>
            <m:nor/>
            <m:sty m:val="p"/>
          </m:rPr>
          <w:rPr>
            <w:b w:val="0"/>
            <w:i w:val="0"/>
          </w:rPr>
          <m:t>=</m:t>
        </m:r>
        <m:r>
          <m:rPr>
            <m:nor/>
            <m:sty m:val="p"/>
          </m:rPr>
          <w:rPr>
            <w:rFonts w:hint="default" w:ascii="Cambria Math" w:hAnsi="Cambria Math"/>
            <w:b w:val="0"/>
            <w:i w:val="0"/>
            <w:lang w:val="en-US" w:eastAsia="zh-CN"/>
          </w:rPr>
          <m:t>21.02</m:t>
        </m:r>
        <m:r>
          <m:rPr>
            <m:nor/>
            <m:sty m:val="p"/>
          </m:rPr>
          <w:rPr>
            <w:b w:val="0"/>
            <w:i w:val="0"/>
          </w:rPr>
          <m:t>kN</m:t>
        </m:r>
      </m:oMath>
      <w:r>
        <w:rPr>
          <w:rFonts w:hint="eastAsia" w:ascii="Times New Roman" w:hAnsi="Times New Roman" w:eastAsia="宋体" w:cs="Times New Roman"/>
        </w:rPr>
        <w:t>，选用卸扣GB/T25854-6-DW</w:t>
      </w:r>
      <w:r>
        <w:rPr>
          <w:rFonts w:hint="eastAsia" w:cs="Times New Roman"/>
          <w:lang w:val="en-US" w:eastAsia="zh-CN"/>
        </w:rPr>
        <w:t>5</w:t>
      </w:r>
      <w:r>
        <w:rPr>
          <w:rFonts w:hint="eastAsia" w:ascii="Times New Roman" w:hAnsi="Times New Roman" w:eastAsia="宋体" w:cs="Times New Roman"/>
        </w:rPr>
        <w:t>。</w:t>
      </w:r>
    </w:p>
    <w:p w14:paraId="1A292DA8">
      <w:pPr>
        <w:ind w:firstLine="480"/>
        <w:rPr>
          <w:rFonts w:ascii="Times New Roman" w:hAnsi="Times New Roman" w:eastAsia="宋体" w:cs="Times New Roman"/>
        </w:rPr>
      </w:pP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为XGT6015-8S1塔机</w:t>
      </w:r>
      <w:r>
        <w:rPr>
          <w:rFonts w:hint="eastAsia" w:cs="Times New Roman"/>
          <w:highlight w:val="none"/>
          <w:lang w:val="en-US" w:eastAsia="zh-CN"/>
        </w:rPr>
        <w:t>起重臂臂节一和二</w:t>
      </w:r>
      <w:r>
        <w:rPr>
          <w:rFonts w:hint="eastAsia" w:cs="Times New Roman"/>
          <w:highlight w:val="none"/>
          <w:lang w:eastAsia="zh-CN"/>
        </w:rPr>
        <w:t>，</w:t>
      </w:r>
      <w:r>
        <w:rPr>
          <w:rFonts w:hint="eastAsia" w:cs="Times New Roman"/>
          <w:highlight w:val="none"/>
          <w:lang w:val="en-US" w:eastAsia="zh-CN"/>
        </w:rPr>
        <w:t>重臂臂节一和二</w:t>
      </w:r>
      <w:r>
        <w:rPr>
          <w:rFonts w:hint="eastAsia" w:ascii="Times New Roman" w:hAnsi="Times New Roman" w:eastAsia="宋体" w:cs="Times New Roman"/>
          <w:highlight w:val="none"/>
        </w:rPr>
        <w:t>最</w:t>
      </w:r>
      <w:r>
        <w:rPr>
          <w:rFonts w:hint="eastAsia" w:ascii="Times New Roman" w:hAnsi="Times New Roman" w:eastAsia="宋体" w:cs="Times New Roman"/>
        </w:rPr>
        <w:t>大重量约</w:t>
      </w:r>
      <w:r>
        <w:rPr>
          <w:rFonts w:hint="eastAsia" w:cs="Times New Roman"/>
          <w:lang w:val="en-US" w:eastAsia="zh-CN"/>
        </w:rPr>
        <w:t>3.782t</w:t>
      </w:r>
      <w:r>
        <w:rPr>
          <w:rFonts w:hint="eastAsia" w:ascii="Times New Roman" w:hAnsi="Times New Roman" w:eastAsia="宋体" w:cs="Times New Roman"/>
        </w:rPr>
        <w:t>，钢丝绳连接卸扣工作荷载：</w:t>
      </w:r>
    </w:p>
    <w:p w14:paraId="4D9B48D9">
      <w:pPr>
        <w:ind w:firstLine="480"/>
        <w:rPr>
          <w:rFonts w:ascii="Times New Roman" w:hAnsi="Times New Roman" w:eastAsia="宋体" w:cs="Times New Roman"/>
        </w:rPr>
      </w:pPr>
      <m:oMath>
        <m:r>
          <m:rPr>
            <m:nor/>
            <m:sty m:val="p"/>
          </m:rPr>
          <w:rPr>
            <w:rFonts w:ascii="Cambria Math" w:cs="Times New Roman"/>
            <w:b w:val="0"/>
            <w:i w:val="0"/>
          </w:rPr>
          <m:t>WL</m:t>
        </m:r>
        <m:sSub>
          <m:sSubPr>
            <m:ctrlPr>
              <w:rPr>
                <w:rFonts w:ascii="Cambria Math" w:hAnsi="Cambria Math" w:cs="Times New Roman"/>
                <w:i/>
              </w:rPr>
            </m:ctrlPr>
          </m:sSubPr>
          <m:e>
            <m:r>
              <m:rPr>
                <m:nor/>
                <m:sty m:val="p"/>
              </m:rPr>
              <w:rPr>
                <w:rFonts w:ascii="Cambria Math" w:cs="Times New Roman"/>
                <w:b w:val="0"/>
                <w:i w:val="0"/>
              </w:rPr>
              <m:t>L</m:t>
            </m:r>
            <m:ctrlPr>
              <w:rPr>
                <w:rFonts w:ascii="Cambria Math" w:hAnsi="Cambria Math" w:cs="Times New Roman"/>
                <w:i/>
              </w:rPr>
            </m:ctrlPr>
          </m:e>
          <m:sub>
            <m:r>
              <m:rPr>
                <m:nor/>
                <m:sty m:val="p"/>
              </m:rPr>
              <w:rPr>
                <w:rFonts w:ascii="Cambria Math" w:cs="Times New Roman"/>
                <w:b w:val="0"/>
                <w:i w:val="0"/>
              </w:rPr>
              <m:t>0</m:t>
            </m:r>
            <m:ctrlPr>
              <w:rPr>
                <w:rFonts w:ascii="Cambria Math" w:hAnsi="Cambria Math" w:cs="Times New Roman"/>
                <w:i/>
              </w:rPr>
            </m:ctrlPr>
          </m:sub>
        </m:sSub>
        <m:r>
          <m:rPr>
            <m:nor/>
            <m:sty m:val="p"/>
          </m:rPr>
          <w:rPr>
            <w:rFonts w:ascii="Cambria Math" w:cs="Times New Roman"/>
            <w:b w:val="0"/>
            <w:i w:val="0"/>
          </w:rPr>
          <m:t>=</m:t>
        </m:r>
        <m:f>
          <m:fPr>
            <m:ctrlPr>
              <w:rPr>
                <w:rFonts w:ascii="Cambria Math" w:hAnsi="Cambria Math" w:cs="Times New Roman"/>
                <w:i/>
              </w:rPr>
            </m:ctrlPr>
          </m:fPr>
          <m:num>
            <m:r>
              <m:rPr/>
              <w:rPr>
                <w:rFonts w:hint="default" w:ascii="Cambria Math" w:hAnsi="Cambria Math" w:cs="Times New Roman"/>
                <w:lang w:val="en-US" w:eastAsia="zh-CN"/>
              </w:rPr>
              <m:t>176.62</m:t>
            </m:r>
            <m:ctrlPr>
              <w:rPr>
                <w:rFonts w:ascii="Cambria Math" w:hAnsi="Cambria Math" w:cs="Times New Roman"/>
                <w:i/>
              </w:rPr>
            </m:ctrlPr>
          </m:num>
          <m:den>
            <m:r>
              <m:rPr>
                <m:nor/>
                <m:sty m:val="p"/>
              </m:rPr>
              <w:rPr>
                <w:rFonts w:ascii="Cambria Math" w:cs="Times New Roman"/>
                <w:b w:val="0"/>
                <w:i w:val="0"/>
              </w:rPr>
              <m:t>6</m:t>
            </m:r>
            <m:ctrlPr>
              <w:rPr>
                <w:rFonts w:ascii="Cambria Math" w:hAnsi="Cambria Math" w:cs="Times New Roman"/>
                <w:i/>
              </w:rPr>
            </m:ctrlPr>
          </m:den>
        </m:f>
        <m:r>
          <m:rPr>
            <m:nor/>
            <m:sty m:val="p"/>
          </m:rPr>
          <w:rPr>
            <w:rFonts w:ascii="Cambria Math" w:cs="Times New Roman"/>
            <w:b w:val="0"/>
            <w:i w:val="0"/>
          </w:rPr>
          <m:t>=</m:t>
        </m:r>
        <m:r>
          <m:rPr>
            <m:nor/>
            <m:sty m:val="p"/>
          </m:rPr>
          <w:rPr>
            <w:rFonts w:hint="default" w:ascii="Cambria Math" w:cs="Times New Roman"/>
            <w:b w:val="0"/>
            <w:i w:val="0"/>
            <w:lang w:val="en-US" w:eastAsia="zh-CN"/>
          </w:rPr>
          <m:t>29.44</m:t>
        </m:r>
        <m:r>
          <m:rPr>
            <m:nor/>
            <m:sty m:val="p"/>
          </m:rPr>
          <w:rPr>
            <w:rFonts w:ascii="Cambria Math" w:cs="Times New Roman"/>
            <w:b w:val="0"/>
            <w:i w:val="0"/>
          </w:rPr>
          <m:t>kN</m:t>
        </m:r>
      </m:oMath>
      <w:r>
        <w:rPr>
          <w:rFonts w:hint="eastAsia" w:ascii="Times New Roman" w:hAnsi="Times New Roman" w:eastAsia="宋体" w:cs="Times New Roman"/>
        </w:rPr>
        <w:t>，选用卸扣GB/T25854-6-DW</w:t>
      </w:r>
      <w:r>
        <w:rPr>
          <w:rFonts w:hint="eastAsia" w:cs="Times New Roman"/>
          <w:lang w:val="en-US" w:eastAsia="zh-CN"/>
        </w:rPr>
        <w:t>5</w:t>
      </w:r>
      <w:r>
        <w:rPr>
          <w:rFonts w:hint="eastAsia" w:ascii="Times New Roman" w:hAnsi="Times New Roman" w:eastAsia="宋体" w:cs="Times New Roman"/>
        </w:rPr>
        <w:t>。</w:t>
      </w:r>
    </w:p>
    <w:p w14:paraId="08AFE7E6">
      <w:r>
        <w:rPr>
          <w:color w:val="auto"/>
        </w:rPr>
        <w:t>根据塔吊基础设计参数及塔吊主要部件重量及吊</w:t>
      </w:r>
      <w:r>
        <w:rPr>
          <w:rFonts w:hint="eastAsia"/>
          <w:color w:val="auto"/>
        </w:rPr>
        <w:t>装</w:t>
      </w:r>
      <w:r>
        <w:rPr>
          <w:color w:val="auto"/>
        </w:rPr>
        <w:t>高度，确定安装过程中所需的最大吊重、最大钢丝绳夹角，结合施工现场实际情况，确定起重钢丝绳型号。钢丝绳及卸扣选型见下表。</w:t>
      </w:r>
    </w:p>
    <w:p w14:paraId="1E00A5D5">
      <w:pPr>
        <w:pStyle w:val="13"/>
        <w:keepNext/>
        <w:keepLines w:val="0"/>
        <w:pageBreakBefore w:val="0"/>
        <w:widowControl w:val="0"/>
        <w:kinsoku/>
        <w:wordWrap/>
        <w:overflowPunct/>
        <w:topLinePunct w:val="0"/>
        <w:autoSpaceDE/>
        <w:autoSpaceDN/>
        <w:bidi w:val="0"/>
        <w:jc w:val="center"/>
        <w:textAlignment w:val="auto"/>
        <w:rPr>
          <w:color w:val="auto"/>
        </w:rPr>
      </w:pPr>
      <w:r>
        <w:rPr>
          <w:color w:val="auto"/>
        </w:rPr>
        <w:t xml:space="preserve">表 </w:t>
      </w:r>
      <w:r>
        <w:rPr>
          <w:rFonts w:hint="eastAsia"/>
          <w:color w:val="auto"/>
          <w:lang w:val="en-US" w:eastAsia="zh-CN"/>
        </w:rPr>
        <w:t>11.2.2-2</w:t>
      </w:r>
      <w:r>
        <w:rPr>
          <w:color w:val="auto"/>
        </w:rPr>
        <w:t>钢丝绳选型表</w:t>
      </w:r>
    </w:p>
    <w:tbl>
      <w:tblPr>
        <w:tblStyle w:val="27"/>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tblGrid>
      <w:tr w14:paraId="43FD3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5580CB05">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序号</w:t>
            </w:r>
          </w:p>
        </w:tc>
        <w:tc>
          <w:tcPr>
            <w:tcW w:w="1559" w:type="dxa"/>
            <w:vAlign w:val="center"/>
          </w:tcPr>
          <w:p w14:paraId="6EF00371">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设备名称</w:t>
            </w:r>
          </w:p>
        </w:tc>
        <w:tc>
          <w:tcPr>
            <w:tcW w:w="2835" w:type="dxa"/>
            <w:vAlign w:val="center"/>
          </w:tcPr>
          <w:p w14:paraId="03C8AB51">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规格型号</w:t>
            </w:r>
          </w:p>
        </w:tc>
        <w:tc>
          <w:tcPr>
            <w:tcW w:w="567" w:type="dxa"/>
            <w:vAlign w:val="center"/>
          </w:tcPr>
          <w:p w14:paraId="63FE6040">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单位</w:t>
            </w:r>
          </w:p>
        </w:tc>
        <w:tc>
          <w:tcPr>
            <w:tcW w:w="567" w:type="dxa"/>
            <w:vAlign w:val="center"/>
          </w:tcPr>
          <w:p w14:paraId="0C220903">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数量</w:t>
            </w:r>
          </w:p>
        </w:tc>
      </w:tr>
      <w:tr w14:paraId="7A3913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635EF8BD">
            <w:pPr>
              <w:pStyle w:val="88"/>
              <w:keepNext/>
              <w:keepLines w:val="0"/>
              <w:pageBreakBefore w:val="0"/>
              <w:widowControl w:val="0"/>
              <w:kinsoku/>
              <w:wordWrap/>
              <w:overflowPunct/>
              <w:topLinePunct w:val="0"/>
              <w:autoSpaceDE/>
              <w:autoSpaceDN/>
              <w:bidi w:val="0"/>
              <w:textAlignment w:val="auto"/>
              <w:rPr>
                <w:rFonts w:hint="default" w:eastAsia="宋体"/>
                <w:color w:val="auto"/>
                <w:lang w:val="en-US" w:eastAsia="zh-CN"/>
              </w:rPr>
            </w:pPr>
            <w:r>
              <w:rPr>
                <w:rFonts w:hint="eastAsia"/>
                <w:color w:val="auto"/>
                <w:lang w:val="en-US" w:eastAsia="zh-CN"/>
              </w:rPr>
              <w:t>1</w:t>
            </w:r>
          </w:p>
        </w:tc>
        <w:tc>
          <w:tcPr>
            <w:tcW w:w="1559" w:type="dxa"/>
            <w:vAlign w:val="center"/>
          </w:tcPr>
          <w:p w14:paraId="0038027D">
            <w:pPr>
              <w:pStyle w:val="88"/>
              <w:keepNext/>
              <w:keepLines w:val="0"/>
              <w:pageBreakBefore w:val="0"/>
              <w:widowControl w:val="0"/>
              <w:kinsoku/>
              <w:wordWrap/>
              <w:overflowPunct/>
              <w:topLinePunct w:val="0"/>
              <w:autoSpaceDE/>
              <w:autoSpaceDN/>
              <w:bidi w:val="0"/>
              <w:textAlignment w:val="auto"/>
              <w:rPr>
                <w:color w:val="auto"/>
              </w:rPr>
            </w:pPr>
            <w:r>
              <w:rPr>
                <w:color w:val="auto"/>
              </w:rPr>
              <w:t>起重用钢丝绳</w:t>
            </w:r>
          </w:p>
        </w:tc>
        <w:tc>
          <w:tcPr>
            <w:tcW w:w="2835" w:type="dxa"/>
            <w:vAlign w:val="center"/>
          </w:tcPr>
          <w:p w14:paraId="51F672D2">
            <w:pPr>
              <w:pStyle w:val="88"/>
              <w:keepNext/>
              <w:keepLines w:val="0"/>
              <w:pageBreakBefore w:val="0"/>
              <w:widowControl w:val="0"/>
              <w:kinsoku/>
              <w:wordWrap/>
              <w:overflowPunct/>
              <w:topLinePunct w:val="0"/>
              <w:autoSpaceDE/>
              <w:autoSpaceDN/>
              <w:bidi w:val="0"/>
              <w:textAlignment w:val="auto"/>
              <w:rPr>
                <w:color w:val="auto"/>
              </w:rPr>
            </w:pPr>
            <w:r>
              <w:rPr>
                <w:rFonts w:hint="eastAsia" w:cs="Times New Roman"/>
                <w:b w:val="0"/>
                <w:bCs w:val="0"/>
                <w:lang w:val="en-US" w:eastAsia="zh-CN"/>
              </w:rPr>
              <w:t>16</w:t>
            </w:r>
            <w:r>
              <w:rPr>
                <w:rFonts w:cs="Times New Roman"/>
                <w:b w:val="0"/>
                <w:bCs w:val="0"/>
              </w:rPr>
              <w:t>mm</w:t>
            </w:r>
            <w:r>
              <w:rPr>
                <w:rFonts w:hint="eastAsia" w:eastAsia="仿宋" w:cs="Times New Roman"/>
                <w:b w:val="0"/>
                <w:bCs w:val="0"/>
                <w:lang w:eastAsia="zh-CN"/>
              </w:rPr>
              <w:t>6×19W+IWR</w:t>
            </w:r>
            <w:r>
              <w:rPr>
                <w:rFonts w:eastAsia="仿宋" w:cs="Times New Roman"/>
                <w:b w:val="0"/>
                <w:bCs w:val="0"/>
              </w:rPr>
              <w:t>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567" w:type="dxa"/>
            <w:vAlign w:val="center"/>
          </w:tcPr>
          <w:p w14:paraId="249F67F2">
            <w:pPr>
              <w:pStyle w:val="88"/>
              <w:keepNext/>
              <w:keepLines w:val="0"/>
              <w:pageBreakBefore w:val="0"/>
              <w:widowControl w:val="0"/>
              <w:kinsoku/>
              <w:wordWrap/>
              <w:overflowPunct/>
              <w:topLinePunct w:val="0"/>
              <w:autoSpaceDE/>
              <w:autoSpaceDN/>
              <w:bidi w:val="0"/>
              <w:textAlignment w:val="auto"/>
              <w:rPr>
                <w:color w:val="auto"/>
              </w:rPr>
            </w:pPr>
            <w:r>
              <w:rPr>
                <w:color w:val="auto"/>
              </w:rPr>
              <w:t>根</w:t>
            </w:r>
          </w:p>
        </w:tc>
        <w:tc>
          <w:tcPr>
            <w:tcW w:w="567" w:type="dxa"/>
            <w:vAlign w:val="center"/>
          </w:tcPr>
          <w:p w14:paraId="3BCE385B">
            <w:pPr>
              <w:pStyle w:val="88"/>
              <w:keepNext/>
              <w:keepLines w:val="0"/>
              <w:pageBreakBefore w:val="0"/>
              <w:widowControl w:val="0"/>
              <w:kinsoku/>
              <w:wordWrap/>
              <w:overflowPunct/>
              <w:topLinePunct w:val="0"/>
              <w:autoSpaceDE/>
              <w:autoSpaceDN/>
              <w:bidi w:val="0"/>
              <w:textAlignment w:val="auto"/>
              <w:rPr>
                <w:rFonts w:hint="eastAsia" w:eastAsia="宋体"/>
                <w:color w:val="auto"/>
                <w:lang w:eastAsia="zh-CN"/>
              </w:rPr>
            </w:pPr>
            <w:r>
              <w:rPr>
                <w:rFonts w:hint="eastAsia"/>
                <w:color w:val="auto"/>
                <w:lang w:val="en-US" w:eastAsia="zh-CN"/>
              </w:rPr>
              <w:t>4</w:t>
            </w:r>
          </w:p>
        </w:tc>
      </w:tr>
      <w:tr w14:paraId="4D7B1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1C72126F">
            <w:pPr>
              <w:pStyle w:val="88"/>
              <w:keepNext/>
              <w:keepLines w:val="0"/>
              <w:pageBreakBefore w:val="0"/>
              <w:widowControl w:val="0"/>
              <w:kinsoku/>
              <w:wordWrap/>
              <w:overflowPunct/>
              <w:topLinePunct w:val="0"/>
              <w:autoSpaceDE/>
              <w:autoSpaceDN/>
              <w:bidi w:val="0"/>
              <w:textAlignment w:val="auto"/>
              <w:rPr>
                <w:rFonts w:hint="eastAsia" w:eastAsia="宋体"/>
                <w:color w:val="auto"/>
                <w:lang w:val="en-US" w:eastAsia="zh-CN"/>
              </w:rPr>
            </w:pPr>
            <w:r>
              <w:rPr>
                <w:rFonts w:hint="eastAsia"/>
                <w:color w:val="auto"/>
                <w:lang w:val="en-US" w:eastAsia="zh-CN"/>
              </w:rPr>
              <w:t>2</w:t>
            </w:r>
          </w:p>
        </w:tc>
        <w:tc>
          <w:tcPr>
            <w:tcW w:w="1559" w:type="dxa"/>
            <w:vAlign w:val="center"/>
          </w:tcPr>
          <w:p w14:paraId="4A7E9328">
            <w:pPr>
              <w:pStyle w:val="88"/>
              <w:keepNext/>
              <w:keepLines w:val="0"/>
              <w:pageBreakBefore w:val="0"/>
              <w:widowControl w:val="0"/>
              <w:kinsoku/>
              <w:wordWrap/>
              <w:overflowPunct/>
              <w:topLinePunct w:val="0"/>
              <w:autoSpaceDE/>
              <w:autoSpaceDN/>
              <w:bidi w:val="0"/>
              <w:textAlignment w:val="auto"/>
              <w:rPr>
                <w:color w:val="auto"/>
              </w:rPr>
            </w:pPr>
            <w:r>
              <w:rPr>
                <w:color w:val="auto"/>
              </w:rPr>
              <w:t>起重用钢丝绳</w:t>
            </w:r>
          </w:p>
        </w:tc>
        <w:tc>
          <w:tcPr>
            <w:tcW w:w="2835" w:type="dxa"/>
            <w:vAlign w:val="center"/>
          </w:tcPr>
          <w:p w14:paraId="37046ABC">
            <w:pPr>
              <w:pStyle w:val="88"/>
              <w:keepNext/>
              <w:keepLines w:val="0"/>
              <w:pageBreakBefore w:val="0"/>
              <w:widowControl w:val="0"/>
              <w:kinsoku/>
              <w:wordWrap/>
              <w:overflowPunct/>
              <w:topLinePunct w:val="0"/>
              <w:autoSpaceDE/>
              <w:autoSpaceDN/>
              <w:bidi w:val="0"/>
              <w:textAlignment w:val="auto"/>
              <w:rPr>
                <w:color w:val="auto"/>
              </w:rPr>
            </w:pPr>
            <w:r>
              <w:rPr>
                <w:rFonts w:hint="eastAsia" w:cs="Times New Roman"/>
                <w:b w:val="0"/>
                <w:bCs w:val="0"/>
                <w:lang w:val="en-US" w:eastAsia="zh-CN"/>
              </w:rPr>
              <w:t>18</w:t>
            </w:r>
            <w:r>
              <w:rPr>
                <w:rFonts w:cs="Times New Roman"/>
                <w:b w:val="0"/>
                <w:bCs w:val="0"/>
              </w:rPr>
              <w:t>mm</w:t>
            </w:r>
            <w:r>
              <w:rPr>
                <w:rFonts w:hint="eastAsia" w:eastAsia="仿宋" w:cs="Times New Roman"/>
                <w:b w:val="0"/>
                <w:bCs w:val="0"/>
                <w:lang w:eastAsia="zh-CN"/>
              </w:rPr>
              <w:t>6×19W+IWR</w:t>
            </w:r>
            <w:r>
              <w:rPr>
                <w:rFonts w:eastAsia="仿宋" w:cs="Times New Roman"/>
                <w:b w:val="0"/>
                <w:bCs w:val="0"/>
              </w:rPr>
              <w:t>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567" w:type="dxa"/>
            <w:vAlign w:val="center"/>
          </w:tcPr>
          <w:p w14:paraId="037B6CFD">
            <w:pPr>
              <w:pStyle w:val="88"/>
              <w:keepNext/>
              <w:keepLines w:val="0"/>
              <w:pageBreakBefore w:val="0"/>
              <w:widowControl w:val="0"/>
              <w:kinsoku/>
              <w:wordWrap/>
              <w:overflowPunct/>
              <w:topLinePunct w:val="0"/>
              <w:autoSpaceDE/>
              <w:autoSpaceDN/>
              <w:bidi w:val="0"/>
              <w:textAlignment w:val="auto"/>
              <w:rPr>
                <w:color w:val="auto"/>
              </w:rPr>
            </w:pPr>
            <w:r>
              <w:rPr>
                <w:color w:val="auto"/>
              </w:rPr>
              <w:t>根</w:t>
            </w:r>
          </w:p>
        </w:tc>
        <w:tc>
          <w:tcPr>
            <w:tcW w:w="567" w:type="dxa"/>
            <w:vAlign w:val="center"/>
          </w:tcPr>
          <w:p w14:paraId="5EA5FF2F">
            <w:pPr>
              <w:pStyle w:val="88"/>
              <w:keepNext/>
              <w:keepLines w:val="0"/>
              <w:pageBreakBefore w:val="0"/>
              <w:widowControl w:val="0"/>
              <w:kinsoku/>
              <w:wordWrap/>
              <w:overflowPunct/>
              <w:topLinePunct w:val="0"/>
              <w:autoSpaceDE/>
              <w:autoSpaceDN/>
              <w:bidi w:val="0"/>
              <w:textAlignment w:val="auto"/>
              <w:rPr>
                <w:color w:val="auto"/>
              </w:rPr>
            </w:pPr>
            <w:r>
              <w:rPr>
                <w:color w:val="auto"/>
              </w:rPr>
              <w:t>4</w:t>
            </w:r>
          </w:p>
        </w:tc>
      </w:tr>
      <w:tr w14:paraId="4B2C86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49719CC3">
            <w:pPr>
              <w:pStyle w:val="88"/>
              <w:rPr>
                <w:rFonts w:hint="eastAsia" w:eastAsia="宋体"/>
                <w:color w:val="auto"/>
                <w:lang w:val="en-US" w:eastAsia="zh-CN"/>
              </w:rPr>
            </w:pPr>
            <w:r>
              <w:rPr>
                <w:rFonts w:hint="eastAsia"/>
                <w:color w:val="auto"/>
                <w:lang w:val="en-US" w:eastAsia="zh-CN"/>
              </w:rPr>
              <w:t>3</w:t>
            </w:r>
          </w:p>
        </w:tc>
        <w:tc>
          <w:tcPr>
            <w:tcW w:w="1559" w:type="dxa"/>
            <w:vAlign w:val="center"/>
          </w:tcPr>
          <w:p w14:paraId="7A6550B7">
            <w:pPr>
              <w:pStyle w:val="88"/>
              <w:rPr>
                <w:color w:val="auto"/>
              </w:rPr>
            </w:pPr>
            <w:r>
              <w:rPr>
                <w:color w:val="auto"/>
              </w:rPr>
              <w:t>卸扣</w:t>
            </w:r>
          </w:p>
        </w:tc>
        <w:tc>
          <w:tcPr>
            <w:tcW w:w="2835" w:type="dxa"/>
            <w:vAlign w:val="center"/>
          </w:tcPr>
          <w:p w14:paraId="35970A53">
            <w:pPr>
              <w:pStyle w:val="88"/>
              <w:rPr>
                <w:rFonts w:hint="eastAsia" w:eastAsia="宋体"/>
                <w:color w:val="auto"/>
                <w:lang w:val="en-US" w:eastAsia="zh-CN"/>
              </w:rPr>
            </w:pPr>
            <w:r>
              <w:t>GB/T 25854-6-DW</w:t>
            </w:r>
            <w:r>
              <w:rPr>
                <w:rFonts w:hint="eastAsia"/>
                <w:lang w:val="en-US" w:eastAsia="zh-CN"/>
              </w:rPr>
              <w:t>5</w:t>
            </w:r>
          </w:p>
        </w:tc>
        <w:tc>
          <w:tcPr>
            <w:tcW w:w="567" w:type="dxa"/>
            <w:vAlign w:val="center"/>
          </w:tcPr>
          <w:p w14:paraId="0ED6D151">
            <w:pPr>
              <w:pStyle w:val="88"/>
              <w:rPr>
                <w:color w:val="auto"/>
              </w:rPr>
            </w:pPr>
            <w:r>
              <w:rPr>
                <w:color w:val="auto"/>
              </w:rPr>
              <w:t>个</w:t>
            </w:r>
          </w:p>
        </w:tc>
        <w:tc>
          <w:tcPr>
            <w:tcW w:w="567" w:type="dxa"/>
            <w:vAlign w:val="center"/>
          </w:tcPr>
          <w:p w14:paraId="44A9FE75">
            <w:pPr>
              <w:pStyle w:val="88"/>
              <w:rPr>
                <w:color w:val="auto"/>
              </w:rPr>
            </w:pPr>
            <w:r>
              <w:rPr>
                <w:color w:val="auto"/>
              </w:rPr>
              <w:t>4</w:t>
            </w:r>
          </w:p>
        </w:tc>
      </w:tr>
    </w:tbl>
    <w:p w14:paraId="118C2D76">
      <w:pPr>
        <w:ind w:firstLine="480"/>
        <w:rPr>
          <w:rFonts w:ascii="Times New Roman" w:hAnsi="Times New Roman" w:eastAsia="宋体" w:cs="Times New Roman"/>
          <w:highlight w:val="none"/>
        </w:rPr>
      </w:pPr>
    </w:p>
    <w:p w14:paraId="1B8DBB86">
      <w:pPr>
        <w:pStyle w:val="4"/>
        <w:numPr>
          <w:ilvl w:val="2"/>
          <w:numId w:val="0"/>
        </w:numPr>
        <w:spacing w:before="0" w:after="0" w:line="360" w:lineRule="auto"/>
        <w:ind w:leftChars="0"/>
        <w:outlineLvl w:val="1"/>
        <w:rPr>
          <w:rFonts w:hint="eastAsia" w:ascii="Times New Roman" w:hAnsi="Times New Roman" w:eastAsia="宋体" w:cs="Times New Roman"/>
          <w:color w:val="auto"/>
          <w:sz w:val="24"/>
          <w:szCs w:val="24"/>
          <w:lang w:val="en-US" w:eastAsia="zh-CN"/>
        </w:rPr>
      </w:pPr>
      <w:bookmarkStart w:id="369" w:name="_Toc23597"/>
      <w:r>
        <w:rPr>
          <w:rFonts w:hint="eastAsia" w:ascii="Times New Roman" w:hAnsi="Times New Roman" w:eastAsia="宋体" w:cs="Times New Roman"/>
          <w:color w:val="auto"/>
          <w:sz w:val="24"/>
          <w:szCs w:val="24"/>
          <w:lang w:val="en-US" w:eastAsia="zh-CN"/>
        </w:rPr>
        <w:t>11.3 各塔施工平面布置示意图</w:t>
      </w:r>
      <w:bookmarkEnd w:id="369"/>
    </w:p>
    <w:p w14:paraId="63652927">
      <w:pPr>
        <w:pStyle w:val="10"/>
        <w:jc w:val="both"/>
      </w:pPr>
      <w:r>
        <w:drawing>
          <wp:inline distT="0" distB="0" distL="114300" distR="114300">
            <wp:extent cx="5692775" cy="3918585"/>
            <wp:effectExtent l="0" t="0" r="3175" b="571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3"/>
                    <a:stretch>
                      <a:fillRect/>
                    </a:stretch>
                  </pic:blipFill>
                  <pic:spPr>
                    <a:xfrm>
                      <a:off x="0" y="0"/>
                      <a:ext cx="5692775" cy="3918585"/>
                    </a:xfrm>
                    <a:prstGeom prst="rect">
                      <a:avLst/>
                    </a:prstGeom>
                    <a:noFill/>
                    <a:ln>
                      <a:noFill/>
                    </a:ln>
                  </pic:spPr>
                </pic:pic>
              </a:graphicData>
            </a:graphic>
          </wp:inline>
        </w:drawing>
      </w:r>
    </w:p>
    <w:p w14:paraId="6A869D6B">
      <w:pPr>
        <w:pStyle w:val="10"/>
        <w:jc w:val="center"/>
        <w:rPr>
          <w:rFonts w:hint="eastAsia" w:eastAsia="宋体"/>
          <w:color w:val="auto"/>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b/>
          <w:bCs/>
          <w:color w:val="auto"/>
          <w:sz w:val="21"/>
          <w:szCs w:val="21"/>
          <w:lang w:val="en-US" w:eastAsia="zh-CN"/>
        </w:rPr>
        <w:t>图11.3-1 塔吊施工平面布置图</w:t>
      </w:r>
    </w:p>
    <w:p w14:paraId="6F939ACD">
      <w:pPr>
        <w:pStyle w:val="61"/>
        <w:ind w:left="0" w:leftChars="0" w:firstLine="0" w:firstLineChars="0"/>
        <w:jc w:val="both"/>
        <w:rPr>
          <w:rFonts w:hint="eastAsia"/>
          <w:b/>
          <w:bCs/>
          <w:sz w:val="32"/>
          <w:szCs w:val="40"/>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80945">
    <w:pPr>
      <w:pStyle w:val="18"/>
      <w:ind w:firstLine="360"/>
      <w:jc w:val="center"/>
    </w:pPr>
  </w:p>
  <w:p w14:paraId="6D18FE62">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9169A">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0F25A">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3E901">
    <w:pPr>
      <w:pStyle w:val="18"/>
      <w:ind w:firstLine="360"/>
      <w:jc w:val="center"/>
    </w:pPr>
  </w:p>
  <w:p w14:paraId="0B6EE707">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CCF60">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A8547">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121</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DDA8547">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121</w:t>
                    </w:r>
                    <w:r>
                      <w:t>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61D32">
    <w:pPr>
      <w:pStyle w:val="18"/>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79771">
                          <w:pPr>
                            <w:pStyle w:val="18"/>
                          </w:pPr>
                          <w:r>
                            <w:t xml:space="preserve">第 </w:t>
                          </w:r>
                          <w:r>
                            <w:fldChar w:fldCharType="begin"/>
                          </w:r>
                          <w:r>
                            <w:instrText xml:space="preserve"> PAGE  \* MERGEFORMAT </w:instrText>
                          </w:r>
                          <w:r>
                            <w:fldChar w:fldCharType="separate"/>
                          </w:r>
                          <w:r>
                            <w:t>12</w:t>
                          </w:r>
                          <w:r>
                            <w:fldChar w:fldCharType="end"/>
                          </w:r>
                          <w:r>
                            <w:t xml:space="preserve"> 页 共 </w:t>
                          </w:r>
                          <w:r>
                            <w:rPr>
                              <w:rFonts w:hint="eastAsia"/>
                              <w:lang w:val="en-US" w:eastAsia="zh-CN"/>
                            </w:rPr>
                            <w:t>121</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30379771">
                    <w:pPr>
                      <w:pStyle w:val="18"/>
                    </w:pPr>
                    <w:r>
                      <w:t xml:space="preserve">第 </w:t>
                    </w:r>
                    <w:r>
                      <w:fldChar w:fldCharType="begin"/>
                    </w:r>
                    <w:r>
                      <w:instrText xml:space="preserve"> PAGE  \* MERGEFORMAT </w:instrText>
                    </w:r>
                    <w:r>
                      <w:fldChar w:fldCharType="separate"/>
                    </w:r>
                    <w:r>
                      <w:t>12</w:t>
                    </w:r>
                    <w:r>
                      <w:fldChar w:fldCharType="end"/>
                    </w:r>
                    <w:r>
                      <w:t xml:space="preserve"> 页 共 </w:t>
                    </w:r>
                    <w:r>
                      <w:rPr>
                        <w:rFonts w:hint="eastAsia"/>
                        <w:lang w:val="en-US" w:eastAsia="zh-CN"/>
                      </w:rPr>
                      <w:t>121</w:t>
                    </w:r>
                    <w:r>
                      <w:t xml:space="preserve"> 页</w:t>
                    </w:r>
                  </w:p>
                </w:txbxContent>
              </v:textbox>
            </v:shape>
          </w:pict>
        </mc:Fallback>
      </mc:AlternateContent>
    </w:r>
  </w:p>
  <w:p w14:paraId="690CB302">
    <w:pPr>
      <w:pStyle w:val="11"/>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4ECB7">
    <w:pPr>
      <w:pStyle w:val="18"/>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A40C987">
                          <w:pPr>
                            <w:pStyle w:val="18"/>
                            <w:ind w:firstLine="360"/>
                          </w:pPr>
                          <w:r>
                            <w:t xml:space="preserve">第 </w:t>
                          </w:r>
                          <w:r>
                            <w:fldChar w:fldCharType="begin"/>
                          </w:r>
                          <w:r>
                            <w:instrText xml:space="preserve"> PAGE  \* MERGEFORMAT </w:instrText>
                          </w:r>
                          <w:r>
                            <w:fldChar w:fldCharType="separate"/>
                          </w:r>
                          <w:r>
                            <w:t>84</w:t>
                          </w:r>
                          <w:r>
                            <w:fldChar w:fldCharType="end"/>
                          </w:r>
                          <w:r>
                            <w:t xml:space="preserve"> 页 共 </w:t>
                          </w:r>
                          <w:r>
                            <w:rPr>
                              <w:rFonts w:hint="eastAsia"/>
                              <w:lang w:val="en-US" w:eastAsia="zh-CN"/>
                            </w:rPr>
                            <w:t>121</w:t>
                          </w:r>
                          <w:r>
                            <w:t xml:space="preserve"> 页</w:t>
                          </w: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ZMsKwNkBAACtAwAADgAAAAAAAAABACAA&#10;AAAeAQAAZHJzL2Uyb0RvYy54bWxQSwUGAAAAAAYABgBZAQAAaQUAAAAA&#10;">
              <v:fill on="f" focussize="0,0"/>
              <v:stroke on="f"/>
              <v:imagedata o:title=""/>
              <o:lock v:ext="edit" aspectratio="f"/>
              <v:textbox inset="0mm,0mm,0mm,0mm" style="mso-fit-shape-to-text:t;">
                <w:txbxContent>
                  <w:p w14:paraId="5A40C987">
                    <w:pPr>
                      <w:pStyle w:val="18"/>
                      <w:ind w:firstLine="360"/>
                    </w:pPr>
                    <w:r>
                      <w:t xml:space="preserve">第 </w:t>
                    </w:r>
                    <w:r>
                      <w:fldChar w:fldCharType="begin"/>
                    </w:r>
                    <w:r>
                      <w:instrText xml:space="preserve"> PAGE  \* MERGEFORMAT </w:instrText>
                    </w:r>
                    <w:r>
                      <w:fldChar w:fldCharType="separate"/>
                    </w:r>
                    <w:r>
                      <w:t>84</w:t>
                    </w:r>
                    <w:r>
                      <w:fldChar w:fldCharType="end"/>
                    </w:r>
                    <w:r>
                      <w:t xml:space="preserve"> 页 共 </w:t>
                    </w:r>
                    <w:r>
                      <w:rPr>
                        <w:rFonts w:hint="eastAsia"/>
                        <w:lang w:val="en-US" w:eastAsia="zh-CN"/>
                      </w:rPr>
                      <w:t>121</w:t>
                    </w:r>
                    <w:r>
                      <w:t xml:space="preserve"> 页</w:t>
                    </w:r>
                  </w:p>
                </w:txbxContent>
              </v:textbox>
            </v:shape>
          </w:pict>
        </mc:Fallback>
      </mc:AlternateContent>
    </w:r>
  </w:p>
  <w:p w14:paraId="7DC20D0B">
    <w:pPr>
      <w:pStyle w:val="1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98141">
    <w:pPr>
      <w:pStyle w:val="18"/>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088C8">
                          <w:pPr>
                            <w:pStyle w:val="18"/>
                          </w:pPr>
                          <w:r>
                            <w:t xml:space="preserve">第 </w:t>
                          </w:r>
                          <w:r>
                            <w:fldChar w:fldCharType="begin"/>
                          </w:r>
                          <w:r>
                            <w:instrText xml:space="preserve"> PAGE  \* MERGEFORMAT </w:instrText>
                          </w:r>
                          <w:r>
                            <w:fldChar w:fldCharType="separate"/>
                          </w:r>
                          <w:r>
                            <w:t>111</w:t>
                          </w:r>
                          <w:r>
                            <w:fldChar w:fldCharType="end"/>
                          </w:r>
                          <w:r>
                            <w:t xml:space="preserve"> 页 共</w:t>
                          </w:r>
                          <w:r>
                            <w:rPr>
                              <w:rFonts w:hint="eastAsia"/>
                              <w:lang w:val="en-US" w:eastAsia="zh-CN"/>
                            </w:rPr>
                            <w:t>121</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204088C8">
                    <w:pPr>
                      <w:pStyle w:val="18"/>
                    </w:pPr>
                    <w:r>
                      <w:t xml:space="preserve">第 </w:t>
                    </w:r>
                    <w:r>
                      <w:fldChar w:fldCharType="begin"/>
                    </w:r>
                    <w:r>
                      <w:instrText xml:space="preserve"> PAGE  \* MERGEFORMAT </w:instrText>
                    </w:r>
                    <w:r>
                      <w:fldChar w:fldCharType="separate"/>
                    </w:r>
                    <w:r>
                      <w:t>111</w:t>
                    </w:r>
                    <w:r>
                      <w:fldChar w:fldCharType="end"/>
                    </w:r>
                    <w:r>
                      <w:t xml:space="preserve"> 页 共</w:t>
                    </w:r>
                    <w:r>
                      <w:rPr>
                        <w:rFonts w:hint="eastAsia"/>
                        <w:lang w:val="en-US" w:eastAsia="zh-CN"/>
                      </w:rPr>
                      <w:t>121</w:t>
                    </w:r>
                    <w:r>
                      <w:t xml:space="preserve"> 页</w:t>
                    </w:r>
                  </w:p>
                </w:txbxContent>
              </v:textbox>
            </v:shape>
          </w:pict>
        </mc:Fallback>
      </mc:AlternateContent>
    </w:r>
  </w:p>
  <w:p w14:paraId="3E722D9A">
    <w:pPr>
      <w:pStyle w:val="11"/>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96D26">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9D4A8">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461BD">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17C5E">
    <w:pPr>
      <w:pStyle w:val="19"/>
      <w:pBdr>
        <w:bottom w:val="none" w:color="auto" w:sz="0" w:space="1"/>
      </w:pBdr>
      <w:spacing w:line="240" w:lineRule="auto"/>
      <w:ind w:left="0" w:leftChars="0" w:firstLine="0" w:firstLineChars="0"/>
      <w:jc w:val="left"/>
      <w:rPr>
        <w:rFonts w:hint="default" w:ascii="宋体" w:hAnsi="宋体" w:eastAsia="宋体" w:cs="宋体"/>
        <w:lang w:val="en-US" w:eastAsia="zh-CN"/>
      </w:rPr>
    </w:pPr>
    <w:r>
      <w:rPr>
        <w:rFonts w:hint="eastAsia" w:ascii="微软雅黑" w:hAnsi="微软雅黑" w:eastAsia="微软雅黑" w:cs="微软雅黑"/>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7FD5C">
    <w:pPr>
      <w:pStyle w:val="11"/>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3296285</wp:posOffset>
              </wp:positionH>
              <wp:positionV relativeFrom="page">
                <wp:posOffset>469265</wp:posOffset>
              </wp:positionV>
              <wp:extent cx="2165350" cy="20383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2165350" cy="203835"/>
                      </a:xfrm>
                      <a:prstGeom prst="rect">
                        <a:avLst/>
                      </a:prstGeom>
                      <a:noFill/>
                      <a:ln>
                        <a:noFill/>
                      </a:ln>
                      <a:effectLst/>
                    </wps:spPr>
                    <wps:txbx>
                      <w:txbxContent>
                        <w:p w14:paraId="33C5541D">
                          <w:pPr>
                            <w:spacing w:line="321" w:lineRule="exact"/>
                            <w:ind w:left="20" w:firstLine="560"/>
                            <w:jc w:val="left"/>
                            <w:rPr>
                              <w:sz w:val="28"/>
                            </w:rPr>
                          </w:pPr>
                        </w:p>
                      </w:txbxContent>
                    </wps:txbx>
                    <wps:bodyPr lIns="0" tIns="0" rIns="0" bIns="0" upright="1"/>
                  </wps:wsp>
                </a:graphicData>
              </a:graphic>
            </wp:anchor>
          </w:drawing>
        </mc:Choice>
        <mc:Fallback>
          <w:pict>
            <v:shape id="_x0000_s1026" o:spid="_x0000_s1026" o:spt="202" type="#_x0000_t202" style="position:absolute;left:0pt;margin-left:259.55pt;margin-top:36.95pt;height:16.05pt;width:170.5pt;mso-position-horizontal-relative:page;mso-position-vertical-relative:page;z-index:-251656192;mso-width-relative:page;mso-height-relative:page;" filled="f" stroked="f" coordsize="21600,21600" o:gfxdata="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MpWs2AAAAAoBAAAPAAAAAAAAAAEAIAAAACIAAABkcnMvZG93bnJldi54&#10;bWxQSwECFAAUAAAACACHTuJA9VXGbMEBAACCAwAADgAAAAAAAAABACAAAAAnAQAAZHJzL2Uyb0Rv&#10;Yy54bWxQSwUGAAAAAAYABgBZAQAAWgUAAAAA&#10;">
              <v:fill on="f" focussize="0,0"/>
              <v:stroke on="f"/>
              <v:imagedata o:title=""/>
              <o:lock v:ext="edit" aspectratio="f"/>
              <v:textbox inset="0mm,0mm,0mm,0mm">
                <w:txbxContent>
                  <w:p w14:paraId="33C5541D">
                    <w:pPr>
                      <w:spacing w:line="321" w:lineRule="exact"/>
                      <w:ind w:left="20" w:firstLine="560"/>
                      <w:jc w:val="left"/>
                      <w:rPr>
                        <w:sz w:val="28"/>
                      </w:rPr>
                    </w:pP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5706110</wp:posOffset>
              </wp:positionH>
              <wp:positionV relativeFrom="page">
                <wp:posOffset>507365</wp:posOffset>
              </wp:positionV>
              <wp:extent cx="763905" cy="16002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763905" cy="160020"/>
                      </a:xfrm>
                      <a:prstGeom prst="rect">
                        <a:avLst/>
                      </a:prstGeom>
                      <a:noFill/>
                      <a:ln>
                        <a:noFill/>
                      </a:ln>
                      <a:effectLst/>
                    </wps:spPr>
                    <wps:txbx>
                      <w:txbxContent>
                        <w:p w14:paraId="18F3BBD4">
                          <w:pPr>
                            <w:spacing w:line="251" w:lineRule="exact"/>
                            <w:ind w:firstLine="420"/>
                            <w:jc w:val="left"/>
                            <w:rPr>
                              <w:sz w:val="21"/>
                            </w:rPr>
                          </w:pPr>
                        </w:p>
                      </w:txbxContent>
                    </wps:txbx>
                    <wps:bodyPr lIns="0" tIns="0" rIns="0" bIns="0" upright="1"/>
                  </wps:wsp>
                </a:graphicData>
              </a:graphic>
            </wp:anchor>
          </w:drawing>
        </mc:Choice>
        <mc:Fallback>
          <w:pict>
            <v:shape id="_x0000_s1026" o:spid="_x0000_s1026" o:spt="202" type="#_x0000_t202" style="position:absolute;left:0pt;margin-left:449.3pt;margin-top:39.95pt;height:12.6pt;width:60.15pt;mso-position-horizontal-relative:page;mso-position-vertical-relative:page;z-index:-251655168;mso-width-relative:page;mso-height-relative:page;" filled="f" stroked="f" coordsize="21600,21600" o:gfxdata="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mnIOq2AAAAAsBAAAPAAAAAAAAAAEAIAAAACIAAABkcnMvZG93bnJldi54&#10;bWxQSwECFAAUAAAACACHTuJAXmW5UcEBAACBAwAADgAAAAAAAAABACAAAAAnAQAAZHJzL2Uyb0Rv&#10;Yy54bWxQSwUGAAAAAAYABgBZAQAAWgUAAAAA&#10;">
              <v:fill on="f" focussize="0,0"/>
              <v:stroke on="f"/>
              <v:imagedata o:title=""/>
              <o:lock v:ext="edit" aspectratio="f"/>
              <v:textbox inset="0mm,0mm,0mm,0mm">
                <w:txbxContent>
                  <w:p w14:paraId="18F3BBD4">
                    <w:pPr>
                      <w:spacing w:line="251" w:lineRule="exact"/>
                      <w:ind w:firstLine="420"/>
                      <w:jc w:val="left"/>
                      <w:rPr>
                        <w:sz w:val="21"/>
                      </w:rPr>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BA118">
    <w:pPr>
      <w:pStyle w:val="19"/>
      <w:pBdr>
        <w:bottom w:val="none" w:color="auto" w:sz="0" w:space="1"/>
      </w:pBdr>
      <w:ind w:firstLine="0" w:firstLineChars="0"/>
      <w:jc w:val="both"/>
      <w:rPr>
        <w:rFonts w:hint="eastAsia" w:ascii="楷体" w:hAnsi="楷体" w:eastAsia="楷体" w:cs="楷体"/>
        <w:lang w:val="en-US"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53762">
    <w:pPr>
      <w:pStyle w:val="11"/>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3296285</wp:posOffset>
              </wp:positionH>
              <wp:positionV relativeFrom="page">
                <wp:posOffset>469265</wp:posOffset>
              </wp:positionV>
              <wp:extent cx="2165350" cy="20383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2165350" cy="203835"/>
                      </a:xfrm>
                      <a:prstGeom prst="rect">
                        <a:avLst/>
                      </a:prstGeom>
                      <a:noFill/>
                      <a:ln>
                        <a:noFill/>
                      </a:ln>
                      <a:effectLst/>
                    </wps:spPr>
                    <wps:txbx>
                      <w:txbxContent>
                        <w:p w14:paraId="32C3B2CB">
                          <w:pPr>
                            <w:spacing w:line="321" w:lineRule="exact"/>
                            <w:ind w:left="20" w:firstLine="560"/>
                            <w:jc w:val="left"/>
                            <w:rPr>
                              <w:sz w:val="28"/>
                            </w:rPr>
                          </w:pPr>
                        </w:p>
                      </w:txbxContent>
                    </wps:txbx>
                    <wps:bodyPr lIns="0" tIns="0" rIns="0" bIns="0" upright="1"/>
                  </wps:wsp>
                </a:graphicData>
              </a:graphic>
            </wp:anchor>
          </w:drawing>
        </mc:Choice>
        <mc:Fallback>
          <w:pict>
            <v:shape id="_x0000_s1026" o:spid="_x0000_s1026" o:spt="202" type="#_x0000_t202" style="position:absolute;left:0pt;margin-left:259.55pt;margin-top:36.95pt;height:16.05pt;width:170.5pt;mso-position-horizontal-relative:page;mso-position-vertical-relative:page;z-index:-251656192;mso-width-relative:page;mso-height-relative:page;" filled="f" stroked="f" coordsize="21600,21600" o:gfxdata="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MylazYAAAACgEAAA8AAAAAAAAAAQAgAAAAIgAAAGRycy9kb3ducmV2Lnht&#10;bFBLAQIUABQAAAAIAIdO4kBd4Ii8wAEAAIIDAAAOAAAAAAAAAAEAIAAAACcBAABkcnMvZTJvRG9j&#10;LnhtbFBLBQYAAAAABgAGAFkBAABZBQAAAAA=&#10;">
              <v:fill on="f" focussize="0,0"/>
              <v:stroke on="f"/>
              <v:imagedata o:title=""/>
              <o:lock v:ext="edit" aspectratio="f"/>
              <v:textbox inset="0mm,0mm,0mm,0mm">
                <w:txbxContent>
                  <w:p w14:paraId="32C3B2CB">
                    <w:pPr>
                      <w:spacing w:line="321" w:lineRule="exact"/>
                      <w:ind w:left="20" w:firstLine="560"/>
                      <w:jc w:val="left"/>
                      <w:rPr>
                        <w:sz w:val="28"/>
                      </w:rPr>
                    </w:pP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5706110</wp:posOffset>
              </wp:positionH>
              <wp:positionV relativeFrom="page">
                <wp:posOffset>507365</wp:posOffset>
              </wp:positionV>
              <wp:extent cx="763905" cy="16002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763905" cy="160020"/>
                      </a:xfrm>
                      <a:prstGeom prst="rect">
                        <a:avLst/>
                      </a:prstGeom>
                      <a:noFill/>
                      <a:ln>
                        <a:noFill/>
                      </a:ln>
                      <a:effectLst/>
                    </wps:spPr>
                    <wps:txbx>
                      <w:txbxContent>
                        <w:p w14:paraId="492A3BC3">
                          <w:pPr>
                            <w:spacing w:line="251" w:lineRule="exact"/>
                            <w:ind w:firstLine="420"/>
                            <w:jc w:val="left"/>
                            <w:rPr>
                              <w:sz w:val="21"/>
                            </w:rPr>
                          </w:pPr>
                        </w:p>
                      </w:txbxContent>
                    </wps:txbx>
                    <wps:bodyPr lIns="0" tIns="0" rIns="0" bIns="0" upright="1"/>
                  </wps:wsp>
                </a:graphicData>
              </a:graphic>
            </wp:anchor>
          </w:drawing>
        </mc:Choice>
        <mc:Fallback>
          <w:pict>
            <v:shape id="_x0000_s1026" o:spid="_x0000_s1026" o:spt="202" type="#_x0000_t202" style="position:absolute;left:0pt;margin-left:449.3pt;margin-top:39.95pt;height:12.6pt;width:60.15pt;mso-position-horizontal-relative:page;mso-position-vertical-relative:page;z-index:-251655168;mso-width-relative:page;mso-height-relative:page;" filled="f" stroked="f" coordsize="21600,21600" o:gfxdata="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mnIOq2AAAAAsBAAAPAAAAAAAAAAEAIAAAACIAAABkcnMvZG93bnJldi54&#10;bWxQSwECFAAUAAAACACHTuJAuzoaf8EBAACBAwAADgAAAAAAAAABACAAAAAnAQAAZHJzL2Uyb0Rv&#10;Yy54bWxQSwUGAAAAAAYABgBZAQAAWgUAAAAA&#10;">
              <v:fill on="f" focussize="0,0"/>
              <v:stroke on="f"/>
              <v:imagedata o:title=""/>
              <o:lock v:ext="edit" aspectratio="f"/>
              <v:textbox inset="0mm,0mm,0mm,0mm">
                <w:txbxContent>
                  <w:p w14:paraId="492A3BC3">
                    <w:pPr>
                      <w:spacing w:line="251" w:lineRule="exact"/>
                      <w:ind w:firstLine="420"/>
                      <w:jc w:val="left"/>
                      <w:rPr>
                        <w:sz w:val="2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83534"/>
    <w:multiLevelType w:val="singleLevel"/>
    <w:tmpl w:val="80883534"/>
    <w:lvl w:ilvl="0" w:tentative="0">
      <w:start w:val="1"/>
      <w:numFmt w:val="decimal"/>
      <w:suff w:val="nothing"/>
      <w:lvlText w:val="（%1）"/>
      <w:lvlJc w:val="left"/>
    </w:lvl>
  </w:abstractNum>
  <w:abstractNum w:abstractNumId="1">
    <w:nsid w:val="9E7FBD4E"/>
    <w:multiLevelType w:val="multilevel"/>
    <w:tmpl w:val="9E7FBD4E"/>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F2403FB"/>
    <w:multiLevelType w:val="singleLevel"/>
    <w:tmpl w:val="DF2403FB"/>
    <w:lvl w:ilvl="0" w:tentative="0">
      <w:start w:val="1"/>
      <w:numFmt w:val="decimal"/>
      <w:suff w:val="nothing"/>
      <w:lvlText w:val="%1）"/>
      <w:lvlJc w:val="left"/>
    </w:lvl>
  </w:abstractNum>
  <w:abstractNum w:abstractNumId="3">
    <w:nsid w:val="F09CD688"/>
    <w:multiLevelType w:val="singleLevel"/>
    <w:tmpl w:val="F09CD688"/>
    <w:lvl w:ilvl="0" w:tentative="0">
      <w:start w:val="1"/>
      <w:numFmt w:val="decimal"/>
      <w:suff w:val="nothing"/>
      <w:lvlText w:val="%1"/>
      <w:lvlJc w:val="left"/>
      <w:pPr>
        <w:tabs>
          <w:tab w:val="left" w:pos="0"/>
        </w:tabs>
        <w:ind w:left="454" w:leftChars="0" w:hanging="454" w:firstLineChars="0"/>
      </w:pPr>
      <w:rPr>
        <w:rFonts w:hint="default"/>
      </w:rPr>
    </w:lvl>
  </w:abstractNum>
  <w:abstractNum w:abstractNumId="4">
    <w:nsid w:val="15092DA5"/>
    <w:multiLevelType w:val="multilevel"/>
    <w:tmpl w:val="15092DA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5D11E82"/>
    <w:multiLevelType w:val="multilevel"/>
    <w:tmpl w:val="15D11E82"/>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7110110"/>
    <w:multiLevelType w:val="singleLevel"/>
    <w:tmpl w:val="17110110"/>
    <w:lvl w:ilvl="0" w:tentative="0">
      <w:start w:val="1"/>
      <w:numFmt w:val="decimal"/>
      <w:suff w:val="nothing"/>
      <w:lvlText w:val="（%1）"/>
      <w:lvlJc w:val="left"/>
      <w:pPr>
        <w:ind w:left="240"/>
      </w:pPr>
    </w:lvl>
  </w:abstractNum>
  <w:abstractNum w:abstractNumId="7">
    <w:nsid w:val="1BE27290"/>
    <w:multiLevelType w:val="multilevel"/>
    <w:tmpl w:val="1BE2729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2A37CE0D"/>
    <w:multiLevelType w:val="singleLevel"/>
    <w:tmpl w:val="2A37CE0D"/>
    <w:lvl w:ilvl="0" w:tentative="0">
      <w:start w:val="1"/>
      <w:numFmt w:val="decimal"/>
      <w:suff w:val="nothing"/>
      <w:lvlText w:val="（%1）"/>
      <w:lvlJc w:val="left"/>
      <w:pPr>
        <w:ind w:left="240"/>
      </w:pPr>
    </w:lvl>
  </w:abstractNum>
  <w:abstractNum w:abstractNumId="9">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5"/>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
    <w:nsid w:val="30288AD0"/>
    <w:multiLevelType w:val="singleLevel"/>
    <w:tmpl w:val="30288AD0"/>
    <w:lvl w:ilvl="0" w:tentative="0">
      <w:start w:val="1"/>
      <w:numFmt w:val="decimal"/>
      <w:suff w:val="nothing"/>
      <w:lvlText w:val="（%1）"/>
      <w:lvlJc w:val="left"/>
    </w:lvl>
  </w:abstractNum>
  <w:abstractNum w:abstractNumId="11">
    <w:nsid w:val="36D68364"/>
    <w:multiLevelType w:val="singleLevel"/>
    <w:tmpl w:val="36D68364"/>
    <w:lvl w:ilvl="0" w:tentative="0">
      <w:start w:val="1"/>
      <w:numFmt w:val="decimal"/>
      <w:suff w:val="nothing"/>
      <w:lvlText w:val="%1"/>
      <w:lvlJc w:val="left"/>
      <w:pPr>
        <w:tabs>
          <w:tab w:val="left" w:pos="0"/>
        </w:tabs>
        <w:ind w:left="454" w:leftChars="0" w:hanging="454" w:firstLineChars="0"/>
      </w:pPr>
      <w:rPr>
        <w:rFonts w:hint="default"/>
      </w:rPr>
    </w:lvl>
  </w:abstractNum>
  <w:abstractNum w:abstractNumId="12">
    <w:nsid w:val="3DC7CD6B"/>
    <w:multiLevelType w:val="multilevel"/>
    <w:tmpl w:val="3DC7CD6B"/>
    <w:lvl w:ilvl="0" w:tentative="0">
      <w:start w:val="1"/>
      <w:numFmt w:val="decimal"/>
      <w:pStyle w:val="2"/>
      <w:suff w:val="space"/>
      <w:lvlText w:val="%1 "/>
      <w:lvlJc w:val="left"/>
      <w:pPr>
        <w:tabs>
          <w:tab w:val="left" w:pos="0"/>
        </w:tabs>
        <w:ind w:left="0" w:firstLine="0"/>
      </w:pPr>
      <w:rPr>
        <w:rFonts w:hint="default" w:ascii="宋体" w:hAnsi="宋体" w:eastAsia="宋体" w:cs="宋体"/>
        <w:b/>
        <w:sz w:val="32"/>
        <w:szCs w:val="32"/>
      </w:rPr>
    </w:lvl>
    <w:lvl w:ilvl="1" w:tentative="0">
      <w:start w:val="1"/>
      <w:numFmt w:val="decimal"/>
      <w:pStyle w:val="3"/>
      <w:suff w:val="space"/>
      <w:lvlText w:val="%1.%2 "/>
      <w:lvlJc w:val="left"/>
      <w:pPr>
        <w:ind w:left="480" w:firstLine="0"/>
      </w:pPr>
      <w:rPr>
        <w:rFonts w:hint="default" w:ascii="宋体" w:hAnsi="宋体" w:eastAsia="宋体" w:cs="宋体"/>
        <w:b/>
        <w:sz w:val="28"/>
      </w:rPr>
    </w:lvl>
    <w:lvl w:ilvl="2" w:tentative="0">
      <w:start w:val="1"/>
      <w:numFmt w:val="decimal"/>
      <w:pStyle w:val="4"/>
      <w:suff w:val="space"/>
      <w:lvlText w:val="%1.%2.%3 "/>
      <w:lvlJc w:val="left"/>
      <w:pPr>
        <w:ind w:left="0" w:firstLine="0"/>
      </w:pPr>
      <w:rPr>
        <w:rFonts w:hint="default" w:ascii="Times New Roman" w:hAnsi="Times New Roman" w:eastAsia="宋体" w:cs="宋体"/>
        <w:b/>
        <w:sz w:val="24"/>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3">
    <w:nsid w:val="3F6E2F42"/>
    <w:multiLevelType w:val="multilevel"/>
    <w:tmpl w:val="3F6E2F42"/>
    <w:lvl w:ilvl="0" w:tentative="0">
      <w:start w:val="1"/>
      <w:numFmt w:val="decimal"/>
      <w:suff w:val="nothing"/>
      <w:lvlText w:val="（%1）"/>
      <w:lvlJc w:val="left"/>
      <w:pPr>
        <w:ind w:left="-48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FF8488D"/>
    <w:multiLevelType w:val="multilevel"/>
    <w:tmpl w:val="3FF8488D"/>
    <w:lvl w:ilvl="0" w:tentative="0">
      <w:start w:val="1"/>
      <w:numFmt w:val="decimal"/>
      <w:lvlText w:val="%1"/>
      <w:lvlJc w:val="left"/>
      <w:pPr>
        <w:ind w:left="3539" w:hanging="420"/>
      </w:pPr>
      <w:rPr>
        <w:rFonts w:hint="eastAsia"/>
      </w:rPr>
    </w:lvl>
    <w:lvl w:ilvl="1" w:tentative="0">
      <w:start w:val="1"/>
      <w:numFmt w:val="decimal"/>
      <w:suff w:val="space"/>
      <w:lvlText w:val="%1.%2"/>
      <w:lvlJc w:val="left"/>
      <w:pPr>
        <w:ind w:left="993" w:firstLine="0"/>
      </w:pPr>
    </w:lvl>
    <w:lvl w:ilvl="2" w:tentative="0">
      <w:start w:val="1"/>
      <w:numFmt w:val="decimal"/>
      <w:suff w:val="space"/>
      <w:lvlText w:val="%1.%2.%3"/>
      <w:lvlJc w:val="left"/>
      <w:pPr>
        <w:ind w:left="992" w:firstLine="0"/>
      </w:pPr>
    </w:lvl>
    <w:lvl w:ilvl="3" w:tentative="0">
      <w:start w:val="1"/>
      <w:numFmt w:val="decimal"/>
      <w:suff w:val="space"/>
      <w:lvlText w:val="%1.%2.%3.%4"/>
      <w:lvlJc w:val="left"/>
      <w:pPr>
        <w:ind w:left="1986" w:firstLine="0"/>
      </w:pPr>
    </w:lvl>
    <w:lvl w:ilvl="4" w:tentative="0">
      <w:start w:val="1"/>
      <w:numFmt w:val="decimal"/>
      <w:lvlRestart w:val="2"/>
      <w:pStyle w:val="84"/>
      <w:suff w:val="space"/>
      <w:lvlText w:val="图%1.%2-%5"/>
      <w:lvlJc w:val="center"/>
      <w:pPr>
        <w:ind w:left="5529" w:firstLine="0"/>
      </w:pPr>
    </w:lvl>
    <w:lvl w:ilvl="5" w:tentative="0">
      <w:start w:val="1"/>
      <w:numFmt w:val="decimal"/>
      <w:lvlRestart w:val="2"/>
      <w:pStyle w:val="83"/>
      <w:suff w:val="space"/>
      <w:lvlText w:val="表%1.%2-%6"/>
      <w:lvlJc w:val="center"/>
      <w:pPr>
        <w:ind w:left="0" w:firstLine="288"/>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202953B"/>
    <w:multiLevelType w:val="singleLevel"/>
    <w:tmpl w:val="6202953B"/>
    <w:lvl w:ilvl="0" w:tentative="0">
      <w:start w:val="1"/>
      <w:numFmt w:val="decimal"/>
      <w:suff w:val="space"/>
      <w:lvlText w:val="(%1)"/>
      <w:lvlJc w:val="left"/>
      <w:pPr>
        <w:ind w:left="0" w:firstLine="0"/>
      </w:pPr>
      <w:rPr>
        <w:rFonts w:hint="default"/>
      </w:rPr>
    </w:lvl>
  </w:abstractNum>
  <w:abstractNum w:abstractNumId="16">
    <w:nsid w:val="64E53C8C"/>
    <w:multiLevelType w:val="singleLevel"/>
    <w:tmpl w:val="64E53C8C"/>
    <w:lvl w:ilvl="0" w:tentative="0">
      <w:start w:val="1"/>
      <w:numFmt w:val="decimal"/>
      <w:suff w:val="nothing"/>
      <w:lvlText w:val="%1、"/>
      <w:lvlJc w:val="left"/>
    </w:lvl>
  </w:abstractNum>
  <w:abstractNum w:abstractNumId="17">
    <w:nsid w:val="6D6A43CE"/>
    <w:multiLevelType w:val="multilevel"/>
    <w:tmpl w:val="6D6A43CE"/>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787C05E0"/>
    <w:multiLevelType w:val="multilevel"/>
    <w:tmpl w:val="787C05E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7BF591A1"/>
    <w:multiLevelType w:val="singleLevel"/>
    <w:tmpl w:val="7BF591A1"/>
    <w:lvl w:ilvl="0" w:tentative="0">
      <w:start w:val="5"/>
      <w:numFmt w:val="decimal"/>
      <w:lvlText w:val="(%1)"/>
      <w:lvlJc w:val="left"/>
      <w:pPr>
        <w:tabs>
          <w:tab w:val="left" w:pos="312"/>
        </w:tabs>
      </w:pPr>
    </w:lvl>
  </w:abstractNum>
  <w:num w:numId="1">
    <w:abstractNumId w:val="12"/>
  </w:num>
  <w:num w:numId="2">
    <w:abstractNumId w:val="9"/>
  </w:num>
  <w:num w:numId="3">
    <w:abstractNumId w:val="14"/>
  </w:num>
  <w:num w:numId="4">
    <w:abstractNumId w:val="17"/>
  </w:num>
  <w:num w:numId="5">
    <w:abstractNumId w:val="1"/>
  </w:num>
  <w:num w:numId="6">
    <w:abstractNumId w:val="6"/>
  </w:num>
  <w:num w:numId="7">
    <w:abstractNumId w:val="8"/>
  </w:num>
  <w:num w:numId="8">
    <w:abstractNumId w:val="3"/>
  </w:num>
  <w:num w:numId="9">
    <w:abstractNumId w:val="2"/>
  </w:num>
  <w:num w:numId="10">
    <w:abstractNumId w:val="15"/>
  </w:num>
  <w:num w:numId="11">
    <w:abstractNumId w:val="19"/>
  </w:num>
  <w:num w:numId="12">
    <w:abstractNumId w:val="13"/>
  </w:num>
  <w:num w:numId="13">
    <w:abstractNumId w:val="10"/>
  </w:num>
  <w:num w:numId="14">
    <w:abstractNumId w:val="0"/>
  </w:num>
  <w:num w:numId="15">
    <w:abstractNumId w:val="16"/>
  </w:num>
  <w:num w:numId="16">
    <w:abstractNumId w:val="5"/>
  </w:num>
  <w:num w:numId="17">
    <w:abstractNumId w:val="4"/>
  </w:num>
  <w:num w:numId="18">
    <w:abstractNumId w:val="18"/>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xNTJhZDk4YWUyMTE1MmFhNTc4OTE0NzQ4ZjIzMzkifQ=="/>
  </w:docVars>
  <w:rsids>
    <w:rsidRoot w:val="002B2E32"/>
    <w:rsid w:val="00000FB1"/>
    <w:rsid w:val="000112F2"/>
    <w:rsid w:val="00015CD6"/>
    <w:rsid w:val="00020314"/>
    <w:rsid w:val="00031C95"/>
    <w:rsid w:val="0003233C"/>
    <w:rsid w:val="0005660D"/>
    <w:rsid w:val="00061784"/>
    <w:rsid w:val="000648E9"/>
    <w:rsid w:val="00087972"/>
    <w:rsid w:val="0009010D"/>
    <w:rsid w:val="00096AF3"/>
    <w:rsid w:val="000C70E7"/>
    <w:rsid w:val="000F0B4F"/>
    <w:rsid w:val="000F158F"/>
    <w:rsid w:val="000F7ACF"/>
    <w:rsid w:val="001101E7"/>
    <w:rsid w:val="00115533"/>
    <w:rsid w:val="00115643"/>
    <w:rsid w:val="001166E1"/>
    <w:rsid w:val="0012016E"/>
    <w:rsid w:val="0012580D"/>
    <w:rsid w:val="001260CF"/>
    <w:rsid w:val="0014520E"/>
    <w:rsid w:val="00161DAA"/>
    <w:rsid w:val="0016739C"/>
    <w:rsid w:val="00173C2E"/>
    <w:rsid w:val="00192F49"/>
    <w:rsid w:val="001A4708"/>
    <w:rsid w:val="001A69A0"/>
    <w:rsid w:val="001C1588"/>
    <w:rsid w:val="001C4C41"/>
    <w:rsid w:val="001C6DF3"/>
    <w:rsid w:val="001C79E0"/>
    <w:rsid w:val="001D06D1"/>
    <w:rsid w:val="001D33A5"/>
    <w:rsid w:val="001E12C7"/>
    <w:rsid w:val="001E65D2"/>
    <w:rsid w:val="00200AFB"/>
    <w:rsid w:val="00204AF5"/>
    <w:rsid w:val="00210A8A"/>
    <w:rsid w:val="00225C51"/>
    <w:rsid w:val="00236A11"/>
    <w:rsid w:val="00236E65"/>
    <w:rsid w:val="00247054"/>
    <w:rsid w:val="0026315E"/>
    <w:rsid w:val="002653E4"/>
    <w:rsid w:val="00271BE7"/>
    <w:rsid w:val="00286A15"/>
    <w:rsid w:val="00286B5C"/>
    <w:rsid w:val="002873C3"/>
    <w:rsid w:val="0029039B"/>
    <w:rsid w:val="00297F07"/>
    <w:rsid w:val="002B2E32"/>
    <w:rsid w:val="002B4845"/>
    <w:rsid w:val="002B758B"/>
    <w:rsid w:val="002C1D98"/>
    <w:rsid w:val="002E6143"/>
    <w:rsid w:val="002E61C8"/>
    <w:rsid w:val="002F689E"/>
    <w:rsid w:val="0030352A"/>
    <w:rsid w:val="003047D7"/>
    <w:rsid w:val="003172C9"/>
    <w:rsid w:val="003245B6"/>
    <w:rsid w:val="00332855"/>
    <w:rsid w:val="00340C42"/>
    <w:rsid w:val="00343B98"/>
    <w:rsid w:val="00353774"/>
    <w:rsid w:val="003565F3"/>
    <w:rsid w:val="00367E97"/>
    <w:rsid w:val="003740CC"/>
    <w:rsid w:val="00377DD7"/>
    <w:rsid w:val="003821A3"/>
    <w:rsid w:val="00383701"/>
    <w:rsid w:val="00393A8A"/>
    <w:rsid w:val="003947D6"/>
    <w:rsid w:val="00396CF6"/>
    <w:rsid w:val="003B0BC4"/>
    <w:rsid w:val="003C72CF"/>
    <w:rsid w:val="003D0093"/>
    <w:rsid w:val="003D0852"/>
    <w:rsid w:val="003D7458"/>
    <w:rsid w:val="003E367B"/>
    <w:rsid w:val="003F3ACE"/>
    <w:rsid w:val="003F4AD8"/>
    <w:rsid w:val="004122BB"/>
    <w:rsid w:val="004225C7"/>
    <w:rsid w:val="00425E28"/>
    <w:rsid w:val="00432E1A"/>
    <w:rsid w:val="00446236"/>
    <w:rsid w:val="00452FB9"/>
    <w:rsid w:val="00466173"/>
    <w:rsid w:val="00474598"/>
    <w:rsid w:val="00477F4E"/>
    <w:rsid w:val="00482C71"/>
    <w:rsid w:val="004866C2"/>
    <w:rsid w:val="00487707"/>
    <w:rsid w:val="0049093C"/>
    <w:rsid w:val="004B13FC"/>
    <w:rsid w:val="004C09E7"/>
    <w:rsid w:val="004E1FC1"/>
    <w:rsid w:val="00516DD0"/>
    <w:rsid w:val="005176C4"/>
    <w:rsid w:val="005308B5"/>
    <w:rsid w:val="0053261F"/>
    <w:rsid w:val="00532FD8"/>
    <w:rsid w:val="00534576"/>
    <w:rsid w:val="00547D4C"/>
    <w:rsid w:val="005509BC"/>
    <w:rsid w:val="00560243"/>
    <w:rsid w:val="00564D23"/>
    <w:rsid w:val="005735A0"/>
    <w:rsid w:val="005767BC"/>
    <w:rsid w:val="00584239"/>
    <w:rsid w:val="00587363"/>
    <w:rsid w:val="0059237A"/>
    <w:rsid w:val="00595D4B"/>
    <w:rsid w:val="005978B7"/>
    <w:rsid w:val="005A6FC2"/>
    <w:rsid w:val="005D0BEC"/>
    <w:rsid w:val="005D1A55"/>
    <w:rsid w:val="005D3085"/>
    <w:rsid w:val="005E2048"/>
    <w:rsid w:val="005E4BAC"/>
    <w:rsid w:val="005E5AE6"/>
    <w:rsid w:val="005F7928"/>
    <w:rsid w:val="00614F3C"/>
    <w:rsid w:val="0063387B"/>
    <w:rsid w:val="006338CF"/>
    <w:rsid w:val="006376B7"/>
    <w:rsid w:val="00645364"/>
    <w:rsid w:val="006504D5"/>
    <w:rsid w:val="006554CA"/>
    <w:rsid w:val="00665715"/>
    <w:rsid w:val="0066633B"/>
    <w:rsid w:val="0067799B"/>
    <w:rsid w:val="00684B0E"/>
    <w:rsid w:val="00690997"/>
    <w:rsid w:val="006A3136"/>
    <w:rsid w:val="006B244F"/>
    <w:rsid w:val="006B301B"/>
    <w:rsid w:val="006B3E2E"/>
    <w:rsid w:val="006B3F66"/>
    <w:rsid w:val="006C59AC"/>
    <w:rsid w:val="006D60F8"/>
    <w:rsid w:val="006E2BF1"/>
    <w:rsid w:val="006E44F6"/>
    <w:rsid w:val="006F1355"/>
    <w:rsid w:val="006F580B"/>
    <w:rsid w:val="007016F8"/>
    <w:rsid w:val="0070181C"/>
    <w:rsid w:val="00707D10"/>
    <w:rsid w:val="007102B9"/>
    <w:rsid w:val="007127F9"/>
    <w:rsid w:val="0071318A"/>
    <w:rsid w:val="00721202"/>
    <w:rsid w:val="00725182"/>
    <w:rsid w:val="00731577"/>
    <w:rsid w:val="0073261F"/>
    <w:rsid w:val="0073282E"/>
    <w:rsid w:val="0073781E"/>
    <w:rsid w:val="007378D5"/>
    <w:rsid w:val="00740FBD"/>
    <w:rsid w:val="00742458"/>
    <w:rsid w:val="007778AE"/>
    <w:rsid w:val="00781760"/>
    <w:rsid w:val="00785FDA"/>
    <w:rsid w:val="00790F46"/>
    <w:rsid w:val="007A15FA"/>
    <w:rsid w:val="007A17DF"/>
    <w:rsid w:val="007A341F"/>
    <w:rsid w:val="007B60AE"/>
    <w:rsid w:val="007C60D9"/>
    <w:rsid w:val="007D3C65"/>
    <w:rsid w:val="007D6600"/>
    <w:rsid w:val="007D7F1E"/>
    <w:rsid w:val="007E1C70"/>
    <w:rsid w:val="007E2A4A"/>
    <w:rsid w:val="007E6A0C"/>
    <w:rsid w:val="007E7D7A"/>
    <w:rsid w:val="007F44D2"/>
    <w:rsid w:val="00800F7A"/>
    <w:rsid w:val="00810D44"/>
    <w:rsid w:val="00812151"/>
    <w:rsid w:val="00814533"/>
    <w:rsid w:val="00816956"/>
    <w:rsid w:val="00831FEE"/>
    <w:rsid w:val="00834CE0"/>
    <w:rsid w:val="00837571"/>
    <w:rsid w:val="00844A07"/>
    <w:rsid w:val="00856BC7"/>
    <w:rsid w:val="00874012"/>
    <w:rsid w:val="00883920"/>
    <w:rsid w:val="008A45C9"/>
    <w:rsid w:val="008B16C0"/>
    <w:rsid w:val="008B28ED"/>
    <w:rsid w:val="008B2D51"/>
    <w:rsid w:val="008B301D"/>
    <w:rsid w:val="008B6EC7"/>
    <w:rsid w:val="008C41CF"/>
    <w:rsid w:val="008D28FA"/>
    <w:rsid w:val="008E781E"/>
    <w:rsid w:val="008F2EE0"/>
    <w:rsid w:val="008F34C6"/>
    <w:rsid w:val="0090381F"/>
    <w:rsid w:val="00903B10"/>
    <w:rsid w:val="009078C8"/>
    <w:rsid w:val="00921812"/>
    <w:rsid w:val="00922D32"/>
    <w:rsid w:val="00924562"/>
    <w:rsid w:val="009254F3"/>
    <w:rsid w:val="0093034F"/>
    <w:rsid w:val="009429D1"/>
    <w:rsid w:val="00946E9C"/>
    <w:rsid w:val="0095125F"/>
    <w:rsid w:val="00972784"/>
    <w:rsid w:val="00977768"/>
    <w:rsid w:val="009804E5"/>
    <w:rsid w:val="00982BBC"/>
    <w:rsid w:val="00982C93"/>
    <w:rsid w:val="00984BF4"/>
    <w:rsid w:val="00985E7D"/>
    <w:rsid w:val="00992AA5"/>
    <w:rsid w:val="009A1A1A"/>
    <w:rsid w:val="009B3FAB"/>
    <w:rsid w:val="009D102A"/>
    <w:rsid w:val="009D44DF"/>
    <w:rsid w:val="009D7221"/>
    <w:rsid w:val="009F1C30"/>
    <w:rsid w:val="009F630F"/>
    <w:rsid w:val="009F7248"/>
    <w:rsid w:val="00A11696"/>
    <w:rsid w:val="00A15210"/>
    <w:rsid w:val="00A15764"/>
    <w:rsid w:val="00A2573B"/>
    <w:rsid w:val="00A262D3"/>
    <w:rsid w:val="00A40CD8"/>
    <w:rsid w:val="00A432B3"/>
    <w:rsid w:val="00A47055"/>
    <w:rsid w:val="00A8436E"/>
    <w:rsid w:val="00AB1759"/>
    <w:rsid w:val="00AB49B4"/>
    <w:rsid w:val="00AE13C6"/>
    <w:rsid w:val="00AF7859"/>
    <w:rsid w:val="00B05772"/>
    <w:rsid w:val="00B05A65"/>
    <w:rsid w:val="00B165FB"/>
    <w:rsid w:val="00B23B5E"/>
    <w:rsid w:val="00B242C5"/>
    <w:rsid w:val="00B40B81"/>
    <w:rsid w:val="00B46540"/>
    <w:rsid w:val="00B56CA1"/>
    <w:rsid w:val="00B56E40"/>
    <w:rsid w:val="00B63B1D"/>
    <w:rsid w:val="00B74B68"/>
    <w:rsid w:val="00B7587A"/>
    <w:rsid w:val="00B8323B"/>
    <w:rsid w:val="00B96548"/>
    <w:rsid w:val="00BA0809"/>
    <w:rsid w:val="00BA2B64"/>
    <w:rsid w:val="00BB06F5"/>
    <w:rsid w:val="00BB3EB6"/>
    <w:rsid w:val="00BB65C9"/>
    <w:rsid w:val="00BC02E3"/>
    <w:rsid w:val="00BC1EFD"/>
    <w:rsid w:val="00BC6DDA"/>
    <w:rsid w:val="00BD4903"/>
    <w:rsid w:val="00BD73E1"/>
    <w:rsid w:val="00BE365B"/>
    <w:rsid w:val="00BF7F4E"/>
    <w:rsid w:val="00C11E4A"/>
    <w:rsid w:val="00C25374"/>
    <w:rsid w:val="00C4434C"/>
    <w:rsid w:val="00C46919"/>
    <w:rsid w:val="00C658B0"/>
    <w:rsid w:val="00C67D26"/>
    <w:rsid w:val="00C71D7C"/>
    <w:rsid w:val="00C76057"/>
    <w:rsid w:val="00C92B4C"/>
    <w:rsid w:val="00C93D40"/>
    <w:rsid w:val="00C94E39"/>
    <w:rsid w:val="00CA0BB4"/>
    <w:rsid w:val="00CA208E"/>
    <w:rsid w:val="00CB7636"/>
    <w:rsid w:val="00CC1E2B"/>
    <w:rsid w:val="00CC1FD6"/>
    <w:rsid w:val="00CC3B20"/>
    <w:rsid w:val="00CC51DB"/>
    <w:rsid w:val="00CC74EF"/>
    <w:rsid w:val="00CD465E"/>
    <w:rsid w:val="00CD6E2A"/>
    <w:rsid w:val="00CE529F"/>
    <w:rsid w:val="00D00EC4"/>
    <w:rsid w:val="00D14C4C"/>
    <w:rsid w:val="00D15C1B"/>
    <w:rsid w:val="00D20D3B"/>
    <w:rsid w:val="00D31A91"/>
    <w:rsid w:val="00D46606"/>
    <w:rsid w:val="00D477A5"/>
    <w:rsid w:val="00D53842"/>
    <w:rsid w:val="00D62374"/>
    <w:rsid w:val="00D81782"/>
    <w:rsid w:val="00D82FBA"/>
    <w:rsid w:val="00D9752F"/>
    <w:rsid w:val="00DB112C"/>
    <w:rsid w:val="00DC3685"/>
    <w:rsid w:val="00DC7D04"/>
    <w:rsid w:val="00DD68C6"/>
    <w:rsid w:val="00DF0AAC"/>
    <w:rsid w:val="00DF58E4"/>
    <w:rsid w:val="00E005F1"/>
    <w:rsid w:val="00E00BEC"/>
    <w:rsid w:val="00E03A6A"/>
    <w:rsid w:val="00E052E2"/>
    <w:rsid w:val="00E06D69"/>
    <w:rsid w:val="00E22DE9"/>
    <w:rsid w:val="00E27C2B"/>
    <w:rsid w:val="00E3379B"/>
    <w:rsid w:val="00E44C01"/>
    <w:rsid w:val="00E4685F"/>
    <w:rsid w:val="00E53D8A"/>
    <w:rsid w:val="00E5485E"/>
    <w:rsid w:val="00E67793"/>
    <w:rsid w:val="00E71469"/>
    <w:rsid w:val="00E84CD0"/>
    <w:rsid w:val="00E867AF"/>
    <w:rsid w:val="00EA5507"/>
    <w:rsid w:val="00EA7699"/>
    <w:rsid w:val="00EB04FC"/>
    <w:rsid w:val="00EC2891"/>
    <w:rsid w:val="00EC3C8F"/>
    <w:rsid w:val="00EC4779"/>
    <w:rsid w:val="00EE22DD"/>
    <w:rsid w:val="00EF4AA4"/>
    <w:rsid w:val="00F2059D"/>
    <w:rsid w:val="00F36082"/>
    <w:rsid w:val="00F40808"/>
    <w:rsid w:val="00F4514C"/>
    <w:rsid w:val="00F56D9B"/>
    <w:rsid w:val="00F60C4F"/>
    <w:rsid w:val="00F61B97"/>
    <w:rsid w:val="00F63C45"/>
    <w:rsid w:val="00F93E49"/>
    <w:rsid w:val="00F94115"/>
    <w:rsid w:val="00FA4991"/>
    <w:rsid w:val="00FB1F25"/>
    <w:rsid w:val="00FB28B1"/>
    <w:rsid w:val="00FE12CB"/>
    <w:rsid w:val="00FE5998"/>
    <w:rsid w:val="00FF0C32"/>
    <w:rsid w:val="01CF0610"/>
    <w:rsid w:val="02070CCA"/>
    <w:rsid w:val="02686764"/>
    <w:rsid w:val="03791562"/>
    <w:rsid w:val="039B3DC0"/>
    <w:rsid w:val="03E901A7"/>
    <w:rsid w:val="041E5859"/>
    <w:rsid w:val="04221DEB"/>
    <w:rsid w:val="044367B0"/>
    <w:rsid w:val="04820ADC"/>
    <w:rsid w:val="048F6BA5"/>
    <w:rsid w:val="04A7540B"/>
    <w:rsid w:val="04AC5B58"/>
    <w:rsid w:val="04D347A3"/>
    <w:rsid w:val="0553688F"/>
    <w:rsid w:val="05AC4062"/>
    <w:rsid w:val="05C55731"/>
    <w:rsid w:val="05E5600D"/>
    <w:rsid w:val="05F709DC"/>
    <w:rsid w:val="066861C0"/>
    <w:rsid w:val="069C538D"/>
    <w:rsid w:val="06B33D60"/>
    <w:rsid w:val="075D3645"/>
    <w:rsid w:val="07F00A51"/>
    <w:rsid w:val="099217C1"/>
    <w:rsid w:val="09F9205B"/>
    <w:rsid w:val="0AD16353"/>
    <w:rsid w:val="0AE71698"/>
    <w:rsid w:val="0B5604C3"/>
    <w:rsid w:val="0BB83A54"/>
    <w:rsid w:val="0CA752C2"/>
    <w:rsid w:val="0CAC4889"/>
    <w:rsid w:val="0DDA57BF"/>
    <w:rsid w:val="0DFC5E8E"/>
    <w:rsid w:val="0E8D65A6"/>
    <w:rsid w:val="0EB12455"/>
    <w:rsid w:val="0F2541EA"/>
    <w:rsid w:val="0F7C6E5E"/>
    <w:rsid w:val="0FA02DE0"/>
    <w:rsid w:val="10F86C2E"/>
    <w:rsid w:val="11092A62"/>
    <w:rsid w:val="11344598"/>
    <w:rsid w:val="116B5255"/>
    <w:rsid w:val="11B1784D"/>
    <w:rsid w:val="11C2332F"/>
    <w:rsid w:val="13301502"/>
    <w:rsid w:val="1399464B"/>
    <w:rsid w:val="15294D65"/>
    <w:rsid w:val="159D5775"/>
    <w:rsid w:val="15B5306E"/>
    <w:rsid w:val="1672275E"/>
    <w:rsid w:val="16854E42"/>
    <w:rsid w:val="1767083F"/>
    <w:rsid w:val="17883E12"/>
    <w:rsid w:val="17BE6E6F"/>
    <w:rsid w:val="18701620"/>
    <w:rsid w:val="18942103"/>
    <w:rsid w:val="18CB010E"/>
    <w:rsid w:val="18F552DE"/>
    <w:rsid w:val="19103753"/>
    <w:rsid w:val="197D7D98"/>
    <w:rsid w:val="1A2C190C"/>
    <w:rsid w:val="1A8F4166"/>
    <w:rsid w:val="1B4641B9"/>
    <w:rsid w:val="1B6D59DB"/>
    <w:rsid w:val="1BC03167"/>
    <w:rsid w:val="1C313BDC"/>
    <w:rsid w:val="1C316C17"/>
    <w:rsid w:val="1D396851"/>
    <w:rsid w:val="1D567FB1"/>
    <w:rsid w:val="1DDB6705"/>
    <w:rsid w:val="1E9A1A93"/>
    <w:rsid w:val="1EEF0DDB"/>
    <w:rsid w:val="1EF07D0A"/>
    <w:rsid w:val="1F2D5E39"/>
    <w:rsid w:val="1F44616C"/>
    <w:rsid w:val="1FA37E2C"/>
    <w:rsid w:val="1FC42B64"/>
    <w:rsid w:val="1FDB38E4"/>
    <w:rsid w:val="205816C0"/>
    <w:rsid w:val="207D242B"/>
    <w:rsid w:val="209B13A7"/>
    <w:rsid w:val="209D487B"/>
    <w:rsid w:val="20C718F8"/>
    <w:rsid w:val="20F327E0"/>
    <w:rsid w:val="212E1977"/>
    <w:rsid w:val="2142359F"/>
    <w:rsid w:val="21780F8F"/>
    <w:rsid w:val="21C61646"/>
    <w:rsid w:val="21F66939"/>
    <w:rsid w:val="223631D9"/>
    <w:rsid w:val="2282524C"/>
    <w:rsid w:val="22D402FC"/>
    <w:rsid w:val="22DE482C"/>
    <w:rsid w:val="22F7393E"/>
    <w:rsid w:val="231F554B"/>
    <w:rsid w:val="250255F5"/>
    <w:rsid w:val="25D84C3D"/>
    <w:rsid w:val="26596178"/>
    <w:rsid w:val="26C9120A"/>
    <w:rsid w:val="26F57A5A"/>
    <w:rsid w:val="272E5E18"/>
    <w:rsid w:val="27C45A95"/>
    <w:rsid w:val="28047CEE"/>
    <w:rsid w:val="284303FE"/>
    <w:rsid w:val="28BE1DE2"/>
    <w:rsid w:val="290C07F0"/>
    <w:rsid w:val="29565F0F"/>
    <w:rsid w:val="295E32B3"/>
    <w:rsid w:val="29C12F55"/>
    <w:rsid w:val="2A12227B"/>
    <w:rsid w:val="2A2D728F"/>
    <w:rsid w:val="2A5A4DB3"/>
    <w:rsid w:val="2AED63FF"/>
    <w:rsid w:val="2BF719FB"/>
    <w:rsid w:val="2CAD5165"/>
    <w:rsid w:val="2CDB502F"/>
    <w:rsid w:val="2CEA1F1D"/>
    <w:rsid w:val="2E100D83"/>
    <w:rsid w:val="2EE77D80"/>
    <w:rsid w:val="2FC040E2"/>
    <w:rsid w:val="2FD972FC"/>
    <w:rsid w:val="30144EC2"/>
    <w:rsid w:val="307E0A38"/>
    <w:rsid w:val="30802720"/>
    <w:rsid w:val="30E0426E"/>
    <w:rsid w:val="31206871"/>
    <w:rsid w:val="3156044E"/>
    <w:rsid w:val="32696723"/>
    <w:rsid w:val="334C2479"/>
    <w:rsid w:val="336A2CE3"/>
    <w:rsid w:val="33C80504"/>
    <w:rsid w:val="34323FE8"/>
    <w:rsid w:val="35952AEC"/>
    <w:rsid w:val="35E13004"/>
    <w:rsid w:val="365C0720"/>
    <w:rsid w:val="36D15B8A"/>
    <w:rsid w:val="36D56B05"/>
    <w:rsid w:val="372C539E"/>
    <w:rsid w:val="37A246EA"/>
    <w:rsid w:val="37B646A0"/>
    <w:rsid w:val="37F72B67"/>
    <w:rsid w:val="381B0A50"/>
    <w:rsid w:val="38763ED8"/>
    <w:rsid w:val="38A767D5"/>
    <w:rsid w:val="38BF1907"/>
    <w:rsid w:val="38E5211B"/>
    <w:rsid w:val="39AB02EF"/>
    <w:rsid w:val="39DC6818"/>
    <w:rsid w:val="39F02B60"/>
    <w:rsid w:val="3B0357CB"/>
    <w:rsid w:val="3B123582"/>
    <w:rsid w:val="3BFA6BCE"/>
    <w:rsid w:val="3C4F1C44"/>
    <w:rsid w:val="3C610E7A"/>
    <w:rsid w:val="3CEB09D4"/>
    <w:rsid w:val="3D147219"/>
    <w:rsid w:val="3DF338D5"/>
    <w:rsid w:val="3DFF11AB"/>
    <w:rsid w:val="3E132D9E"/>
    <w:rsid w:val="3E26436F"/>
    <w:rsid w:val="3E7563E2"/>
    <w:rsid w:val="3E786B8F"/>
    <w:rsid w:val="3EB5522B"/>
    <w:rsid w:val="3EB703CA"/>
    <w:rsid w:val="3EC942EA"/>
    <w:rsid w:val="3F4A7E6C"/>
    <w:rsid w:val="3FB007F3"/>
    <w:rsid w:val="401C34CE"/>
    <w:rsid w:val="405D1A2A"/>
    <w:rsid w:val="40747753"/>
    <w:rsid w:val="40BA1402"/>
    <w:rsid w:val="40BE45CB"/>
    <w:rsid w:val="40C85D34"/>
    <w:rsid w:val="413E755D"/>
    <w:rsid w:val="418A09F4"/>
    <w:rsid w:val="424109D0"/>
    <w:rsid w:val="42990C13"/>
    <w:rsid w:val="42AF6F0F"/>
    <w:rsid w:val="42BD2703"/>
    <w:rsid w:val="42C96083"/>
    <w:rsid w:val="436546FA"/>
    <w:rsid w:val="436A002C"/>
    <w:rsid w:val="440063D8"/>
    <w:rsid w:val="44CF359C"/>
    <w:rsid w:val="45444586"/>
    <w:rsid w:val="45650595"/>
    <w:rsid w:val="45A46EB6"/>
    <w:rsid w:val="45A55DFD"/>
    <w:rsid w:val="464419BE"/>
    <w:rsid w:val="4690622E"/>
    <w:rsid w:val="47152B0E"/>
    <w:rsid w:val="47480B36"/>
    <w:rsid w:val="47F67274"/>
    <w:rsid w:val="480C5CBF"/>
    <w:rsid w:val="48153421"/>
    <w:rsid w:val="482D0B2E"/>
    <w:rsid w:val="484432EE"/>
    <w:rsid w:val="48494DFD"/>
    <w:rsid w:val="48572488"/>
    <w:rsid w:val="48640BAC"/>
    <w:rsid w:val="490B74CC"/>
    <w:rsid w:val="493723C8"/>
    <w:rsid w:val="49725D2E"/>
    <w:rsid w:val="4A601960"/>
    <w:rsid w:val="4A6873F9"/>
    <w:rsid w:val="4AC26B09"/>
    <w:rsid w:val="4BCC53FA"/>
    <w:rsid w:val="4C18631D"/>
    <w:rsid w:val="4CA706AC"/>
    <w:rsid w:val="4CCE4A32"/>
    <w:rsid w:val="4CF338F1"/>
    <w:rsid w:val="4D901532"/>
    <w:rsid w:val="4DCD2983"/>
    <w:rsid w:val="4DF0525E"/>
    <w:rsid w:val="4E3247D7"/>
    <w:rsid w:val="4E4667F5"/>
    <w:rsid w:val="4EA2714D"/>
    <w:rsid w:val="4EE321CB"/>
    <w:rsid w:val="4F086609"/>
    <w:rsid w:val="4F472F49"/>
    <w:rsid w:val="4FCB1C0C"/>
    <w:rsid w:val="507235A0"/>
    <w:rsid w:val="509F0C78"/>
    <w:rsid w:val="50A740FF"/>
    <w:rsid w:val="50DA7F96"/>
    <w:rsid w:val="50DC3179"/>
    <w:rsid w:val="50F360E5"/>
    <w:rsid w:val="510106DB"/>
    <w:rsid w:val="510846F1"/>
    <w:rsid w:val="51612C25"/>
    <w:rsid w:val="51917235"/>
    <w:rsid w:val="51FB09CD"/>
    <w:rsid w:val="520D74BE"/>
    <w:rsid w:val="522377D2"/>
    <w:rsid w:val="53434019"/>
    <w:rsid w:val="536605E8"/>
    <w:rsid w:val="53B8637A"/>
    <w:rsid w:val="53D13C3D"/>
    <w:rsid w:val="541615DB"/>
    <w:rsid w:val="54574DC4"/>
    <w:rsid w:val="54D538DD"/>
    <w:rsid w:val="54DC110F"/>
    <w:rsid w:val="554D6913"/>
    <w:rsid w:val="55871912"/>
    <w:rsid w:val="55BC113D"/>
    <w:rsid w:val="55EE0CF5"/>
    <w:rsid w:val="55EF09CE"/>
    <w:rsid w:val="56405B1B"/>
    <w:rsid w:val="570B7614"/>
    <w:rsid w:val="57BE3607"/>
    <w:rsid w:val="58352FDD"/>
    <w:rsid w:val="584E22C7"/>
    <w:rsid w:val="586B4901"/>
    <w:rsid w:val="58BD6BED"/>
    <w:rsid w:val="58E84AE0"/>
    <w:rsid w:val="59AD3E0E"/>
    <w:rsid w:val="59C4289D"/>
    <w:rsid w:val="59F35F3A"/>
    <w:rsid w:val="5A072453"/>
    <w:rsid w:val="5A0E1D6B"/>
    <w:rsid w:val="5A4C5F01"/>
    <w:rsid w:val="5AB665E6"/>
    <w:rsid w:val="5B5E287E"/>
    <w:rsid w:val="5C4731BB"/>
    <w:rsid w:val="5C6C4B26"/>
    <w:rsid w:val="5C893F80"/>
    <w:rsid w:val="5E46061A"/>
    <w:rsid w:val="5E5A60BC"/>
    <w:rsid w:val="5E8C5954"/>
    <w:rsid w:val="5E9706DB"/>
    <w:rsid w:val="5EDF7832"/>
    <w:rsid w:val="5F7A7D2B"/>
    <w:rsid w:val="600339F4"/>
    <w:rsid w:val="600F7B9A"/>
    <w:rsid w:val="609F196E"/>
    <w:rsid w:val="60B8658C"/>
    <w:rsid w:val="60C213F0"/>
    <w:rsid w:val="61185172"/>
    <w:rsid w:val="61477A44"/>
    <w:rsid w:val="619066B6"/>
    <w:rsid w:val="619C36C0"/>
    <w:rsid w:val="620F495A"/>
    <w:rsid w:val="62641616"/>
    <w:rsid w:val="62A431C3"/>
    <w:rsid w:val="62CD5B7E"/>
    <w:rsid w:val="63414F5F"/>
    <w:rsid w:val="636E73D3"/>
    <w:rsid w:val="637D650F"/>
    <w:rsid w:val="637F68EC"/>
    <w:rsid w:val="63E04B73"/>
    <w:rsid w:val="646C4666"/>
    <w:rsid w:val="64C157F9"/>
    <w:rsid w:val="64D85DCB"/>
    <w:rsid w:val="65FC6F1B"/>
    <w:rsid w:val="66316B15"/>
    <w:rsid w:val="667271DD"/>
    <w:rsid w:val="66B2453A"/>
    <w:rsid w:val="66D41C46"/>
    <w:rsid w:val="6703077D"/>
    <w:rsid w:val="67043091"/>
    <w:rsid w:val="671B1623"/>
    <w:rsid w:val="67200ABA"/>
    <w:rsid w:val="679F4002"/>
    <w:rsid w:val="681177DB"/>
    <w:rsid w:val="681C2994"/>
    <w:rsid w:val="682B3AE8"/>
    <w:rsid w:val="68412472"/>
    <w:rsid w:val="688F2159"/>
    <w:rsid w:val="68C0684E"/>
    <w:rsid w:val="68F86A3F"/>
    <w:rsid w:val="69173577"/>
    <w:rsid w:val="69205870"/>
    <w:rsid w:val="695C5963"/>
    <w:rsid w:val="69F5100D"/>
    <w:rsid w:val="6A39493D"/>
    <w:rsid w:val="6ACB3360"/>
    <w:rsid w:val="6AD06BC8"/>
    <w:rsid w:val="6BA35E9F"/>
    <w:rsid w:val="6C297008"/>
    <w:rsid w:val="6CAE7ABA"/>
    <w:rsid w:val="6D4D49CF"/>
    <w:rsid w:val="6D5E6C64"/>
    <w:rsid w:val="6D8E6FF3"/>
    <w:rsid w:val="6DA877B4"/>
    <w:rsid w:val="6DB65DFE"/>
    <w:rsid w:val="6E755ABD"/>
    <w:rsid w:val="6E943D08"/>
    <w:rsid w:val="6EB75CDA"/>
    <w:rsid w:val="6F3117B3"/>
    <w:rsid w:val="6FDB2297"/>
    <w:rsid w:val="6FE24712"/>
    <w:rsid w:val="70620B3D"/>
    <w:rsid w:val="70DB1624"/>
    <w:rsid w:val="717F1767"/>
    <w:rsid w:val="71F75F4D"/>
    <w:rsid w:val="72166F6B"/>
    <w:rsid w:val="725B321B"/>
    <w:rsid w:val="728F2E8C"/>
    <w:rsid w:val="72BF34BD"/>
    <w:rsid w:val="73072B50"/>
    <w:rsid w:val="73AF381F"/>
    <w:rsid w:val="73C459A0"/>
    <w:rsid w:val="73DA4614"/>
    <w:rsid w:val="74483AB6"/>
    <w:rsid w:val="747D1622"/>
    <w:rsid w:val="74DE57AF"/>
    <w:rsid w:val="75F50DF5"/>
    <w:rsid w:val="75FA5932"/>
    <w:rsid w:val="76884DE6"/>
    <w:rsid w:val="7691545E"/>
    <w:rsid w:val="76B15B80"/>
    <w:rsid w:val="76E407C3"/>
    <w:rsid w:val="77A967D7"/>
    <w:rsid w:val="786660B9"/>
    <w:rsid w:val="78FD412D"/>
    <w:rsid w:val="79262786"/>
    <w:rsid w:val="792F7BAA"/>
    <w:rsid w:val="793A3350"/>
    <w:rsid w:val="79A63552"/>
    <w:rsid w:val="7ABE2599"/>
    <w:rsid w:val="7B2D7FC8"/>
    <w:rsid w:val="7BA55C65"/>
    <w:rsid w:val="7BF929D4"/>
    <w:rsid w:val="7CA65E91"/>
    <w:rsid w:val="7CAD1877"/>
    <w:rsid w:val="7CD77E12"/>
    <w:rsid w:val="7D650453"/>
    <w:rsid w:val="7D882BC9"/>
    <w:rsid w:val="7DAE252B"/>
    <w:rsid w:val="7E8F2BCB"/>
    <w:rsid w:val="7E9D74D7"/>
    <w:rsid w:val="7F50002E"/>
    <w:rsid w:val="7F7F453B"/>
    <w:rsid w:val="7FA011EC"/>
    <w:rsid w:val="7FA51F7A"/>
    <w:rsid w:val="7FFF4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qFormat="1" w:unhideWhenUsed="0" w:uiPriority="39" w:semiHidden="0"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39"/>
    <w:qFormat/>
    <w:uiPriority w:val="9"/>
    <w:pPr>
      <w:keepNext/>
      <w:keepLines/>
      <w:numPr>
        <w:ilvl w:val="0"/>
        <w:numId w:val="1"/>
      </w:numPr>
      <w:spacing w:before="50" w:beforeLines="50" w:after="50" w:afterLines="50"/>
      <w:ind w:firstLineChars="0"/>
      <w:jc w:val="center"/>
      <w:outlineLvl w:val="0"/>
    </w:pPr>
    <w:rPr>
      <w:b/>
      <w:bCs/>
      <w:kern w:val="44"/>
      <w:sz w:val="32"/>
      <w:szCs w:val="44"/>
    </w:rPr>
  </w:style>
  <w:style w:type="paragraph" w:styleId="3">
    <w:name w:val="heading 2"/>
    <w:basedOn w:val="1"/>
    <w:next w:val="1"/>
    <w:link w:val="35"/>
    <w:unhideWhenUsed/>
    <w:qFormat/>
    <w:uiPriority w:val="9"/>
    <w:pPr>
      <w:keepNext/>
      <w:keepLines/>
      <w:numPr>
        <w:ilvl w:val="1"/>
        <w:numId w:val="1"/>
      </w:numPr>
      <w:spacing w:before="50" w:beforeLines="50" w:after="50" w:afterLines="50"/>
      <w:ind w:firstLineChars="0"/>
      <w:jc w:val="left"/>
      <w:outlineLvl w:val="1"/>
    </w:pPr>
    <w:rPr>
      <w:rFonts w:asciiTheme="majorHAnsi" w:hAnsiTheme="majorHAnsi" w:cstheme="majorBidi"/>
      <w:b/>
      <w:bCs/>
      <w:sz w:val="28"/>
      <w:szCs w:val="32"/>
    </w:rPr>
  </w:style>
  <w:style w:type="paragraph" w:styleId="4">
    <w:name w:val="heading 3"/>
    <w:basedOn w:val="5"/>
    <w:link w:val="36"/>
    <w:unhideWhenUsed/>
    <w:qFormat/>
    <w:uiPriority w:val="9"/>
    <w:pPr>
      <w:keepNext/>
      <w:keepLines/>
      <w:numPr>
        <w:ilvl w:val="2"/>
        <w:numId w:val="1"/>
      </w:numPr>
      <w:spacing w:before="50" w:beforeLines="50" w:after="50" w:afterLines="50"/>
      <w:ind w:firstLineChars="0"/>
      <w:outlineLvl w:val="2"/>
    </w:pPr>
    <w:rPr>
      <w:rFonts w:ascii="Times New Roman" w:hAnsi="Times New Roman" w:eastAsia="宋体"/>
      <w:bCs/>
      <w:color w:val="auto"/>
      <w:szCs w:val="32"/>
    </w:rPr>
  </w:style>
  <w:style w:type="paragraph" w:styleId="6">
    <w:name w:val="heading 4"/>
    <w:basedOn w:val="1"/>
    <w:next w:val="1"/>
    <w:link w:val="37"/>
    <w:unhideWhenUsed/>
    <w:qFormat/>
    <w:uiPriority w:val="9"/>
    <w:pPr>
      <w:keepNext/>
      <w:keepLines/>
      <w:ind w:firstLine="560"/>
      <w:outlineLvl w:val="3"/>
    </w:pPr>
    <w:rPr>
      <w:rFonts w:asciiTheme="majorHAnsi" w:hAnsiTheme="majorHAnsi" w:eastAsiaTheme="majorEastAsia" w:cstheme="majorBidi"/>
      <w:bCs/>
      <w:szCs w:val="28"/>
    </w:rPr>
  </w:style>
  <w:style w:type="paragraph" w:styleId="7">
    <w:name w:val="heading 5"/>
    <w:basedOn w:val="1"/>
    <w:next w:val="1"/>
    <w:link w:val="40"/>
    <w:unhideWhenUsed/>
    <w:qFormat/>
    <w:uiPriority w:val="9"/>
    <w:pPr>
      <w:keepNext/>
      <w:keepLines/>
      <w:outlineLvl w:val="4"/>
    </w:pPr>
    <w:rPr>
      <w:bCs/>
      <w:szCs w:val="28"/>
    </w:rPr>
  </w:style>
  <w:style w:type="paragraph" w:styleId="8">
    <w:name w:val="heading 6"/>
    <w:basedOn w:val="1"/>
    <w:next w:val="1"/>
    <w:semiHidden/>
    <w:unhideWhenUsed/>
    <w:qFormat/>
    <w:uiPriority w:val="9"/>
    <w:pPr>
      <w:keepNext/>
      <w:keepLines/>
      <w:outlineLvl w:val="5"/>
    </w:pPr>
    <w:rPr>
      <w:rFonts w:ascii="Arial" w:hAnsi="Arial"/>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5">
    <w:name w:val="1.1.1 标题"/>
    <w:qFormat/>
    <w:uiPriority w:val="2"/>
    <w:pPr>
      <w:numPr>
        <w:ilvl w:val="2"/>
        <w:numId w:val="2"/>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paragraph" w:styleId="9">
    <w:name w:val="Normal Indent"/>
    <w:basedOn w:val="1"/>
    <w:next w:val="10"/>
    <w:unhideWhenUsed/>
    <w:qFormat/>
    <w:uiPriority w:val="99"/>
    <w:pPr>
      <w:ind w:firstLine="420"/>
    </w:pPr>
    <w:rPr>
      <w:rFonts w:hint="eastAsia"/>
    </w:rPr>
  </w:style>
  <w:style w:type="paragraph" w:styleId="10">
    <w:name w:val="Body Text First Indent"/>
    <w:basedOn w:val="11"/>
    <w:next w:val="12"/>
    <w:unhideWhenUsed/>
    <w:qFormat/>
    <w:uiPriority w:val="99"/>
    <w:pPr>
      <w:spacing w:before="154"/>
      <w:ind w:left="121" w:firstLine="420" w:firstLineChars="100"/>
    </w:pPr>
    <w:rPr>
      <w:rFonts w:hint="eastAsia" w:ascii="仿宋" w:hAnsi="仿宋" w:eastAsia="仿宋"/>
      <w:szCs w:val="21"/>
    </w:rPr>
  </w:style>
  <w:style w:type="paragraph" w:styleId="11">
    <w:name w:val="Body Text"/>
    <w:basedOn w:val="1"/>
    <w:next w:val="1"/>
    <w:unhideWhenUsed/>
    <w:qFormat/>
    <w:uiPriority w:val="99"/>
    <w:pPr>
      <w:ind w:firstLine="560"/>
    </w:pPr>
    <w:rPr>
      <w:szCs w:val="24"/>
    </w:rPr>
  </w:style>
  <w:style w:type="paragraph" w:styleId="12">
    <w:name w:val="toc 6"/>
    <w:basedOn w:val="1"/>
    <w:next w:val="1"/>
    <w:qFormat/>
    <w:uiPriority w:val="39"/>
    <w:pPr>
      <w:ind w:left="1050"/>
      <w:jc w:val="left"/>
    </w:pPr>
    <w:rPr>
      <w:sz w:val="18"/>
      <w:szCs w:val="18"/>
    </w:rPr>
  </w:style>
  <w:style w:type="paragraph" w:styleId="13">
    <w:name w:val="caption"/>
    <w:basedOn w:val="1"/>
    <w:next w:val="1"/>
    <w:unhideWhenUsed/>
    <w:qFormat/>
    <w:uiPriority w:val="35"/>
    <w:rPr>
      <w:rFonts w:eastAsia="黑体" w:asciiTheme="majorHAnsi" w:hAnsiTheme="majorHAnsi" w:cstheme="majorBidi"/>
      <w:sz w:val="20"/>
      <w:szCs w:val="20"/>
    </w:rPr>
  </w:style>
  <w:style w:type="paragraph" w:styleId="14">
    <w:name w:val="Body Text Indent"/>
    <w:basedOn w:val="1"/>
    <w:unhideWhenUsed/>
    <w:qFormat/>
    <w:uiPriority w:val="99"/>
    <w:pPr>
      <w:spacing w:after="120"/>
      <w:ind w:left="420" w:leftChars="200"/>
    </w:pPr>
  </w:style>
  <w:style w:type="paragraph" w:styleId="15">
    <w:name w:val="Block Text"/>
    <w:basedOn w:val="1"/>
    <w:next w:val="1"/>
    <w:qFormat/>
    <w:uiPriority w:val="0"/>
    <w:pPr>
      <w:spacing w:line="20" w:lineRule="atLeast"/>
      <w:ind w:left="1260" w:leftChars="100" w:right="339" w:hanging="944" w:hangingChars="482"/>
    </w:pPr>
  </w:style>
  <w:style w:type="paragraph" w:styleId="16">
    <w:name w:val="toc 3"/>
    <w:basedOn w:val="1"/>
    <w:next w:val="1"/>
    <w:unhideWhenUsed/>
    <w:qFormat/>
    <w:uiPriority w:val="39"/>
    <w:pPr>
      <w:ind w:left="840" w:leftChars="400"/>
    </w:pPr>
  </w:style>
  <w:style w:type="paragraph" w:styleId="17">
    <w:name w:val="Plain Text"/>
    <w:basedOn w:val="1"/>
    <w:unhideWhenUsed/>
    <w:qFormat/>
    <w:uiPriority w:val="0"/>
    <w:rPr>
      <w:rFonts w:ascii="宋体" w:hAnsi="Courier New"/>
      <w:sz w:val="19"/>
    </w:rPr>
  </w:style>
  <w:style w:type="paragraph" w:styleId="18">
    <w:name w:val="footer"/>
    <w:basedOn w:val="1"/>
    <w:link w:val="34"/>
    <w:unhideWhenUsed/>
    <w:qFormat/>
    <w:uiPriority w:val="99"/>
    <w:pPr>
      <w:tabs>
        <w:tab w:val="center" w:pos="4153"/>
        <w:tab w:val="right" w:pos="8306"/>
      </w:tabs>
      <w:snapToGrid w:val="0"/>
      <w:jc w:val="left"/>
    </w:pPr>
    <w:rPr>
      <w:sz w:val="18"/>
      <w:szCs w:val="18"/>
    </w:rPr>
  </w:style>
  <w:style w:type="paragraph" w:styleId="19">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9060"/>
      </w:tabs>
      <w:ind w:firstLine="0" w:firstLineChars="0"/>
      <w:jc w:val="center"/>
    </w:pPr>
    <w:rPr>
      <w:b/>
      <w:sz w:val="28"/>
    </w:rPr>
  </w:style>
  <w:style w:type="paragraph" w:styleId="21">
    <w:name w:val="Subtitle"/>
    <w:basedOn w:val="1"/>
    <w:next w:val="1"/>
    <w:link w:val="38"/>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22">
    <w:name w:val="toc 2"/>
    <w:basedOn w:val="1"/>
    <w:next w:val="1"/>
    <w:unhideWhenUsed/>
    <w:qFormat/>
    <w:uiPriority w:val="39"/>
    <w:pPr>
      <w:tabs>
        <w:tab w:val="right" w:leader="dot" w:pos="9060"/>
      </w:tabs>
      <w:ind w:firstLine="560"/>
      <w:jc w:val="center"/>
    </w:pPr>
    <w:rPr>
      <w:sz w:val="28"/>
    </w:rPr>
  </w:style>
  <w:style w:type="paragraph" w:styleId="23">
    <w:name w:val="Normal (Web)"/>
    <w:basedOn w:val="1"/>
    <w:unhideWhenUsed/>
    <w:qFormat/>
    <w:uiPriority w:val="99"/>
    <w:pPr>
      <w:spacing w:line="360" w:lineRule="auto"/>
      <w:ind w:firstLine="960" w:firstLineChars="200"/>
    </w:pPr>
    <w:rPr>
      <w:sz w:val="24"/>
      <w:szCs w:val="20"/>
    </w:rPr>
  </w:style>
  <w:style w:type="paragraph" w:styleId="24">
    <w:name w:val="Title"/>
    <w:basedOn w:val="1"/>
    <w:next w:val="1"/>
    <w:qFormat/>
    <w:uiPriority w:val="10"/>
    <w:pPr>
      <w:spacing w:before="240" w:after="60"/>
      <w:jc w:val="center"/>
      <w:outlineLvl w:val="0"/>
    </w:pPr>
    <w:rPr>
      <w:rFonts w:eastAsia="黑体" w:asciiTheme="majorHAnsi" w:hAnsiTheme="majorHAnsi" w:cstheme="majorBidi"/>
      <w:b/>
      <w:bCs/>
      <w:sz w:val="28"/>
      <w:szCs w:val="32"/>
    </w:rPr>
  </w:style>
  <w:style w:type="paragraph" w:styleId="25">
    <w:name w:val="Body Text First Indent 2"/>
    <w:basedOn w:val="14"/>
    <w:qFormat/>
    <w:uiPriority w:val="0"/>
    <w:pPr>
      <w:ind w:firstLine="420" w:firstLineChars="200"/>
    </w:pPr>
    <w:rPr>
      <w:rFonts w:ascii="Times New Roman" w:hAnsi="Times New Roman" w:eastAsia="宋体" w:cs="Times New Roman"/>
      <w:szCs w:val="24"/>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Hyperlink"/>
    <w:basedOn w:val="28"/>
    <w:unhideWhenUsed/>
    <w:qFormat/>
    <w:uiPriority w:val="99"/>
    <w:rPr>
      <w:color w:val="0000FF" w:themeColor="hyperlink"/>
      <w:u w:val="single"/>
      <w14:textFill>
        <w14:solidFill>
          <w14:schemeClr w14:val="hlink"/>
        </w14:solidFill>
      </w14:textFill>
    </w:rPr>
  </w:style>
  <w:style w:type="paragraph" w:customStyle="1" w:styleId="30">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1">
    <w:name w:val="正文（缩进）"/>
    <w:qFormat/>
    <w:uiPriority w:val="0"/>
    <w:pPr>
      <w:widowControl w:val="0"/>
      <w:spacing w:before="156" w:after="156"/>
      <w:jc w:val="both"/>
    </w:pPr>
    <w:rPr>
      <w:rFonts w:ascii="Calibri" w:hAnsi="Calibri" w:eastAsia="宋体" w:cs="Times New Roman"/>
      <w:kern w:val="2"/>
      <w:sz w:val="21"/>
      <w:szCs w:val="24"/>
      <w:lang w:val="en-US" w:eastAsia="zh-CN" w:bidi="ar-SA"/>
    </w:rPr>
  </w:style>
  <w:style w:type="paragraph" w:customStyle="1" w:styleId="32">
    <w:name w:val="图表名称"/>
    <w:basedOn w:val="1"/>
    <w:qFormat/>
    <w:uiPriority w:val="0"/>
    <w:pPr>
      <w:ind w:firstLine="480"/>
      <w:jc w:val="center"/>
    </w:pPr>
    <w:rPr>
      <w:b/>
      <w:sz w:val="21"/>
    </w:rPr>
  </w:style>
  <w:style w:type="character" w:customStyle="1" w:styleId="33">
    <w:name w:val="页眉 字符"/>
    <w:basedOn w:val="28"/>
    <w:link w:val="19"/>
    <w:qFormat/>
    <w:uiPriority w:val="99"/>
    <w:rPr>
      <w:sz w:val="18"/>
      <w:szCs w:val="18"/>
    </w:rPr>
  </w:style>
  <w:style w:type="character" w:customStyle="1" w:styleId="34">
    <w:name w:val="页脚 字符"/>
    <w:basedOn w:val="28"/>
    <w:link w:val="18"/>
    <w:qFormat/>
    <w:uiPriority w:val="99"/>
    <w:rPr>
      <w:rFonts w:eastAsia="宋体"/>
      <w:sz w:val="18"/>
      <w:szCs w:val="18"/>
    </w:rPr>
  </w:style>
  <w:style w:type="character" w:customStyle="1" w:styleId="35">
    <w:name w:val="标题 2 字符"/>
    <w:basedOn w:val="28"/>
    <w:link w:val="3"/>
    <w:qFormat/>
    <w:uiPriority w:val="9"/>
    <w:rPr>
      <w:rFonts w:eastAsia="宋体" w:asciiTheme="majorHAnsi" w:hAnsiTheme="majorHAnsi" w:cstheme="majorBidi"/>
      <w:b/>
      <w:bCs/>
      <w:sz w:val="28"/>
      <w:szCs w:val="32"/>
    </w:rPr>
  </w:style>
  <w:style w:type="character" w:customStyle="1" w:styleId="36">
    <w:name w:val="标题 3 字符"/>
    <w:basedOn w:val="28"/>
    <w:link w:val="4"/>
    <w:qFormat/>
    <w:uiPriority w:val="9"/>
    <w:rPr>
      <w:rFonts w:ascii="Times New Roman" w:hAnsi="Times New Roman" w:eastAsia="宋体" w:cs="Times New Roman"/>
      <w:b/>
      <w:bCs/>
      <w:color w:val="auto"/>
      <w:sz w:val="24"/>
      <w:szCs w:val="32"/>
    </w:rPr>
  </w:style>
  <w:style w:type="character" w:customStyle="1" w:styleId="37">
    <w:name w:val="标题 4 字符"/>
    <w:basedOn w:val="28"/>
    <w:link w:val="6"/>
    <w:qFormat/>
    <w:uiPriority w:val="9"/>
    <w:rPr>
      <w:rFonts w:asciiTheme="majorHAnsi" w:hAnsiTheme="majorHAnsi" w:eastAsiaTheme="majorEastAsia" w:cstheme="majorBidi"/>
      <w:bCs/>
      <w:sz w:val="24"/>
      <w:szCs w:val="28"/>
    </w:rPr>
  </w:style>
  <w:style w:type="character" w:customStyle="1" w:styleId="38">
    <w:name w:val="副标题 字符"/>
    <w:basedOn w:val="28"/>
    <w:link w:val="21"/>
    <w:qFormat/>
    <w:uiPriority w:val="11"/>
    <w:rPr>
      <w:rFonts w:eastAsia="宋体" w:asciiTheme="majorHAnsi" w:hAnsiTheme="majorHAnsi" w:cstheme="majorBidi"/>
      <w:b/>
      <w:bCs/>
      <w:kern w:val="28"/>
      <w:sz w:val="32"/>
      <w:szCs w:val="32"/>
    </w:rPr>
  </w:style>
  <w:style w:type="character" w:customStyle="1" w:styleId="39">
    <w:name w:val="标题 1 字符"/>
    <w:basedOn w:val="28"/>
    <w:link w:val="2"/>
    <w:qFormat/>
    <w:uiPriority w:val="9"/>
    <w:rPr>
      <w:rFonts w:ascii="Times New Roman" w:hAnsi="Times New Roman" w:eastAsia="宋体" w:cs="Times New Roman"/>
      <w:b/>
      <w:bCs/>
      <w:kern w:val="44"/>
      <w:sz w:val="32"/>
      <w:szCs w:val="44"/>
    </w:rPr>
  </w:style>
  <w:style w:type="character" w:customStyle="1" w:styleId="40">
    <w:name w:val="标题 5 字符"/>
    <w:basedOn w:val="28"/>
    <w:link w:val="7"/>
    <w:qFormat/>
    <w:uiPriority w:val="9"/>
    <w:rPr>
      <w:rFonts w:ascii="Times New Roman" w:hAnsi="Times New Roman" w:eastAsia="宋体" w:cs="Times New Roman"/>
      <w:bCs/>
      <w:sz w:val="24"/>
      <w:szCs w:val="28"/>
    </w:rPr>
  </w:style>
  <w:style w:type="paragraph" w:customStyle="1" w:styleId="41">
    <w:name w:val="表内文字"/>
    <w:basedOn w:val="42"/>
    <w:next w:val="1"/>
    <w:qFormat/>
    <w:uiPriority w:val="0"/>
    <w:pPr>
      <w:spacing w:line="240" w:lineRule="auto"/>
      <w:ind w:firstLine="0" w:firstLineChars="0"/>
      <w:jc w:val="center"/>
    </w:pPr>
    <w:rPr>
      <w:sz w:val="21"/>
    </w:rPr>
  </w:style>
  <w:style w:type="paragraph" w:customStyle="1" w:styleId="42">
    <w:name w:val="图名表名"/>
    <w:basedOn w:val="1"/>
    <w:qFormat/>
    <w:uiPriority w:val="0"/>
    <w:pPr>
      <w:spacing w:line="240" w:lineRule="auto"/>
      <w:ind w:firstLine="0" w:firstLineChars="0"/>
      <w:jc w:val="center"/>
    </w:pPr>
    <w:rPr>
      <w:b/>
      <w:sz w:val="21"/>
    </w:rPr>
  </w:style>
  <w:style w:type="paragraph" w:customStyle="1" w:styleId="43">
    <w:name w:val="封面标题"/>
    <w:basedOn w:val="1"/>
    <w:next w:val="1"/>
    <w:qFormat/>
    <w:uiPriority w:val="0"/>
    <w:pPr>
      <w:ind w:firstLine="0" w:firstLineChars="0"/>
      <w:jc w:val="center"/>
    </w:pPr>
    <w:rPr>
      <w:b/>
      <w:sz w:val="32"/>
    </w:rPr>
  </w:style>
  <w:style w:type="paragraph" w:customStyle="1" w:styleId="44">
    <w:name w:val="表格居中"/>
    <w:basedOn w:val="45"/>
    <w:next w:val="1"/>
    <w:qFormat/>
    <w:uiPriority w:val="0"/>
    <w:pPr>
      <w:adjustRightInd w:val="0"/>
      <w:snapToGrid w:val="0"/>
      <w:spacing w:line="288" w:lineRule="auto"/>
      <w:ind w:firstLine="0" w:firstLineChars="0"/>
      <w:jc w:val="center"/>
      <w:textAlignment w:val="center"/>
    </w:pPr>
    <w:rPr>
      <w:rFonts w:ascii="宋体" w:hAnsi="宋体"/>
      <w:kern w:val="22"/>
    </w:rPr>
  </w:style>
  <w:style w:type="paragraph" w:customStyle="1" w:styleId="45">
    <w:name w:val="插图"/>
    <w:basedOn w:val="46"/>
    <w:qFormat/>
    <w:uiPriority w:val="0"/>
    <w:pPr>
      <w:spacing w:line="240" w:lineRule="auto"/>
      <w:ind w:firstLine="0"/>
      <w:jc w:val="center"/>
    </w:pPr>
  </w:style>
  <w:style w:type="paragraph" w:customStyle="1" w:styleId="46">
    <w:name w:val="方案正文"/>
    <w:basedOn w:val="1"/>
    <w:qFormat/>
    <w:uiPriority w:val="0"/>
    <w:pPr>
      <w:adjustRightInd w:val="0"/>
      <w:snapToGrid w:val="0"/>
      <w:spacing w:line="312" w:lineRule="auto"/>
      <w:ind w:firstLine="425"/>
    </w:pPr>
    <w:rPr>
      <w:sz w:val="24"/>
    </w:rPr>
  </w:style>
  <w:style w:type="paragraph" w:customStyle="1" w:styleId="47">
    <w:name w:val="列出段落1"/>
    <w:basedOn w:val="1"/>
    <w:qFormat/>
    <w:uiPriority w:val="34"/>
    <w:pPr>
      <w:ind w:firstLine="420" w:firstLineChars="200"/>
    </w:pPr>
  </w:style>
  <w:style w:type="paragraph" w:customStyle="1" w:styleId="48">
    <w:name w:val="正文C"/>
    <w:basedOn w:val="1"/>
    <w:link w:val="73"/>
    <w:qFormat/>
    <w:uiPriority w:val="0"/>
    <w:pPr>
      <w:widowControl/>
      <w:adjustRightInd w:val="0"/>
      <w:snapToGrid w:val="0"/>
      <w:spacing w:line="360" w:lineRule="auto"/>
      <w:ind w:firstLine="200" w:firstLineChars="200"/>
      <w:jc w:val="left"/>
    </w:pPr>
    <w:rPr>
      <w:rFonts w:ascii="宋体" w:hAnsi="宋体" w:eastAsia="宋体" w:cs="宋体"/>
      <w:color w:val="525252"/>
      <w:kern w:val="0"/>
      <w:sz w:val="24"/>
      <w:szCs w:val="24"/>
    </w:rPr>
  </w:style>
  <w:style w:type="paragraph" w:customStyle="1" w:styleId="49">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styleId="50">
    <w:name w:val="List Paragraph"/>
    <w:basedOn w:val="1"/>
    <w:qFormat/>
    <w:uiPriority w:val="34"/>
    <w:pPr>
      <w:ind w:firstLine="420" w:firstLineChars="200"/>
    </w:pPr>
  </w:style>
  <w:style w:type="paragraph" w:customStyle="1" w:styleId="51">
    <w:name w:val="图表名字"/>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52">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styleId="53">
    <w:name w:val="No Spacing"/>
    <w:qFormat/>
    <w:uiPriority w:val="99"/>
    <w:pPr>
      <w:widowControl w:val="0"/>
      <w:spacing w:line="360" w:lineRule="auto"/>
      <w:jc w:val="center"/>
    </w:pPr>
    <w:rPr>
      <w:rFonts w:ascii="黑体" w:hAnsi="黑体" w:eastAsia="黑体" w:cs="Times New Roman"/>
      <w:sz w:val="21"/>
      <w:lang w:val="en-US" w:eastAsia="zh-CN" w:bidi="ar-SA"/>
    </w:rPr>
  </w:style>
  <w:style w:type="paragraph" w:customStyle="1" w:styleId="54">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5">
    <w:name w:val="余杭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paragraph" w:customStyle="1" w:styleId="56">
    <w:name w:val="余杭表内"/>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57">
    <w:name w:val="正文2"/>
    <w:basedOn w:val="53"/>
    <w:qFormat/>
    <w:uiPriority w:val="0"/>
    <w:pPr>
      <w:adjustRightInd w:val="0"/>
      <w:jc w:val="left"/>
    </w:pPr>
    <w:rPr>
      <w:szCs w:val="28"/>
      <w:lang w:bidi="en-US"/>
    </w:rPr>
  </w:style>
  <w:style w:type="paragraph" w:customStyle="1" w:styleId="58">
    <w:name w:val="无间隔1"/>
    <w:qFormat/>
    <w:uiPriority w:val="0"/>
    <w:pPr>
      <w:widowControl w:val="0"/>
      <w:jc w:val="center"/>
    </w:pPr>
    <w:rPr>
      <w:rFonts w:ascii="宋体" w:hAnsi="Times New Roman" w:eastAsiaTheme="minorEastAsia" w:cstheme="minorBidi"/>
      <w:kern w:val="2"/>
      <w:sz w:val="21"/>
      <w:szCs w:val="22"/>
      <w:lang w:val="en-US" w:eastAsia="zh-CN" w:bidi="ar-SA"/>
    </w:rPr>
  </w:style>
  <w:style w:type="paragraph" w:customStyle="1" w:styleId="59">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60">
    <w:name w:val="Table Paragraph"/>
    <w:basedOn w:val="1"/>
    <w:qFormat/>
    <w:uiPriority w:val="1"/>
    <w:pPr>
      <w:jc w:val="left"/>
    </w:pPr>
    <w:rPr>
      <w:rFonts w:ascii="Calibri" w:hAnsi="Calibri" w:eastAsia="宋体" w:cs="Times New Roman"/>
      <w:kern w:val="0"/>
      <w:sz w:val="22"/>
      <w:lang w:eastAsia="en-US"/>
    </w:rPr>
  </w:style>
  <w:style w:type="paragraph" w:customStyle="1" w:styleId="61">
    <w:name w:val="正文B"/>
    <w:basedOn w:val="1"/>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62">
    <w:name w:val="表格标准"/>
    <w:basedOn w:val="1"/>
    <w:qFormat/>
    <w:uiPriority w:val="0"/>
    <w:pPr>
      <w:jc w:val="center"/>
    </w:pPr>
    <w:rPr>
      <w:rFonts w:ascii="仿宋" w:hAnsi="仿宋" w:eastAsia="仿宋"/>
    </w:rPr>
  </w:style>
  <w:style w:type="paragraph" w:customStyle="1" w:styleId="63">
    <w:name w:val="表格居左"/>
    <w:basedOn w:val="64"/>
    <w:qFormat/>
    <w:uiPriority w:val="7"/>
    <w:pPr>
      <w:ind w:firstLine="0" w:firstLineChars="0"/>
    </w:pPr>
    <w:rPr>
      <w:rFonts w:ascii="Times New Roman" w:cs="Times New Roman"/>
      <w:szCs w:val="21"/>
    </w:rPr>
  </w:style>
  <w:style w:type="paragraph" w:customStyle="1" w:styleId="64">
    <w:name w:val="表格首行缩进"/>
    <w:basedOn w:val="1"/>
    <w:qFormat/>
    <w:uiPriority w:val="0"/>
    <w:pPr>
      <w:adjustRightInd w:val="0"/>
      <w:snapToGrid w:val="0"/>
      <w:spacing w:line="288" w:lineRule="auto"/>
      <w:ind w:firstLine="420"/>
      <w:jc w:val="left"/>
      <w:textAlignment w:val="center"/>
    </w:pPr>
    <w:rPr>
      <w:rFonts w:ascii="宋体" w:cs="宋体"/>
      <w:snapToGrid w:val="0"/>
      <w:kern w:val="0"/>
      <w:szCs w:val="20"/>
    </w:rPr>
  </w:style>
  <w:style w:type="paragraph" w:customStyle="1" w:styleId="65">
    <w:name w:val="WPSOffice手动目录 1"/>
    <w:qFormat/>
    <w:uiPriority w:val="0"/>
    <w:pPr>
      <w:ind w:leftChars="0"/>
    </w:pPr>
    <w:rPr>
      <w:rFonts w:ascii="Times New Roman" w:hAnsi="Times New Roman" w:eastAsia="宋体" w:cs="Times New Roman"/>
      <w:sz w:val="20"/>
      <w:szCs w:val="20"/>
    </w:rPr>
  </w:style>
  <w:style w:type="paragraph" w:customStyle="1" w:styleId="66">
    <w:name w:val="WPSOffice手动目录 2"/>
    <w:qFormat/>
    <w:uiPriority w:val="0"/>
    <w:pPr>
      <w:ind w:leftChars="200"/>
    </w:pPr>
    <w:rPr>
      <w:rFonts w:ascii="Times New Roman" w:hAnsi="Times New Roman" w:eastAsia="宋体" w:cs="Times New Roman"/>
      <w:sz w:val="20"/>
      <w:szCs w:val="20"/>
    </w:rPr>
  </w:style>
  <w:style w:type="paragraph" w:customStyle="1" w:styleId="67">
    <w:name w:val="标题3"/>
    <w:basedOn w:val="68"/>
    <w:qFormat/>
    <w:uiPriority w:val="0"/>
    <w:pPr>
      <w:spacing w:before="20" w:after="20" w:line="360" w:lineRule="auto"/>
      <w:ind w:firstLine="100" w:firstLineChars="100"/>
      <w:outlineLvl w:val="2"/>
    </w:pPr>
    <w:rPr>
      <w:sz w:val="24"/>
    </w:rPr>
  </w:style>
  <w:style w:type="paragraph" w:customStyle="1" w:styleId="68">
    <w:name w:val="标题2"/>
    <w:basedOn w:val="1"/>
    <w:qFormat/>
    <w:uiPriority w:val="0"/>
    <w:pPr>
      <w:spacing w:before="40" w:after="40"/>
      <w:jc w:val="left"/>
      <w:outlineLvl w:val="1"/>
    </w:pPr>
    <w:rPr>
      <w:rFonts w:ascii="宋体" w:hAnsi="宋体"/>
      <w:b/>
      <w:bCs/>
      <w:color w:val="000000"/>
      <w:szCs w:val="24"/>
    </w:rPr>
  </w:style>
  <w:style w:type="paragraph" w:customStyle="1" w:styleId="69">
    <w:name w:val="表格"/>
    <w:basedOn w:val="1"/>
    <w:qFormat/>
    <w:uiPriority w:val="0"/>
    <w:pPr>
      <w:adjustRightInd w:val="0"/>
      <w:snapToGrid w:val="0"/>
      <w:spacing w:line="500" w:lineRule="exact"/>
      <w:ind w:firstLine="200" w:firstLineChars="200"/>
      <w:jc w:val="center"/>
    </w:pPr>
    <w:rPr>
      <w:rFonts w:ascii="仿宋" w:hAnsi="Calibri"/>
      <w:b/>
      <w:szCs w:val="20"/>
    </w:rPr>
  </w:style>
  <w:style w:type="paragraph" w:customStyle="1" w:styleId="70">
    <w:name w:val="表格文字"/>
    <w:basedOn w:val="1"/>
    <w:next w:val="1"/>
    <w:qFormat/>
    <w:uiPriority w:val="0"/>
    <w:pPr>
      <w:adjustRightInd w:val="0"/>
      <w:snapToGrid w:val="0"/>
      <w:spacing w:line="360" w:lineRule="exact"/>
      <w:jc w:val="center"/>
    </w:pPr>
    <w:rPr>
      <w:rFonts w:ascii="宋体" w:hAnsi="宋体" w:eastAsia="宋体" w:cs="宋体"/>
      <w:snapToGrid w:val="0"/>
      <w:kern w:val="0"/>
      <w:szCs w:val="24"/>
    </w:rPr>
  </w:style>
  <w:style w:type="paragraph" w:customStyle="1" w:styleId="71">
    <w:name w:val="正文标题"/>
    <w:basedOn w:val="1"/>
    <w:qFormat/>
    <w:uiPriority w:val="0"/>
    <w:pPr>
      <w:adjustRightInd w:val="0"/>
      <w:snapToGrid w:val="0"/>
      <w:jc w:val="left"/>
    </w:pPr>
    <w:rPr>
      <w:b/>
      <w:sz w:val="28"/>
      <w:szCs w:val="24"/>
    </w:rPr>
  </w:style>
  <w:style w:type="paragraph" w:customStyle="1" w:styleId="72">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character" w:customStyle="1" w:styleId="73">
    <w:name w:val="正文C Char"/>
    <w:link w:val="48"/>
    <w:qFormat/>
    <w:uiPriority w:val="0"/>
    <w:rPr>
      <w:rFonts w:ascii="宋体" w:hAnsi="宋体" w:eastAsia="宋体" w:cs="宋体"/>
      <w:color w:val="525252"/>
      <w:kern w:val="0"/>
      <w:sz w:val="24"/>
      <w:szCs w:val="24"/>
    </w:rPr>
  </w:style>
  <w:style w:type="character" w:customStyle="1" w:styleId="74">
    <w:name w:val="表头 Char"/>
    <w:link w:val="75"/>
    <w:qFormat/>
    <w:uiPriority w:val="0"/>
    <w:rPr>
      <w:rFonts w:ascii="Calibri" w:hAnsi="Calibri"/>
      <w:color w:val="auto"/>
      <w:kern w:val="2"/>
    </w:rPr>
  </w:style>
  <w:style w:type="paragraph" w:customStyle="1" w:styleId="75">
    <w:name w:val="表头"/>
    <w:basedOn w:val="76"/>
    <w:link w:val="74"/>
    <w:qFormat/>
    <w:uiPriority w:val="0"/>
    <w:pPr>
      <w:spacing w:line="300" w:lineRule="auto"/>
    </w:pPr>
    <w:rPr>
      <w:rFonts w:ascii="Calibri" w:hAnsi="Calibri"/>
      <w:color w:val="auto"/>
      <w:kern w:val="2"/>
    </w:rPr>
  </w:style>
  <w:style w:type="paragraph" w:customStyle="1" w:styleId="76">
    <w:name w:val="表格方字"/>
    <w:basedOn w:val="1"/>
    <w:qFormat/>
    <w:uiPriority w:val="0"/>
    <w:pPr>
      <w:adjustRightInd w:val="0"/>
      <w:spacing w:before="60" w:after="60" w:line="420" w:lineRule="atLeast"/>
      <w:jc w:val="left"/>
      <w:textAlignment w:val="baseline"/>
    </w:pPr>
    <w:rPr>
      <w:kern w:val="0"/>
      <w:sz w:val="21"/>
      <w:szCs w:val="20"/>
    </w:rPr>
  </w:style>
  <w:style w:type="paragraph" w:customStyle="1" w:styleId="77">
    <w:name w:val="图表标题"/>
    <w:basedOn w:val="78"/>
    <w:qFormat/>
    <w:uiPriority w:val="0"/>
    <w:pPr>
      <w:adjustRightInd w:val="0"/>
      <w:snapToGrid w:val="0"/>
      <w:jc w:val="center"/>
    </w:pPr>
    <w:rPr>
      <w:rFonts w:eastAsia="黑体" w:asciiTheme="minorHAnsi" w:hAnsiTheme="minorHAnsi"/>
      <w:color w:val="0000FF"/>
      <w:sz w:val="21"/>
    </w:rPr>
  </w:style>
  <w:style w:type="paragraph" w:customStyle="1" w:styleId="78">
    <w:name w:val="正文1"/>
    <w:basedOn w:val="1"/>
    <w:qFormat/>
    <w:uiPriority w:val="0"/>
    <w:pPr>
      <w:overflowPunct w:val="0"/>
      <w:autoSpaceDE w:val="0"/>
      <w:adjustRightInd w:val="0"/>
      <w:snapToGrid w:val="0"/>
      <w:ind w:firstLine="510"/>
      <w:textAlignment w:val="center"/>
    </w:pPr>
    <w:rPr>
      <w:kern w:val="0"/>
      <w:szCs w:val="20"/>
    </w:rPr>
  </w:style>
  <w:style w:type="character" w:customStyle="1" w:styleId="79">
    <w:name w:val="表格内文字"/>
    <w:qFormat/>
    <w:uiPriority w:val="0"/>
    <w:rPr>
      <w:rFonts w:ascii="Times New Roman" w:hAnsi="Times New Roman" w:eastAsia="宋体"/>
      <w:color w:val="auto"/>
      <w:sz w:val="21"/>
    </w:rPr>
  </w:style>
  <w:style w:type="paragraph" w:customStyle="1" w:styleId="80">
    <w:name w:val="70标题表格"/>
    <w:basedOn w:val="1"/>
    <w:next w:val="1"/>
    <w:qFormat/>
    <w:uiPriority w:val="0"/>
    <w:pPr>
      <w:tabs>
        <w:tab w:val="left" w:pos="42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81">
    <w:name w:val="6正文"/>
    <w:basedOn w:val="1"/>
    <w:qFormat/>
    <w:uiPriority w:val="0"/>
    <w:pPr>
      <w:widowControl/>
      <w:adjustRightInd w:val="0"/>
      <w:snapToGrid w:val="0"/>
      <w:spacing w:line="360" w:lineRule="auto"/>
      <w:ind w:firstLine="480" w:firstLineChars="200"/>
    </w:pPr>
    <w:rPr>
      <w:rFonts w:ascii="宋体" w:hAnsi="宋体" w:eastAsia="宋体" w:cs="宋体"/>
      <w:kern w:val="0"/>
      <w:sz w:val="24"/>
      <w:szCs w:val="24"/>
    </w:rPr>
  </w:style>
  <w:style w:type="paragraph" w:customStyle="1" w:styleId="82">
    <w:name w:val="越秀A地块 正文"/>
    <w:basedOn w:val="1"/>
    <w:qFormat/>
    <w:uiPriority w:val="0"/>
    <w:pPr>
      <w:spacing w:line="440" w:lineRule="exact"/>
      <w:ind w:firstLine="480"/>
      <w:jc w:val="left"/>
    </w:pPr>
    <w:rPr>
      <w:rFonts w:ascii="宋体"/>
    </w:rPr>
  </w:style>
  <w:style w:type="paragraph" w:customStyle="1" w:styleId="83">
    <w:name w:val="表格标题"/>
    <w:basedOn w:val="84"/>
    <w:next w:val="1"/>
    <w:qFormat/>
    <w:uiPriority w:val="0"/>
    <w:pPr>
      <w:numPr>
        <w:ilvl w:val="5"/>
      </w:numPr>
      <w:adjustRightInd w:val="0"/>
      <w:spacing w:before="0" w:beforeLines="0"/>
      <w:ind w:firstLine="0"/>
    </w:pPr>
    <w:rPr>
      <w:rFonts w:eastAsia="宋体"/>
    </w:rPr>
  </w:style>
  <w:style w:type="paragraph" w:customStyle="1" w:styleId="84">
    <w:name w:val="图片标题"/>
    <w:next w:val="1"/>
    <w:qFormat/>
    <w:uiPriority w:val="0"/>
    <w:pPr>
      <w:numPr>
        <w:ilvl w:val="4"/>
        <w:numId w:val="3"/>
      </w:numPr>
      <w:spacing w:before="20" w:beforeLines="20" w:line="360" w:lineRule="auto"/>
      <w:ind w:left="0"/>
      <w:jc w:val="center"/>
    </w:pPr>
    <w:rPr>
      <w:rFonts w:ascii="宋体" w:hAnsiTheme="minorHAnsi" w:eastAsiaTheme="minorEastAsia" w:cstheme="minorBidi"/>
      <w:b/>
      <w:kern w:val="2"/>
      <w:sz w:val="21"/>
      <w:szCs w:val="28"/>
      <w:lang w:val="en-US" w:eastAsia="zh-CN" w:bidi="ar-SA"/>
    </w:rPr>
  </w:style>
  <w:style w:type="paragraph" w:customStyle="1" w:styleId="85">
    <w:name w:val="表格文字居中"/>
    <w:basedOn w:val="1"/>
    <w:qFormat/>
    <w:uiPriority w:val="0"/>
    <w:pPr>
      <w:adjustRightInd w:val="0"/>
      <w:snapToGrid w:val="0"/>
      <w:ind w:firstLine="0" w:firstLineChars="0"/>
      <w:jc w:val="center"/>
    </w:pPr>
    <w:rPr>
      <w:rFonts w:ascii="宋体"/>
    </w:rPr>
  </w:style>
  <w:style w:type="table" w:customStyle="1" w:styleId="86">
    <w:name w:val="网格型1"/>
    <w:basedOn w:val="26"/>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88">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7.emf"/><Relationship Id="rId37" Type="http://schemas.openxmlformats.org/officeDocument/2006/relationships/oleObject" Target="embeddings/oleObject1.bin"/><Relationship Id="rId36" Type="http://schemas.openxmlformats.org/officeDocument/2006/relationships/image" Target="media/image16.emf"/><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jpe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U1MjI5MDUxNTYzIiwKCSJHcm91cElkIiA6ICIzNjgxMzUzMCIsCgkiSW1hZ2UiIDogImlWQk9SdzBLR2dvQUFBQU5TVWhFVWdBQUJONEFBQUtnQ0FZQUFBQkVDYkN0QUFBQUFYTlNSMElBcnM0YzZRQUFJQUJKUkVGVWVKenMzWHQ4enZYai8vSG50VjFqWnB0aDVCQUpPU3QwY0lwOGhIUndMQ3BFcEtJaWtwWSt6bWM1UlNLZm1FT0lUeXJSVjJpR0hOYUV5V0Z6V0NFajJweG10bXZidGV2OSsrT3o2LzF6dWJiWnltV3JIdmZiYmJlOHo2L3IycnBlMS92NWZoMGt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Qzc5djhBUmZNQSt1Q25FNndBQUFBQVNVVk9SSzVDWUlJPSIsCgkiVGhlbWUiIDogIiIsCgkiVHlwZSIgOiAiZmxvdyIsCgkiVXNlcklkIiA6ICIyMDEyMTQ5OSIsCgkiVmVyc2lvbiIgOiAiMj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126</Pages>
  <Words>72218</Words>
  <Characters>76826</Characters>
  <Lines>49</Lines>
  <Paragraphs>14</Paragraphs>
  <TotalTime>1</TotalTime>
  <ScaleCrop>false</ScaleCrop>
  <LinksUpToDate>false</LinksUpToDate>
  <CharactersWithSpaces>77575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2019-12-24T07:31:00Z</dcterms:created>
  <dc:creator>刘丹</dc:creator>
  <cp:lastModifiedBy>杭州渝港机械施工有限公司</cp:lastModifiedBy>
  <cp:lastPrinted>2025-09-24T09:39:00Z</cp:lastPrinted>
  <dcterms:modified xsi:type="dcterms:W3CDTF">2025-10-12T01:30:59Z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BA4CE21A2A2448DEBDC25CB3FACC6BA6_13</vt:lpwstr>
  </property>
  <property fmtid="{D5CDD505-2E9C-101B-9397-08002B2CF9AE}" pid="4" name="KSOTemplateDocerSaveRecord">
    <vt:lpwstr>eyJoZGlkIjoiYjMyYjBlMGJhZjI3ZDdiYzUzOWVmOGZjYTMwOWZhYzEiLCJ1c2VySWQiOiIyMDEyMTQ5OSJ9</vt:lpwstr>
  </property>
</Properties>
</file>