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8AF67">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uto"/>
        <w:ind w:firstLine="0" w:firstLineChars="0"/>
        <w:jc w:val="center"/>
        <w:textAlignment w:val="auto"/>
        <w:rPr>
          <w:rFonts w:hint="eastAsia" w:ascii="仿宋" w:hAnsi="仿宋" w:eastAsia="仿宋" w:cs="仿宋"/>
          <w:b/>
          <w:bCs/>
          <w:color w:val="auto"/>
          <w:sz w:val="44"/>
          <w:szCs w:val="44"/>
          <w:lang w:val="en-US" w:eastAsia="zh-CN"/>
        </w:rPr>
        <w:sectPr>
          <w:headerReference r:id="rId5" w:type="default"/>
          <w:footerReference r:id="rId6" w:type="default"/>
          <w:pgSz w:w="11905" w:h="16838"/>
          <w:pgMar w:top="90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bookmarkStart w:id="0" w:name="_Toc12146"/>
      <w:bookmarkStart w:id="1" w:name="_Hlk51268067"/>
      <w:r>
        <w:rPr>
          <w:rFonts w:hint="eastAsia" w:ascii="仿宋" w:hAnsi="仿宋" w:eastAsia="仿宋" w:cs="仿宋"/>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-685800</wp:posOffset>
            </wp:positionH>
            <wp:positionV relativeFrom="paragraph">
              <wp:posOffset>-739140</wp:posOffset>
            </wp:positionV>
            <wp:extent cx="7524750" cy="10641330"/>
            <wp:effectExtent l="0" t="0" r="0" b="7620"/>
            <wp:wrapNone/>
            <wp:docPr id="14" name="图片 14" descr="科斗文封面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科斗文封面签字"/>
                    <pic:cNvPicPr>
                      <a:picLocks noChangeAspect="1"/>
                    </pic:cNvPicPr>
                  </pic:nvPicPr>
                  <pic:blipFill>
                    <a:blip r:embed="rId11"/>
                    <a:stretch>
                      <a:fillRect/>
                    </a:stretch>
                  </pic:blipFill>
                  <pic:spPr>
                    <a:xfrm>
                      <a:off x="0" y="0"/>
                      <a:ext cx="7524750" cy="10641330"/>
                    </a:xfrm>
                    <a:prstGeom prst="rect">
                      <a:avLst/>
                    </a:prstGeom>
                  </pic:spPr>
                </pic:pic>
              </a:graphicData>
            </a:graphic>
          </wp:anchor>
        </w:drawing>
      </w:r>
    </w:p>
    <w:bookmarkEnd w:id="0"/>
    <w:bookmarkEnd w:id="1"/>
    <w:sdt>
      <w:sdtPr>
        <w:rPr>
          <w:rFonts w:ascii="宋体" w:hAnsi="宋体" w:eastAsia="宋体" w:cs="Times New Roman"/>
          <w:kern w:val="2"/>
          <w:sz w:val="21"/>
          <w:szCs w:val="22"/>
          <w:lang w:val="en-US" w:eastAsia="zh-CN" w:bidi="ar-SA"/>
        </w:rPr>
        <w:id w:val="147464734"/>
        <w15:color w:val="DBDBDB"/>
        <w:docPartObj>
          <w:docPartGallery w:val="Table of Contents"/>
          <w:docPartUnique/>
        </w:docPartObj>
      </w:sdtPr>
      <w:sdtEndPr>
        <w:rPr>
          <w:rFonts w:hint="default" w:ascii="Times New Roman" w:hAnsi="Times New Roman" w:eastAsia="仿宋" w:cs="Times New Roman"/>
          <w:kern w:val="0"/>
          <w:sz w:val="22"/>
          <w:szCs w:val="22"/>
          <w:lang w:val="en-US" w:eastAsia="zh-CN" w:bidi="ar-SA"/>
        </w:rPr>
      </w:sdtEndPr>
      <w:sdtContent>
        <w:p w14:paraId="3F401212">
          <w:pPr>
            <w:spacing w:before="0" w:beforeLines="0" w:after="0" w:afterLines="0" w:line="240" w:lineRule="auto"/>
            <w:ind w:left="0" w:leftChars="0" w:right="0" w:rightChars="0" w:firstLine="0" w:firstLineChars="0"/>
            <w:jc w:val="center"/>
            <w:rPr>
              <w:sz w:val="28"/>
              <w:szCs w:val="24"/>
            </w:rPr>
          </w:pPr>
          <w:r>
            <w:rPr>
              <w:rFonts w:ascii="宋体" w:hAnsi="宋体" w:eastAsia="宋体"/>
              <w:sz w:val="22"/>
              <w:szCs w:val="24"/>
            </w:rPr>
            <w:t>目</w:t>
          </w:r>
          <w:r>
            <w:rPr>
              <w:rFonts w:hint="eastAsia" w:ascii="宋体" w:hAnsi="宋体" w:eastAsia="宋体"/>
              <w:sz w:val="22"/>
              <w:szCs w:val="24"/>
              <w:lang w:val="en-US" w:eastAsia="zh-CN"/>
            </w:rPr>
            <w:t xml:space="preserve">  </w:t>
          </w:r>
          <w:r>
            <w:rPr>
              <w:rFonts w:ascii="宋体" w:hAnsi="宋体" w:eastAsia="宋体"/>
              <w:sz w:val="22"/>
              <w:szCs w:val="24"/>
            </w:rPr>
            <w:t>录</w:t>
          </w:r>
        </w:p>
        <w:p w14:paraId="4F227782">
          <w:pPr>
            <w:pStyle w:val="21"/>
            <w:tabs>
              <w:tab w:val="right" w:leader="dot" w:pos="8306"/>
            </w:tabs>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TOC \o "1-2" \h \u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_Toc29353 </w:instrText>
          </w:r>
          <w:r>
            <w:rPr>
              <w:rFonts w:hint="default" w:ascii="Times New Roman" w:hAnsi="Times New Roman" w:eastAsia="仿宋" w:cs="Times New Roman"/>
              <w:szCs w:val="24"/>
            </w:rPr>
            <w:fldChar w:fldCharType="separate"/>
          </w:r>
          <w:r>
            <w:rPr>
              <w:rFonts w:hint="eastAsia"/>
              <w:lang w:val="en-US" w:eastAsia="zh-CN"/>
            </w:rPr>
            <w:t>1概述</w:t>
          </w:r>
          <w:r>
            <w:tab/>
          </w:r>
          <w:r>
            <w:fldChar w:fldCharType="begin"/>
          </w:r>
          <w:r>
            <w:instrText xml:space="preserve"> PAGEREF _Toc29353 \h </w:instrText>
          </w:r>
          <w:r>
            <w:fldChar w:fldCharType="separate"/>
          </w:r>
          <w:r>
            <w:t>3</w:t>
          </w:r>
          <w:r>
            <w:fldChar w:fldCharType="end"/>
          </w:r>
          <w:r>
            <w:rPr>
              <w:rFonts w:hint="default" w:ascii="Times New Roman" w:hAnsi="Times New Roman" w:eastAsia="仿宋" w:cs="Times New Roman"/>
              <w:szCs w:val="24"/>
            </w:rPr>
            <w:fldChar w:fldCharType="end"/>
          </w:r>
        </w:p>
        <w:p w14:paraId="2E715740">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_Toc12963 </w:instrText>
          </w:r>
          <w:r>
            <w:rPr>
              <w:rFonts w:hint="default" w:ascii="Times New Roman" w:hAnsi="Times New Roman" w:eastAsia="仿宋" w:cs="Times New Roman"/>
              <w:szCs w:val="24"/>
            </w:rPr>
            <w:fldChar w:fldCharType="separate"/>
          </w:r>
          <w:r>
            <w:rPr>
              <w:rFonts w:hint="eastAsia"/>
              <w:lang w:val="en-US" w:eastAsia="zh-CN"/>
            </w:rPr>
            <w:t>1.1 工序基本情况</w:t>
          </w:r>
          <w:r>
            <w:tab/>
          </w:r>
          <w:r>
            <w:fldChar w:fldCharType="begin"/>
          </w:r>
          <w:r>
            <w:instrText xml:space="preserve"> PAGEREF _Toc12963 \h </w:instrText>
          </w:r>
          <w:r>
            <w:fldChar w:fldCharType="separate"/>
          </w:r>
          <w:r>
            <w:t>3</w:t>
          </w:r>
          <w:r>
            <w:fldChar w:fldCharType="end"/>
          </w:r>
          <w:r>
            <w:rPr>
              <w:rFonts w:hint="default" w:ascii="Times New Roman" w:hAnsi="Times New Roman" w:eastAsia="仿宋" w:cs="Times New Roman"/>
              <w:szCs w:val="24"/>
            </w:rPr>
            <w:fldChar w:fldCharType="end"/>
          </w:r>
        </w:p>
        <w:p w14:paraId="4F28C152">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_Toc14933 </w:instrText>
          </w:r>
          <w:r>
            <w:rPr>
              <w:rFonts w:hint="default" w:ascii="Times New Roman" w:hAnsi="Times New Roman" w:eastAsia="仿宋" w:cs="Times New Roman"/>
              <w:szCs w:val="24"/>
            </w:rPr>
            <w:fldChar w:fldCharType="separate"/>
          </w:r>
          <w:r>
            <w:rPr>
              <w:rFonts w:hint="eastAsia"/>
              <w:lang w:val="en-US" w:eastAsia="zh-CN"/>
            </w:rPr>
            <w:t>1.2 结构概况</w:t>
          </w:r>
          <w:r>
            <w:tab/>
          </w:r>
          <w:r>
            <w:fldChar w:fldCharType="begin"/>
          </w:r>
          <w:r>
            <w:instrText xml:space="preserve"> PAGEREF _Toc14933 \h </w:instrText>
          </w:r>
          <w:r>
            <w:fldChar w:fldCharType="separate"/>
          </w:r>
          <w:r>
            <w:t>3</w:t>
          </w:r>
          <w:r>
            <w:fldChar w:fldCharType="end"/>
          </w:r>
          <w:r>
            <w:rPr>
              <w:rFonts w:hint="default" w:ascii="Times New Roman" w:hAnsi="Times New Roman" w:eastAsia="仿宋" w:cs="Times New Roman"/>
              <w:szCs w:val="24"/>
            </w:rPr>
            <w:fldChar w:fldCharType="end"/>
          </w:r>
        </w:p>
        <w:p w14:paraId="47D5770F">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_Toc10834 </w:instrText>
          </w:r>
          <w:r>
            <w:rPr>
              <w:rFonts w:hint="default" w:ascii="Times New Roman" w:hAnsi="Times New Roman" w:eastAsia="仿宋" w:cs="Times New Roman"/>
              <w:szCs w:val="24"/>
            </w:rPr>
            <w:fldChar w:fldCharType="separate"/>
          </w:r>
          <w:r>
            <w:rPr>
              <w:rFonts w:hint="eastAsia"/>
              <w:lang w:val="en-US" w:eastAsia="zh-CN"/>
            </w:rPr>
            <w:t>2 施工步骤及要点</w:t>
          </w:r>
          <w:r>
            <w:tab/>
          </w:r>
          <w:r>
            <w:fldChar w:fldCharType="begin"/>
          </w:r>
          <w:r>
            <w:instrText xml:space="preserve"> PAGEREF _Toc10834 \h </w:instrText>
          </w:r>
          <w:r>
            <w:fldChar w:fldCharType="separate"/>
          </w:r>
          <w:r>
            <w:t>8</w:t>
          </w:r>
          <w:r>
            <w:fldChar w:fldCharType="end"/>
          </w:r>
          <w:r>
            <w:rPr>
              <w:rFonts w:hint="default" w:ascii="Times New Roman" w:hAnsi="Times New Roman" w:eastAsia="仿宋" w:cs="Times New Roman"/>
              <w:szCs w:val="24"/>
            </w:rPr>
            <w:fldChar w:fldCharType="end"/>
          </w:r>
        </w:p>
        <w:p w14:paraId="5CEF63F1">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_Toc27471 </w:instrText>
          </w:r>
          <w:r>
            <w:rPr>
              <w:rFonts w:hint="default" w:ascii="Times New Roman" w:hAnsi="Times New Roman" w:eastAsia="仿宋" w:cs="Times New Roman"/>
              <w:szCs w:val="24"/>
            </w:rPr>
            <w:fldChar w:fldCharType="separate"/>
          </w:r>
          <w:r>
            <w:rPr>
              <w:rFonts w:hint="eastAsia"/>
              <w:lang w:val="en-US" w:eastAsia="zh-CN"/>
            </w:rPr>
            <w:t>2.1 降节</w:t>
          </w:r>
          <w:r>
            <w:tab/>
          </w:r>
          <w:r>
            <w:fldChar w:fldCharType="begin"/>
          </w:r>
          <w:r>
            <w:instrText xml:space="preserve"> PAGEREF _Toc27471 \h </w:instrText>
          </w:r>
          <w:r>
            <w:fldChar w:fldCharType="separate"/>
          </w:r>
          <w:r>
            <w:t>8</w:t>
          </w:r>
          <w:r>
            <w:fldChar w:fldCharType="end"/>
          </w:r>
          <w:r>
            <w:rPr>
              <w:rFonts w:hint="default" w:ascii="Times New Roman" w:hAnsi="Times New Roman" w:eastAsia="仿宋" w:cs="Times New Roman"/>
              <w:szCs w:val="24"/>
            </w:rPr>
            <w:fldChar w:fldCharType="end"/>
          </w:r>
        </w:p>
        <w:p w14:paraId="2C1FB4FF">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_Toc17130 </w:instrText>
          </w:r>
          <w:r>
            <w:rPr>
              <w:rFonts w:hint="default" w:ascii="Times New Roman" w:hAnsi="Times New Roman" w:eastAsia="仿宋" w:cs="Times New Roman"/>
              <w:szCs w:val="24"/>
            </w:rPr>
            <w:fldChar w:fldCharType="separate"/>
          </w:r>
          <w:r>
            <w:rPr>
              <w:rFonts w:hint="eastAsia"/>
              <w:lang w:val="en-US" w:eastAsia="zh-CN"/>
            </w:rPr>
            <w:t>2.2</w:t>
          </w:r>
          <w:r>
            <w:rPr>
              <w:rFonts w:hint="eastAsia"/>
            </w:rPr>
            <w:t>附着拆除</w:t>
          </w:r>
          <w:r>
            <w:tab/>
          </w:r>
          <w:r>
            <w:fldChar w:fldCharType="begin"/>
          </w:r>
          <w:r>
            <w:instrText xml:space="preserve"> PAGEREF _Toc17130 \h </w:instrText>
          </w:r>
          <w:r>
            <w:fldChar w:fldCharType="separate"/>
          </w:r>
          <w:r>
            <w:t>9</w:t>
          </w:r>
          <w:r>
            <w:fldChar w:fldCharType="end"/>
          </w:r>
          <w:r>
            <w:rPr>
              <w:rFonts w:hint="default" w:ascii="Times New Roman" w:hAnsi="Times New Roman" w:eastAsia="仿宋" w:cs="Times New Roman"/>
              <w:szCs w:val="24"/>
            </w:rPr>
            <w:fldChar w:fldCharType="end"/>
          </w:r>
        </w:p>
        <w:p w14:paraId="2021AC43">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_Toc17428 </w:instrText>
          </w:r>
          <w:r>
            <w:rPr>
              <w:rFonts w:hint="default" w:ascii="Times New Roman" w:hAnsi="Times New Roman" w:eastAsia="仿宋" w:cs="Times New Roman"/>
              <w:szCs w:val="24"/>
            </w:rPr>
            <w:fldChar w:fldCharType="separate"/>
          </w:r>
          <w:r>
            <w:rPr>
              <w:rFonts w:hint="eastAsia"/>
              <w:lang w:val="en-US" w:eastAsia="zh-CN"/>
            </w:rPr>
            <w:t>2.3拆除部分平衡重</w:t>
          </w:r>
          <w:r>
            <w:tab/>
          </w:r>
          <w:r>
            <w:fldChar w:fldCharType="begin"/>
          </w:r>
          <w:r>
            <w:instrText xml:space="preserve"> PAGEREF _Toc17428 \h </w:instrText>
          </w:r>
          <w:r>
            <w:fldChar w:fldCharType="separate"/>
          </w:r>
          <w:r>
            <w:t>11</w:t>
          </w:r>
          <w:r>
            <w:fldChar w:fldCharType="end"/>
          </w:r>
          <w:r>
            <w:rPr>
              <w:rFonts w:hint="default" w:ascii="Times New Roman" w:hAnsi="Times New Roman" w:eastAsia="仿宋" w:cs="Times New Roman"/>
              <w:szCs w:val="24"/>
            </w:rPr>
            <w:fldChar w:fldCharType="end"/>
          </w:r>
        </w:p>
        <w:p w14:paraId="14959FAF">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_Toc24984 </w:instrText>
          </w:r>
          <w:r>
            <w:rPr>
              <w:rFonts w:hint="default" w:ascii="Times New Roman" w:hAnsi="Times New Roman" w:eastAsia="仿宋" w:cs="Times New Roman"/>
              <w:szCs w:val="24"/>
            </w:rPr>
            <w:fldChar w:fldCharType="separate"/>
          </w:r>
          <w:r>
            <w:rPr>
              <w:rFonts w:hint="eastAsia"/>
              <w:lang w:val="en-US" w:eastAsia="zh-CN"/>
            </w:rPr>
            <w:t>2.4拆除起重臂</w:t>
          </w:r>
          <w:r>
            <w:tab/>
          </w:r>
          <w:r>
            <w:fldChar w:fldCharType="begin"/>
          </w:r>
          <w:r>
            <w:instrText xml:space="preserve"> PAGEREF _Toc24984 \h </w:instrText>
          </w:r>
          <w:r>
            <w:fldChar w:fldCharType="separate"/>
          </w:r>
          <w:r>
            <w:t>12</w:t>
          </w:r>
          <w:r>
            <w:fldChar w:fldCharType="end"/>
          </w:r>
          <w:r>
            <w:rPr>
              <w:rFonts w:hint="default" w:ascii="Times New Roman" w:hAnsi="Times New Roman" w:eastAsia="仿宋" w:cs="Times New Roman"/>
              <w:szCs w:val="24"/>
            </w:rPr>
            <w:fldChar w:fldCharType="end"/>
          </w:r>
        </w:p>
        <w:p w14:paraId="5DE04B3A">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_Toc15153 </w:instrText>
          </w:r>
          <w:r>
            <w:rPr>
              <w:rFonts w:hint="default" w:ascii="Times New Roman" w:hAnsi="Times New Roman" w:eastAsia="仿宋" w:cs="Times New Roman"/>
              <w:szCs w:val="24"/>
            </w:rPr>
            <w:fldChar w:fldCharType="separate"/>
          </w:r>
          <w:r>
            <w:rPr>
              <w:rFonts w:hint="eastAsia"/>
              <w:lang w:val="en-US" w:eastAsia="zh-CN"/>
            </w:rPr>
            <w:t>2.5拆除剩余平衡重</w:t>
          </w:r>
          <w:r>
            <w:tab/>
          </w:r>
          <w:r>
            <w:fldChar w:fldCharType="begin"/>
          </w:r>
          <w:r>
            <w:instrText xml:space="preserve"> PAGEREF _Toc15153 \h </w:instrText>
          </w:r>
          <w:r>
            <w:fldChar w:fldCharType="separate"/>
          </w:r>
          <w:r>
            <w:t>14</w:t>
          </w:r>
          <w:r>
            <w:fldChar w:fldCharType="end"/>
          </w:r>
          <w:r>
            <w:rPr>
              <w:rFonts w:hint="default" w:ascii="Times New Roman" w:hAnsi="Times New Roman" w:eastAsia="仿宋" w:cs="Times New Roman"/>
              <w:szCs w:val="24"/>
            </w:rPr>
            <w:fldChar w:fldCharType="end"/>
          </w:r>
        </w:p>
        <w:p w14:paraId="72EE3E53">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_Toc6247 </w:instrText>
          </w:r>
          <w:r>
            <w:rPr>
              <w:rFonts w:hint="default" w:ascii="Times New Roman" w:hAnsi="Times New Roman" w:eastAsia="仿宋" w:cs="Times New Roman"/>
              <w:szCs w:val="24"/>
            </w:rPr>
            <w:fldChar w:fldCharType="separate"/>
          </w:r>
          <w:r>
            <w:rPr>
              <w:rFonts w:hint="eastAsia"/>
              <w:lang w:val="en-US" w:eastAsia="zh-CN"/>
            </w:rPr>
            <w:t>2.6拆除平衡臂</w:t>
          </w:r>
          <w:r>
            <w:tab/>
          </w:r>
          <w:r>
            <w:fldChar w:fldCharType="begin"/>
          </w:r>
          <w:r>
            <w:instrText xml:space="preserve"> PAGEREF _Toc6247 \h </w:instrText>
          </w:r>
          <w:r>
            <w:fldChar w:fldCharType="separate"/>
          </w:r>
          <w:r>
            <w:t>15</w:t>
          </w:r>
          <w:r>
            <w:fldChar w:fldCharType="end"/>
          </w:r>
          <w:r>
            <w:rPr>
              <w:rFonts w:hint="default" w:ascii="Times New Roman" w:hAnsi="Times New Roman" w:eastAsia="仿宋" w:cs="Times New Roman"/>
              <w:szCs w:val="24"/>
            </w:rPr>
            <w:fldChar w:fldCharType="end"/>
          </w:r>
        </w:p>
        <w:p w14:paraId="680CAC9A">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_Toc374 </w:instrText>
          </w:r>
          <w:r>
            <w:rPr>
              <w:rFonts w:hint="default" w:ascii="Times New Roman" w:hAnsi="Times New Roman" w:eastAsia="仿宋" w:cs="Times New Roman"/>
              <w:szCs w:val="24"/>
            </w:rPr>
            <w:fldChar w:fldCharType="separate"/>
          </w:r>
          <w:r>
            <w:rPr>
              <w:rFonts w:hint="eastAsia"/>
              <w:lang w:val="en-US" w:eastAsia="zh-CN"/>
            </w:rPr>
            <w:t>2.7拆卸</w:t>
          </w:r>
          <w:r>
            <w:rPr>
              <w:rFonts w:hint="eastAsia"/>
            </w:rPr>
            <w:t>起重臂</w:t>
          </w:r>
          <w:r>
            <w:rPr>
              <w:rFonts w:hint="eastAsia"/>
              <w:lang w:val="en-US" w:eastAsia="zh-CN"/>
            </w:rPr>
            <w:t>臂根节</w:t>
          </w:r>
          <w:r>
            <w:tab/>
          </w:r>
          <w:r>
            <w:fldChar w:fldCharType="begin"/>
          </w:r>
          <w:r>
            <w:instrText xml:space="preserve"> PAGEREF _Toc374 \h </w:instrText>
          </w:r>
          <w:r>
            <w:fldChar w:fldCharType="separate"/>
          </w:r>
          <w:r>
            <w:t>17</w:t>
          </w:r>
          <w:r>
            <w:fldChar w:fldCharType="end"/>
          </w:r>
          <w:r>
            <w:rPr>
              <w:rFonts w:hint="default" w:ascii="Times New Roman" w:hAnsi="Times New Roman" w:eastAsia="仿宋" w:cs="Times New Roman"/>
              <w:szCs w:val="24"/>
            </w:rPr>
            <w:fldChar w:fldCharType="end"/>
          </w:r>
        </w:p>
        <w:p w14:paraId="11348550">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_Toc18471 </w:instrText>
          </w:r>
          <w:r>
            <w:rPr>
              <w:rFonts w:hint="default" w:ascii="Times New Roman" w:hAnsi="Times New Roman" w:eastAsia="仿宋" w:cs="Times New Roman"/>
              <w:szCs w:val="24"/>
            </w:rPr>
            <w:fldChar w:fldCharType="separate"/>
          </w:r>
          <w:r>
            <w:rPr>
              <w:rFonts w:hint="eastAsia"/>
              <w:lang w:val="en-US" w:eastAsia="zh-CN"/>
            </w:rPr>
            <w:t>2.8拆除司机室、回转总成</w:t>
          </w:r>
          <w:r>
            <w:tab/>
          </w:r>
          <w:r>
            <w:fldChar w:fldCharType="begin"/>
          </w:r>
          <w:r>
            <w:instrText xml:space="preserve"> PAGEREF _Toc18471 \h </w:instrText>
          </w:r>
          <w:r>
            <w:fldChar w:fldCharType="separate"/>
          </w:r>
          <w:r>
            <w:t>17</w:t>
          </w:r>
          <w:r>
            <w:fldChar w:fldCharType="end"/>
          </w:r>
          <w:r>
            <w:rPr>
              <w:rFonts w:hint="default" w:ascii="Times New Roman" w:hAnsi="Times New Roman" w:eastAsia="仿宋" w:cs="Times New Roman"/>
              <w:szCs w:val="24"/>
            </w:rPr>
            <w:fldChar w:fldCharType="end"/>
          </w:r>
        </w:p>
        <w:p w14:paraId="45A9CF68">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_Toc8870 </w:instrText>
          </w:r>
          <w:r>
            <w:rPr>
              <w:rFonts w:hint="default" w:ascii="Times New Roman" w:hAnsi="Times New Roman" w:eastAsia="仿宋" w:cs="Times New Roman"/>
              <w:szCs w:val="24"/>
            </w:rPr>
            <w:fldChar w:fldCharType="separate"/>
          </w:r>
          <w:r>
            <w:rPr>
              <w:rFonts w:hint="eastAsia"/>
              <w:lang w:val="en-US" w:eastAsia="zh-CN"/>
            </w:rPr>
            <w:t>2.9拆除特殊节</w:t>
          </w:r>
          <w:r>
            <w:tab/>
          </w:r>
          <w:r>
            <w:fldChar w:fldCharType="begin"/>
          </w:r>
          <w:r>
            <w:instrText xml:space="preserve"> PAGEREF _Toc8870 \h </w:instrText>
          </w:r>
          <w:r>
            <w:fldChar w:fldCharType="separate"/>
          </w:r>
          <w:r>
            <w:t>18</w:t>
          </w:r>
          <w:r>
            <w:fldChar w:fldCharType="end"/>
          </w:r>
          <w:r>
            <w:rPr>
              <w:rFonts w:hint="default" w:ascii="Times New Roman" w:hAnsi="Times New Roman" w:eastAsia="仿宋" w:cs="Times New Roman"/>
              <w:szCs w:val="24"/>
            </w:rPr>
            <w:fldChar w:fldCharType="end"/>
          </w:r>
        </w:p>
        <w:p w14:paraId="72A17DC9">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_Toc10978 </w:instrText>
          </w:r>
          <w:r>
            <w:rPr>
              <w:rFonts w:hint="default" w:ascii="Times New Roman" w:hAnsi="Times New Roman" w:eastAsia="仿宋" w:cs="Times New Roman"/>
              <w:szCs w:val="24"/>
            </w:rPr>
            <w:fldChar w:fldCharType="separate"/>
          </w:r>
          <w:r>
            <w:rPr>
              <w:rFonts w:hint="eastAsia"/>
              <w:lang w:val="en-US" w:eastAsia="zh-CN"/>
            </w:rPr>
            <w:t>2.10拆除爬升架与剩余塔身</w:t>
          </w:r>
          <w:r>
            <w:tab/>
          </w:r>
          <w:r>
            <w:fldChar w:fldCharType="begin"/>
          </w:r>
          <w:r>
            <w:instrText xml:space="preserve"> PAGEREF _Toc10978 \h </w:instrText>
          </w:r>
          <w:r>
            <w:fldChar w:fldCharType="separate"/>
          </w:r>
          <w:r>
            <w:t>19</w:t>
          </w:r>
          <w:r>
            <w:fldChar w:fldCharType="end"/>
          </w:r>
          <w:r>
            <w:rPr>
              <w:rFonts w:hint="default" w:ascii="Times New Roman" w:hAnsi="Times New Roman" w:eastAsia="仿宋" w:cs="Times New Roman"/>
              <w:szCs w:val="24"/>
            </w:rPr>
            <w:fldChar w:fldCharType="end"/>
          </w:r>
        </w:p>
        <w:p w14:paraId="39EBA0C8">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_Toc8371 </w:instrText>
          </w:r>
          <w:r>
            <w:rPr>
              <w:rFonts w:hint="default" w:ascii="Times New Roman" w:hAnsi="Times New Roman" w:eastAsia="仿宋" w:cs="Times New Roman"/>
              <w:szCs w:val="24"/>
            </w:rPr>
            <w:fldChar w:fldCharType="separate"/>
          </w:r>
          <w:r>
            <w:rPr>
              <w:rFonts w:hint="eastAsia"/>
              <w:lang w:val="en-US" w:eastAsia="zh-CN"/>
            </w:rPr>
            <w:t>2.11风险与应对措施</w:t>
          </w:r>
          <w:r>
            <w:tab/>
          </w:r>
          <w:r>
            <w:fldChar w:fldCharType="begin"/>
          </w:r>
          <w:r>
            <w:instrText xml:space="preserve"> PAGEREF _Toc8371 \h </w:instrText>
          </w:r>
          <w:r>
            <w:fldChar w:fldCharType="separate"/>
          </w:r>
          <w:r>
            <w:t>21</w:t>
          </w:r>
          <w:r>
            <w:fldChar w:fldCharType="end"/>
          </w:r>
          <w:r>
            <w:rPr>
              <w:rFonts w:hint="default" w:ascii="Times New Roman" w:hAnsi="Times New Roman" w:eastAsia="仿宋" w:cs="Times New Roman"/>
              <w:szCs w:val="24"/>
            </w:rPr>
            <w:fldChar w:fldCharType="end"/>
          </w:r>
        </w:p>
        <w:p w14:paraId="1F7415F0">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_Toc21159 </w:instrText>
          </w:r>
          <w:r>
            <w:rPr>
              <w:rFonts w:hint="default" w:ascii="Times New Roman" w:hAnsi="Times New Roman" w:eastAsia="仿宋" w:cs="Times New Roman"/>
              <w:szCs w:val="24"/>
            </w:rPr>
            <w:fldChar w:fldCharType="separate"/>
          </w:r>
          <w:r>
            <w:rPr>
              <w:rFonts w:hint="eastAsia"/>
              <w:lang w:val="en-US" w:eastAsia="zh-CN"/>
            </w:rPr>
            <w:t>3 质量安全环保要求</w:t>
          </w:r>
          <w:r>
            <w:tab/>
          </w:r>
          <w:r>
            <w:fldChar w:fldCharType="begin"/>
          </w:r>
          <w:r>
            <w:instrText xml:space="preserve"> PAGEREF _Toc21159 \h </w:instrText>
          </w:r>
          <w:r>
            <w:fldChar w:fldCharType="separate"/>
          </w:r>
          <w:r>
            <w:t>25</w:t>
          </w:r>
          <w:r>
            <w:fldChar w:fldCharType="end"/>
          </w:r>
          <w:r>
            <w:rPr>
              <w:rFonts w:hint="default" w:ascii="Times New Roman" w:hAnsi="Times New Roman" w:eastAsia="仿宋" w:cs="Times New Roman"/>
              <w:szCs w:val="24"/>
            </w:rPr>
            <w:fldChar w:fldCharType="end"/>
          </w:r>
        </w:p>
        <w:p w14:paraId="425F1584">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_Toc1476 </w:instrText>
          </w:r>
          <w:r>
            <w:rPr>
              <w:rFonts w:hint="default" w:ascii="Times New Roman" w:hAnsi="Times New Roman" w:eastAsia="仿宋" w:cs="Times New Roman"/>
              <w:szCs w:val="24"/>
            </w:rPr>
            <w:fldChar w:fldCharType="separate"/>
          </w:r>
          <w:r>
            <w:rPr>
              <w:rFonts w:hint="eastAsia"/>
              <w:lang w:val="en-US" w:eastAsia="zh-CN"/>
            </w:rPr>
            <w:t>4 施工管理及作业人员配备和分工</w:t>
          </w:r>
          <w:r>
            <w:tab/>
          </w:r>
          <w:r>
            <w:fldChar w:fldCharType="begin"/>
          </w:r>
          <w:r>
            <w:instrText xml:space="preserve"> PAGEREF _Toc1476 \h </w:instrText>
          </w:r>
          <w:r>
            <w:fldChar w:fldCharType="separate"/>
          </w:r>
          <w:r>
            <w:t>26</w:t>
          </w:r>
          <w:r>
            <w:fldChar w:fldCharType="end"/>
          </w:r>
          <w:r>
            <w:rPr>
              <w:rFonts w:hint="default" w:ascii="Times New Roman" w:hAnsi="Times New Roman" w:eastAsia="仿宋" w:cs="Times New Roman"/>
              <w:szCs w:val="24"/>
            </w:rPr>
            <w:fldChar w:fldCharType="end"/>
          </w:r>
        </w:p>
        <w:p w14:paraId="041A21D8">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_Toc18415 </w:instrText>
          </w:r>
          <w:r>
            <w:rPr>
              <w:rFonts w:hint="default" w:ascii="Times New Roman" w:hAnsi="Times New Roman" w:eastAsia="仿宋" w:cs="Times New Roman"/>
              <w:szCs w:val="24"/>
            </w:rPr>
            <w:fldChar w:fldCharType="separate"/>
          </w:r>
          <w:r>
            <w:rPr>
              <w:rFonts w:hint="eastAsia"/>
              <w:lang w:val="en-US" w:eastAsia="zh-CN"/>
            </w:rPr>
            <w:t>4 .1施工管理人员</w:t>
          </w:r>
          <w:r>
            <w:tab/>
          </w:r>
          <w:r>
            <w:fldChar w:fldCharType="begin"/>
          </w:r>
          <w:r>
            <w:instrText xml:space="preserve"> PAGEREF _Toc18415 \h </w:instrText>
          </w:r>
          <w:r>
            <w:fldChar w:fldCharType="separate"/>
          </w:r>
          <w:r>
            <w:t>26</w:t>
          </w:r>
          <w:r>
            <w:fldChar w:fldCharType="end"/>
          </w:r>
          <w:r>
            <w:rPr>
              <w:rFonts w:hint="default" w:ascii="Times New Roman" w:hAnsi="Times New Roman" w:eastAsia="仿宋" w:cs="Times New Roman"/>
              <w:szCs w:val="24"/>
            </w:rPr>
            <w:fldChar w:fldCharType="end"/>
          </w:r>
        </w:p>
        <w:p w14:paraId="6D4D85A9">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_Toc2975 </w:instrText>
          </w:r>
          <w:r>
            <w:rPr>
              <w:rFonts w:hint="default" w:ascii="Times New Roman" w:hAnsi="Times New Roman" w:eastAsia="仿宋" w:cs="Times New Roman"/>
              <w:szCs w:val="24"/>
            </w:rPr>
            <w:fldChar w:fldCharType="separate"/>
          </w:r>
          <w:r>
            <w:rPr>
              <w:rFonts w:hint="eastAsia"/>
              <w:lang w:val="en-US" w:eastAsia="zh-CN"/>
            </w:rPr>
            <w:t>4.2专职安全生产管理人员</w:t>
          </w:r>
          <w:r>
            <w:tab/>
          </w:r>
          <w:r>
            <w:fldChar w:fldCharType="begin"/>
          </w:r>
          <w:r>
            <w:instrText xml:space="preserve"> PAGEREF _Toc2975 \h </w:instrText>
          </w:r>
          <w:r>
            <w:fldChar w:fldCharType="separate"/>
          </w:r>
          <w:r>
            <w:t>26</w:t>
          </w:r>
          <w:r>
            <w:fldChar w:fldCharType="end"/>
          </w:r>
          <w:r>
            <w:rPr>
              <w:rFonts w:hint="default" w:ascii="Times New Roman" w:hAnsi="Times New Roman" w:eastAsia="仿宋" w:cs="Times New Roman"/>
              <w:szCs w:val="24"/>
            </w:rPr>
            <w:fldChar w:fldCharType="end"/>
          </w:r>
        </w:p>
        <w:p w14:paraId="72977665">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_Toc3048 </w:instrText>
          </w:r>
          <w:r>
            <w:rPr>
              <w:rFonts w:hint="default" w:ascii="Times New Roman" w:hAnsi="Times New Roman" w:eastAsia="仿宋" w:cs="Times New Roman"/>
              <w:szCs w:val="24"/>
            </w:rPr>
            <w:fldChar w:fldCharType="separate"/>
          </w:r>
          <w:r>
            <w:rPr>
              <w:rFonts w:hint="eastAsia"/>
              <w:lang w:val="en-US" w:eastAsia="zh-CN"/>
            </w:rPr>
            <w:t>4.3特种作业人员</w:t>
          </w:r>
          <w:r>
            <w:tab/>
          </w:r>
          <w:r>
            <w:fldChar w:fldCharType="begin"/>
          </w:r>
          <w:r>
            <w:instrText xml:space="preserve"> PAGEREF _Toc3048 \h </w:instrText>
          </w:r>
          <w:r>
            <w:fldChar w:fldCharType="separate"/>
          </w:r>
          <w:r>
            <w:t>27</w:t>
          </w:r>
          <w:r>
            <w:fldChar w:fldCharType="end"/>
          </w:r>
          <w:r>
            <w:rPr>
              <w:rFonts w:hint="default" w:ascii="Times New Roman" w:hAnsi="Times New Roman" w:eastAsia="仿宋" w:cs="Times New Roman"/>
              <w:szCs w:val="24"/>
            </w:rPr>
            <w:fldChar w:fldCharType="end"/>
          </w:r>
        </w:p>
        <w:p w14:paraId="2270E0A4">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_Toc11053 </w:instrText>
          </w:r>
          <w:r>
            <w:rPr>
              <w:rFonts w:hint="default" w:ascii="Times New Roman" w:hAnsi="Times New Roman" w:eastAsia="仿宋" w:cs="Times New Roman"/>
              <w:szCs w:val="24"/>
            </w:rPr>
            <w:fldChar w:fldCharType="separate"/>
          </w:r>
          <w:r>
            <w:rPr>
              <w:rFonts w:hint="eastAsia"/>
              <w:lang w:val="en-US" w:eastAsia="zh-CN"/>
            </w:rPr>
            <w:t>4.4</w:t>
          </w:r>
          <w:r>
            <w:rPr>
              <w:rFonts w:hint="default"/>
              <w:lang w:val="en-US" w:eastAsia="zh-CN"/>
            </w:rPr>
            <w:t>安拆专业分包单位管理人员及安拆人员名单</w:t>
          </w:r>
          <w:r>
            <w:tab/>
          </w:r>
          <w:r>
            <w:fldChar w:fldCharType="begin"/>
          </w:r>
          <w:r>
            <w:instrText xml:space="preserve"> PAGEREF _Toc11053 \h </w:instrText>
          </w:r>
          <w:r>
            <w:fldChar w:fldCharType="separate"/>
          </w:r>
          <w:r>
            <w:t>28</w:t>
          </w:r>
          <w:r>
            <w:fldChar w:fldCharType="end"/>
          </w:r>
          <w:r>
            <w:rPr>
              <w:rFonts w:hint="default" w:ascii="Times New Roman" w:hAnsi="Times New Roman" w:eastAsia="仿宋" w:cs="Times New Roman"/>
              <w:szCs w:val="24"/>
            </w:rPr>
            <w:fldChar w:fldCharType="end"/>
          </w:r>
        </w:p>
        <w:p w14:paraId="65ECB330">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_Toc9840 </w:instrText>
          </w:r>
          <w:r>
            <w:rPr>
              <w:rFonts w:hint="default" w:ascii="Times New Roman" w:hAnsi="Times New Roman" w:eastAsia="仿宋" w:cs="Times New Roman"/>
              <w:szCs w:val="24"/>
            </w:rPr>
            <w:fldChar w:fldCharType="separate"/>
          </w:r>
          <w:r>
            <w:rPr>
              <w:rFonts w:hint="eastAsia"/>
              <w:lang w:val="en-US" w:eastAsia="zh-CN"/>
            </w:rPr>
            <w:t>5 应急处置及应急救援措施</w:t>
          </w:r>
          <w:r>
            <w:tab/>
          </w:r>
          <w:r>
            <w:fldChar w:fldCharType="begin"/>
          </w:r>
          <w:r>
            <w:instrText xml:space="preserve"> PAGEREF _Toc9840 \h </w:instrText>
          </w:r>
          <w:r>
            <w:fldChar w:fldCharType="separate"/>
          </w:r>
          <w:r>
            <w:t>28</w:t>
          </w:r>
          <w:r>
            <w:fldChar w:fldCharType="end"/>
          </w:r>
          <w:r>
            <w:rPr>
              <w:rFonts w:hint="default" w:ascii="Times New Roman" w:hAnsi="Times New Roman" w:eastAsia="仿宋" w:cs="Times New Roman"/>
              <w:szCs w:val="24"/>
            </w:rPr>
            <w:fldChar w:fldCharType="end"/>
          </w:r>
        </w:p>
        <w:p w14:paraId="042ACEAA">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_Toc15652 </w:instrText>
          </w:r>
          <w:r>
            <w:rPr>
              <w:rFonts w:hint="default" w:ascii="Times New Roman" w:hAnsi="Times New Roman" w:eastAsia="仿宋" w:cs="Times New Roman"/>
              <w:szCs w:val="24"/>
            </w:rPr>
            <w:fldChar w:fldCharType="separate"/>
          </w:r>
          <w:r>
            <w:rPr>
              <w:rFonts w:hint="eastAsia"/>
              <w:lang w:val="en-US" w:eastAsia="zh-CN"/>
            </w:rPr>
            <w:t>5.1专项应急处置措施</w:t>
          </w:r>
          <w:r>
            <w:tab/>
          </w:r>
          <w:r>
            <w:fldChar w:fldCharType="begin"/>
          </w:r>
          <w:r>
            <w:instrText xml:space="preserve"> PAGEREF _Toc15652 \h </w:instrText>
          </w:r>
          <w:r>
            <w:fldChar w:fldCharType="separate"/>
          </w:r>
          <w:r>
            <w:t>28</w:t>
          </w:r>
          <w:r>
            <w:fldChar w:fldCharType="end"/>
          </w:r>
          <w:r>
            <w:rPr>
              <w:rFonts w:hint="default" w:ascii="Times New Roman" w:hAnsi="Times New Roman" w:eastAsia="仿宋" w:cs="Times New Roman"/>
              <w:szCs w:val="24"/>
            </w:rPr>
            <w:fldChar w:fldCharType="end"/>
          </w:r>
        </w:p>
        <w:p w14:paraId="2F218EEE">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_Toc25729 </w:instrText>
          </w:r>
          <w:r>
            <w:rPr>
              <w:rFonts w:hint="default" w:ascii="Times New Roman" w:hAnsi="Times New Roman" w:eastAsia="仿宋" w:cs="Times New Roman"/>
              <w:szCs w:val="24"/>
            </w:rPr>
            <w:fldChar w:fldCharType="separate"/>
          </w:r>
          <w:r>
            <w:rPr>
              <w:rFonts w:hint="eastAsia"/>
              <w:lang w:val="en-US" w:eastAsia="zh-CN"/>
            </w:rPr>
            <w:t>5.2紧急救援措施</w:t>
          </w:r>
          <w:r>
            <w:tab/>
          </w:r>
          <w:r>
            <w:fldChar w:fldCharType="begin"/>
          </w:r>
          <w:r>
            <w:instrText xml:space="preserve"> PAGEREF _Toc25729 \h </w:instrText>
          </w:r>
          <w:r>
            <w:fldChar w:fldCharType="separate"/>
          </w:r>
          <w:r>
            <w:t>34</w:t>
          </w:r>
          <w:r>
            <w:fldChar w:fldCharType="end"/>
          </w:r>
          <w:r>
            <w:rPr>
              <w:rFonts w:hint="default" w:ascii="Times New Roman" w:hAnsi="Times New Roman" w:eastAsia="仿宋" w:cs="Times New Roman"/>
              <w:szCs w:val="24"/>
            </w:rPr>
            <w:fldChar w:fldCharType="end"/>
          </w:r>
        </w:p>
        <w:p w14:paraId="3D518EBE">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_Toc23851 </w:instrText>
          </w:r>
          <w:r>
            <w:rPr>
              <w:rFonts w:hint="default" w:ascii="Times New Roman" w:hAnsi="Times New Roman" w:eastAsia="仿宋" w:cs="Times New Roman"/>
              <w:szCs w:val="24"/>
            </w:rPr>
            <w:fldChar w:fldCharType="separate"/>
          </w:r>
          <w:r>
            <w:rPr>
              <w:rFonts w:hint="eastAsia"/>
              <w:lang w:val="en-US" w:eastAsia="zh-CN"/>
            </w:rPr>
            <w:t>6附件</w:t>
          </w:r>
          <w:r>
            <w:tab/>
          </w:r>
          <w:r>
            <w:fldChar w:fldCharType="begin"/>
          </w:r>
          <w:r>
            <w:instrText xml:space="preserve"> PAGEREF _Toc23851 \h </w:instrText>
          </w:r>
          <w:r>
            <w:fldChar w:fldCharType="separate"/>
          </w:r>
          <w:r>
            <w:t>36</w:t>
          </w:r>
          <w:r>
            <w:fldChar w:fldCharType="end"/>
          </w:r>
          <w:r>
            <w:rPr>
              <w:rFonts w:hint="default" w:ascii="Times New Roman" w:hAnsi="Times New Roman" w:eastAsia="仿宋" w:cs="Times New Roman"/>
              <w:szCs w:val="24"/>
            </w:rPr>
            <w:fldChar w:fldCharType="end"/>
          </w:r>
        </w:p>
        <w:p w14:paraId="3B4AAF12">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_Toc21339 </w:instrText>
          </w:r>
          <w:r>
            <w:rPr>
              <w:rFonts w:hint="default" w:ascii="Times New Roman" w:hAnsi="Times New Roman" w:eastAsia="仿宋" w:cs="Times New Roman"/>
              <w:szCs w:val="24"/>
            </w:rPr>
            <w:fldChar w:fldCharType="separate"/>
          </w:r>
          <w:r>
            <w:rPr>
              <w:rFonts w:hint="eastAsia"/>
              <w:lang w:val="en-US" w:eastAsia="zh-CN"/>
            </w:rPr>
            <w:t>附件一：工序施工控制要点一览表</w:t>
          </w:r>
          <w:r>
            <w:tab/>
          </w:r>
          <w:r>
            <w:fldChar w:fldCharType="begin"/>
          </w:r>
          <w:r>
            <w:instrText xml:space="preserve"> PAGEREF _Toc21339 \h </w:instrText>
          </w:r>
          <w:r>
            <w:fldChar w:fldCharType="separate"/>
          </w:r>
          <w:r>
            <w:t>36</w:t>
          </w:r>
          <w:r>
            <w:fldChar w:fldCharType="end"/>
          </w:r>
          <w:r>
            <w:rPr>
              <w:rFonts w:hint="default" w:ascii="Times New Roman" w:hAnsi="Times New Roman" w:eastAsia="仿宋" w:cs="Times New Roman"/>
              <w:szCs w:val="24"/>
            </w:rPr>
            <w:fldChar w:fldCharType="end"/>
          </w:r>
        </w:p>
        <w:p w14:paraId="3DD958A3">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_Toc2800 </w:instrText>
          </w:r>
          <w:r>
            <w:rPr>
              <w:rFonts w:hint="default" w:ascii="Times New Roman" w:hAnsi="Times New Roman" w:eastAsia="仿宋" w:cs="Times New Roman"/>
              <w:szCs w:val="24"/>
            </w:rPr>
            <w:fldChar w:fldCharType="separate"/>
          </w:r>
          <w:r>
            <w:rPr>
              <w:rFonts w:hint="eastAsia" w:ascii="宋体" w:hAnsi="宋体" w:eastAsia="宋体" w:cs="宋体"/>
              <w:lang w:val="en-US" w:eastAsia="zh-CN"/>
            </w:rPr>
            <w:t>附件二：工序相关设计图表</w:t>
          </w:r>
          <w:r>
            <w:tab/>
          </w:r>
          <w:r>
            <w:fldChar w:fldCharType="begin"/>
          </w:r>
          <w:r>
            <w:instrText xml:space="preserve"> PAGEREF _Toc2800 \h </w:instrText>
          </w:r>
          <w:r>
            <w:fldChar w:fldCharType="separate"/>
          </w:r>
          <w:r>
            <w:t>38</w:t>
          </w:r>
          <w:r>
            <w:fldChar w:fldCharType="end"/>
          </w:r>
          <w:r>
            <w:rPr>
              <w:rFonts w:hint="default" w:ascii="Times New Roman" w:hAnsi="Times New Roman" w:eastAsia="仿宋" w:cs="Times New Roman"/>
              <w:szCs w:val="24"/>
            </w:rPr>
            <w:fldChar w:fldCharType="end"/>
          </w:r>
        </w:p>
        <w:p w14:paraId="1A27FE0A">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_Toc9655 </w:instrText>
          </w:r>
          <w:r>
            <w:rPr>
              <w:rFonts w:hint="default" w:ascii="Times New Roman" w:hAnsi="Times New Roman" w:eastAsia="仿宋" w:cs="Times New Roman"/>
              <w:szCs w:val="24"/>
            </w:rPr>
            <w:fldChar w:fldCharType="separate"/>
          </w:r>
          <w:r>
            <w:rPr>
              <w:rFonts w:hint="eastAsia"/>
              <w:lang w:val="en-US" w:eastAsia="zh-CN"/>
            </w:rPr>
            <w:t>附件三：工序施工记录表</w:t>
          </w:r>
          <w:r>
            <w:tab/>
          </w:r>
          <w:r>
            <w:fldChar w:fldCharType="begin"/>
          </w:r>
          <w:r>
            <w:instrText xml:space="preserve"> PAGEREF _Toc9655 \h </w:instrText>
          </w:r>
          <w:r>
            <w:fldChar w:fldCharType="separate"/>
          </w:r>
          <w:r>
            <w:t>39</w:t>
          </w:r>
          <w:r>
            <w:fldChar w:fldCharType="end"/>
          </w:r>
          <w:r>
            <w:rPr>
              <w:rFonts w:hint="default" w:ascii="Times New Roman" w:hAnsi="Times New Roman" w:eastAsia="仿宋" w:cs="Times New Roman"/>
              <w:szCs w:val="24"/>
            </w:rPr>
            <w:fldChar w:fldCharType="end"/>
          </w:r>
        </w:p>
        <w:p w14:paraId="797A6DC9">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_Toc8448 </w:instrText>
          </w:r>
          <w:r>
            <w:rPr>
              <w:rFonts w:hint="default" w:ascii="Times New Roman" w:hAnsi="Times New Roman" w:eastAsia="仿宋" w:cs="Times New Roman"/>
              <w:szCs w:val="24"/>
            </w:rPr>
            <w:fldChar w:fldCharType="separate"/>
          </w:r>
          <w:r>
            <w:rPr>
              <w:rFonts w:hint="eastAsia"/>
              <w:lang w:val="en-US" w:eastAsia="zh-CN"/>
            </w:rPr>
            <w:t>附件四：工序参考工效</w:t>
          </w:r>
          <w:r>
            <w:tab/>
          </w:r>
          <w:r>
            <w:fldChar w:fldCharType="begin"/>
          </w:r>
          <w:r>
            <w:instrText xml:space="preserve"> PAGEREF _Toc8448 \h </w:instrText>
          </w:r>
          <w:r>
            <w:fldChar w:fldCharType="separate"/>
          </w:r>
          <w:r>
            <w:t>46</w:t>
          </w:r>
          <w:r>
            <w:fldChar w:fldCharType="end"/>
          </w:r>
          <w:r>
            <w:rPr>
              <w:rFonts w:hint="default" w:ascii="Times New Roman" w:hAnsi="Times New Roman" w:eastAsia="仿宋" w:cs="Times New Roman"/>
              <w:szCs w:val="24"/>
            </w:rPr>
            <w:fldChar w:fldCharType="end"/>
          </w:r>
        </w:p>
        <w:p w14:paraId="125C6980">
          <w:pPr>
            <w:pStyle w:val="22"/>
            <w:tabs>
              <w:tab w:val="right" w:leader="dot" w:pos="9746"/>
            </w:tabs>
            <w:rPr>
              <w:rFonts w:hint="default" w:ascii="Times New Roman" w:hAnsi="Times New Roman" w:eastAsia="仿宋" w:cs="Times New Roman"/>
              <w:kern w:val="0"/>
              <w:sz w:val="22"/>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szCs w:val="24"/>
            </w:rPr>
            <w:fldChar w:fldCharType="end"/>
          </w:r>
        </w:p>
      </w:sdtContent>
    </w:sdt>
    <w:p w14:paraId="38895B92">
      <w:pPr>
        <w:pStyle w:val="2"/>
        <w:bidi w:val="0"/>
        <w:rPr>
          <w:rFonts w:hint="eastAsia"/>
        </w:rPr>
      </w:pPr>
      <w:bookmarkStart w:id="2" w:name="_Toc20372"/>
      <w:bookmarkStart w:id="3" w:name="_Toc29145"/>
      <w:bookmarkStart w:id="4" w:name="_Toc26055"/>
      <w:bookmarkStart w:id="5" w:name="_Toc24508"/>
      <w:bookmarkStart w:id="6" w:name="_Toc764"/>
      <w:bookmarkStart w:id="7" w:name="_Toc16744"/>
      <w:bookmarkStart w:id="8" w:name="_Toc29353"/>
      <w:bookmarkStart w:id="9" w:name="_Toc1686"/>
      <w:bookmarkStart w:id="10" w:name="_Toc23475"/>
      <w:r>
        <w:rPr>
          <w:rFonts w:hint="eastAsia"/>
          <w:lang w:val="en-US" w:eastAsia="zh-CN"/>
        </w:rPr>
        <w:t>1概述</w:t>
      </w:r>
      <w:bookmarkEnd w:id="2"/>
      <w:bookmarkEnd w:id="3"/>
      <w:bookmarkEnd w:id="4"/>
      <w:bookmarkEnd w:id="5"/>
      <w:bookmarkEnd w:id="6"/>
      <w:bookmarkEnd w:id="7"/>
      <w:bookmarkEnd w:id="8"/>
      <w:bookmarkEnd w:id="9"/>
      <w:bookmarkEnd w:id="10"/>
    </w:p>
    <w:p w14:paraId="708ADF2B">
      <w:pPr>
        <w:bidi w:val="0"/>
        <w:ind w:firstLine="480" w:firstLineChars="200"/>
        <w:rPr>
          <w:rFonts w:hint="eastAsia" w:eastAsia="宋体" w:cs="Times New Roman"/>
          <w:lang w:val="en-US" w:eastAsia="zh-CN"/>
        </w:rPr>
      </w:pPr>
      <w:r>
        <w:rPr>
          <w:rFonts w:hint="eastAsia" w:eastAsia="宋体" w:cs="Times New Roman"/>
          <w:lang w:val="en-US" w:eastAsia="zh-CN"/>
        </w:rPr>
        <w:t>本次为塔式起重机拆除施工安全技术交底，塔机型号为</w:t>
      </w:r>
      <w:r>
        <w:rPr>
          <w:rFonts w:hint="eastAsia" w:cs="Times New Roman"/>
          <w:lang w:val="en-US" w:eastAsia="zh-CN"/>
        </w:rPr>
        <w:t>XGT7026-12S1</w:t>
      </w:r>
      <w:r>
        <w:rPr>
          <w:rFonts w:hint="eastAsia" w:eastAsia="宋体" w:cs="Times New Roman"/>
          <w:lang w:val="en-US" w:eastAsia="zh-CN"/>
        </w:rPr>
        <w:t>。</w:t>
      </w:r>
    </w:p>
    <w:p w14:paraId="10296521">
      <w:pPr>
        <w:pStyle w:val="3"/>
        <w:bidi w:val="0"/>
        <w:rPr>
          <w:rFonts w:hint="eastAsia"/>
          <w:lang w:val="en-US" w:eastAsia="zh-CN"/>
        </w:rPr>
      </w:pPr>
      <w:bookmarkStart w:id="11" w:name="_Toc19760"/>
      <w:bookmarkStart w:id="12" w:name="_Toc12963"/>
      <w:r>
        <w:rPr>
          <w:rFonts w:hint="eastAsia"/>
          <w:lang w:val="en-US" w:eastAsia="zh-CN"/>
        </w:rPr>
        <w:t>1.1 工序基本情况</w:t>
      </w:r>
      <w:bookmarkEnd w:id="11"/>
      <w:bookmarkEnd w:id="12"/>
    </w:p>
    <w:p w14:paraId="6745F1F8">
      <w:pPr>
        <w:bidi w:val="0"/>
        <w:ind w:firstLine="480" w:firstLineChars="200"/>
        <w:rPr>
          <w:rFonts w:hint="eastAsia" w:eastAsia="宋体" w:cs="Times New Roman"/>
          <w:lang w:val="en-US" w:eastAsia="zh-CN"/>
        </w:rPr>
      </w:pPr>
      <w:r>
        <w:rPr>
          <w:rFonts w:hint="eastAsia" w:eastAsia="宋体"/>
          <w:lang w:val="en-US" w:eastAsia="zh-CN"/>
        </w:rPr>
        <w:t>（</w:t>
      </w:r>
      <w:r>
        <w:rPr>
          <w:rFonts w:hint="eastAsia" w:eastAsia="宋体" w:cs="Times New Roman"/>
          <w:lang w:val="en-US" w:eastAsia="zh-CN"/>
        </w:rPr>
        <w:t>1）适用范围</w:t>
      </w:r>
    </w:p>
    <w:p w14:paraId="35EE8F10">
      <w:pPr>
        <w:bidi w:val="0"/>
        <w:ind w:firstLine="480" w:firstLineChars="200"/>
        <w:rPr>
          <w:rFonts w:hint="default" w:eastAsia="宋体" w:cs="Times New Roman"/>
          <w:lang w:val="en-US" w:eastAsia="zh-CN"/>
        </w:rPr>
      </w:pPr>
      <w:r>
        <w:rPr>
          <w:rFonts w:hint="eastAsia" w:eastAsia="宋体" w:cs="Times New Roman"/>
          <w:lang w:val="en-US" w:eastAsia="zh-CN"/>
        </w:rPr>
        <w:t>本次交底范围为</w:t>
      </w:r>
      <w:r>
        <w:rPr>
          <w:rFonts w:hint="eastAsia" w:cs="Times New Roman"/>
          <w:lang w:val="en-US" w:eastAsia="zh-CN"/>
        </w:rPr>
        <w:t>新渡坪左幅3#墩XGT7026-12S1</w:t>
      </w:r>
      <w:r>
        <w:rPr>
          <w:rFonts w:hint="eastAsia" w:eastAsia="宋体" w:cs="Times New Roman"/>
          <w:lang w:val="en-US" w:eastAsia="zh-CN"/>
        </w:rPr>
        <w:t>塔式起重机拆除施工，具体包括降节，拆除起重臂，拆除配</w:t>
      </w:r>
      <w:r>
        <w:rPr>
          <w:rFonts w:hint="eastAsia" w:cs="Times New Roman"/>
          <w:lang w:val="en-US" w:eastAsia="zh-CN"/>
        </w:rPr>
        <w:t>重</w:t>
      </w:r>
      <w:r>
        <w:rPr>
          <w:rFonts w:hint="eastAsia" w:eastAsia="宋体" w:cs="Times New Roman"/>
          <w:lang w:val="en-US" w:eastAsia="zh-CN"/>
        </w:rPr>
        <w:t>，拆除平衡臂，拆除回转总成，拆除标准节和特殊节等。待现场场地、材料、技术人员到位后，即可开始塔机拆除施工。</w:t>
      </w:r>
    </w:p>
    <w:p w14:paraId="16A3EC88">
      <w:pPr>
        <w:bidi w:val="0"/>
        <w:ind w:firstLine="480" w:firstLineChars="200"/>
        <w:rPr>
          <w:rFonts w:hint="eastAsia" w:eastAsia="宋体" w:cs="Times New Roman"/>
          <w:lang w:val="en-US" w:eastAsia="zh-CN"/>
        </w:rPr>
      </w:pPr>
      <w:r>
        <w:rPr>
          <w:rFonts w:hint="eastAsia" w:eastAsia="宋体" w:cs="Times New Roman"/>
          <w:lang w:val="en-US" w:eastAsia="zh-CN"/>
        </w:rPr>
        <w:t>（2）本道工序准备情况</w:t>
      </w:r>
    </w:p>
    <w:p w14:paraId="6521A5AF">
      <w:pPr>
        <w:bidi w:val="0"/>
        <w:ind w:firstLine="480" w:firstLineChars="200"/>
        <w:rPr>
          <w:rFonts w:hint="default" w:eastAsia="宋体" w:cs="Times New Roman"/>
          <w:lang w:val="en-US" w:eastAsia="zh-CN"/>
        </w:rPr>
      </w:pPr>
      <w:r>
        <w:rPr>
          <w:rFonts w:hint="eastAsia" w:eastAsia="宋体" w:cs="Times New Roman"/>
          <w:lang w:val="en-US" w:eastAsia="zh-CN"/>
        </w:rPr>
        <w:t>目前，现场场地已完成平整，具备拆除条件；技术人员已驻场。</w:t>
      </w:r>
      <w:r>
        <w:rPr>
          <w:rFonts w:hint="eastAsia" w:cs="Times New Roman"/>
          <w:lang w:val="en-US" w:eastAsia="zh-CN"/>
        </w:rPr>
        <w:t>3#墩</w:t>
      </w:r>
      <w:r>
        <w:rPr>
          <w:rFonts w:hint="eastAsia" w:eastAsia="宋体" w:cs="Times New Roman"/>
          <w:lang w:val="en-US" w:eastAsia="zh-CN"/>
        </w:rPr>
        <w:t>已配置一台50t汽车吊，满足吊装要求。</w:t>
      </w:r>
    </w:p>
    <w:p w14:paraId="3725FD32">
      <w:pPr>
        <w:bidi w:val="0"/>
        <w:ind w:firstLine="480" w:firstLineChars="200"/>
        <w:rPr>
          <w:rFonts w:hint="eastAsia" w:eastAsia="宋体" w:cs="Times New Roman"/>
          <w:lang w:val="en-US" w:eastAsia="zh-CN"/>
        </w:rPr>
      </w:pPr>
      <w:r>
        <w:rPr>
          <w:rFonts w:hint="eastAsia" w:eastAsia="宋体" w:cs="Times New Roman"/>
          <w:lang w:val="en-US" w:eastAsia="zh-CN"/>
        </w:rPr>
        <w:t>（3）工序衔接及需注意事项</w:t>
      </w:r>
    </w:p>
    <w:p w14:paraId="094615BC">
      <w:pPr>
        <w:bidi w:val="0"/>
        <w:ind w:firstLine="480" w:firstLineChars="200"/>
        <w:rPr>
          <w:rFonts w:hint="default" w:eastAsia="宋体" w:cs="Times New Roman"/>
          <w:lang w:val="en-US" w:eastAsia="zh-CN"/>
        </w:rPr>
      </w:pPr>
      <w:r>
        <w:rPr>
          <w:rFonts w:hint="eastAsia" w:eastAsia="宋体" w:cs="Times New Roman"/>
          <w:lang w:val="en-US" w:eastAsia="zh-CN"/>
        </w:rPr>
        <w:t xml:space="preserve">塔机拆除的上道工序为拆除前检查与准备，工序衔接过程中必须保证塔机运行状态核查完毕、拆除方案审批通过、场地清理及安全防护到位，确认无部件损坏或安全隐患后再启动拆除作业。 </w:t>
      </w:r>
    </w:p>
    <w:p w14:paraId="5710A646">
      <w:pPr>
        <w:bidi w:val="0"/>
        <w:ind w:firstLine="480" w:firstLineChars="200"/>
        <w:rPr>
          <w:rFonts w:hint="eastAsia" w:eastAsia="宋体" w:cs="Times New Roman"/>
          <w:lang w:val="en-US" w:eastAsia="zh-CN"/>
        </w:rPr>
      </w:pPr>
      <w:r>
        <w:rPr>
          <w:rFonts w:hint="eastAsia" w:eastAsia="宋体" w:cs="Times New Roman"/>
          <w:lang w:val="en-US" w:eastAsia="zh-CN"/>
        </w:rPr>
        <w:t>塔机拆除的下道工序为部件清理与存放，工序衔接过程中必须保证拆除的标准节、起重臂等部件分类检查、清理油污并做好标识，按规范存放于指定场地后完成资料归档。可进入下阶段使用。</w:t>
      </w:r>
    </w:p>
    <w:p w14:paraId="1CC4852C">
      <w:pPr>
        <w:pStyle w:val="3"/>
        <w:bidi w:val="0"/>
        <w:rPr>
          <w:rFonts w:hint="eastAsia"/>
          <w:lang w:val="en-US" w:eastAsia="zh-CN"/>
        </w:rPr>
      </w:pPr>
      <w:bookmarkStart w:id="13" w:name="_Toc14933"/>
      <w:bookmarkStart w:id="14" w:name="_Toc25389"/>
      <w:r>
        <w:rPr>
          <w:rFonts w:hint="eastAsia"/>
          <w:lang w:val="en-US" w:eastAsia="zh-CN"/>
        </w:rPr>
        <w:t>1.2 结构概况</w:t>
      </w:r>
      <w:bookmarkEnd w:id="13"/>
      <w:bookmarkEnd w:id="14"/>
    </w:p>
    <w:p w14:paraId="160DED5F">
      <w:pPr>
        <w:pStyle w:val="4"/>
        <w:tabs>
          <w:tab w:val="left" w:pos="0"/>
          <w:tab w:val="left" w:pos="630"/>
          <w:tab w:val="clear" w:pos="312"/>
        </w:tabs>
        <w:bidi w:val="0"/>
        <w:rPr>
          <w:rFonts w:hint="default"/>
          <w:lang w:val="en-US" w:eastAsia="zh-CN"/>
        </w:rPr>
      </w:pPr>
      <w:bookmarkStart w:id="15" w:name="_Toc75"/>
      <w:r>
        <w:rPr>
          <w:rFonts w:hint="eastAsia"/>
          <w:lang w:val="en-US" w:eastAsia="zh-CN"/>
        </w:rPr>
        <w:t>1.2.1塔机组成</w:t>
      </w:r>
      <w:bookmarkEnd w:id="15"/>
    </w:p>
    <w:p w14:paraId="20638BB8">
      <w:pPr>
        <w:ind w:left="0" w:leftChars="0" w:firstLine="0" w:firstLineChars="0"/>
        <w:jc w:val="center"/>
        <w:rPr>
          <w:highlight w:val="none"/>
        </w:rPr>
      </w:pPr>
      <w:r>
        <w:drawing>
          <wp:inline distT="0" distB="0" distL="114300" distR="114300">
            <wp:extent cx="4806950" cy="4055745"/>
            <wp:effectExtent l="0" t="0" r="1270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4806950" cy="4055745"/>
                    </a:xfrm>
                    <a:prstGeom prst="rect">
                      <a:avLst/>
                    </a:prstGeom>
                    <a:noFill/>
                    <a:ln>
                      <a:noFill/>
                    </a:ln>
                  </pic:spPr>
                </pic:pic>
              </a:graphicData>
            </a:graphic>
          </wp:inline>
        </w:drawing>
      </w:r>
      <w:r>
        <w:drawing>
          <wp:inline distT="0" distB="0" distL="114300" distR="114300">
            <wp:extent cx="5272405" cy="2079625"/>
            <wp:effectExtent l="0" t="0" r="4445" b="158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272405" cy="2079625"/>
                    </a:xfrm>
                    <a:prstGeom prst="rect">
                      <a:avLst/>
                    </a:prstGeom>
                    <a:noFill/>
                    <a:ln>
                      <a:noFill/>
                    </a:ln>
                  </pic:spPr>
                </pic:pic>
              </a:graphicData>
            </a:graphic>
          </wp:inline>
        </w:drawing>
      </w:r>
    </w:p>
    <w:p w14:paraId="13CF1F4D">
      <w:pPr>
        <w:pStyle w:val="16"/>
        <w:rPr>
          <w:rFonts w:eastAsia="宋体" w:cs="Times New Roman"/>
        </w:rPr>
      </w:pPr>
    </w:p>
    <w:p w14:paraId="56E80265">
      <w:pPr>
        <w:jc w:val="center"/>
        <w:rPr>
          <w:rFonts w:hint="eastAsia"/>
          <w:lang w:val="en-US" w:eastAsia="zh-CN"/>
        </w:rPr>
      </w:pPr>
      <w:r>
        <w:t>图</w:t>
      </w:r>
      <w:r>
        <w:rPr>
          <w:rFonts w:hint="eastAsia"/>
          <w:lang w:val="en-US" w:eastAsia="zh-CN"/>
        </w:rPr>
        <w:t>1.2.1</w:t>
      </w:r>
      <w:r>
        <w:t>-</w:t>
      </w:r>
      <w:r>
        <w:fldChar w:fldCharType="begin"/>
      </w:r>
      <w:r>
        <w:instrText xml:space="preserve"> SEQ 图4- \* ARABIC </w:instrText>
      </w:r>
      <w:r>
        <w:fldChar w:fldCharType="separate"/>
      </w:r>
      <w:r>
        <w:t>1</w:t>
      </w:r>
      <w:r>
        <w:fldChar w:fldCharType="end"/>
      </w:r>
      <w:r>
        <w:rPr>
          <w:rFonts w:hint="eastAsia"/>
          <w:lang w:val="en-US" w:eastAsia="zh-CN"/>
        </w:rPr>
        <w:t>塔机组成示意图</w:t>
      </w:r>
    </w:p>
    <w:p w14:paraId="5A41C778">
      <w:pPr>
        <w:pStyle w:val="4"/>
        <w:pBdr>
          <w:top w:val="none" w:color="auto" w:sz="0" w:space="0"/>
          <w:left w:val="none" w:color="auto" w:sz="0" w:space="0"/>
          <w:bottom w:val="none" w:color="auto" w:sz="0" w:space="0"/>
          <w:right w:val="none" w:color="auto" w:sz="0" w:space="0"/>
        </w:pBdr>
        <w:tabs>
          <w:tab w:val="left" w:pos="0"/>
          <w:tab w:val="left" w:pos="630"/>
          <w:tab w:val="clear" w:pos="312"/>
        </w:tabs>
        <w:bidi w:val="0"/>
        <w:rPr>
          <w:rFonts w:hint="default"/>
          <w:lang w:val="en-US" w:eastAsia="zh-CN"/>
        </w:rPr>
      </w:pPr>
      <w:bookmarkStart w:id="16" w:name="_Toc8920"/>
      <w:r>
        <w:rPr>
          <w:rFonts w:hint="eastAsia"/>
          <w:lang w:val="en-US" w:eastAsia="zh-CN"/>
        </w:rPr>
        <w:t>1.2.2整机外形尺寸</w:t>
      </w:r>
      <w:bookmarkEnd w:id="16"/>
    </w:p>
    <w:p w14:paraId="2D5B09C7">
      <w:pPr>
        <w:ind w:left="0" w:leftChars="0" w:firstLine="0" w:firstLineChars="0"/>
        <w:jc w:val="center"/>
      </w:pPr>
      <w:r>
        <w:drawing>
          <wp:inline distT="0" distB="0" distL="114300" distR="114300">
            <wp:extent cx="5271135" cy="4801235"/>
            <wp:effectExtent l="0" t="0" r="5715" b="184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4"/>
                    <a:stretch>
                      <a:fillRect/>
                    </a:stretch>
                  </pic:blipFill>
                  <pic:spPr>
                    <a:xfrm>
                      <a:off x="0" y="0"/>
                      <a:ext cx="5271135" cy="4801235"/>
                    </a:xfrm>
                    <a:prstGeom prst="rect">
                      <a:avLst/>
                    </a:prstGeom>
                    <a:noFill/>
                    <a:ln>
                      <a:noFill/>
                    </a:ln>
                  </pic:spPr>
                </pic:pic>
              </a:graphicData>
            </a:graphic>
          </wp:inline>
        </w:drawing>
      </w:r>
    </w:p>
    <w:p w14:paraId="4F43503A">
      <w:pPr>
        <w:pStyle w:val="16"/>
        <w:rPr>
          <w:rFonts w:hint="eastAsia"/>
          <w:lang w:val="en-US" w:eastAsia="zh-CN"/>
        </w:rPr>
      </w:pPr>
      <w:r>
        <w:t>图</w:t>
      </w:r>
      <w:r>
        <w:rPr>
          <w:rFonts w:hint="eastAsia"/>
          <w:lang w:val="en-US" w:eastAsia="zh-CN"/>
        </w:rPr>
        <w:t>1.2.2</w:t>
      </w:r>
      <w:r>
        <w:t>-</w:t>
      </w:r>
      <w:r>
        <w:rPr>
          <w:rFonts w:hint="eastAsia"/>
          <w:lang w:val="en-US" w:eastAsia="zh-CN"/>
        </w:rPr>
        <w:t>1整机外形示意图</w:t>
      </w:r>
    </w:p>
    <w:p w14:paraId="2499EDEB">
      <w:pPr>
        <w:pStyle w:val="4"/>
        <w:pageBreakBefore w:val="0"/>
        <w:widowControl w:val="0"/>
        <w:tabs>
          <w:tab w:val="left" w:pos="0"/>
          <w:tab w:val="left" w:pos="630"/>
          <w:tab w:val="clear" w:pos="312"/>
        </w:tabs>
        <w:kinsoku/>
        <w:wordWrap/>
        <w:overflowPunct/>
        <w:topLinePunct w:val="0"/>
        <w:autoSpaceDE/>
        <w:autoSpaceDN/>
        <w:bidi w:val="0"/>
        <w:snapToGrid/>
        <w:textAlignment w:val="auto"/>
        <w:rPr>
          <w:rFonts w:hint="default"/>
          <w:lang w:val="en-US" w:eastAsia="zh-CN"/>
        </w:rPr>
      </w:pPr>
      <w:bookmarkStart w:id="17" w:name="_Toc21702"/>
      <w:r>
        <w:rPr>
          <w:rFonts w:hint="eastAsia"/>
          <w:lang w:val="en-US" w:eastAsia="zh-CN"/>
        </w:rPr>
        <w:t>1.2.3整机主要技术参数</w:t>
      </w:r>
      <w:bookmarkEnd w:id="17"/>
    </w:p>
    <w:p w14:paraId="48BDF766">
      <w:pPr>
        <w:pStyle w:val="16"/>
        <w:pageBreakBefore w:val="0"/>
        <w:widowControl w:val="0"/>
        <w:kinsoku/>
        <w:wordWrap/>
        <w:overflowPunct/>
        <w:topLinePunct w:val="0"/>
        <w:autoSpaceDE/>
        <w:autoSpaceDN/>
        <w:bidi w:val="0"/>
        <w:snapToGrid/>
        <w:textAlignment w:val="auto"/>
        <w:rPr>
          <w:rFonts w:hint="default"/>
          <w:lang w:val="en-US" w:eastAsia="zh-CN"/>
        </w:rPr>
      </w:pPr>
      <w:r>
        <w:t>表</w:t>
      </w:r>
      <w:r>
        <w:rPr>
          <w:rFonts w:hint="eastAsia"/>
          <w:lang w:val="en-US" w:eastAsia="zh-CN"/>
        </w:rPr>
        <w:t>1.2.3-1</w:t>
      </w:r>
      <w:r>
        <w:rPr>
          <w:rFonts w:hint="eastAsia"/>
        </w:rPr>
        <w:t>主机性能参数表</w:t>
      </w:r>
    </w:p>
    <w:p w14:paraId="185B3A12">
      <w:pPr>
        <w:pStyle w:val="16"/>
      </w:pPr>
      <w:r>
        <w:drawing>
          <wp:inline distT="0" distB="0" distL="114300" distR="114300">
            <wp:extent cx="5273675" cy="6873240"/>
            <wp:effectExtent l="0" t="0" r="3175" b="381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5"/>
                    <a:stretch>
                      <a:fillRect/>
                    </a:stretch>
                  </pic:blipFill>
                  <pic:spPr>
                    <a:xfrm>
                      <a:off x="0" y="0"/>
                      <a:ext cx="5273675" cy="6873240"/>
                    </a:xfrm>
                    <a:prstGeom prst="rect">
                      <a:avLst/>
                    </a:prstGeom>
                    <a:noFill/>
                    <a:ln>
                      <a:noFill/>
                    </a:ln>
                  </pic:spPr>
                </pic:pic>
              </a:graphicData>
            </a:graphic>
          </wp:inline>
        </w:drawing>
      </w:r>
      <w:r>
        <w:drawing>
          <wp:inline distT="0" distB="0" distL="114300" distR="114300">
            <wp:extent cx="4786630" cy="3675380"/>
            <wp:effectExtent l="0" t="0" r="13970" b="127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6"/>
                    <a:stretch>
                      <a:fillRect/>
                    </a:stretch>
                  </pic:blipFill>
                  <pic:spPr>
                    <a:xfrm>
                      <a:off x="0" y="0"/>
                      <a:ext cx="4786630" cy="3675380"/>
                    </a:xfrm>
                    <a:prstGeom prst="rect">
                      <a:avLst/>
                    </a:prstGeom>
                    <a:noFill/>
                    <a:ln>
                      <a:noFill/>
                    </a:ln>
                  </pic:spPr>
                </pic:pic>
              </a:graphicData>
            </a:graphic>
          </wp:inline>
        </w:drawing>
      </w:r>
      <w:r>
        <w:rPr>
          <w:rFonts w:hint="eastAsia"/>
          <w:lang w:val="en-US" w:eastAsia="zh-CN"/>
        </w:rPr>
        <w:t>表1.2.3</w:t>
      </w:r>
      <w:r>
        <w:t>-</w:t>
      </w:r>
      <w:r>
        <w:rPr>
          <w:rFonts w:hint="eastAsia"/>
          <w:lang w:val="en-US" w:eastAsia="zh-CN"/>
        </w:rPr>
        <w:t>2起重性能表</w:t>
      </w:r>
    </w:p>
    <w:p w14:paraId="291D9615">
      <w:pPr>
        <w:ind w:left="0" w:leftChars="0" w:firstLine="0" w:firstLineChars="0"/>
        <w:jc w:val="center"/>
        <w:rPr>
          <w:rFonts w:hint="eastAsia"/>
          <w:lang w:val="en-US" w:eastAsia="zh-CN"/>
        </w:rPr>
      </w:pPr>
      <w:r>
        <w:drawing>
          <wp:inline distT="0" distB="0" distL="114300" distR="114300">
            <wp:extent cx="4558030" cy="2907665"/>
            <wp:effectExtent l="0" t="0" r="13970" b="698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7"/>
                    <a:srcRect r="11699"/>
                    <a:stretch>
                      <a:fillRect/>
                    </a:stretch>
                  </pic:blipFill>
                  <pic:spPr>
                    <a:xfrm>
                      <a:off x="0" y="0"/>
                      <a:ext cx="4558030" cy="2907665"/>
                    </a:xfrm>
                    <a:prstGeom prst="rect">
                      <a:avLst/>
                    </a:prstGeom>
                    <a:noFill/>
                    <a:ln>
                      <a:noFill/>
                    </a:ln>
                  </pic:spPr>
                </pic:pic>
              </a:graphicData>
            </a:graphic>
          </wp:inline>
        </w:drawing>
      </w:r>
    </w:p>
    <w:p w14:paraId="793EB1B8">
      <w:pPr>
        <w:pStyle w:val="2"/>
        <w:bidi w:val="0"/>
        <w:rPr>
          <w:rFonts w:hint="eastAsia"/>
          <w:lang w:val="en-US" w:eastAsia="zh-CN"/>
        </w:rPr>
      </w:pPr>
      <w:bookmarkStart w:id="18" w:name="_Toc10834"/>
      <w:bookmarkStart w:id="19" w:name="_Toc15200"/>
      <w:bookmarkStart w:id="20" w:name="_Toc24739"/>
      <w:bookmarkStart w:id="21" w:name="_Toc18944"/>
      <w:bookmarkStart w:id="22" w:name="_Toc791"/>
      <w:bookmarkStart w:id="23" w:name="_Toc28464"/>
      <w:bookmarkStart w:id="24" w:name="_Toc21233"/>
      <w:bookmarkStart w:id="25" w:name="_Toc15503"/>
      <w:bookmarkStart w:id="26" w:name="_Toc14282"/>
      <w:r>
        <w:rPr>
          <w:rFonts w:hint="eastAsia"/>
          <w:lang w:val="en-US" w:eastAsia="zh-CN"/>
        </w:rPr>
        <w:t>2 施工步骤及要点</w:t>
      </w:r>
      <w:bookmarkEnd w:id="18"/>
    </w:p>
    <w:p w14:paraId="63E2493F">
      <w:pPr>
        <w:bidi w:val="0"/>
        <w:jc w:val="center"/>
        <w:rPr>
          <w:rFonts w:hint="eastAsia"/>
          <w:lang w:val="en-US" w:eastAsia="zh-CN"/>
        </w:rPr>
      </w:pPr>
      <w:r>
        <w:rPr>
          <w:rFonts w:hint="eastAsia"/>
          <w:lang w:val="en-US" w:eastAsia="zh-CN"/>
        </w:rPr>
        <w:drawing>
          <wp:inline distT="0" distB="0" distL="114300" distR="114300">
            <wp:extent cx="5270500" cy="3653790"/>
            <wp:effectExtent l="0" t="0" r="6350" b="3810"/>
            <wp:docPr id="3" name="图片 3" descr="cdd2faa64ca509d10be2fc2870df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d2faa64ca509d10be2fc2870df111"/>
                    <pic:cNvPicPr>
                      <a:picLocks noChangeAspect="1"/>
                    </pic:cNvPicPr>
                  </pic:nvPicPr>
                  <pic:blipFill>
                    <a:blip r:embed="rId18"/>
                    <a:stretch>
                      <a:fillRect/>
                    </a:stretch>
                  </pic:blipFill>
                  <pic:spPr>
                    <a:xfrm>
                      <a:off x="0" y="0"/>
                      <a:ext cx="5270500" cy="3653790"/>
                    </a:xfrm>
                    <a:prstGeom prst="rect">
                      <a:avLst/>
                    </a:prstGeom>
                  </pic:spPr>
                </pic:pic>
              </a:graphicData>
            </a:graphic>
          </wp:inline>
        </w:drawing>
      </w:r>
    </w:p>
    <w:p w14:paraId="6C71DCA1">
      <w:pPr>
        <w:bidi w:val="0"/>
        <w:jc w:val="center"/>
        <w:rPr>
          <w:rFonts w:hint="eastAsia"/>
          <w:lang w:val="en-US" w:eastAsia="zh-CN"/>
        </w:rPr>
      </w:pPr>
      <w:r>
        <w:rPr>
          <w:rFonts w:hint="eastAsia"/>
          <w:lang w:val="en-US" w:eastAsia="zh-CN"/>
        </w:rPr>
        <w:t>图2-1 塔机拆除施工步骤图</w:t>
      </w:r>
    </w:p>
    <w:p w14:paraId="68284CE0">
      <w:pPr>
        <w:pStyle w:val="3"/>
        <w:bidi w:val="0"/>
        <w:rPr>
          <w:rFonts w:hint="eastAsia"/>
          <w:lang w:val="en-US" w:eastAsia="zh-CN"/>
        </w:rPr>
      </w:pPr>
      <w:bookmarkStart w:id="27" w:name="_Toc32613"/>
      <w:bookmarkStart w:id="28" w:name="_Toc27471"/>
      <w:r>
        <w:rPr>
          <w:rFonts w:hint="eastAsia"/>
          <w:lang w:val="en-US" w:eastAsia="zh-CN"/>
        </w:rPr>
        <w:t xml:space="preserve">2.1 </w:t>
      </w:r>
      <w:bookmarkEnd w:id="27"/>
      <w:bookmarkStart w:id="29" w:name="_Toc28378"/>
      <w:r>
        <w:rPr>
          <w:rFonts w:hint="eastAsia"/>
          <w:lang w:val="en-US" w:eastAsia="zh-CN"/>
        </w:rPr>
        <w:t>降节</w:t>
      </w:r>
      <w:bookmarkEnd w:id="28"/>
      <w:bookmarkEnd w:id="29"/>
    </w:p>
    <w:p w14:paraId="3BFBCE99">
      <w:pPr>
        <w:rPr>
          <w:rFonts w:hint="eastAsia"/>
          <w:b/>
          <w:bCs/>
          <w:lang w:val="en-US" w:eastAsia="zh-CN"/>
        </w:rPr>
      </w:pPr>
      <w:r>
        <w:rPr>
          <w:rFonts w:hint="eastAsia"/>
          <w:b/>
          <w:bCs/>
          <w:lang w:val="en-US" w:eastAsia="zh-CN"/>
        </w:rPr>
        <w:t>1、降节前的准备</w:t>
      </w:r>
    </w:p>
    <w:p w14:paraId="39FE6ED6">
      <w:pPr>
        <w:bidi w:val="0"/>
        <w:ind w:firstLine="480" w:firstLineChars="200"/>
        <w:rPr>
          <w:rFonts w:hint="eastAsia" w:eastAsia="宋体" w:cs="Times New Roman"/>
          <w:lang w:val="en-US" w:eastAsia="zh-CN"/>
        </w:rPr>
      </w:pPr>
      <w:r>
        <w:rPr>
          <w:rFonts w:hint="eastAsia"/>
          <w:lang w:val="en-US" w:eastAsia="zh-CN"/>
        </w:rPr>
        <w:t>（</w:t>
      </w:r>
      <w:r>
        <w:rPr>
          <w:rFonts w:hint="eastAsia" w:eastAsia="宋体" w:cs="Times New Roman"/>
          <w:lang w:val="en-US" w:eastAsia="zh-CN"/>
        </w:rPr>
        <w:t>1）按液压泵站要求给其油箱加油；</w:t>
      </w:r>
    </w:p>
    <w:p w14:paraId="64042973">
      <w:pPr>
        <w:bidi w:val="0"/>
        <w:ind w:firstLine="480" w:firstLineChars="200"/>
        <w:rPr>
          <w:rFonts w:hint="eastAsia" w:eastAsia="宋体" w:cs="Times New Roman"/>
          <w:lang w:val="en-US" w:eastAsia="zh-CN"/>
        </w:rPr>
      </w:pPr>
      <w:r>
        <w:rPr>
          <w:rFonts w:hint="eastAsia" w:eastAsia="宋体" w:cs="Times New Roman"/>
          <w:lang w:val="en-US" w:eastAsia="zh-CN"/>
        </w:rPr>
        <w:t>（2）清理好降节时下方摆放标准节的场地；</w:t>
      </w:r>
    </w:p>
    <w:p w14:paraId="57B2B4AE">
      <w:pPr>
        <w:bidi w:val="0"/>
        <w:ind w:firstLine="480" w:firstLineChars="200"/>
        <w:rPr>
          <w:rFonts w:hint="eastAsia" w:eastAsia="宋体" w:cs="Times New Roman"/>
          <w:lang w:val="en-US" w:eastAsia="zh-CN"/>
        </w:rPr>
      </w:pPr>
      <w:r>
        <w:rPr>
          <w:rFonts w:hint="eastAsia" w:eastAsia="宋体" w:cs="Times New Roman"/>
          <w:lang w:val="en-US" w:eastAsia="zh-CN"/>
        </w:rPr>
        <w:t>（3）使降节过程所用时间最短；</w:t>
      </w:r>
    </w:p>
    <w:p w14:paraId="76A3FF35">
      <w:pPr>
        <w:bidi w:val="0"/>
        <w:ind w:firstLine="480" w:firstLineChars="200"/>
        <w:rPr>
          <w:rFonts w:hint="eastAsia" w:eastAsia="宋体" w:cs="Times New Roman"/>
          <w:lang w:val="en-US" w:eastAsia="zh-CN"/>
        </w:rPr>
      </w:pPr>
      <w:r>
        <w:rPr>
          <w:rFonts w:hint="eastAsia" w:eastAsia="宋体" w:cs="Times New Roman"/>
          <w:lang w:val="en-US" w:eastAsia="zh-CN"/>
        </w:rPr>
        <w:t>（4）放松电缆长度略大于总的降节高度，并紧固好电缆；</w:t>
      </w:r>
    </w:p>
    <w:p w14:paraId="06FB0265">
      <w:pPr>
        <w:bidi w:val="0"/>
        <w:ind w:firstLine="480" w:firstLineChars="200"/>
        <w:rPr>
          <w:rFonts w:hint="eastAsia" w:eastAsia="宋体" w:cs="Times New Roman"/>
          <w:lang w:val="en-US" w:eastAsia="zh-CN"/>
        </w:rPr>
      </w:pPr>
      <w:r>
        <w:rPr>
          <w:rFonts w:hint="eastAsia" w:eastAsia="宋体" w:cs="Times New Roman"/>
          <w:lang w:val="en-US" w:eastAsia="zh-CN"/>
        </w:rPr>
        <w:t>（5）将起重臂旋转至爬升架前方（顶升油缸正好位于平衡臂下方）；</w:t>
      </w:r>
    </w:p>
    <w:p w14:paraId="6F0B2028">
      <w:pPr>
        <w:bidi w:val="0"/>
        <w:ind w:firstLine="480" w:firstLineChars="200"/>
        <w:rPr>
          <w:rFonts w:hint="eastAsia"/>
          <w:lang w:val="en-US" w:eastAsia="zh-CN"/>
        </w:rPr>
      </w:pPr>
      <w:r>
        <w:rPr>
          <w:rFonts w:hint="eastAsia" w:eastAsia="宋体" w:cs="Times New Roman"/>
          <w:lang w:val="en-US" w:eastAsia="zh-CN"/>
        </w:rPr>
        <w:t>（6）在引进平台上准备好引进滚轮，爬升架平台上准备好塔身高强度螺栓</w:t>
      </w:r>
      <w:r>
        <w:rPr>
          <w:rFonts w:hint="eastAsia"/>
          <w:lang w:val="en-US" w:eastAsia="zh-CN"/>
        </w:rPr>
        <w:t>。</w:t>
      </w:r>
    </w:p>
    <w:p w14:paraId="6C28ADE4">
      <w:pPr>
        <w:rPr>
          <w:rFonts w:hint="eastAsia"/>
          <w:b/>
          <w:bCs/>
          <w:lang w:val="en-US" w:eastAsia="zh-CN"/>
        </w:rPr>
      </w:pPr>
      <w:r>
        <w:rPr>
          <w:rFonts w:hint="eastAsia"/>
          <w:b/>
          <w:bCs/>
          <w:lang w:val="en-US" w:eastAsia="zh-CN"/>
        </w:rPr>
        <w:t>2、降节前塔吊的配平</w:t>
      </w:r>
    </w:p>
    <w:p w14:paraId="3E0B4302">
      <w:pPr>
        <w:bidi w:val="0"/>
        <w:ind w:firstLine="480" w:firstLineChars="200"/>
        <w:rPr>
          <w:rFonts w:hint="eastAsia" w:eastAsia="宋体" w:cs="Times New Roman"/>
          <w:lang w:val="en-US" w:eastAsia="zh-CN"/>
        </w:rPr>
      </w:pPr>
      <w:r>
        <w:rPr>
          <w:rFonts w:hint="eastAsia" w:eastAsia="宋体" w:cs="Times New Roman"/>
          <w:lang w:val="en-US" w:eastAsia="zh-CN"/>
        </w:rPr>
        <w:t>（1）塔吊配平前，必须先吊一节标准节放在引进梁上，再将载重小车运行到配平参考位置，并吊起一节或其它重物（表中载重小车的位置是个近似值，顶升时还必须根据实际情况的需要进行调整）。然后拆除下支座四个支脚与标准节的连接销轴；</w:t>
      </w:r>
    </w:p>
    <w:p w14:paraId="7207268F">
      <w:pPr>
        <w:bidi w:val="0"/>
        <w:ind w:firstLine="480" w:firstLineChars="200"/>
        <w:rPr>
          <w:rFonts w:hint="eastAsia" w:eastAsia="宋体" w:cs="Times New Roman"/>
          <w:lang w:val="en-US" w:eastAsia="zh-CN"/>
        </w:rPr>
      </w:pPr>
      <w:r>
        <w:rPr>
          <w:rFonts w:hint="eastAsia" w:eastAsia="宋体" w:cs="Times New Roman"/>
          <w:lang w:val="en-US" w:eastAsia="zh-CN"/>
        </w:rPr>
        <w:t>（2）将液压顶升系统操纵杆推至“顶升方向”，使爬升架顶升至下支座支脚刚刚脱离塔身的主弦杆的位置；</w:t>
      </w:r>
    </w:p>
    <w:p w14:paraId="3CE9A93B">
      <w:pPr>
        <w:bidi w:val="0"/>
        <w:ind w:firstLine="480" w:firstLineChars="200"/>
        <w:rPr>
          <w:rFonts w:hint="eastAsia" w:eastAsia="宋体" w:cs="Times New Roman"/>
          <w:lang w:val="en-US" w:eastAsia="zh-CN"/>
        </w:rPr>
      </w:pPr>
      <w:r>
        <w:rPr>
          <w:rFonts w:hint="eastAsia" w:eastAsia="宋体" w:cs="Times New Roman"/>
          <w:lang w:val="en-US" w:eastAsia="zh-CN"/>
        </w:rPr>
        <w:t>（3）检验下支座与标准节相连的支脚与塔身主弦杆是否在一条垂直线上，并观察爬升架上8个导轮与塔身主弦杆间隙是否基本相同，以检查塔吊是否平衡，若不平衡，则调整载重小车的配平位置，直至平衡，使得塔吊上部重心落在顶升油缸梁的位置上；</w:t>
      </w:r>
    </w:p>
    <w:p w14:paraId="2DC078B8">
      <w:pPr>
        <w:bidi w:val="0"/>
        <w:ind w:firstLine="480" w:firstLineChars="200"/>
        <w:rPr>
          <w:rFonts w:hint="eastAsia" w:eastAsia="宋体" w:cs="Times New Roman"/>
          <w:lang w:val="en-US" w:eastAsia="zh-CN"/>
        </w:rPr>
      </w:pPr>
      <w:r>
        <w:rPr>
          <w:rFonts w:hint="eastAsia" w:eastAsia="宋体" w:cs="Times New Roman"/>
          <w:lang w:val="en-US" w:eastAsia="zh-CN"/>
        </w:rPr>
        <w:t>（4）记录载重小车的配平位置，也可用布条系在该处的斜腹杆上作为标志以便拆卸时用，但要注意，这个标志的位置随起重臂长度不同而改变；</w:t>
      </w:r>
    </w:p>
    <w:p w14:paraId="18050C8C">
      <w:pPr>
        <w:bidi w:val="0"/>
        <w:ind w:firstLine="480" w:firstLineChars="200"/>
        <w:rPr>
          <w:rFonts w:hint="eastAsia" w:eastAsia="宋体" w:cs="Times New Roman"/>
          <w:lang w:val="en-US" w:eastAsia="zh-CN"/>
        </w:rPr>
      </w:pPr>
      <w:r>
        <w:rPr>
          <w:rFonts w:hint="eastAsia" w:eastAsia="宋体" w:cs="Times New Roman"/>
          <w:lang w:val="en-US" w:eastAsia="zh-CN"/>
        </w:rPr>
        <w:t>（5）操纵液压系统使套架下降，连接好下支座和塔身标准节间的连接销轴。</w:t>
      </w:r>
    </w:p>
    <w:p w14:paraId="4084216C">
      <w:pPr>
        <w:rPr>
          <w:rFonts w:hint="eastAsia"/>
          <w:b/>
          <w:bCs/>
          <w:lang w:val="en-US" w:eastAsia="zh-CN"/>
        </w:rPr>
      </w:pPr>
      <w:r>
        <w:rPr>
          <w:rFonts w:hint="eastAsia"/>
          <w:b/>
          <w:bCs/>
          <w:lang w:val="en-US" w:eastAsia="zh-CN"/>
        </w:rPr>
        <w:t>3、降节作业</w:t>
      </w:r>
    </w:p>
    <w:p w14:paraId="7688AC89">
      <w:pPr>
        <w:bidi w:val="0"/>
        <w:ind w:firstLine="480" w:firstLineChars="200"/>
        <w:rPr>
          <w:rFonts w:hint="eastAsia" w:eastAsia="宋体" w:cs="Times New Roman"/>
          <w:lang w:val="en-US" w:eastAsia="zh-CN"/>
        </w:rPr>
      </w:pPr>
      <w:r>
        <w:rPr>
          <w:rFonts w:hint="eastAsia"/>
          <w:lang w:val="en-US" w:eastAsia="zh-CN"/>
        </w:rPr>
        <w:t>（</w:t>
      </w:r>
      <w:r>
        <w:rPr>
          <w:rFonts w:hint="eastAsia" w:eastAsia="宋体" w:cs="Times New Roman"/>
          <w:lang w:val="en-US" w:eastAsia="zh-CN"/>
        </w:rPr>
        <w:t>1）将起重臂回转到标准节的引进方向（即爬升架中有开口的一侧），使回转制动器处于制动状态，载重小车停在配平位置（即与安装塔吊中顶升加节时载重小车的配平位置一致）；</w:t>
      </w:r>
    </w:p>
    <w:p w14:paraId="63131672">
      <w:pPr>
        <w:bidi w:val="0"/>
        <w:ind w:firstLine="480" w:firstLineChars="200"/>
        <w:rPr>
          <w:rFonts w:hint="eastAsia" w:eastAsia="宋体" w:cs="Times New Roman"/>
          <w:lang w:val="en-US" w:eastAsia="zh-CN"/>
        </w:rPr>
      </w:pPr>
      <w:r>
        <w:rPr>
          <w:rFonts w:hint="eastAsia" w:eastAsia="宋体" w:cs="Times New Roman"/>
          <w:lang w:val="en-US" w:eastAsia="zh-CN"/>
        </w:rPr>
        <w:t>（2）拆除最上面标准节的上下连接销轴，并将提升装置吊钩挂在该标准节上；</w:t>
      </w:r>
    </w:p>
    <w:p w14:paraId="3B1A122D">
      <w:pPr>
        <w:bidi w:val="0"/>
        <w:ind w:firstLine="480" w:firstLineChars="200"/>
        <w:rPr>
          <w:rFonts w:hint="eastAsia" w:eastAsia="宋体" w:cs="Times New Roman"/>
          <w:lang w:val="en-US" w:eastAsia="zh-CN"/>
        </w:rPr>
      </w:pPr>
      <w:r>
        <w:rPr>
          <w:rFonts w:hint="eastAsia" w:eastAsia="宋体" w:cs="Times New Roman"/>
          <w:lang w:val="en-US" w:eastAsia="zh-CN"/>
        </w:rPr>
        <w:t>（3）伸长顶升油缸，将顶升横梁顶在从上往下数第四个踏步的圆弧槽内，将上部结构顶起，当最上一节标准节离开第二节标准节顶面2-5cm左右，即停止顶升；</w:t>
      </w:r>
    </w:p>
    <w:p w14:paraId="1FCD414F">
      <w:pPr>
        <w:bidi w:val="0"/>
        <w:ind w:firstLine="480" w:firstLineChars="200"/>
        <w:rPr>
          <w:rFonts w:hint="eastAsia" w:eastAsia="宋体" w:cs="Times New Roman"/>
          <w:lang w:val="en-US" w:eastAsia="zh-CN"/>
        </w:rPr>
      </w:pPr>
      <w:r>
        <w:rPr>
          <w:rFonts w:hint="eastAsia" w:eastAsia="宋体" w:cs="Times New Roman"/>
          <w:lang w:val="en-US" w:eastAsia="zh-CN"/>
        </w:rPr>
        <w:t>（4）将最上一节标准节沿着引进梁推出；</w:t>
      </w:r>
    </w:p>
    <w:p w14:paraId="09F60BC0">
      <w:pPr>
        <w:bidi w:val="0"/>
        <w:ind w:firstLine="480" w:firstLineChars="200"/>
        <w:rPr>
          <w:rFonts w:hint="eastAsia" w:eastAsia="宋体" w:cs="Times New Roman"/>
          <w:lang w:val="en-US" w:eastAsia="zh-CN"/>
        </w:rPr>
      </w:pPr>
      <w:r>
        <w:rPr>
          <w:rFonts w:hint="eastAsia" w:eastAsia="宋体" w:cs="Times New Roman"/>
          <w:lang w:val="en-US" w:eastAsia="zh-CN"/>
        </w:rPr>
        <w:t>（5）拨开活动爬爪，回缩油缸，让活动爬爪躲过距它最近的一对踏步后，复位放平，继续下降至活动爬爪支撑在下一对踏步上，支撑住上部结构后，再回缩油缸；</w:t>
      </w:r>
    </w:p>
    <w:p w14:paraId="6B77D146">
      <w:pPr>
        <w:bidi w:val="0"/>
        <w:ind w:firstLine="480" w:firstLineChars="200"/>
        <w:rPr>
          <w:rFonts w:hint="eastAsia" w:eastAsia="宋体" w:cs="Times New Roman"/>
          <w:lang w:val="en-US" w:eastAsia="zh-CN"/>
        </w:rPr>
      </w:pPr>
      <w:r>
        <w:rPr>
          <w:rFonts w:hint="eastAsia" w:eastAsia="宋体" w:cs="Times New Roman"/>
          <w:lang w:val="en-US" w:eastAsia="zh-CN"/>
        </w:rPr>
        <w:t>（6）将顶升横梁在下一对踏步上，稍微顶升至爬爪翻转时能躲过原来支撑的踏步后停止，拨开爬爪，继续回缩油缸，至下一标准节与下支座相接处为止；</w:t>
      </w:r>
    </w:p>
    <w:p w14:paraId="075B51D3">
      <w:pPr>
        <w:bidi w:val="0"/>
        <w:ind w:firstLine="480" w:firstLineChars="200"/>
        <w:rPr>
          <w:rFonts w:hint="eastAsia" w:eastAsia="宋体" w:cs="Times New Roman"/>
          <w:lang w:val="en-US" w:eastAsia="zh-CN"/>
        </w:rPr>
      </w:pPr>
      <w:r>
        <w:rPr>
          <w:rFonts w:hint="eastAsia" w:eastAsia="宋体" w:cs="Times New Roman"/>
          <w:lang w:val="en-US" w:eastAsia="zh-CN"/>
        </w:rPr>
        <w:t>（7）下支座与标准节之间用销轴连接好后，用小车吊钩将标准节吊至地面；</w:t>
      </w:r>
    </w:p>
    <w:p w14:paraId="025315F5">
      <w:pPr>
        <w:bidi w:val="0"/>
        <w:ind w:firstLine="480" w:firstLineChars="200"/>
        <w:rPr>
          <w:rFonts w:hint="eastAsia" w:eastAsia="宋体" w:cs="Times New Roman"/>
          <w:lang w:val="en-US" w:eastAsia="zh-CN"/>
        </w:rPr>
      </w:pPr>
      <w:r>
        <w:rPr>
          <w:rFonts w:hint="eastAsia" w:eastAsia="宋体" w:cs="Times New Roman"/>
          <w:lang w:val="en-US" w:eastAsia="zh-CN"/>
        </w:rPr>
        <w:t>（8）重复上述动作，将塔身标准节依次拆下，并堆放好；</w:t>
      </w:r>
    </w:p>
    <w:p w14:paraId="4F000EF7">
      <w:pPr>
        <w:bidi w:val="0"/>
        <w:ind w:firstLine="480" w:firstLineChars="200"/>
        <w:rPr>
          <w:rFonts w:hint="eastAsia" w:eastAsia="宋体" w:cs="Times New Roman"/>
          <w:lang w:val="en-US" w:eastAsia="zh-CN"/>
        </w:rPr>
      </w:pPr>
      <w:r>
        <w:rPr>
          <w:rFonts w:hint="eastAsia" w:eastAsia="宋体" w:cs="Times New Roman"/>
          <w:lang w:val="en-US" w:eastAsia="zh-CN"/>
        </w:rPr>
        <w:t>（9）塔身拆至只剩下</w:t>
      </w:r>
      <w:r>
        <w:rPr>
          <w:rFonts w:hint="eastAsia" w:cs="Times New Roman"/>
          <w:lang w:val="en-US" w:eastAsia="zh-CN"/>
        </w:rPr>
        <w:t>一</w:t>
      </w:r>
      <w:r>
        <w:rPr>
          <w:rFonts w:hint="eastAsia" w:eastAsia="宋体" w:cs="Times New Roman"/>
          <w:lang w:val="en-US" w:eastAsia="zh-CN"/>
        </w:rPr>
        <w:t>节</w:t>
      </w:r>
      <w:r>
        <w:rPr>
          <w:rFonts w:hint="eastAsia" w:cs="Times New Roman"/>
          <w:lang w:val="en-US" w:eastAsia="zh-CN"/>
        </w:rPr>
        <w:t>标准</w:t>
      </w:r>
      <w:r>
        <w:rPr>
          <w:rFonts w:hint="eastAsia" w:eastAsia="宋体" w:cs="Times New Roman"/>
          <w:lang w:val="en-US" w:eastAsia="zh-CN"/>
        </w:rPr>
        <w:t>节时，停止降节。</w:t>
      </w:r>
    </w:p>
    <w:p w14:paraId="101910EA">
      <w:pPr>
        <w:pStyle w:val="3"/>
        <w:bidi w:val="0"/>
        <w:rPr>
          <w:rFonts w:hint="eastAsia"/>
        </w:rPr>
      </w:pPr>
      <w:bookmarkStart w:id="30" w:name="_Toc17130"/>
      <w:r>
        <w:rPr>
          <w:rFonts w:hint="eastAsia"/>
          <w:lang w:val="en-US" w:eastAsia="zh-CN"/>
        </w:rPr>
        <w:t>2.2</w:t>
      </w:r>
      <w:r>
        <w:rPr>
          <w:rFonts w:hint="eastAsia"/>
        </w:rPr>
        <w:t>附着拆除</w:t>
      </w:r>
      <w:bookmarkEnd w:id="30"/>
    </w:p>
    <w:p w14:paraId="64D9B239">
      <w:pPr>
        <w:bidi w:val="0"/>
        <w:ind w:firstLine="480" w:firstLineChars="200"/>
        <w:rPr>
          <w:rFonts w:hint="eastAsia"/>
          <w:lang w:val="en-US" w:eastAsia="zh-CN"/>
        </w:rPr>
      </w:pPr>
      <w:r>
        <w:rPr>
          <w:rFonts w:hint="eastAsia"/>
          <w:lang w:val="en-US" w:eastAsia="zh-CN"/>
        </w:rPr>
        <w:t>本塔机共计1道附着，附着采用</w:t>
      </w:r>
      <w:r>
        <w:rPr>
          <w:rFonts w:hint="eastAsia" w:cs="Times New Roman"/>
          <w:lang w:val="en-US" w:eastAsia="zh-CN"/>
        </w:rPr>
        <w:t>XGT7026-12S1</w:t>
      </w:r>
      <w:r>
        <w:rPr>
          <w:rFonts w:hint="eastAsia"/>
          <w:lang w:val="en-US" w:eastAsia="zh-CN"/>
        </w:rPr>
        <w:t>自身吊装拆除，附着布置如下图</w:t>
      </w:r>
    </w:p>
    <w:p w14:paraId="468833D6">
      <w:pPr>
        <w:jc w:val="center"/>
        <w:rPr>
          <w:rFonts w:hint="default"/>
          <w:lang w:val="en-US" w:eastAsia="zh-CN"/>
        </w:rPr>
      </w:pPr>
      <w:r>
        <w:drawing>
          <wp:inline distT="0" distB="0" distL="114300" distR="114300">
            <wp:extent cx="3183255" cy="3749675"/>
            <wp:effectExtent l="0" t="0" r="1714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rcRect t="2461" r="3336"/>
                    <a:stretch>
                      <a:fillRect/>
                    </a:stretch>
                  </pic:blipFill>
                  <pic:spPr>
                    <a:xfrm>
                      <a:off x="0" y="0"/>
                      <a:ext cx="3183255" cy="3749675"/>
                    </a:xfrm>
                    <a:prstGeom prst="rect">
                      <a:avLst/>
                    </a:prstGeom>
                    <a:noFill/>
                    <a:ln>
                      <a:noFill/>
                    </a:ln>
                  </pic:spPr>
                </pic:pic>
              </a:graphicData>
            </a:graphic>
          </wp:inline>
        </w:drawing>
      </w:r>
    </w:p>
    <w:p w14:paraId="557AF9DF">
      <w:pPr>
        <w:jc w:val="center"/>
        <w:rPr>
          <w:rFonts w:hint="default"/>
          <w:lang w:val="en-US" w:eastAsia="zh-CN"/>
        </w:rPr>
      </w:pPr>
      <w:r>
        <w:rPr>
          <w:rFonts w:hint="eastAsia" w:ascii="宋体" w:hAnsi="宋体" w:eastAsia="宋体" w:cs="宋体"/>
          <w:sz w:val="24"/>
          <w:szCs w:val="24"/>
        </w:rPr>
        <w:t>图</w:t>
      </w:r>
      <w:r>
        <w:rPr>
          <w:rFonts w:hint="eastAsia" w:ascii="宋体" w:hAnsi="宋体" w:cs="宋体"/>
          <w:sz w:val="24"/>
          <w:szCs w:val="24"/>
          <w:lang w:val="en-US" w:eastAsia="zh-CN"/>
        </w:rPr>
        <w:t xml:space="preserve">2.2-1  </w:t>
      </w:r>
      <w:r>
        <w:rPr>
          <w:rFonts w:hint="eastAsia" w:cs="Times New Roman"/>
          <w:lang w:val="en-US" w:eastAsia="zh-CN"/>
        </w:rPr>
        <w:t>XGT7026-12S1</w:t>
      </w:r>
      <w:r>
        <w:rPr>
          <w:rFonts w:hint="eastAsia"/>
          <w:lang w:val="en-US" w:eastAsia="zh-CN"/>
        </w:rPr>
        <w:t>附着布置立面图</w:t>
      </w:r>
    </w:p>
    <w:p w14:paraId="10953B01">
      <w:pPr>
        <w:bidi w:val="0"/>
        <w:ind w:firstLine="480" w:firstLineChars="200"/>
        <w:rPr>
          <w:rFonts w:hint="eastAsia"/>
          <w:lang w:val="en-US" w:eastAsia="zh-CN"/>
        </w:rPr>
      </w:pPr>
      <w:r>
        <w:rPr>
          <w:rFonts w:hint="eastAsia"/>
          <w:lang w:val="en-US" w:eastAsia="zh-CN"/>
        </w:rPr>
        <w:t>拆卸附着装置前必须先降低塔身，并保证在此道附着装置之下的附着装置处于夹紧有效状态，才能拆卸该道附着装置。</w:t>
      </w:r>
    </w:p>
    <w:p w14:paraId="6A7550F6">
      <w:pPr>
        <w:bidi w:val="0"/>
        <w:ind w:firstLine="480" w:firstLineChars="200"/>
        <w:rPr>
          <w:rFonts w:hint="eastAsia"/>
          <w:lang w:val="en-US" w:eastAsia="zh-CN"/>
        </w:rPr>
      </w:pPr>
      <w:r>
        <w:rPr>
          <w:rFonts w:hint="eastAsia"/>
          <w:lang w:val="en-US" w:eastAsia="zh-CN"/>
        </w:rPr>
        <w:t>塔吊附着拆除步骤如下：</w:t>
      </w:r>
    </w:p>
    <w:p w14:paraId="2B9CDF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lang w:val="en-US" w:eastAsia="zh-CN"/>
        </w:rPr>
      </w:pPr>
      <w:bookmarkStart w:id="31" w:name="_Toc9650"/>
      <w:bookmarkStart w:id="32" w:name="_Toc30899"/>
      <w:r>
        <w:rPr>
          <w:rFonts w:hint="eastAsia" w:ascii="宋体" w:hAnsi="宋体" w:eastAsia="宋体" w:cs="宋体"/>
          <w:color w:val="auto"/>
          <w:lang w:val="en-US" w:eastAsia="zh-CN"/>
        </w:rPr>
        <w:t>1）作业人员先上到墩身侧附着拆除位置，将安全带在上方横杆上系挂牢固。</w:t>
      </w:r>
    </w:p>
    <w:p w14:paraId="2DC7A2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2）作业人员从塔机底层，</w:t>
      </w:r>
      <w:r>
        <w:rPr>
          <w:rFonts w:hint="eastAsia"/>
          <w:lang w:val="en-US" w:eastAsia="zh-CN"/>
        </w:rPr>
        <w:t>通过爬梯爬到附着框位置</w:t>
      </w:r>
      <w:r>
        <w:rPr>
          <w:rFonts w:hint="eastAsia" w:ascii="宋体" w:hAnsi="宋体" w:eastAsia="宋体" w:cs="宋体"/>
          <w:color w:val="auto"/>
          <w:lang w:val="en-US" w:eastAsia="zh-CN"/>
        </w:rPr>
        <w:t>，</w:t>
      </w:r>
      <w:r>
        <w:rPr>
          <w:rFonts w:hint="eastAsia"/>
          <w:lang w:val="en-US" w:eastAsia="zh-CN"/>
        </w:rPr>
        <w:t>将安全带系挂在塔身防坠器上</w:t>
      </w:r>
      <w:r>
        <w:rPr>
          <w:rFonts w:hint="eastAsia" w:ascii="宋体" w:hAnsi="宋体" w:eastAsia="宋体" w:cs="宋体"/>
          <w:color w:val="auto"/>
          <w:lang w:val="en-US" w:eastAsia="zh-CN"/>
        </w:rPr>
        <w:t>。</w:t>
      </w:r>
    </w:p>
    <w:p w14:paraId="4A751B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3）附着杆件采用两点吊，采用2根</w:t>
      </w:r>
      <w:r>
        <w:rPr>
          <w:rFonts w:hint="eastAsia" w:ascii="宋体" w:hAnsi="宋体" w:cs="宋体"/>
          <w:color w:val="auto"/>
          <w:sz w:val="24"/>
          <w:szCs w:val="24"/>
          <w:highlight w:val="none"/>
          <w:lang w:val="en-US" w:eastAsia="zh-CN"/>
        </w:rPr>
        <w:t>24mm6×19W+IWR1870Mpa</w:t>
      </w:r>
      <w:r>
        <w:rPr>
          <w:rFonts w:hint="eastAsia" w:ascii="宋体" w:hAnsi="宋体" w:eastAsia="宋体" w:cs="宋体"/>
          <w:color w:val="auto"/>
          <w:lang w:val="en-US" w:eastAsia="zh-CN"/>
        </w:rPr>
        <w:t>的钢丝绳配套GB/T 25854-6-DW6.3卸扣进行吊装，同时附着杆两端栓上溜绳。</w:t>
      </w:r>
    </w:p>
    <w:p w14:paraId="11FAB5A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ascii="宋体" w:hAnsi="宋体" w:eastAsia="宋体" w:cs="宋体"/>
          <w:color w:val="auto"/>
          <w:lang w:val="en-US" w:eastAsia="zh-CN"/>
        </w:rPr>
        <w:t>4）</w:t>
      </w:r>
      <w:r>
        <w:rPr>
          <w:rFonts w:hint="eastAsia" w:ascii="宋体" w:hAnsi="宋体" w:cs="宋体"/>
          <w:color w:val="auto"/>
          <w:lang w:val="en-US" w:eastAsia="zh-CN"/>
        </w:rPr>
        <w:t>墩身侧</w:t>
      </w:r>
      <w:r>
        <w:rPr>
          <w:rFonts w:hint="eastAsia"/>
        </w:rPr>
        <w:t>作业人员</w:t>
      </w:r>
      <w:r>
        <w:rPr>
          <w:rFonts w:hint="eastAsia"/>
          <w:lang w:val="en-US" w:eastAsia="zh-CN"/>
        </w:rPr>
        <w:t>先</w:t>
      </w:r>
      <w:r>
        <w:rPr>
          <w:rFonts w:hint="eastAsia"/>
        </w:rPr>
        <w:t>将</w:t>
      </w:r>
      <w:r>
        <w:rPr>
          <w:rFonts w:hint="eastAsia"/>
          <w:lang w:val="en-US" w:eastAsia="zh-CN"/>
        </w:rPr>
        <w:t>吊</w:t>
      </w:r>
      <w:bookmarkStart w:id="127" w:name="_GoBack"/>
      <w:bookmarkEnd w:id="127"/>
      <w:r>
        <w:rPr>
          <w:rFonts w:hint="eastAsia"/>
          <w:lang w:val="en-US" w:eastAsia="zh-CN"/>
        </w:rPr>
        <w:t>装</w:t>
      </w:r>
      <w:r>
        <w:rPr>
          <w:rFonts w:hint="eastAsia"/>
        </w:rPr>
        <w:t>钢丝绳一端的卸扣与</w:t>
      </w:r>
      <w:r>
        <w:rPr>
          <w:rFonts w:hint="eastAsia"/>
          <w:lang w:val="en-US" w:eastAsia="zh-CN"/>
        </w:rPr>
        <w:t>附着杆吊点</w:t>
      </w:r>
      <w:r>
        <w:rPr>
          <w:rFonts w:hint="eastAsia"/>
        </w:rPr>
        <w:t>连接，</w:t>
      </w:r>
      <w:r>
        <w:rPr>
          <w:rFonts w:hint="eastAsia" w:ascii="Times New Roman" w:hAnsi="Times New Roman" w:eastAsia="宋体" w:cs="Times New Roman"/>
          <w:lang w:val="en-US" w:eastAsia="zh-CN"/>
        </w:rPr>
        <w:t>绑好溜绳后拆除靠墩身侧拉杆与支座连接销轴或支座连接螺栓，</w:t>
      </w:r>
      <w:r>
        <w:rPr>
          <w:rFonts w:hint="eastAsia"/>
          <w:lang w:val="en-US" w:eastAsia="zh-CN"/>
        </w:rPr>
        <w:t>慢慢开动塔机吊钩将拉杆滑开不与墩身侧支座耳板连接，附着杆转动到合适位置后拆除拉杆与附着框连接销轴，操作牵引绳，启动塔机吊钩使附着杆件滑出附着框耳座，然后</w:t>
      </w:r>
      <w:r>
        <w:rPr>
          <w:rFonts w:hint="eastAsia"/>
        </w:rPr>
        <w:t>启动</w:t>
      </w:r>
      <w:r>
        <w:rPr>
          <w:rFonts w:hint="eastAsia"/>
          <w:lang w:val="en-US" w:eastAsia="zh-CN"/>
        </w:rPr>
        <w:t>塔机吊钩</w:t>
      </w:r>
      <w:r>
        <w:rPr>
          <w:rFonts w:hint="eastAsia"/>
        </w:rPr>
        <w:t>，</w:t>
      </w:r>
      <w:r>
        <w:rPr>
          <w:rFonts w:hint="eastAsia"/>
          <w:lang w:val="en-US" w:eastAsia="zh-CN"/>
        </w:rPr>
        <w:t>一人拉紧溜绳防止与墩身摩擦碰撞直至</w:t>
      </w:r>
      <w:r>
        <w:rPr>
          <w:rFonts w:hint="eastAsia"/>
        </w:rPr>
        <w:t>将附着杆件缓慢起吊下放至地面指定位置。</w:t>
      </w:r>
    </w:p>
    <w:p w14:paraId="59B606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5）重复以上步骤，拆除全部附着杆件。</w:t>
      </w:r>
    </w:p>
    <w:p w14:paraId="3AEAA9B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ascii="宋体" w:hAnsi="宋体" w:eastAsia="宋体" w:cs="宋体"/>
          <w:highlight w:val="none"/>
          <w:lang w:val="en-US" w:eastAsia="zh-CN"/>
        </w:rPr>
        <w:t>6）牛腿总成采用四点吊装，以牛腿总成上的吊耳为吊装孔，</w:t>
      </w:r>
      <w:r>
        <w:rPr>
          <w:rFonts w:hint="eastAsia" w:ascii="宋体" w:hAnsi="宋体" w:eastAsia="宋体" w:cs="宋体"/>
          <w:highlight w:val="none"/>
        </w:rPr>
        <w:t>采用</w:t>
      </w:r>
      <w:r>
        <w:rPr>
          <w:rFonts w:hint="eastAsia" w:ascii="宋体" w:hAnsi="宋体" w:eastAsia="宋体" w:cs="宋体"/>
          <w:highlight w:val="none"/>
          <w:lang w:val="en-US" w:eastAsia="zh-CN"/>
        </w:rPr>
        <w:t>4</w:t>
      </w:r>
      <w:r>
        <w:rPr>
          <w:rFonts w:hint="eastAsia" w:ascii="宋体" w:hAnsi="宋体" w:eastAsia="宋体" w:cs="宋体"/>
          <w:highlight w:val="none"/>
        </w:rPr>
        <w:t>根</w:t>
      </w:r>
      <w:r>
        <w:rPr>
          <w:rFonts w:hint="eastAsia" w:ascii="宋体" w:hAnsi="宋体" w:cs="宋体"/>
          <w:highlight w:val="none"/>
          <w:lang w:val="en-US" w:eastAsia="zh-CN"/>
        </w:rPr>
        <w:t>24</w:t>
      </w:r>
      <w:r>
        <w:rPr>
          <w:rFonts w:hint="eastAsia" w:ascii="宋体" w:hAnsi="宋体" w:eastAsia="宋体" w:cs="宋体"/>
          <w:highlight w:val="none"/>
          <w:lang w:val="en-US" w:eastAsia="zh-CN"/>
        </w:rPr>
        <w:t>mm</w:t>
      </w:r>
      <w:r>
        <w:rPr>
          <w:rFonts w:hint="eastAsia" w:ascii="宋体" w:hAnsi="宋体" w:eastAsia="宋体" w:cs="宋体"/>
          <w:color w:val="auto"/>
          <w:lang w:val="en-US" w:eastAsia="zh-CN"/>
        </w:rPr>
        <w:t>6×19W+IWR 1870Mpa</w:t>
      </w:r>
      <w:r>
        <w:rPr>
          <w:rFonts w:hint="eastAsia" w:ascii="宋体" w:hAnsi="宋体" w:eastAsia="宋体" w:cs="宋体"/>
          <w:highlight w:val="none"/>
        </w:rPr>
        <w:t>的钢丝绳配套</w:t>
      </w:r>
      <w:r>
        <w:rPr>
          <w:rFonts w:hint="eastAsia" w:ascii="宋体" w:hAnsi="宋体" w:eastAsia="宋体" w:cs="宋体"/>
          <w:highlight w:val="none"/>
          <w:lang w:val="en-US" w:eastAsia="zh-CN"/>
        </w:rPr>
        <w:t>GB/T 25854-6-DW6.3</w:t>
      </w:r>
      <w:r>
        <w:rPr>
          <w:rFonts w:hint="eastAsia" w:ascii="宋体" w:hAnsi="宋体" w:eastAsia="宋体" w:cs="宋体"/>
          <w:highlight w:val="none"/>
        </w:rPr>
        <w:t>卸扣进行吊装。</w:t>
      </w:r>
      <w:r>
        <w:rPr>
          <w:rFonts w:hint="eastAsia" w:ascii="宋体" w:hAnsi="宋体" w:eastAsia="宋体" w:cs="宋体"/>
          <w:highlight w:val="none"/>
          <w:lang w:val="en-US" w:eastAsia="zh-CN"/>
        </w:rPr>
        <w:t>同时牛腿总成两端拴上溜绳，</w:t>
      </w:r>
      <w:r>
        <w:rPr>
          <w:rFonts w:hint="eastAsia" w:ascii="宋体" w:hAnsi="宋体" w:eastAsia="宋体" w:cs="宋体"/>
          <w:highlight w:val="none"/>
        </w:rPr>
        <w:t>作业人员将</w:t>
      </w:r>
      <w:r>
        <w:rPr>
          <w:rFonts w:hint="eastAsia" w:ascii="宋体" w:hAnsi="宋体" w:eastAsia="宋体" w:cs="宋体"/>
          <w:highlight w:val="none"/>
          <w:lang w:val="en-US" w:eastAsia="zh-CN"/>
        </w:rPr>
        <w:t>吊装</w:t>
      </w:r>
      <w:r>
        <w:rPr>
          <w:rFonts w:hint="eastAsia" w:ascii="宋体" w:hAnsi="宋体" w:eastAsia="宋体" w:cs="宋体"/>
          <w:highlight w:val="none"/>
        </w:rPr>
        <w:t>钢丝绳一端的卸扣与吊装孔连接，</w:t>
      </w:r>
      <w:r>
        <w:rPr>
          <w:rFonts w:hint="eastAsia" w:ascii="宋体" w:hAnsi="宋体" w:eastAsia="宋体" w:cs="宋体"/>
          <w:highlight w:val="none"/>
          <w:lang w:val="en-US" w:eastAsia="zh-CN"/>
        </w:rPr>
        <w:t>墩身侧人员拆除牛腿总成与墩身的固定销轴，</w:t>
      </w:r>
      <w:r>
        <w:rPr>
          <w:rFonts w:hint="eastAsia" w:ascii="宋体" w:hAnsi="宋体" w:eastAsia="宋体" w:cs="宋体"/>
          <w:highlight w:val="none"/>
        </w:rPr>
        <w:t>启动</w:t>
      </w:r>
      <w:r>
        <w:rPr>
          <w:rFonts w:hint="eastAsia" w:ascii="宋体" w:hAnsi="宋体" w:eastAsia="宋体" w:cs="宋体"/>
          <w:highlight w:val="none"/>
          <w:lang w:val="en-US" w:eastAsia="zh-CN"/>
        </w:rPr>
        <w:t>塔机吊钩</w:t>
      </w:r>
      <w:r>
        <w:rPr>
          <w:rFonts w:hint="eastAsia" w:ascii="宋体" w:hAnsi="宋体" w:eastAsia="宋体" w:cs="宋体"/>
          <w:highlight w:val="none"/>
        </w:rPr>
        <w:t>，</w:t>
      </w:r>
      <w:r>
        <w:rPr>
          <w:rFonts w:hint="eastAsia" w:ascii="宋体" w:hAnsi="宋体" w:eastAsia="宋体" w:cs="宋体"/>
          <w:highlight w:val="none"/>
          <w:lang w:val="en-US" w:eastAsia="zh-CN"/>
        </w:rPr>
        <w:t>同时塔机侧操作人员可牵引溜绳调整牛腿总成姿态，然后将牛腿总成缓慢吊起放置地面指定位置。</w:t>
      </w:r>
      <w:r>
        <w:rPr>
          <w:rFonts w:hint="eastAsia" w:ascii="宋体" w:hAnsi="宋体" w:eastAsia="宋体" w:cs="宋体"/>
          <w:color w:val="auto"/>
          <w:lang w:val="en-US" w:eastAsia="zh-CN"/>
        </w:rPr>
        <w:t>拆除完成后作业人员通过塔身内爬梯下到地面。</w:t>
      </w:r>
    </w:p>
    <w:p w14:paraId="17042575">
      <w:pPr>
        <w:pStyle w:val="3"/>
        <w:bidi w:val="0"/>
        <w:rPr>
          <w:rFonts w:hint="default"/>
          <w:lang w:val="en-US" w:eastAsia="zh-CN"/>
        </w:rPr>
      </w:pPr>
      <w:bookmarkStart w:id="33" w:name="_Toc17428"/>
      <w:r>
        <w:rPr>
          <w:rFonts w:hint="eastAsia"/>
          <w:lang w:val="en-US" w:eastAsia="zh-CN"/>
        </w:rPr>
        <w:t>2.3拆除</w:t>
      </w:r>
      <w:bookmarkEnd w:id="31"/>
      <w:r>
        <w:rPr>
          <w:rFonts w:hint="eastAsia"/>
          <w:lang w:val="en-US" w:eastAsia="zh-CN"/>
        </w:rPr>
        <w:t>部分平衡重</w:t>
      </w:r>
      <w:bookmarkEnd w:id="33"/>
    </w:p>
    <w:p w14:paraId="48AF7AFB">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ascii="宋体" w:hAnsi="宋体" w:eastAsia="宋体" w:cs="Times New Roman"/>
          <w:kern w:val="2"/>
          <w:sz w:val="24"/>
          <w:szCs w:val="22"/>
          <w:lang w:val="en-US" w:eastAsia="zh-CN" w:bidi="ar-SA"/>
        </w:rPr>
        <w:t>（1）</w:t>
      </w:r>
      <w:r>
        <w:rPr>
          <w:rFonts w:hint="eastAsia"/>
          <w:highlight w:val="none"/>
          <w:lang w:val="en-US" w:eastAsia="zh-CN"/>
        </w:rPr>
        <w:t>先拆除4块平衡重，重量分别为1.3t，2.1t，2.8t，留塔身侧2块2.8t配重，最重配重块重2.8t，50T汽车吊</w:t>
      </w:r>
      <w:r>
        <w:rPr>
          <w:rFonts w:hint="eastAsia" w:ascii="宋体" w:hAnsi="宋体" w:eastAsia="宋体" w:cs="宋体"/>
          <w:color w:val="auto"/>
          <w:sz w:val="24"/>
          <w:szCs w:val="24"/>
          <w:highlight w:val="none"/>
          <w:lang w:val="en-US" w:eastAsia="zh-CN"/>
        </w:rPr>
        <w:t>主臂长</w:t>
      </w:r>
      <w:r>
        <w:rPr>
          <w:rFonts w:hint="eastAsia" w:ascii="宋体" w:hAnsi="宋体" w:cs="宋体"/>
          <w:color w:val="auto"/>
          <w:sz w:val="24"/>
          <w:szCs w:val="24"/>
          <w:highlight w:val="none"/>
          <w:lang w:val="en-US" w:eastAsia="zh-CN"/>
        </w:rPr>
        <w:t>32.8m，</w:t>
      </w:r>
      <w:r>
        <w:rPr>
          <w:rFonts w:hint="eastAsia"/>
          <w:highlight w:val="none"/>
          <w:lang w:val="en-US" w:eastAsia="zh-CN"/>
        </w:rPr>
        <w:t>吊距约为14m，吊高为27m。50T汽车吊起重能力为9.8t&gt;2.8t，50T</w:t>
      </w:r>
      <w:r>
        <w:rPr>
          <w:rFonts w:hint="eastAsia"/>
          <w:lang w:val="en-US" w:eastAsia="zh-CN"/>
        </w:rPr>
        <w:t>汽车吊起重性能满足要求。</w:t>
      </w:r>
    </w:p>
    <w:p w14:paraId="3DCBA6B9">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eastAsia"/>
          <w:lang w:val="en-US" w:eastAsia="zh-CN"/>
        </w:rPr>
      </w:pPr>
      <w:r>
        <w:drawing>
          <wp:inline distT="0" distB="0" distL="114300" distR="114300">
            <wp:extent cx="5272405" cy="1423670"/>
            <wp:effectExtent l="0" t="0" r="0" b="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20"/>
                    <a:srcRect t="8039"/>
                    <a:stretch>
                      <a:fillRect/>
                    </a:stretch>
                  </pic:blipFill>
                  <pic:spPr>
                    <a:xfrm>
                      <a:off x="0" y="0"/>
                      <a:ext cx="5272405" cy="1423670"/>
                    </a:xfrm>
                    <a:prstGeom prst="rect">
                      <a:avLst/>
                    </a:prstGeom>
                    <a:noFill/>
                    <a:ln>
                      <a:noFill/>
                    </a:ln>
                  </pic:spPr>
                </pic:pic>
              </a:graphicData>
            </a:graphic>
          </wp:inline>
        </w:drawing>
      </w:r>
    </w:p>
    <w:p w14:paraId="7DBF3AFE">
      <w:pPr>
        <w:bidi w:val="0"/>
        <w:ind w:firstLine="480" w:firstLineChars="200"/>
        <w:rPr>
          <w:rFonts w:hint="eastAsia" w:eastAsia="宋体" w:cs="Times New Roman"/>
          <w:lang w:val="en-US" w:eastAsia="zh-CN"/>
        </w:rPr>
      </w:pPr>
      <w:r>
        <w:rPr>
          <w:rFonts w:hint="eastAsia"/>
          <w:lang w:val="en-US" w:eastAsia="zh-CN"/>
        </w:rPr>
        <w:t>（2）配重块吊装采用两点吊，以配重部顶部预埋的2个吊耳板作为吊装孔，</w:t>
      </w:r>
      <w:r>
        <w:rPr>
          <w:rFonts w:hint="eastAsia"/>
          <w:highlight w:val="none"/>
          <w:lang w:val="en-US" w:eastAsia="zh-CN"/>
        </w:rPr>
        <w:t>采用2根24mm6×19W+IWR1870Mpa的钢丝绳配套GB/T 25854-6-DW6.3卸扣进行起吊，50T汽车吊站位图</w:t>
      </w:r>
      <w:r>
        <w:rPr>
          <w:rFonts w:hint="eastAsia"/>
          <w:lang w:val="en-US" w:eastAsia="zh-CN"/>
        </w:rPr>
        <w:t>如下。</w:t>
      </w:r>
      <w:r>
        <w:rPr>
          <w:rFonts w:hint="eastAsia" w:eastAsia="宋体" w:cs="Times New Roman"/>
          <w:lang w:val="en-US" w:eastAsia="zh-CN"/>
        </w:rPr>
        <w:t>。</w:t>
      </w:r>
    </w:p>
    <w:p w14:paraId="3C7F45E5">
      <w:pPr>
        <w:jc w:val="center"/>
        <w:rPr>
          <w:rFonts w:hint="eastAsia"/>
          <w:lang w:val="en-US" w:eastAsia="zh-CN"/>
        </w:rPr>
      </w:pPr>
      <w:r>
        <w:drawing>
          <wp:inline distT="0" distB="0" distL="114300" distR="114300">
            <wp:extent cx="3394710" cy="3511550"/>
            <wp:effectExtent l="0" t="0" r="15240" b="1270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21"/>
                    <a:stretch>
                      <a:fillRect/>
                    </a:stretch>
                  </pic:blipFill>
                  <pic:spPr>
                    <a:xfrm>
                      <a:off x="0" y="0"/>
                      <a:ext cx="3394710" cy="3511550"/>
                    </a:xfrm>
                    <a:prstGeom prst="rect">
                      <a:avLst/>
                    </a:prstGeom>
                    <a:noFill/>
                    <a:ln>
                      <a:noFill/>
                    </a:ln>
                  </pic:spPr>
                </pic:pic>
              </a:graphicData>
            </a:graphic>
          </wp:inline>
        </w:drawing>
      </w:r>
    </w:p>
    <w:p w14:paraId="06CD3928">
      <w:pPr>
        <w:jc w:val="center"/>
        <w:rPr>
          <w:rFonts w:hint="eastAsia"/>
          <w:highlight w:val="none"/>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w:t>
      </w:r>
      <w:r>
        <w:rPr>
          <w:rFonts w:hint="eastAsia" w:ascii="宋体" w:hAnsi="宋体" w:eastAsia="宋体" w:cs="宋体"/>
          <w:sz w:val="24"/>
          <w:szCs w:val="24"/>
          <w:lang w:val="en-US" w:eastAsia="zh-CN"/>
        </w:rPr>
        <w:t>3</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-1  </w:t>
      </w:r>
      <w:r>
        <w:rPr>
          <w:rFonts w:hint="eastAsia"/>
          <w:lang w:val="en-US" w:eastAsia="zh-CN"/>
        </w:rPr>
        <w:t>XGT7026-12S1</w:t>
      </w:r>
      <w:r>
        <w:rPr>
          <w:rFonts w:hint="eastAsia"/>
          <w:highlight w:val="none"/>
          <w:lang w:val="en-US" w:eastAsia="zh-CN"/>
        </w:rPr>
        <w:t>平衡重拆除平面图</w:t>
      </w:r>
    </w:p>
    <w:p w14:paraId="32053D59">
      <w:pPr>
        <w:jc w:val="center"/>
        <w:rPr>
          <w:rFonts w:hint="eastAsia"/>
          <w:highlight w:val="none"/>
          <w:lang w:val="en-US" w:eastAsia="zh-CN"/>
        </w:rPr>
      </w:pPr>
      <w:r>
        <w:drawing>
          <wp:inline distT="0" distB="0" distL="114300" distR="114300">
            <wp:extent cx="4714875" cy="2435225"/>
            <wp:effectExtent l="0" t="0" r="9525" b="317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22"/>
                    <a:stretch>
                      <a:fillRect/>
                    </a:stretch>
                  </pic:blipFill>
                  <pic:spPr>
                    <a:xfrm>
                      <a:off x="0" y="0"/>
                      <a:ext cx="4714875" cy="2435225"/>
                    </a:xfrm>
                    <a:prstGeom prst="rect">
                      <a:avLst/>
                    </a:prstGeom>
                    <a:noFill/>
                    <a:ln>
                      <a:noFill/>
                    </a:ln>
                  </pic:spPr>
                </pic:pic>
              </a:graphicData>
            </a:graphic>
          </wp:inline>
        </w:drawing>
      </w:r>
    </w:p>
    <w:p w14:paraId="32088FC2">
      <w:pPr>
        <w:jc w:val="center"/>
        <w:rPr>
          <w:rFonts w:hint="default"/>
          <w:highlight w:val="none"/>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2.3</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-2  </w:t>
      </w:r>
      <w:r>
        <w:rPr>
          <w:rFonts w:hint="eastAsia"/>
          <w:lang w:val="en-US" w:eastAsia="zh-CN"/>
        </w:rPr>
        <w:t>XGT7026-12S1</w:t>
      </w:r>
      <w:r>
        <w:rPr>
          <w:rFonts w:hint="eastAsia"/>
          <w:highlight w:val="none"/>
          <w:lang w:val="en-US" w:eastAsia="zh-CN"/>
        </w:rPr>
        <w:t>平衡重拆除立面图</w:t>
      </w:r>
    </w:p>
    <w:p w14:paraId="3921187F">
      <w:pPr>
        <w:pStyle w:val="3"/>
        <w:bidi w:val="0"/>
        <w:rPr>
          <w:rFonts w:hint="eastAsia"/>
          <w:lang w:val="en-US" w:eastAsia="zh-CN"/>
        </w:rPr>
      </w:pPr>
      <w:bookmarkStart w:id="34" w:name="_Toc24984"/>
      <w:r>
        <w:rPr>
          <w:rFonts w:hint="eastAsia"/>
          <w:lang w:val="en-US" w:eastAsia="zh-CN"/>
        </w:rPr>
        <w:t>2.4拆除起重臂</w:t>
      </w:r>
      <w:bookmarkEnd w:id="32"/>
      <w:bookmarkEnd w:id="34"/>
    </w:p>
    <w:p w14:paraId="1B1CD830">
      <w:pPr>
        <w:numPr>
          <w:ilvl w:val="0"/>
          <w:numId w:val="2"/>
        </w:numPr>
        <w:ind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放下吊钩至地面，拆除起重钢丝绳与起重臂前端上的防扭装置连接，开动起升机构，回收全部钢丝绳；</w:t>
      </w:r>
    </w:p>
    <w:p w14:paraId="1A858813">
      <w:pPr>
        <w:numPr>
          <w:ilvl w:val="0"/>
          <w:numId w:val="2"/>
        </w:numPr>
        <w:ind w:firstLineChars="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50T</w:t>
      </w:r>
      <w:r>
        <w:rPr>
          <w:rFonts w:hint="eastAsia" w:ascii="宋体" w:hAnsi="宋体" w:eastAsia="宋体" w:cs="宋体"/>
          <w:color w:val="auto"/>
          <w:sz w:val="24"/>
          <w:szCs w:val="24"/>
          <w:highlight w:val="none"/>
          <w:lang w:val="en-US" w:eastAsia="zh-CN"/>
        </w:rPr>
        <w:t>汽车吊主臂长</w:t>
      </w:r>
      <w:r>
        <w:rPr>
          <w:rFonts w:hint="eastAsia" w:cs="宋体"/>
          <w:color w:val="auto"/>
          <w:sz w:val="24"/>
          <w:szCs w:val="24"/>
          <w:highlight w:val="none"/>
          <w:lang w:val="en-US" w:eastAsia="zh-CN"/>
        </w:rPr>
        <w:t>32.8</w:t>
      </w:r>
      <w:r>
        <w:rPr>
          <w:rFonts w:hint="eastAsia" w:ascii="宋体" w:hAnsi="宋体" w:cs="宋体"/>
          <w:color w:val="auto"/>
          <w:sz w:val="24"/>
          <w:szCs w:val="24"/>
          <w:highlight w:val="none"/>
          <w:lang w:val="en-US" w:eastAsia="zh-CN"/>
        </w:rPr>
        <w:t>m</w:t>
      </w:r>
      <w:r>
        <w:rPr>
          <w:rFonts w:hint="eastAsia" w:ascii="宋体" w:hAnsi="宋体" w:eastAsia="宋体" w:cs="宋体"/>
          <w:color w:val="auto"/>
          <w:sz w:val="24"/>
          <w:szCs w:val="24"/>
          <w:highlight w:val="none"/>
          <w:lang w:val="en-US" w:eastAsia="zh-CN"/>
        </w:rPr>
        <w:t>，吊装作业半径</w:t>
      </w:r>
      <w:r>
        <w:rPr>
          <w:rFonts w:hint="eastAsia" w:cs="宋体"/>
          <w:color w:val="auto"/>
          <w:sz w:val="24"/>
          <w:szCs w:val="24"/>
          <w:highlight w:val="none"/>
          <w:lang w:val="en-US" w:eastAsia="zh-CN"/>
        </w:rPr>
        <w:t>14</w:t>
      </w:r>
      <w:r>
        <w:rPr>
          <w:rFonts w:hint="eastAsia" w:ascii="宋体" w:hAnsi="宋体" w:cs="宋体"/>
          <w:color w:val="auto"/>
          <w:sz w:val="24"/>
          <w:szCs w:val="24"/>
          <w:highlight w:val="none"/>
          <w:lang w:val="en-US" w:eastAsia="zh-CN"/>
        </w:rPr>
        <w:t>m</w:t>
      </w:r>
      <w:r>
        <w:rPr>
          <w:rFonts w:hint="eastAsia" w:ascii="宋体" w:hAnsi="宋体" w:eastAsia="宋体" w:cs="宋体"/>
          <w:color w:val="auto"/>
          <w:sz w:val="24"/>
          <w:szCs w:val="24"/>
          <w:highlight w:val="none"/>
          <w:lang w:val="en-US" w:eastAsia="zh-CN"/>
        </w:rPr>
        <w:t>，额定起重量为</w:t>
      </w:r>
      <w:r>
        <w:rPr>
          <w:rFonts w:hint="eastAsia" w:ascii="宋体" w:hAnsi="宋体" w:cs="宋体"/>
          <w:color w:val="auto"/>
          <w:sz w:val="24"/>
          <w:szCs w:val="24"/>
          <w:highlight w:val="none"/>
          <w:lang w:val="en-US" w:eastAsia="zh-CN"/>
        </w:rPr>
        <w:t>9.</w:t>
      </w:r>
      <w:r>
        <w:rPr>
          <w:rFonts w:hint="eastAsia"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t</w:t>
      </w:r>
      <w:r>
        <w:rPr>
          <w:rFonts w:hint="eastAsia"/>
          <w:highlight w:val="none"/>
          <w:lang w:val="en-US" w:eastAsia="zh-CN"/>
        </w:rPr>
        <w:t>&gt;6.422t</w:t>
      </w:r>
      <w:r>
        <w:rPr>
          <w:rFonts w:hint="eastAsia" w:ascii="宋体" w:hAnsi="宋体" w:eastAsia="宋体" w:cs="宋体"/>
          <w:color w:val="auto"/>
          <w:sz w:val="24"/>
          <w:szCs w:val="24"/>
          <w:highlight w:val="none"/>
          <w:lang w:val="en-US" w:eastAsia="zh-CN"/>
        </w:rPr>
        <w:t>，满足拆除吊装要求。</w:t>
      </w:r>
    </w:p>
    <w:p w14:paraId="0FF8D977">
      <w:pPr>
        <w:numPr>
          <w:ilvl w:val="0"/>
          <w:numId w:val="2"/>
        </w:numPr>
        <w:ind w:firstLineChars="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起重臂总成吊装采用两点吊，以配重部顶部预埋的2个吊耳板作为吊装孔，采用2根24mm6×19W+IWR1870Mpa的钢丝绳配套GB/T 25854-6-DW6.3卸扣进行起吊，50T汽车吊站位图如下：  </w:t>
      </w:r>
    </w:p>
    <w:p w14:paraId="089A1FF5">
      <w:pPr>
        <w:keepNext w:val="0"/>
        <w:keepLines w:val="0"/>
        <w:pageBreakBefore w:val="0"/>
        <w:widowControl w:val="0"/>
        <w:kinsoku/>
        <w:wordWrap/>
        <w:overflowPunct/>
        <w:topLinePunct w:val="0"/>
        <w:autoSpaceDE/>
        <w:autoSpaceDN/>
        <w:bidi w:val="0"/>
        <w:adjustRightInd/>
        <w:snapToGrid/>
        <w:spacing w:after="120"/>
        <w:ind w:firstLine="0"/>
        <w:jc w:val="center"/>
        <w:textAlignment w:val="auto"/>
      </w:pPr>
      <w:r>
        <w:drawing>
          <wp:inline distT="0" distB="0" distL="114300" distR="114300">
            <wp:extent cx="3785870" cy="2296160"/>
            <wp:effectExtent l="0" t="0" r="5080" b="889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23"/>
                    <a:stretch>
                      <a:fillRect/>
                    </a:stretch>
                  </pic:blipFill>
                  <pic:spPr>
                    <a:xfrm>
                      <a:off x="0" y="0"/>
                      <a:ext cx="3785870" cy="2296160"/>
                    </a:xfrm>
                    <a:prstGeom prst="rect">
                      <a:avLst/>
                    </a:prstGeom>
                    <a:noFill/>
                    <a:ln>
                      <a:noFill/>
                    </a:ln>
                  </pic:spPr>
                </pic:pic>
              </a:graphicData>
            </a:graphic>
          </wp:inline>
        </w:drawing>
      </w:r>
    </w:p>
    <w:p w14:paraId="1D770AD3">
      <w:pPr>
        <w:pStyle w:val="16"/>
        <w:spacing w:after="120"/>
        <w:ind w:firstLine="560"/>
        <w:jc w:val="center"/>
        <w:rPr>
          <w:rFonts w:hint="eastAsia" w:eastAsia="仿宋"/>
          <w:lang w:val="en-US" w:eastAsia="zh-CN"/>
        </w:rPr>
      </w:pPr>
      <w:r>
        <w:rPr>
          <w:rFonts w:hint="eastAsia"/>
          <w:lang w:val="en-US" w:eastAsia="zh-CN"/>
        </w:rPr>
        <w:t xml:space="preserve"> </w:t>
      </w: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2.4</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-1 </w:t>
      </w:r>
      <w:r>
        <w:rPr>
          <w:rFonts w:hint="eastAsia"/>
        </w:rPr>
        <w:t>拆卸起重臂</w:t>
      </w:r>
      <w:r>
        <w:rPr>
          <w:rFonts w:hint="eastAsia"/>
          <w:lang w:val="en-US" w:eastAsia="zh-CN"/>
        </w:rPr>
        <w:t>臂节二</w:t>
      </w:r>
      <w:r>
        <w:rPr>
          <w:rFonts w:hint="eastAsia"/>
        </w:rPr>
        <w:t>至臂头</w:t>
      </w:r>
      <w:r>
        <w:rPr>
          <w:rFonts w:hint="eastAsia"/>
          <w:lang w:val="en-US" w:eastAsia="zh-CN"/>
        </w:rPr>
        <w:t>平面示意图</w:t>
      </w:r>
    </w:p>
    <w:p w14:paraId="55809485">
      <w:pPr>
        <w:jc w:val="center"/>
      </w:pPr>
      <w:r>
        <w:drawing>
          <wp:inline distT="0" distB="0" distL="114300" distR="114300">
            <wp:extent cx="4346575" cy="2888615"/>
            <wp:effectExtent l="0" t="0" r="15875" b="6985"/>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24"/>
                    <a:stretch>
                      <a:fillRect/>
                    </a:stretch>
                  </pic:blipFill>
                  <pic:spPr>
                    <a:xfrm>
                      <a:off x="0" y="0"/>
                      <a:ext cx="4346575" cy="2888615"/>
                    </a:xfrm>
                    <a:prstGeom prst="rect">
                      <a:avLst/>
                    </a:prstGeom>
                    <a:noFill/>
                    <a:ln>
                      <a:noFill/>
                    </a:ln>
                  </pic:spPr>
                </pic:pic>
              </a:graphicData>
            </a:graphic>
          </wp:inline>
        </w:drawing>
      </w:r>
    </w:p>
    <w:p w14:paraId="427EE773">
      <w:pPr>
        <w:pStyle w:val="16"/>
        <w:spacing w:after="120"/>
        <w:ind w:firstLine="560"/>
        <w:jc w:val="center"/>
        <w:rPr>
          <w:rFonts w:hint="eastAsia"/>
          <w:lang w:val="en-US" w:eastAsia="zh-CN"/>
        </w:rPr>
      </w:pPr>
      <w:bookmarkStart w:id="35" w:name="_Toc32064"/>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2.4</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-2 </w:t>
      </w:r>
      <w:r>
        <w:rPr>
          <w:rFonts w:hint="eastAsia"/>
        </w:rPr>
        <w:t>拆卸起重臂</w:t>
      </w:r>
      <w:r>
        <w:rPr>
          <w:rFonts w:hint="eastAsia"/>
          <w:lang w:val="en-US" w:eastAsia="zh-CN"/>
        </w:rPr>
        <w:t>臂节二</w:t>
      </w:r>
      <w:r>
        <w:rPr>
          <w:rFonts w:hint="eastAsia"/>
        </w:rPr>
        <w:t>至臂头</w:t>
      </w:r>
      <w:r>
        <w:rPr>
          <w:rFonts w:hint="eastAsia"/>
          <w:lang w:val="en-US" w:eastAsia="zh-CN"/>
        </w:rPr>
        <w:t>立面示意图</w:t>
      </w:r>
    </w:p>
    <w:p w14:paraId="2698070F">
      <w:pPr>
        <w:numPr>
          <w:ilvl w:val="0"/>
          <w:numId w:val="2"/>
        </w:numPr>
        <w:ind w:firstLineChars="0"/>
        <w:rPr>
          <w:rFonts w:hint="eastAsia" w:ascii="宋体" w:hAnsi="宋体" w:eastAsia="宋体" w:cs="宋体"/>
          <w:color w:val="auto"/>
          <w:sz w:val="24"/>
          <w:szCs w:val="24"/>
          <w:lang w:val="en-US" w:eastAsia="zh-CN"/>
        </w:rPr>
      </w:pPr>
      <w:r>
        <w:rPr>
          <w:rFonts w:hint="eastAsia"/>
          <w:highlight w:val="none"/>
        </w:rPr>
        <w:t>作业人员在地面上先将钢丝绳一端挂在</w:t>
      </w:r>
      <w:r>
        <w:rPr>
          <w:rFonts w:hint="eastAsia"/>
          <w:highlight w:val="none"/>
          <w:lang w:eastAsia="zh-CN"/>
        </w:rPr>
        <w:t>汽车吊</w:t>
      </w:r>
      <w:r>
        <w:rPr>
          <w:rFonts w:hint="eastAsia"/>
          <w:highlight w:val="none"/>
        </w:rPr>
        <w:t>吊钩上，启动</w:t>
      </w:r>
      <w:r>
        <w:rPr>
          <w:rFonts w:hint="eastAsia"/>
          <w:highlight w:val="none"/>
          <w:lang w:eastAsia="zh-CN"/>
        </w:rPr>
        <w:t>汽车吊</w:t>
      </w:r>
      <w:r>
        <w:rPr>
          <w:rFonts w:hint="eastAsia"/>
          <w:highlight w:val="none"/>
        </w:rPr>
        <w:t>，将钢丝绳缓慢提升至起重臂上方时，作业人员通过爬梯爬至回转</w:t>
      </w:r>
      <w:r>
        <w:rPr>
          <w:rFonts w:hint="eastAsia"/>
          <w:highlight w:val="none"/>
          <w:lang w:val="en-US" w:eastAsia="zh-CN"/>
        </w:rPr>
        <w:t>塔身</w:t>
      </w:r>
      <w:r>
        <w:rPr>
          <w:rFonts w:hint="eastAsia"/>
          <w:highlight w:val="none"/>
        </w:rPr>
        <w:t>平台上，将安全带交替系挂在起重臂安全绳上，沿下弦杆走行至起重臂吊点位置处。</w:t>
      </w:r>
      <w:r>
        <w:rPr>
          <w:rFonts w:hint="eastAsia"/>
          <w:highlight w:val="none"/>
          <w:lang w:eastAsia="zh-CN"/>
        </w:rPr>
        <w:t>汽车吊</w:t>
      </w:r>
      <w:r>
        <w:rPr>
          <w:rFonts w:hint="eastAsia"/>
          <w:highlight w:val="none"/>
        </w:rPr>
        <w:t>放松吊钩，将另一端钢丝绳与起重臂腹杆节点捆绑连接，采用卸扣固定，同时在起重臂腹杆上栓好2根溜绳。作业人员沿下弦杆走行至起重臂</w:t>
      </w:r>
      <w:r>
        <w:rPr>
          <w:rFonts w:hint="eastAsia"/>
          <w:highlight w:val="none"/>
          <w:lang w:val="en-US" w:eastAsia="zh-CN"/>
        </w:rPr>
        <w:t>臂节一</w:t>
      </w:r>
      <w:r>
        <w:rPr>
          <w:rFonts w:hint="eastAsia"/>
          <w:highlight w:val="none"/>
        </w:rPr>
        <w:t>处，</w:t>
      </w:r>
      <w:r>
        <w:rPr>
          <w:rFonts w:hint="eastAsia"/>
          <w:highlight w:val="none"/>
          <w:lang w:eastAsia="zh-CN"/>
        </w:rPr>
        <w:t>汽车吊</w:t>
      </w:r>
      <w:r>
        <w:rPr>
          <w:rFonts w:hint="eastAsia"/>
          <w:highlight w:val="none"/>
        </w:rPr>
        <w:t>轻轻将起重臂往上抬，拆除起重臂和起重臂</w:t>
      </w:r>
      <w:r>
        <w:rPr>
          <w:rFonts w:hint="eastAsia"/>
          <w:highlight w:val="none"/>
          <w:lang w:val="en-US" w:eastAsia="zh-CN"/>
        </w:rPr>
        <w:t>之间</w:t>
      </w:r>
      <w:r>
        <w:rPr>
          <w:rFonts w:hint="eastAsia"/>
          <w:highlight w:val="none"/>
        </w:rPr>
        <w:t>的连接销轴，</w:t>
      </w:r>
      <w:r>
        <w:rPr>
          <w:rFonts w:hint="eastAsia"/>
          <w:highlight w:val="none"/>
          <w:lang w:eastAsia="zh-CN"/>
        </w:rPr>
        <w:t>汽车吊</w:t>
      </w:r>
      <w:r>
        <w:rPr>
          <w:rFonts w:hint="eastAsia"/>
          <w:highlight w:val="none"/>
        </w:rPr>
        <w:t>起升吊钩，将起重臂竖直起吊一定安全高度后，再将起重臂下放至地面，稳固后</w:t>
      </w:r>
      <w:r>
        <w:rPr>
          <w:rFonts w:hint="eastAsia"/>
          <w:highlight w:val="none"/>
          <w:lang w:eastAsia="zh-CN"/>
        </w:rPr>
        <w:t>汽车吊</w:t>
      </w:r>
      <w:r>
        <w:rPr>
          <w:rFonts w:hint="eastAsia"/>
          <w:highlight w:val="none"/>
        </w:rPr>
        <w:t>放松吊钩，作业人员在地面上解除钢丝绳与起重臂吊点的连接。</w:t>
      </w:r>
    </w:p>
    <w:p w14:paraId="69CF72E1">
      <w:pPr>
        <w:keepNext w:val="0"/>
        <w:keepLines w:val="0"/>
        <w:pageBreakBefore w:val="0"/>
        <w:widowControl w:val="0"/>
        <w:kinsoku/>
        <w:wordWrap/>
        <w:overflowPunct/>
        <w:topLinePunct w:val="0"/>
        <w:autoSpaceDE/>
        <w:autoSpaceDN/>
        <w:bidi w:val="0"/>
        <w:adjustRightInd/>
        <w:snapToGrid/>
        <w:ind w:left="0"/>
        <w:jc w:val="both"/>
        <w:textAlignment w:val="auto"/>
        <w:rPr>
          <w:rFonts w:hint="default"/>
          <w:lang w:val="en-US" w:eastAsia="zh-CN"/>
        </w:rPr>
      </w:pPr>
      <w:r>
        <w:drawing>
          <wp:inline distT="0" distB="0" distL="114300" distR="114300">
            <wp:extent cx="5063490" cy="1283970"/>
            <wp:effectExtent l="0" t="0" r="3810" b="1143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5"/>
                    <a:srcRect l="3905"/>
                    <a:stretch>
                      <a:fillRect/>
                    </a:stretch>
                  </pic:blipFill>
                  <pic:spPr>
                    <a:xfrm>
                      <a:off x="0" y="0"/>
                      <a:ext cx="5063490" cy="1283970"/>
                    </a:xfrm>
                    <a:prstGeom prst="rect">
                      <a:avLst/>
                    </a:prstGeom>
                    <a:noFill/>
                    <a:ln>
                      <a:noFill/>
                    </a:ln>
                  </pic:spPr>
                </pic:pic>
              </a:graphicData>
            </a:graphic>
          </wp:inline>
        </w:drawing>
      </w:r>
    </w:p>
    <w:p w14:paraId="78BE6B43">
      <w:pPr>
        <w:keepNext w:val="0"/>
        <w:keepLines w:val="0"/>
        <w:pageBreakBefore w:val="0"/>
        <w:widowControl w:val="0"/>
        <w:numPr>
          <w:ilvl w:val="0"/>
          <w:numId w:val="0"/>
        </w:numPr>
        <w:kinsoku/>
        <w:wordWrap/>
        <w:overflowPunct/>
        <w:topLinePunct w:val="0"/>
        <w:autoSpaceDE/>
        <w:autoSpaceDN/>
        <w:bidi w:val="0"/>
        <w:adjustRightInd/>
        <w:snapToGrid/>
        <w:ind w:left="0" w:leftChars="0"/>
        <w:jc w:val="both"/>
        <w:textAlignment w:val="auto"/>
      </w:pPr>
      <w:r>
        <w:drawing>
          <wp:inline distT="0" distB="0" distL="114300" distR="114300">
            <wp:extent cx="5269865" cy="2943860"/>
            <wp:effectExtent l="0" t="0" r="6985" b="8890"/>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26"/>
                    <a:stretch>
                      <a:fillRect/>
                    </a:stretch>
                  </pic:blipFill>
                  <pic:spPr>
                    <a:xfrm>
                      <a:off x="0" y="0"/>
                      <a:ext cx="5269865" cy="2943860"/>
                    </a:xfrm>
                    <a:prstGeom prst="rect">
                      <a:avLst/>
                    </a:prstGeom>
                    <a:noFill/>
                    <a:ln>
                      <a:noFill/>
                    </a:ln>
                  </pic:spPr>
                </pic:pic>
              </a:graphicData>
            </a:graphic>
          </wp:inline>
        </w:drawing>
      </w:r>
    </w:p>
    <w:p w14:paraId="17A555D0">
      <w:pPr>
        <w:keepNext w:val="0"/>
        <w:keepLines w:val="0"/>
        <w:widowControl/>
        <w:suppressLineNumbers w:val="0"/>
        <w:jc w:val="center"/>
        <w:rPr>
          <w:rFonts w:hint="eastAsia"/>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2.4</w:t>
      </w:r>
      <w:r>
        <w:rPr>
          <w:rFonts w:hint="eastAsia" w:ascii="宋体" w:hAnsi="宋体" w:eastAsia="宋体" w:cs="宋体"/>
          <w:sz w:val="24"/>
          <w:szCs w:val="24"/>
        </w:rPr>
        <w:fldChar w:fldCharType="end"/>
      </w:r>
      <w:r>
        <w:rPr>
          <w:rFonts w:hint="eastAsia" w:ascii="宋体" w:hAnsi="宋体" w:cs="宋体"/>
          <w:sz w:val="24"/>
          <w:szCs w:val="24"/>
          <w:lang w:val="en-US" w:eastAsia="zh-CN"/>
        </w:rPr>
        <w:t>-3</w:t>
      </w:r>
      <w:r>
        <w:rPr>
          <w:rFonts w:hint="eastAsia" w:ascii="宋体" w:hAnsi="宋体" w:eastAsia="宋体" w:cs="宋体"/>
          <w:sz w:val="24"/>
          <w:szCs w:val="24"/>
          <w:lang w:val="en-US" w:eastAsia="zh-CN"/>
        </w:rPr>
        <w:t>起重臂</w:t>
      </w:r>
      <w:r>
        <w:rPr>
          <w:rFonts w:hint="eastAsia" w:cs="宋体"/>
          <w:sz w:val="24"/>
          <w:szCs w:val="24"/>
          <w:lang w:val="en-US" w:eastAsia="zh-CN"/>
        </w:rPr>
        <w:t>拆除</w:t>
      </w:r>
      <w:r>
        <w:rPr>
          <w:rFonts w:hint="eastAsia" w:ascii="宋体" w:hAnsi="宋体" w:eastAsia="宋体" w:cs="宋体"/>
          <w:sz w:val="24"/>
          <w:szCs w:val="24"/>
          <w:lang w:val="en-US" w:eastAsia="zh-CN"/>
        </w:rPr>
        <w:t>时的参考重心位置及重量</w:t>
      </w:r>
    </w:p>
    <w:p w14:paraId="6E4049C6">
      <w:pPr>
        <w:numPr>
          <w:ilvl w:val="0"/>
          <w:numId w:val="2"/>
        </w:numPr>
        <w:ind w:firstLineChars="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塔式起重机起重臂拆除时设置警戒区，起吊安排专人负责指挥，专人操作，严禁无关人员进入起重作业范围内。</w:t>
      </w:r>
    </w:p>
    <w:p w14:paraId="65D58CA6">
      <w:pPr>
        <w:pStyle w:val="3"/>
        <w:bidi w:val="0"/>
        <w:rPr>
          <w:rFonts w:hint="default"/>
          <w:lang w:val="en-US" w:eastAsia="zh-CN"/>
        </w:rPr>
      </w:pPr>
      <w:bookmarkStart w:id="36" w:name="_Toc15153"/>
      <w:r>
        <w:rPr>
          <w:rFonts w:hint="eastAsia"/>
          <w:lang w:val="en-US" w:eastAsia="zh-CN"/>
        </w:rPr>
        <w:t>2.5拆除剩余</w:t>
      </w:r>
      <w:bookmarkEnd w:id="35"/>
      <w:r>
        <w:rPr>
          <w:rFonts w:hint="eastAsia"/>
          <w:lang w:val="en-US" w:eastAsia="zh-CN"/>
        </w:rPr>
        <w:t>平衡重</w:t>
      </w:r>
      <w:bookmarkEnd w:id="36"/>
    </w:p>
    <w:p w14:paraId="1398FAD1">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highlight w:val="none"/>
          <w:lang w:val="en-US" w:eastAsia="zh-CN"/>
        </w:rPr>
      </w:pPr>
      <w:r>
        <w:rPr>
          <w:rFonts w:hint="eastAsia"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highlight w:val="none"/>
          <w:lang w:val="en-US" w:eastAsia="zh-CN" w:bidi="ar"/>
        </w:rPr>
        <w:t>）</w:t>
      </w: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汽车吊主臂长</w:t>
      </w:r>
      <w:r>
        <w:rPr>
          <w:rFonts w:hint="eastAsia" w:cs="Times New Roman"/>
          <w:highlight w:val="none"/>
          <w:lang w:val="en-US" w:eastAsia="zh-CN"/>
        </w:rPr>
        <w:t>32.8m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14m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9.8t</w:t>
      </w:r>
      <w:r>
        <w:rPr>
          <w:rFonts w:hint="eastAsia" w:ascii="Times New Roman" w:hAnsi="Times New Roman" w:eastAsia="宋体" w:cs="Times New Roman"/>
          <w:highlight w:val="none"/>
          <w:lang w:val="en-US" w:eastAsia="zh-CN"/>
        </w:rPr>
        <w:t>，</w:t>
      </w:r>
      <w:r>
        <w:rPr>
          <w:rFonts w:hint="eastAsia" w:ascii="宋体" w:hAnsi="宋体" w:eastAsia="宋体" w:cs="宋体"/>
          <w:color w:val="auto"/>
          <w:sz w:val="24"/>
          <w:szCs w:val="24"/>
          <w:highlight w:val="none"/>
          <w:lang w:val="en-US" w:eastAsia="zh-CN"/>
        </w:rPr>
        <w:t>额定起重量为</w:t>
      </w:r>
      <w:r>
        <w:rPr>
          <w:rFonts w:hint="default" w:ascii="Times New Roman" w:hAnsi="Times New Roman" w:cs="Times New Roman"/>
          <w:color w:val="auto"/>
          <w:sz w:val="24"/>
          <w:szCs w:val="24"/>
          <w:highlight w:val="none"/>
          <w:lang w:val="en-US" w:eastAsia="zh-CN"/>
        </w:rPr>
        <w:t>9.8</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cs="Times New Roman"/>
          <w:highlight w:val="none"/>
          <w:lang w:val="en-US" w:eastAsia="zh-CN"/>
        </w:rPr>
        <w:t>&gt;2.8</w:t>
      </w:r>
      <w:r>
        <w:rPr>
          <w:rFonts w:hint="eastAsia"/>
          <w:highlight w:val="none"/>
          <w:lang w:val="en-US" w:eastAsia="zh-CN"/>
        </w:rPr>
        <w:t>t,</w:t>
      </w:r>
      <w:r>
        <w:rPr>
          <w:rFonts w:hint="eastAsia" w:ascii="Times New Roman" w:hAnsi="Times New Roman" w:eastAsia="宋体" w:cs="Times New Roman"/>
          <w:highlight w:val="none"/>
          <w:lang w:val="en-US" w:eastAsia="zh-CN"/>
        </w:rPr>
        <w:t>满足拆除吊装要求。</w:t>
      </w:r>
    </w:p>
    <w:p w14:paraId="5668C5E4">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highlight w:val="none"/>
          <w:lang w:val="en-US" w:eastAsia="zh-CN"/>
        </w:rPr>
      </w:pPr>
      <w:r>
        <w:rPr>
          <w:rFonts w:hint="eastAsia" w:cs="宋体"/>
          <w:color w:val="000000"/>
          <w:kern w:val="0"/>
          <w:sz w:val="24"/>
          <w:szCs w:val="24"/>
          <w:highlight w:val="none"/>
          <w:lang w:val="en-US" w:eastAsia="zh-CN" w:bidi="ar"/>
        </w:rPr>
        <w:t>（</w:t>
      </w:r>
      <w:r>
        <w:rPr>
          <w:rFonts w:hint="eastAsia" w:cs="Times New Roman"/>
          <w:color w:val="000000"/>
          <w:kern w:val="0"/>
          <w:sz w:val="24"/>
          <w:szCs w:val="24"/>
          <w:lang w:val="en-US" w:eastAsia="zh-CN" w:bidi="ar"/>
        </w:rPr>
        <w:t>2</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highlight w:val="none"/>
          <w:lang w:val="en-US" w:eastAsia="zh-CN"/>
        </w:rPr>
        <w:t>平衡重吊装采用两点吊，以平衡重顶部预埋的2个吊耳板作为吊装孔，采用2根</w:t>
      </w:r>
      <w:r>
        <w:rPr>
          <w:rFonts w:hint="eastAsia" w:cs="Times New Roman"/>
          <w:highlight w:val="none"/>
          <w:lang w:val="en-US" w:eastAsia="zh-CN"/>
        </w:rPr>
        <w:t>24mm6×19W+IWR1870Mpa</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25854-6-DW6.3</w:t>
      </w:r>
      <w:r>
        <w:rPr>
          <w:rFonts w:hint="eastAsia" w:ascii="Times New Roman" w:hAnsi="Times New Roman" w:eastAsia="宋体" w:cs="Times New Roman"/>
          <w:highlight w:val="none"/>
          <w:lang w:val="en-US" w:eastAsia="zh-CN"/>
        </w:rPr>
        <w:t>卸扣进行起吊。</w:t>
      </w:r>
    </w:p>
    <w:p w14:paraId="48E091CB">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宋体" w:hAnsi="宋体" w:eastAsia="宋体" w:cs="宋体"/>
          <w:color w:val="000000"/>
          <w:kern w:val="0"/>
          <w:sz w:val="24"/>
          <w:szCs w:val="24"/>
          <w:lang w:val="en-US" w:eastAsia="zh-CN" w:bidi="ar"/>
        </w:rPr>
      </w:pPr>
      <w:r>
        <w:rPr>
          <w:rFonts w:hint="eastAsia" w:cs="宋体"/>
          <w:color w:val="000000"/>
          <w:kern w:val="0"/>
          <w:sz w:val="24"/>
          <w:szCs w:val="24"/>
          <w:highlight w:val="none"/>
          <w:lang w:val="en-US" w:eastAsia="zh-CN" w:bidi="ar"/>
        </w:rPr>
        <w:t>（</w:t>
      </w:r>
      <w:r>
        <w:rPr>
          <w:rFonts w:hint="eastAsia" w:cs="Times New Roman"/>
          <w:color w:val="000000"/>
          <w:kern w:val="0"/>
          <w:sz w:val="24"/>
          <w:szCs w:val="24"/>
          <w:lang w:val="en-US" w:eastAsia="zh-CN" w:bidi="ar"/>
        </w:rPr>
        <w:t>3</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highlight w:val="none"/>
          <w:lang w:val="en-US" w:eastAsia="zh-CN"/>
        </w:rPr>
        <w:t>作业人员在地面上先将钢丝绳一端挂在汽车吊吊钩上，另一端与卸扣连接，启动汽车吊，将卸扣缓慢提升至平衡重上方时，缓慢放松吊钩，作业人员通过平衡臂走道走行至平衡臂尾部，将安全带系挂在平衡臂横杆上，再将卸扣与平衡重吊耳通过销轴连接，打开平衡臂尾部的挡杆。汽车吊起升吊钩，将平衡重竖直起吊一定高度后，解除平衡重孔的销轴，汽车吊将平衡重沿平衡臂尾部槽口缓慢向外移出平衡臂，将平衡重下放至地面，作业人员在地面上解除卸扣与平衡重吊耳的连接。</w:t>
      </w:r>
    </w:p>
    <w:p w14:paraId="22FA2A50">
      <w:pPr>
        <w:keepNext w:val="0"/>
        <w:keepLines w:val="0"/>
        <w:pageBreakBefore w:val="0"/>
        <w:widowControl w:val="0"/>
        <w:shd w:val="clear"/>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3924300" cy="1457325"/>
            <wp:effectExtent l="0" t="0" r="0" b="952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7"/>
                    <a:stretch>
                      <a:fillRect/>
                    </a:stretch>
                  </pic:blipFill>
                  <pic:spPr>
                    <a:xfrm>
                      <a:off x="0" y="0"/>
                      <a:ext cx="3924300" cy="1457325"/>
                    </a:xfrm>
                    <a:prstGeom prst="rect">
                      <a:avLst/>
                    </a:prstGeom>
                    <a:noFill/>
                    <a:ln>
                      <a:noFill/>
                    </a:ln>
                  </pic:spPr>
                </pic:pic>
              </a:graphicData>
            </a:graphic>
          </wp:inline>
        </w:drawing>
      </w:r>
    </w:p>
    <w:p w14:paraId="112273B8">
      <w:pPr>
        <w:keepNext w:val="0"/>
        <w:keepLines w:val="0"/>
        <w:pageBreakBefore w:val="0"/>
        <w:widowControl w:val="0"/>
        <w:shd w:val="clear"/>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2924810" cy="2465070"/>
            <wp:effectExtent l="0" t="0" r="8890" b="1143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28"/>
                    <a:stretch>
                      <a:fillRect/>
                    </a:stretch>
                  </pic:blipFill>
                  <pic:spPr>
                    <a:xfrm>
                      <a:off x="0" y="0"/>
                      <a:ext cx="2924810" cy="2465070"/>
                    </a:xfrm>
                    <a:prstGeom prst="rect">
                      <a:avLst/>
                    </a:prstGeom>
                    <a:noFill/>
                    <a:ln>
                      <a:noFill/>
                    </a:ln>
                  </pic:spPr>
                </pic:pic>
              </a:graphicData>
            </a:graphic>
          </wp:inline>
        </w:drawing>
      </w:r>
      <w:r>
        <w:drawing>
          <wp:inline distT="0" distB="0" distL="114300" distR="114300">
            <wp:extent cx="2209165" cy="2071370"/>
            <wp:effectExtent l="0" t="0" r="635" b="508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9"/>
                    <a:srcRect l="7976"/>
                    <a:stretch>
                      <a:fillRect/>
                    </a:stretch>
                  </pic:blipFill>
                  <pic:spPr>
                    <a:xfrm>
                      <a:off x="0" y="0"/>
                      <a:ext cx="2209165" cy="2071370"/>
                    </a:xfrm>
                    <a:prstGeom prst="rect">
                      <a:avLst/>
                    </a:prstGeom>
                    <a:noFill/>
                    <a:ln>
                      <a:noFill/>
                    </a:ln>
                  </pic:spPr>
                </pic:pic>
              </a:graphicData>
            </a:graphic>
          </wp:inline>
        </w:drawing>
      </w:r>
    </w:p>
    <w:p w14:paraId="5111BD34">
      <w:pPr>
        <w:jc w:val="center"/>
        <w:rPr>
          <w:rFonts w:hint="eastAsia"/>
          <w:highlight w:val="none"/>
          <w:lang w:val="en-US" w:eastAsia="zh-CN"/>
        </w:rPr>
      </w:pPr>
      <w:r>
        <w:rPr>
          <w:rFonts w:hint="eastAsia" w:ascii="宋体" w:hAnsi="宋体" w:eastAsia="宋体" w:cs="宋体"/>
          <w:sz w:val="24"/>
          <w:szCs w:val="24"/>
        </w:rPr>
        <w:t>图</w:t>
      </w:r>
      <w:r>
        <w:rPr>
          <w:rFonts w:hint="eastAsia" w:ascii="宋体" w:hAnsi="宋体" w:cs="宋体"/>
          <w:sz w:val="24"/>
          <w:szCs w:val="24"/>
          <w:lang w:val="en-US" w:eastAsia="zh-CN"/>
        </w:rPr>
        <w:t xml:space="preserve">2.5-1  </w:t>
      </w:r>
      <w:r>
        <w:rPr>
          <w:rFonts w:hint="eastAsia"/>
          <w:lang w:val="en-US" w:eastAsia="zh-CN"/>
        </w:rPr>
        <w:t>XGT7026-12S1</w:t>
      </w:r>
      <w:r>
        <w:rPr>
          <w:rFonts w:hint="eastAsia"/>
          <w:highlight w:val="none"/>
          <w:lang w:val="en-US" w:eastAsia="zh-CN"/>
        </w:rPr>
        <w:t>最后2块配重拆除示意图</w:t>
      </w:r>
    </w:p>
    <w:p w14:paraId="2A5145BA">
      <w:pPr>
        <w:pStyle w:val="3"/>
        <w:bidi w:val="0"/>
        <w:rPr>
          <w:rFonts w:hint="eastAsia"/>
          <w:lang w:val="en-US" w:eastAsia="zh-CN"/>
        </w:rPr>
      </w:pPr>
      <w:bookmarkStart w:id="37" w:name="_Toc6247"/>
      <w:r>
        <w:rPr>
          <w:rFonts w:hint="eastAsia"/>
          <w:lang w:val="en-US" w:eastAsia="zh-CN"/>
        </w:rPr>
        <w:t>2.6拆除平衡臂</w:t>
      </w:r>
      <w:bookmarkEnd w:id="37"/>
    </w:p>
    <w:p w14:paraId="3252CAA3">
      <w:pPr>
        <w:keepNext w:val="0"/>
        <w:keepLines w:val="0"/>
        <w:pageBreakBefore w:val="0"/>
        <w:shd w:val="clea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highlight w:val="none"/>
          <w:lang w:val="en-US" w:eastAsia="zh-CN"/>
        </w:rPr>
      </w:pPr>
      <w:r>
        <w:rPr>
          <w:rFonts w:hint="eastAsia"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highlight w:val="none"/>
          <w:lang w:val="en-US" w:eastAsia="zh-CN" w:bidi="ar"/>
        </w:rPr>
        <w:t>）</w:t>
      </w: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汽车吊主臂长</w:t>
      </w:r>
      <w:r>
        <w:rPr>
          <w:rFonts w:hint="eastAsia" w:cs="Times New Roman"/>
          <w:highlight w:val="none"/>
          <w:lang w:val="en-US" w:eastAsia="zh-CN"/>
        </w:rPr>
        <w:t>32.8m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12m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12.4t</w:t>
      </w:r>
      <w:r>
        <w:rPr>
          <w:rFonts w:hint="eastAsia" w:ascii="Times New Roman" w:hAnsi="Times New Roman" w:eastAsia="宋体" w:cs="Times New Roman"/>
          <w:highlight w:val="none"/>
          <w:lang w:val="en-US" w:eastAsia="zh-CN"/>
        </w:rPr>
        <w:t>，</w:t>
      </w:r>
      <w:r>
        <w:rPr>
          <w:rFonts w:hint="eastAsia" w:ascii="宋体" w:hAnsi="宋体" w:eastAsia="宋体" w:cs="宋体"/>
          <w:color w:val="auto"/>
          <w:sz w:val="24"/>
          <w:szCs w:val="24"/>
          <w:highlight w:val="none"/>
          <w:lang w:val="en-US" w:eastAsia="zh-CN"/>
        </w:rPr>
        <w:t>额定起重量为</w:t>
      </w:r>
      <w:r>
        <w:rPr>
          <w:rFonts w:hint="eastAsia" w:cs="宋体"/>
          <w:color w:val="auto"/>
          <w:sz w:val="24"/>
          <w:szCs w:val="24"/>
          <w:highlight w:val="none"/>
          <w:lang w:val="en-US" w:eastAsia="zh-CN"/>
        </w:rPr>
        <w:t>12.4</w:t>
      </w:r>
      <w:r>
        <w:rPr>
          <w:rFonts w:hint="eastAsia" w:ascii="宋体" w:hAnsi="宋体" w:eastAsia="宋体" w:cs="宋体"/>
          <w:color w:val="auto"/>
          <w:sz w:val="24"/>
          <w:szCs w:val="24"/>
          <w:highlight w:val="none"/>
          <w:lang w:val="en-US" w:eastAsia="zh-CN"/>
        </w:rPr>
        <w:t>t</w:t>
      </w:r>
      <w:r>
        <w:rPr>
          <w:rFonts w:hint="eastAsia"/>
          <w:highlight w:val="none"/>
          <w:lang w:val="en-US" w:eastAsia="zh-CN"/>
        </w:rPr>
        <w:t>&gt;9.8t,</w:t>
      </w:r>
      <w:r>
        <w:rPr>
          <w:rFonts w:hint="eastAsia" w:ascii="Times New Roman" w:hAnsi="Times New Roman" w:eastAsia="宋体" w:cs="Times New Roman"/>
          <w:highlight w:val="none"/>
          <w:lang w:val="en-US" w:eastAsia="zh-CN"/>
        </w:rPr>
        <w:t>满足拆除吊装要求。</w:t>
      </w:r>
    </w:p>
    <w:p w14:paraId="308F945D">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cs="宋体"/>
          <w:color w:val="000000"/>
          <w:kern w:val="0"/>
          <w:sz w:val="24"/>
          <w:szCs w:val="24"/>
          <w:highlight w:val="none"/>
          <w:lang w:val="en-US" w:eastAsia="zh-CN" w:bidi="ar"/>
        </w:rPr>
        <w:t>（</w:t>
      </w:r>
      <w:r>
        <w:rPr>
          <w:rFonts w:hint="eastAsia" w:cs="Times New Roman"/>
          <w:color w:val="000000"/>
          <w:kern w:val="0"/>
          <w:sz w:val="24"/>
          <w:szCs w:val="24"/>
          <w:lang w:val="en-US" w:eastAsia="zh-CN" w:bidi="ar"/>
        </w:rPr>
        <w:t>2</w:t>
      </w:r>
      <w:r>
        <w:rPr>
          <w:rFonts w:hint="eastAsia" w:ascii="宋体" w:hAnsi="宋体" w:eastAsia="宋体" w:cs="宋体"/>
          <w:color w:val="000000"/>
          <w:kern w:val="0"/>
          <w:sz w:val="24"/>
          <w:szCs w:val="24"/>
          <w:highlight w:val="none"/>
          <w:lang w:val="en-US" w:eastAsia="zh-CN" w:bidi="ar"/>
        </w:rPr>
        <w:t>）平衡臂吊装采用四点吊，以平衡臂顶部4个吊耳板作为吊装孔，采用4根</w:t>
      </w:r>
      <w:r>
        <w:rPr>
          <w:rFonts w:hint="eastAsia" w:ascii="宋体" w:hAnsi="宋体" w:cs="宋体"/>
          <w:color w:val="000000"/>
          <w:kern w:val="0"/>
          <w:sz w:val="24"/>
          <w:szCs w:val="24"/>
          <w:highlight w:val="none"/>
          <w:lang w:val="en-US" w:eastAsia="zh-CN" w:bidi="ar"/>
        </w:rPr>
        <w:t>24mm6×19W+IWR1870Mpa</w:t>
      </w:r>
      <w:r>
        <w:rPr>
          <w:rFonts w:hint="eastAsia" w:ascii="宋体" w:hAnsi="宋体" w:eastAsia="宋体" w:cs="宋体"/>
          <w:color w:val="000000"/>
          <w:kern w:val="0"/>
          <w:sz w:val="24"/>
          <w:szCs w:val="24"/>
          <w:highlight w:val="none"/>
          <w:lang w:val="en-US" w:eastAsia="zh-CN" w:bidi="ar"/>
        </w:rPr>
        <w:t>的钢丝绳配套</w:t>
      </w:r>
      <w:r>
        <w:rPr>
          <w:rFonts w:hint="eastAsia" w:cs="宋体"/>
          <w:color w:val="000000"/>
          <w:kern w:val="0"/>
          <w:sz w:val="24"/>
          <w:szCs w:val="24"/>
          <w:highlight w:val="none"/>
          <w:lang w:val="en-US" w:eastAsia="zh-CN" w:bidi="ar"/>
        </w:rPr>
        <w:t>GB/T 25854-6-DW6.3</w:t>
      </w:r>
      <w:r>
        <w:rPr>
          <w:rFonts w:hint="eastAsia" w:ascii="宋体" w:hAnsi="宋体" w:eastAsia="宋体" w:cs="宋体"/>
          <w:color w:val="000000"/>
          <w:kern w:val="0"/>
          <w:sz w:val="24"/>
          <w:szCs w:val="24"/>
          <w:highlight w:val="none"/>
          <w:lang w:val="en-US" w:eastAsia="zh-CN" w:bidi="ar"/>
        </w:rPr>
        <w:t>卸扣进行起吊。</w:t>
      </w:r>
    </w:p>
    <w:p w14:paraId="1D6324E4">
      <w:pPr>
        <w:keepNext w:val="0"/>
        <w:keepLines w:val="0"/>
        <w:widowControl/>
        <w:numPr>
          <w:ilvl w:val="0"/>
          <w:numId w:val="0"/>
        </w:numPr>
        <w:suppressLineNumbers w:val="0"/>
        <w:ind w:firstLine="419" w:firstLineChars="0"/>
        <w:jc w:val="left"/>
        <w:rPr>
          <w:rFonts w:hint="default" w:ascii="Times New Roman" w:hAnsi="Times New Roman" w:eastAsia="宋体" w:cs="Times New Roman"/>
          <w:highlight w:val="none"/>
          <w:lang w:val="en-US" w:eastAsia="zh-CN"/>
        </w:rPr>
      </w:pPr>
      <w:r>
        <w:rPr>
          <w:rFonts w:hint="eastAsia"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上方，作业人员将安全带系挂在平衡臂横杆上，通过平衡臂走道走行至</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吊耳位置，</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吊耳通过销轴连接，同时在</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杆件上栓好2根溜绳。作业人员通过平衡臂走道走行至起重臂臂根节处，将安全带系挂在起重臂臂根节的横杆上，</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稍微提起</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，使吊装钢丝绳和</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处于紧绷状态，拆除拉杆和起重臂臂根节的连接销轴，采用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提升</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，使</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与起重臂臂节</w:t>
      </w:r>
      <w:r>
        <w:rPr>
          <w:rFonts w:hint="eastAsia" w:cs="Times New Roman"/>
          <w:highlight w:val="none"/>
          <w:lang w:val="en-US" w:eastAsia="zh-CN"/>
        </w:rPr>
        <w:t>一</w:t>
      </w:r>
      <w:r>
        <w:rPr>
          <w:rFonts w:hint="default" w:ascii="Times New Roman" w:hAnsi="Times New Roman" w:eastAsia="宋体" w:cs="Times New Roman"/>
          <w:highlight w:val="none"/>
          <w:lang w:val="en-US" w:eastAsia="zh-CN"/>
        </w:rPr>
        <w:t>倾斜至一定角度，拆除</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和起重臂臂节</w:t>
      </w:r>
      <w:r>
        <w:rPr>
          <w:rFonts w:hint="eastAsia" w:cs="Times New Roman"/>
          <w:highlight w:val="none"/>
          <w:lang w:val="en-US" w:eastAsia="zh-CN"/>
        </w:rPr>
        <w:t>一</w:t>
      </w:r>
      <w:r>
        <w:rPr>
          <w:rFonts w:hint="default" w:ascii="Times New Roman" w:hAnsi="Times New Roman" w:eastAsia="宋体" w:cs="Times New Roman"/>
          <w:highlight w:val="none"/>
          <w:lang w:val="en-US" w:eastAsia="zh-CN"/>
        </w:rPr>
        <w:t>连接销轴。</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提升至一定安全高度后，再将</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下放至地面，作业人员在地面上解除卸扣与</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吊耳的连接。</w:t>
      </w:r>
    </w:p>
    <w:p w14:paraId="41D11B70">
      <w:pPr>
        <w:keepNext w:val="0"/>
        <w:keepLines w:val="0"/>
        <w:widowControl/>
        <w:numPr>
          <w:ilvl w:val="0"/>
          <w:numId w:val="0"/>
        </w:numPr>
        <w:suppressLineNumbers w:val="0"/>
        <w:ind w:firstLine="480" w:firstLineChars="200"/>
        <w:jc w:val="center"/>
        <w:rPr>
          <w:rFonts w:hint="default" w:ascii="Times New Roman" w:hAnsi="Times New Roman" w:eastAsia="宋体" w:cs="Times New Roman"/>
          <w:highlight w:val="none"/>
          <w:lang w:val="en-US" w:eastAsia="zh-CN"/>
        </w:rPr>
      </w:pPr>
      <w:r>
        <w:drawing>
          <wp:inline distT="0" distB="0" distL="114300" distR="114300">
            <wp:extent cx="4144010" cy="1669415"/>
            <wp:effectExtent l="0" t="0" r="8890" b="698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0"/>
                    <a:stretch>
                      <a:fillRect/>
                    </a:stretch>
                  </pic:blipFill>
                  <pic:spPr>
                    <a:xfrm>
                      <a:off x="0" y="0"/>
                      <a:ext cx="4144010" cy="1669415"/>
                    </a:xfrm>
                    <a:prstGeom prst="rect">
                      <a:avLst/>
                    </a:prstGeom>
                    <a:noFill/>
                    <a:ln>
                      <a:noFill/>
                    </a:ln>
                  </pic:spPr>
                </pic:pic>
              </a:graphicData>
            </a:graphic>
          </wp:inline>
        </w:drawing>
      </w:r>
    </w:p>
    <w:p w14:paraId="66CA9BF6">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pPr>
      <w:r>
        <w:rPr>
          <w:rFonts w:hint="eastAsia" w:cs="宋体"/>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塔式起重机平衡臂拆除时设置警戒区，起吊安排专人负责指挥，专人操作，严禁无关</w:t>
      </w:r>
      <w:r>
        <w:rPr>
          <w:rFonts w:hint="eastAsia" w:ascii="Times New Roman" w:hAnsi="Times New Roman" w:eastAsia="宋体" w:cs="Times New Roman"/>
          <w:highlight w:val="none"/>
          <w:lang w:val="en-US" w:eastAsia="zh-CN"/>
        </w:rPr>
        <w:t>人员进入起重作业范围内。</w:t>
      </w:r>
    </w:p>
    <w:p w14:paraId="2D78DC35">
      <w:pPr>
        <w:pStyle w:val="18"/>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3048635" cy="2927985"/>
            <wp:effectExtent l="0" t="0" r="18415" b="571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31"/>
                    <a:stretch>
                      <a:fillRect/>
                    </a:stretch>
                  </pic:blipFill>
                  <pic:spPr>
                    <a:xfrm>
                      <a:off x="0" y="0"/>
                      <a:ext cx="3048635" cy="2927985"/>
                    </a:xfrm>
                    <a:prstGeom prst="rect">
                      <a:avLst/>
                    </a:prstGeom>
                    <a:noFill/>
                    <a:ln>
                      <a:noFill/>
                    </a:ln>
                  </pic:spPr>
                </pic:pic>
              </a:graphicData>
            </a:graphic>
          </wp:inline>
        </w:drawing>
      </w:r>
      <w:r>
        <w:drawing>
          <wp:inline distT="0" distB="0" distL="114300" distR="114300">
            <wp:extent cx="2201545" cy="2385695"/>
            <wp:effectExtent l="0" t="0" r="8255" b="14605"/>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32"/>
                    <a:stretch>
                      <a:fillRect/>
                    </a:stretch>
                  </pic:blipFill>
                  <pic:spPr>
                    <a:xfrm>
                      <a:off x="0" y="0"/>
                      <a:ext cx="2201545" cy="2385695"/>
                    </a:xfrm>
                    <a:prstGeom prst="rect">
                      <a:avLst/>
                    </a:prstGeom>
                    <a:noFill/>
                    <a:ln>
                      <a:noFill/>
                    </a:ln>
                  </pic:spPr>
                </pic:pic>
              </a:graphicData>
            </a:graphic>
          </wp:inline>
        </w:drawing>
      </w:r>
    </w:p>
    <w:p w14:paraId="7111D699">
      <w:pPr>
        <w:jc w:val="center"/>
        <w:rPr>
          <w:rFonts w:hint="eastAsia"/>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szCs w:val="24"/>
          <w:lang w:val="en-US" w:eastAsia="zh-CN"/>
        </w:rPr>
        <w:t>6</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-1   </w:t>
      </w:r>
      <w:r>
        <w:rPr>
          <w:rFonts w:hint="eastAsia"/>
          <w:lang w:val="en-US" w:eastAsia="zh-CN"/>
        </w:rPr>
        <w:t>XGT7026-12S1</w:t>
      </w:r>
      <w:r>
        <w:rPr>
          <w:rFonts w:hint="eastAsia"/>
          <w:highlight w:val="none"/>
          <w:lang w:val="en-US" w:eastAsia="zh-CN"/>
        </w:rPr>
        <w:t>平衡臂拆除示意图</w:t>
      </w:r>
    </w:p>
    <w:p w14:paraId="0B372DAB">
      <w:pPr>
        <w:pStyle w:val="3"/>
        <w:bidi w:val="0"/>
        <w:rPr>
          <w:rFonts w:hint="eastAsia" w:eastAsia="宋体"/>
          <w:lang w:val="en-US" w:eastAsia="zh-CN"/>
        </w:rPr>
      </w:pPr>
      <w:bookmarkStart w:id="38" w:name="_Toc2655"/>
      <w:bookmarkStart w:id="39" w:name="_Toc374"/>
      <w:r>
        <w:rPr>
          <w:rFonts w:hint="eastAsia"/>
          <w:lang w:val="en-US" w:eastAsia="zh-CN"/>
        </w:rPr>
        <w:t>2.7拆卸</w:t>
      </w:r>
      <w:bookmarkEnd w:id="38"/>
      <w:r>
        <w:rPr>
          <w:rFonts w:hint="eastAsia"/>
        </w:rPr>
        <w:t>起重臂</w:t>
      </w:r>
      <w:r>
        <w:rPr>
          <w:rFonts w:hint="eastAsia"/>
          <w:lang w:val="en-US" w:eastAsia="zh-CN"/>
        </w:rPr>
        <w:t>臂根节</w:t>
      </w:r>
      <w:bookmarkEnd w:id="39"/>
    </w:p>
    <w:p w14:paraId="704D74AF">
      <w:pPr>
        <w:numPr>
          <w:ilvl w:val="0"/>
          <w:numId w:val="3"/>
        </w:numPr>
        <w:ind w:firstLineChars="0"/>
        <w:rPr>
          <w:rFonts w:hint="eastAsia" w:ascii="Times New Roman" w:hAnsi="Times New Roman" w:eastAsia="宋体" w:cs="Times New Roman"/>
          <w:highlight w:val="none"/>
          <w:lang w:val="en-US" w:eastAsia="zh-CN"/>
        </w:rPr>
      </w:pP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汽车吊主臂长</w:t>
      </w:r>
      <w:r>
        <w:rPr>
          <w:rFonts w:hint="eastAsia" w:cs="Times New Roman"/>
          <w:highlight w:val="none"/>
          <w:lang w:val="en-US" w:eastAsia="zh-CN"/>
        </w:rPr>
        <w:t>32.8m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14m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9.8t</w:t>
      </w:r>
      <w:r>
        <w:rPr>
          <w:rFonts w:hint="eastAsia" w:ascii="Times New Roman" w:hAnsi="Times New Roman" w:eastAsia="宋体" w:cs="Times New Roman"/>
          <w:highlight w:val="none"/>
          <w:lang w:val="en-US" w:eastAsia="zh-CN"/>
        </w:rPr>
        <w:t>，满足拆除吊装要求。</w:t>
      </w:r>
    </w:p>
    <w:p w14:paraId="424A2EF5">
      <w:pPr>
        <w:numPr>
          <w:ilvl w:val="0"/>
          <w:numId w:val="3"/>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起重臂吊装采用四点吊，以起重臂顶部4个吊耳板作为吊装孔，采用4根</w:t>
      </w:r>
      <w:r>
        <w:rPr>
          <w:rFonts w:hint="eastAsia" w:cs="Times New Roman"/>
          <w:highlight w:val="none"/>
          <w:lang w:val="en-US" w:eastAsia="zh-CN"/>
        </w:rPr>
        <w:t>24mm6×19W+IWR1870Mpa</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25854-6-DW6.3</w:t>
      </w:r>
      <w:r>
        <w:rPr>
          <w:rFonts w:hint="eastAsia" w:ascii="Times New Roman" w:hAnsi="Times New Roman" w:eastAsia="宋体" w:cs="Times New Roman"/>
          <w:highlight w:val="none"/>
          <w:lang w:val="en-US" w:eastAsia="zh-CN"/>
        </w:rPr>
        <w:t>卸扣进行起吊。</w:t>
      </w:r>
    </w:p>
    <w:p w14:paraId="63A590C4">
      <w:pPr>
        <w:numPr>
          <w:ilvl w:val="0"/>
          <w:numId w:val="3"/>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作业人员在地面上先将钢丝绳一端挂在汽车吊吊钩上，启动汽车吊，将钢丝绳缓慢提升至起重臂上方时，作业人员通过爬梯爬至回转塔身平台上，将安全带交替系挂在起重臂安全绳上，沿下弦杆走行至起重臂臂根节吊点位置处。汽车吊放松吊钩，将另一端钢丝绳与起重臂臂根节腹杆节点捆绑连接，采用卸扣固定，同时在起重臂臂根节腹杆上栓好2根溜绳。作业人员沿下弦杆走行至回转塔身平台上，汽车吊轻轻将起重臂臂根节往上抬，拆除和回转塔身的连接销轴，汽车吊起升吊钩，将起重臂臂根节竖直起吊一定安全高度后，再将起重臂臂根节下放至地面，稳固后汽车吊放松吊钩，作业人员在地面上解除钢丝绳与起重臂臂根节吊点的连接。</w:t>
      </w:r>
    </w:p>
    <w:p w14:paraId="3AFB215B">
      <w:pPr>
        <w:numPr>
          <w:ilvl w:val="0"/>
          <w:numId w:val="3"/>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塔式起重机起重臂根节拆除时设置警戒区，起吊安排专人负责指挥，专人操作，严禁无关人员进入起重作业范围内。</w:t>
      </w:r>
    </w:p>
    <w:p w14:paraId="74A4EA17">
      <w:pPr>
        <w:jc w:val="center"/>
      </w:pPr>
      <w:r>
        <w:drawing>
          <wp:inline distT="0" distB="0" distL="114300" distR="114300">
            <wp:extent cx="3163570" cy="2318385"/>
            <wp:effectExtent l="0" t="0" r="17780" b="5715"/>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33"/>
                    <a:srcRect t="14215"/>
                    <a:stretch>
                      <a:fillRect/>
                    </a:stretch>
                  </pic:blipFill>
                  <pic:spPr>
                    <a:xfrm>
                      <a:off x="0" y="0"/>
                      <a:ext cx="3163570" cy="2318385"/>
                    </a:xfrm>
                    <a:prstGeom prst="rect">
                      <a:avLst/>
                    </a:prstGeom>
                    <a:noFill/>
                    <a:ln>
                      <a:noFill/>
                    </a:ln>
                  </pic:spPr>
                </pic:pic>
              </a:graphicData>
            </a:graphic>
          </wp:inline>
        </w:drawing>
      </w:r>
      <w:r>
        <w:drawing>
          <wp:inline distT="0" distB="0" distL="114300" distR="114300">
            <wp:extent cx="1898650" cy="2847975"/>
            <wp:effectExtent l="0" t="0" r="6350" b="9525"/>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34"/>
                    <a:stretch>
                      <a:fillRect/>
                    </a:stretch>
                  </pic:blipFill>
                  <pic:spPr>
                    <a:xfrm>
                      <a:off x="0" y="0"/>
                      <a:ext cx="1898650" cy="2847975"/>
                    </a:xfrm>
                    <a:prstGeom prst="rect">
                      <a:avLst/>
                    </a:prstGeom>
                    <a:noFill/>
                    <a:ln>
                      <a:noFill/>
                    </a:ln>
                  </pic:spPr>
                </pic:pic>
              </a:graphicData>
            </a:graphic>
          </wp:inline>
        </w:drawing>
      </w:r>
    </w:p>
    <w:p w14:paraId="54F6C2E1">
      <w:pPr>
        <w:bidi w:val="0"/>
        <w:jc w:val="center"/>
        <w:rPr>
          <w:rFonts w:hint="eastAsia"/>
          <w:b/>
          <w:bCs/>
          <w:lang w:val="en-US" w:eastAsia="zh-CN"/>
        </w:rPr>
      </w:pPr>
      <w:r>
        <w:rPr>
          <w:rFonts w:hint="eastAsia" w:ascii="宋体" w:hAnsi="宋体" w:eastAsia="宋体" w:cs="宋体"/>
          <w:sz w:val="24"/>
          <w:szCs w:val="24"/>
        </w:rPr>
        <w:t>图</w:t>
      </w:r>
      <w:r>
        <w:rPr>
          <w:rFonts w:hint="eastAsia" w:ascii="宋体" w:hAnsi="宋体" w:cs="宋体"/>
          <w:sz w:val="24"/>
          <w:szCs w:val="24"/>
          <w:lang w:val="en-US" w:eastAsia="zh-CN"/>
        </w:rPr>
        <w:t xml:space="preserve">2.7-1   </w:t>
      </w:r>
      <w:r>
        <w:rPr>
          <w:rFonts w:hint="eastAsia"/>
          <w:lang w:val="en-US" w:eastAsia="zh-CN"/>
        </w:rPr>
        <w:t>XGT7026-12S1</w:t>
      </w:r>
      <w:r>
        <w:rPr>
          <w:rFonts w:hint="eastAsia"/>
        </w:rPr>
        <w:t>起重</w:t>
      </w:r>
      <w:r>
        <w:rPr>
          <w:rFonts w:hint="eastAsia"/>
          <w:lang w:val="en-US" w:eastAsia="zh-CN"/>
        </w:rPr>
        <w:t>臂臂根节</w:t>
      </w:r>
      <w:r>
        <w:rPr>
          <w:rFonts w:hint="eastAsia"/>
        </w:rPr>
        <w:t>示意图</w:t>
      </w:r>
    </w:p>
    <w:p w14:paraId="4286D963">
      <w:pPr>
        <w:pStyle w:val="3"/>
        <w:bidi w:val="0"/>
        <w:rPr>
          <w:rFonts w:hint="eastAsia"/>
          <w:lang w:val="en-US" w:eastAsia="zh-CN"/>
        </w:rPr>
      </w:pPr>
      <w:bookmarkStart w:id="40" w:name="_Toc6240"/>
      <w:bookmarkStart w:id="41" w:name="_Toc18471"/>
      <w:r>
        <w:rPr>
          <w:rFonts w:hint="eastAsia"/>
          <w:lang w:val="en-US" w:eastAsia="zh-CN"/>
        </w:rPr>
        <w:t>2.8拆除司机室、回转总成</w:t>
      </w:r>
      <w:bookmarkEnd w:id="40"/>
      <w:bookmarkEnd w:id="41"/>
    </w:p>
    <w:p w14:paraId="6F91F56B">
      <w:pPr>
        <w:numPr>
          <w:ilvl w:val="0"/>
          <w:numId w:val="4"/>
        </w:numPr>
        <w:ind w:firstLineChars="0"/>
        <w:rPr>
          <w:rFonts w:hint="eastAsia" w:ascii="Times New Roman" w:hAnsi="Times New Roman" w:eastAsia="宋体" w:cs="Times New Roman"/>
          <w:highlight w:val="none"/>
          <w:lang w:val="en-US" w:eastAsia="zh-CN"/>
        </w:rPr>
      </w:pP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汽车吊位置不变，主臂长</w:t>
      </w:r>
      <w:r>
        <w:rPr>
          <w:rFonts w:hint="eastAsia" w:cs="Times New Roman"/>
          <w:highlight w:val="none"/>
          <w:lang w:val="en-US" w:eastAsia="zh-CN"/>
        </w:rPr>
        <w:t>32.8m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14m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9.8t</w:t>
      </w:r>
      <w:r>
        <w:rPr>
          <w:rFonts w:hint="eastAsia" w:ascii="Times New Roman" w:hAnsi="Times New Roman" w:eastAsia="宋体" w:cs="Times New Roman"/>
          <w:highlight w:val="none"/>
          <w:lang w:val="en-US" w:eastAsia="zh-CN"/>
        </w:rPr>
        <w:t>，满足拆除吊装要求。</w:t>
      </w:r>
    </w:p>
    <w:p w14:paraId="245A3EF2">
      <w:pPr>
        <w:numPr>
          <w:ilvl w:val="0"/>
          <w:numId w:val="4"/>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回转总成吊装采用四点吊，以回转总成顶部4个吊耳板作为吊装孔，采用4根</w:t>
      </w:r>
      <w:r>
        <w:rPr>
          <w:rFonts w:hint="eastAsia" w:cs="Times New Roman"/>
          <w:highlight w:val="none"/>
          <w:lang w:val="en-US" w:eastAsia="zh-CN"/>
        </w:rPr>
        <w:t>24mm6×19W+IWR1870Mpa</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25854-6-DW6.3</w:t>
      </w:r>
      <w:r>
        <w:rPr>
          <w:rFonts w:hint="eastAsia" w:ascii="Times New Roman" w:hAnsi="Times New Roman" w:eastAsia="宋体" w:cs="Times New Roman"/>
          <w:highlight w:val="none"/>
          <w:lang w:val="en-US" w:eastAsia="zh-CN"/>
        </w:rPr>
        <w:t>卸扣进行起吊。</w:t>
      </w:r>
    </w:p>
    <w:p w14:paraId="558698AA">
      <w:pPr>
        <w:numPr>
          <w:ilvl w:val="0"/>
          <w:numId w:val="4"/>
        </w:numPr>
        <w:ind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，将卸扣缓慢提升至回转总成上方，作业人员通过爬梯爬至回转总成顶部，将安全带系挂在回转总成平台的栏杆上，位于回转总成平台上。</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放松吊钩，作业人员将卸扣与回转总成顶部的4个销轴孔用销轴连接，同时在回转总成上栓好2根溜绳，作业人员解除安全带，通过爬梯爬至</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顶部，将安全带系挂在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顶部横杆上，站立在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顶部的平台上，解除回转总成底部下支座与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之间的销轴连接，使回转总成与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断开。</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起升吊钩，将回转总成提升一定安全高度后，再将回转总成下放至地面，作业人员在地面上解除卸扣与回转总成的连接。</w:t>
      </w:r>
    </w:p>
    <w:p w14:paraId="5910EA63">
      <w:pPr>
        <w:numPr>
          <w:ilvl w:val="0"/>
          <w:numId w:val="4"/>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塔式起重机回转总成拆除时设置警戒区，起吊安排专人负责指挥，专人操作，严禁无关人员进入起重作业范围内。</w:t>
      </w:r>
    </w:p>
    <w:p w14:paraId="666D8661">
      <w:pPr>
        <w:shd w:val="clear"/>
        <w:jc w:val="center"/>
      </w:pPr>
      <w:r>
        <w:drawing>
          <wp:inline distT="0" distB="0" distL="114300" distR="114300">
            <wp:extent cx="3107055" cy="2840355"/>
            <wp:effectExtent l="0" t="0" r="17145" b="17145"/>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pic:cNvPicPr>
                      <a:picLocks noChangeAspect="1"/>
                    </pic:cNvPicPr>
                  </pic:nvPicPr>
                  <pic:blipFill>
                    <a:blip r:embed="rId35"/>
                    <a:stretch>
                      <a:fillRect/>
                    </a:stretch>
                  </pic:blipFill>
                  <pic:spPr>
                    <a:xfrm>
                      <a:off x="0" y="0"/>
                      <a:ext cx="3107055" cy="2840355"/>
                    </a:xfrm>
                    <a:prstGeom prst="rect">
                      <a:avLst/>
                    </a:prstGeom>
                    <a:noFill/>
                    <a:ln>
                      <a:noFill/>
                    </a:ln>
                  </pic:spPr>
                </pic:pic>
              </a:graphicData>
            </a:graphic>
          </wp:inline>
        </w:drawing>
      </w:r>
      <w:r>
        <w:drawing>
          <wp:inline distT="0" distB="0" distL="114300" distR="114300">
            <wp:extent cx="1995170" cy="3319780"/>
            <wp:effectExtent l="0" t="0" r="5080" b="13970"/>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36"/>
                    <a:stretch>
                      <a:fillRect/>
                    </a:stretch>
                  </pic:blipFill>
                  <pic:spPr>
                    <a:xfrm>
                      <a:off x="0" y="0"/>
                      <a:ext cx="1995170" cy="3319780"/>
                    </a:xfrm>
                    <a:prstGeom prst="rect">
                      <a:avLst/>
                    </a:prstGeom>
                    <a:noFill/>
                    <a:ln>
                      <a:noFill/>
                    </a:ln>
                  </pic:spPr>
                </pic:pic>
              </a:graphicData>
            </a:graphic>
          </wp:inline>
        </w:drawing>
      </w:r>
    </w:p>
    <w:p w14:paraId="498D97FD">
      <w:pPr>
        <w:shd w:val="clear"/>
        <w:jc w:val="center"/>
        <w:rPr>
          <w:rFonts w:hint="eastAsia"/>
          <w:highlight w:val="none"/>
          <w:lang w:val="en-US" w:eastAsia="zh-CN"/>
        </w:rPr>
      </w:pPr>
      <w:r>
        <w:rPr>
          <w:rFonts w:hint="eastAsia" w:ascii="宋体" w:hAnsi="宋体" w:eastAsia="宋体" w:cs="宋体"/>
          <w:sz w:val="24"/>
          <w:szCs w:val="24"/>
          <w:highlight w:val="none"/>
        </w:rPr>
        <w:t>图</w:t>
      </w:r>
      <w:r>
        <w:rPr>
          <w:rFonts w:hint="eastAsia" w:ascii="宋体" w:hAnsi="宋体" w:cs="宋体"/>
          <w:sz w:val="24"/>
          <w:szCs w:val="24"/>
          <w:highlight w:val="none"/>
          <w:lang w:val="en-US" w:eastAsia="zh-CN"/>
        </w:rPr>
        <w:t xml:space="preserve">2.8-1   </w:t>
      </w:r>
      <w:r>
        <w:rPr>
          <w:rFonts w:hint="eastAsia"/>
          <w:highlight w:val="none"/>
          <w:lang w:val="en-US" w:eastAsia="zh-CN"/>
        </w:rPr>
        <w:t>XGT7026-12S1回转总成拆除示意图</w:t>
      </w:r>
    </w:p>
    <w:p w14:paraId="38F2DC33">
      <w:pPr>
        <w:pStyle w:val="3"/>
        <w:bidi w:val="0"/>
        <w:rPr>
          <w:rFonts w:hint="eastAsia"/>
          <w:lang w:val="en-US" w:eastAsia="zh-CN"/>
        </w:rPr>
      </w:pPr>
      <w:bookmarkStart w:id="42" w:name="_Toc8870"/>
      <w:bookmarkStart w:id="43" w:name="_Toc32049"/>
      <w:r>
        <w:rPr>
          <w:rFonts w:hint="eastAsia"/>
          <w:lang w:val="en-US" w:eastAsia="zh-CN"/>
        </w:rPr>
        <w:t>2.9拆除特殊节</w:t>
      </w:r>
      <w:bookmarkEnd w:id="42"/>
      <w:bookmarkEnd w:id="43"/>
    </w:p>
    <w:p w14:paraId="169CF15F">
      <w:pPr>
        <w:numPr>
          <w:ilvl w:val="0"/>
          <w:numId w:val="5"/>
        </w:numPr>
        <w:ind w:firstLineChars="0"/>
        <w:rPr>
          <w:rFonts w:hint="eastAsia" w:ascii="Times New Roman" w:hAnsi="Times New Roman" w:eastAsia="宋体" w:cs="Times New Roman"/>
          <w:highlight w:val="none"/>
          <w:lang w:val="en-US" w:eastAsia="zh-CN"/>
        </w:rPr>
      </w:pP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汽车吊位置不变，主臂长</w:t>
      </w:r>
      <w:r>
        <w:rPr>
          <w:rFonts w:hint="eastAsia" w:cs="Times New Roman"/>
          <w:highlight w:val="none"/>
          <w:lang w:val="en-US" w:eastAsia="zh-CN"/>
        </w:rPr>
        <w:t>32.8m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14m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9.8t</w:t>
      </w:r>
      <w:r>
        <w:rPr>
          <w:rFonts w:hint="eastAsia" w:ascii="Times New Roman" w:hAnsi="Times New Roman" w:eastAsia="宋体" w:cs="Times New Roman"/>
          <w:highlight w:val="none"/>
          <w:lang w:val="en-US" w:eastAsia="zh-CN"/>
        </w:rPr>
        <w:t>，满足拆除吊装要求。</w:t>
      </w:r>
    </w:p>
    <w:p w14:paraId="1D5615EC">
      <w:pPr>
        <w:numPr>
          <w:ilvl w:val="0"/>
          <w:numId w:val="5"/>
        </w:numPr>
        <w:ind w:firstLineChars="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特殊节吊装采用四点吊，以特殊节顶部4个吊耳板作为吊装孔，采用4根</w:t>
      </w:r>
      <w:r>
        <w:rPr>
          <w:rFonts w:hint="eastAsia" w:cs="Times New Roman"/>
          <w:highlight w:val="none"/>
          <w:lang w:val="en-US" w:eastAsia="zh-CN"/>
        </w:rPr>
        <w:t>24mm6×19W+IWR1870Mpa</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25854-6-DW6.3</w:t>
      </w:r>
      <w:r>
        <w:rPr>
          <w:rFonts w:hint="eastAsia" w:ascii="Times New Roman" w:hAnsi="Times New Roman" w:eastAsia="宋体" w:cs="Times New Roman"/>
          <w:highlight w:val="none"/>
          <w:lang w:val="en-US" w:eastAsia="zh-CN"/>
        </w:rPr>
        <w:t>卸扣进行起吊。</w:t>
      </w:r>
    </w:p>
    <w:p w14:paraId="0D802278">
      <w:pPr>
        <w:numPr>
          <w:ilvl w:val="0"/>
          <w:numId w:val="5"/>
        </w:numPr>
        <w:ind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上方，作业人员通过爬梯爬至</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顶部，将安全带系挂在</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顶部。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连接，同时在</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杆件上栓好2根溜绳，作业人员解除安全带，</w:t>
      </w:r>
      <w:r>
        <w:rPr>
          <w:rFonts w:hint="eastAsia" w:ascii="Times New Roman" w:hAnsi="Times New Roman" w:eastAsia="宋体" w:cs="Times New Roman"/>
          <w:highlight w:val="none"/>
          <w:lang w:val="en-US" w:eastAsia="zh-CN"/>
        </w:rPr>
        <w:t>返回地面。</w:t>
      </w:r>
      <w:r>
        <w:rPr>
          <w:rFonts w:hint="default" w:ascii="Times New Roman" w:hAnsi="Times New Roman" w:eastAsia="宋体" w:cs="Times New Roman"/>
          <w:highlight w:val="none"/>
          <w:lang w:val="en-US" w:eastAsia="zh-CN"/>
        </w:rPr>
        <w:t>解除</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与</w:t>
      </w:r>
      <w:r>
        <w:rPr>
          <w:rFonts w:hint="eastAsia" w:ascii="Times New Roman" w:hAnsi="Times New Roman" w:eastAsia="宋体" w:cs="Times New Roman"/>
          <w:highlight w:val="none"/>
          <w:lang w:val="en-US" w:eastAsia="zh-CN"/>
        </w:rPr>
        <w:t>基础塔吊</w:t>
      </w:r>
      <w:r>
        <w:rPr>
          <w:rFonts w:hint="default" w:ascii="Times New Roman" w:hAnsi="Times New Roman" w:eastAsia="宋体" w:cs="Times New Roman"/>
          <w:highlight w:val="none"/>
          <w:lang w:val="en-US" w:eastAsia="zh-CN"/>
        </w:rPr>
        <w:t>之间的约束。</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提升一定安全高度后，再将</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下放至地面，作业人员在地面上解除卸扣与</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的连接。</w:t>
      </w:r>
    </w:p>
    <w:p w14:paraId="6C11052E">
      <w:pPr>
        <w:numPr>
          <w:ilvl w:val="0"/>
          <w:numId w:val="5"/>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塔式起重机特殊节</w:t>
      </w:r>
      <w:r>
        <w:rPr>
          <w:rFonts w:hint="default" w:ascii="Times New Roman" w:hAnsi="Times New Roman" w:eastAsia="宋体" w:cs="Times New Roman"/>
          <w:highlight w:val="none"/>
          <w:lang w:val="en-US" w:eastAsia="zh-CN"/>
        </w:rPr>
        <w:t>拆除时设置警戒区，起吊安排专人负责指挥，专人操作，严禁无关人员进入起重作业范围内。</w:t>
      </w:r>
    </w:p>
    <w:p w14:paraId="4B08C042">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3392170" cy="3100705"/>
            <wp:effectExtent l="0" t="0" r="17780" b="4445"/>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35"/>
                    <a:stretch>
                      <a:fillRect/>
                    </a:stretch>
                  </pic:blipFill>
                  <pic:spPr>
                    <a:xfrm>
                      <a:off x="0" y="0"/>
                      <a:ext cx="3392170" cy="3100705"/>
                    </a:xfrm>
                    <a:prstGeom prst="rect">
                      <a:avLst/>
                    </a:prstGeom>
                    <a:noFill/>
                    <a:ln>
                      <a:noFill/>
                    </a:ln>
                  </pic:spPr>
                </pic:pic>
              </a:graphicData>
            </a:graphic>
          </wp:inline>
        </w:drawing>
      </w:r>
      <w:r>
        <w:drawing>
          <wp:inline distT="0" distB="0" distL="114300" distR="114300">
            <wp:extent cx="1757680" cy="2808605"/>
            <wp:effectExtent l="0" t="0" r="13970" b="10795"/>
            <wp:docPr id="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
                    <pic:cNvPicPr>
                      <a:picLocks noChangeAspect="1"/>
                    </pic:cNvPicPr>
                  </pic:nvPicPr>
                  <pic:blipFill>
                    <a:blip r:embed="rId37"/>
                    <a:stretch>
                      <a:fillRect/>
                    </a:stretch>
                  </pic:blipFill>
                  <pic:spPr>
                    <a:xfrm>
                      <a:off x="0" y="0"/>
                      <a:ext cx="1757680" cy="2808605"/>
                    </a:xfrm>
                    <a:prstGeom prst="rect">
                      <a:avLst/>
                    </a:prstGeom>
                    <a:noFill/>
                    <a:ln>
                      <a:noFill/>
                    </a:ln>
                  </pic:spPr>
                </pic:pic>
              </a:graphicData>
            </a:graphic>
          </wp:inline>
        </w:drawing>
      </w:r>
    </w:p>
    <w:p w14:paraId="04CAD7F6">
      <w:pPr>
        <w:bidi w:val="0"/>
        <w:ind w:left="0" w:leftChars="0" w:firstLine="0" w:firstLineChars="0"/>
        <w:jc w:val="center"/>
        <w:rPr>
          <w:rFonts w:hint="eastAsia"/>
          <w:lang w:val="en-US" w:eastAsia="zh-CN"/>
        </w:rPr>
      </w:pPr>
      <w:r>
        <w:rPr>
          <w:rFonts w:hint="eastAsia" w:ascii="宋体" w:hAnsi="宋体" w:eastAsia="宋体" w:cs="宋体"/>
          <w:sz w:val="24"/>
          <w:szCs w:val="24"/>
          <w:highlight w:val="none"/>
        </w:rPr>
        <w:t>图</w:t>
      </w:r>
      <w:r>
        <w:rPr>
          <w:rFonts w:hint="eastAsia" w:ascii="宋体" w:hAnsi="宋体" w:cs="宋体"/>
          <w:sz w:val="24"/>
          <w:szCs w:val="24"/>
          <w:highlight w:val="none"/>
          <w:lang w:val="en-US" w:eastAsia="zh-CN"/>
        </w:rPr>
        <w:t xml:space="preserve">2.9-1   </w:t>
      </w:r>
      <w:r>
        <w:rPr>
          <w:rFonts w:hint="eastAsia"/>
          <w:highlight w:val="none"/>
          <w:lang w:val="en-US" w:eastAsia="zh-CN"/>
        </w:rPr>
        <w:t>XGT7026-12S1特殊节拆除示意图</w:t>
      </w:r>
    </w:p>
    <w:p w14:paraId="14662738">
      <w:pPr>
        <w:pStyle w:val="3"/>
        <w:bidi w:val="0"/>
        <w:rPr>
          <w:rFonts w:hint="eastAsia"/>
          <w:lang w:val="en-US" w:eastAsia="zh-CN"/>
        </w:rPr>
      </w:pPr>
      <w:bookmarkStart w:id="44" w:name="_Toc21876"/>
      <w:bookmarkStart w:id="45" w:name="_Toc10978"/>
      <w:r>
        <w:rPr>
          <w:rFonts w:hint="eastAsia"/>
          <w:lang w:val="en-US" w:eastAsia="zh-CN"/>
        </w:rPr>
        <w:t>2.10拆除爬升架与剩余塔身</w:t>
      </w:r>
      <w:bookmarkEnd w:id="44"/>
      <w:bookmarkEnd w:id="45"/>
    </w:p>
    <w:p w14:paraId="539CEA65">
      <w:pPr>
        <w:numPr>
          <w:ilvl w:val="0"/>
          <w:numId w:val="6"/>
        </w:numPr>
        <w:ind w:firstLineChars="0"/>
        <w:rPr>
          <w:rFonts w:hint="eastAsia" w:ascii="Times New Roman" w:hAnsi="Times New Roman" w:eastAsia="宋体" w:cs="Times New Roman"/>
          <w:highlight w:val="none"/>
          <w:lang w:val="en-US" w:eastAsia="zh-CN"/>
        </w:rPr>
      </w:pP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汽车吊位置不变，主臂长</w:t>
      </w:r>
      <w:r>
        <w:rPr>
          <w:rFonts w:hint="eastAsia" w:cs="Times New Roman"/>
          <w:highlight w:val="none"/>
          <w:lang w:val="en-US" w:eastAsia="zh-CN"/>
        </w:rPr>
        <w:t>32.8m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14m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9.8</w:t>
      </w:r>
      <w:r>
        <w:rPr>
          <w:rFonts w:hint="eastAsia" w:ascii="Times New Roman" w:hAnsi="Times New Roman" w:eastAsia="宋体" w:cs="Times New Roman"/>
          <w:highlight w:val="none"/>
          <w:lang w:val="en-US" w:eastAsia="zh-CN"/>
        </w:rPr>
        <w:t>，满足拆除吊装要求。</w:t>
      </w:r>
    </w:p>
    <w:p w14:paraId="665F3265">
      <w:pPr>
        <w:numPr>
          <w:ilvl w:val="0"/>
          <w:numId w:val="6"/>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套架吊装采用四点吊，以套架顶部4个吊耳板作为吊装孔，采用4根</w:t>
      </w:r>
      <w:r>
        <w:rPr>
          <w:rFonts w:hint="eastAsia" w:cs="Times New Roman"/>
          <w:highlight w:val="none"/>
          <w:lang w:val="en-US" w:eastAsia="zh-CN"/>
        </w:rPr>
        <w:t>24mm6×19W+IWR1870Mpa</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25854-6-DW6.3</w:t>
      </w:r>
      <w:r>
        <w:rPr>
          <w:rFonts w:hint="eastAsia" w:ascii="Times New Roman" w:hAnsi="Times New Roman" w:eastAsia="宋体" w:cs="Times New Roman"/>
          <w:highlight w:val="none"/>
          <w:lang w:val="en-US" w:eastAsia="zh-CN"/>
        </w:rPr>
        <w:t>卸扣进行起吊。</w:t>
      </w:r>
    </w:p>
    <w:p w14:paraId="17D10970">
      <w:pPr>
        <w:numPr>
          <w:ilvl w:val="0"/>
          <w:numId w:val="6"/>
        </w:numPr>
        <w:ind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上方，作业人员通过爬梯爬至</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顶部，将安全带系挂在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顶部平台的栏杆上，位于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顶部的平台上。</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连接，同时在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杆件上栓好2根溜绳，作业人员解除安全带，作业人员通过爬梯爬至</w:t>
      </w:r>
      <w:r>
        <w:rPr>
          <w:rFonts w:hint="eastAsia" w:ascii="Times New Roman" w:hAnsi="Times New Roman" w:eastAsia="宋体" w:cs="Times New Roman"/>
          <w:highlight w:val="none"/>
          <w:lang w:val="en-US" w:eastAsia="zh-CN"/>
        </w:rPr>
        <w:t>过渡节</w:t>
      </w:r>
      <w:r>
        <w:rPr>
          <w:rFonts w:hint="default" w:ascii="Times New Roman" w:hAnsi="Times New Roman" w:eastAsia="宋体" w:cs="Times New Roman"/>
          <w:highlight w:val="none"/>
          <w:lang w:val="en-US" w:eastAsia="zh-CN"/>
        </w:rPr>
        <w:t>对应的爬升架爬爪处，将安全带系挂在</w:t>
      </w:r>
      <w:r>
        <w:rPr>
          <w:rFonts w:hint="eastAsia" w:ascii="Times New Roman" w:hAnsi="Times New Roman" w:eastAsia="宋体" w:cs="Times New Roman"/>
          <w:highlight w:val="none"/>
          <w:lang w:val="en-US" w:eastAsia="zh-CN"/>
        </w:rPr>
        <w:t>过渡节</w:t>
      </w:r>
      <w:r>
        <w:rPr>
          <w:rFonts w:hint="default" w:ascii="Times New Roman" w:hAnsi="Times New Roman" w:eastAsia="宋体" w:cs="Times New Roman"/>
          <w:highlight w:val="none"/>
          <w:lang w:val="en-US" w:eastAsia="zh-CN"/>
        </w:rPr>
        <w:t>横杆上，解除</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与</w:t>
      </w:r>
      <w:r>
        <w:rPr>
          <w:rFonts w:hint="eastAsia" w:ascii="Times New Roman" w:hAnsi="Times New Roman" w:eastAsia="宋体" w:cs="Times New Roman"/>
          <w:highlight w:val="none"/>
          <w:lang w:val="en-US" w:eastAsia="zh-CN"/>
        </w:rPr>
        <w:t>过渡节</w:t>
      </w:r>
      <w:r>
        <w:rPr>
          <w:rFonts w:hint="default" w:ascii="Times New Roman" w:hAnsi="Times New Roman" w:eastAsia="宋体" w:cs="Times New Roman"/>
          <w:highlight w:val="none"/>
          <w:lang w:val="en-US" w:eastAsia="zh-CN"/>
        </w:rPr>
        <w:t>之间的约束。</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提升一定安全高度后，再将</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下放至地面，作业人员在地面上解除卸扣与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的连接。</w:t>
      </w:r>
    </w:p>
    <w:p w14:paraId="66BC2E80">
      <w:pPr>
        <w:numPr>
          <w:ilvl w:val="0"/>
          <w:numId w:val="6"/>
        </w:numPr>
        <w:ind w:firstLineChars="0"/>
        <w:rPr>
          <w:rFonts w:hint="eastAsia"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以同样的方法拆除剩余标准节和基础节。</w:t>
      </w:r>
    </w:p>
    <w:p w14:paraId="36F5DD1C">
      <w:pPr>
        <w:numPr>
          <w:ilvl w:val="0"/>
          <w:numId w:val="6"/>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塔式起重机拆除时设置警戒区，起吊安排专人负责指挥，专人操作，严禁无关人员进入起重作业范围内。</w:t>
      </w:r>
    </w:p>
    <w:p w14:paraId="4DB5333C">
      <w:pPr>
        <w:jc w:val="center"/>
      </w:pPr>
      <w:r>
        <w:drawing>
          <wp:inline distT="0" distB="0" distL="114300" distR="114300">
            <wp:extent cx="3729355" cy="3408680"/>
            <wp:effectExtent l="0" t="0" r="4445" b="1270"/>
            <wp:docPr id="8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8"/>
                    <pic:cNvPicPr>
                      <a:picLocks noChangeAspect="1"/>
                    </pic:cNvPicPr>
                  </pic:nvPicPr>
                  <pic:blipFill>
                    <a:blip r:embed="rId35"/>
                    <a:stretch>
                      <a:fillRect/>
                    </a:stretch>
                  </pic:blipFill>
                  <pic:spPr>
                    <a:xfrm>
                      <a:off x="0" y="0"/>
                      <a:ext cx="3729355" cy="3408680"/>
                    </a:xfrm>
                    <a:prstGeom prst="rect">
                      <a:avLst/>
                    </a:prstGeom>
                    <a:noFill/>
                    <a:ln>
                      <a:noFill/>
                    </a:ln>
                  </pic:spPr>
                </pic:pic>
              </a:graphicData>
            </a:graphic>
          </wp:inline>
        </w:drawing>
      </w:r>
    </w:p>
    <w:p w14:paraId="3268D7F4">
      <w:pPr>
        <w:bidi w:val="0"/>
        <w:ind w:left="0" w:leftChars="0" w:firstLine="0" w:firstLineChars="0"/>
        <w:jc w:val="center"/>
        <w:rPr>
          <w:rFonts w:hint="eastAsia"/>
          <w:highlight w:val="none"/>
          <w:lang w:val="en-US" w:eastAsia="zh-CN"/>
        </w:rPr>
      </w:pPr>
      <w:r>
        <w:rPr>
          <w:rFonts w:hint="eastAsia" w:ascii="宋体" w:hAnsi="宋体" w:eastAsia="宋体" w:cs="宋体"/>
          <w:sz w:val="24"/>
          <w:szCs w:val="24"/>
          <w:highlight w:val="none"/>
        </w:rPr>
        <w:t>图</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STYLEREF 3\s</w:instrText>
      </w:r>
      <w:r>
        <w:rPr>
          <w:rFonts w:hint="eastAsia" w:ascii="宋体" w:hAnsi="宋体" w:eastAsia="宋体" w:cs="宋体"/>
          <w:sz w:val="24"/>
          <w:szCs w:val="24"/>
          <w:highlight w:val="none"/>
        </w:rPr>
        <w:fldChar w:fldCharType="separate"/>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fldChar w:fldCharType="end"/>
      </w:r>
      <w:r>
        <w:rPr>
          <w:rFonts w:hint="eastAsia" w:ascii="宋体" w:hAnsi="宋体" w:cs="宋体"/>
          <w:sz w:val="24"/>
          <w:szCs w:val="24"/>
          <w:highlight w:val="none"/>
          <w:lang w:val="en-US" w:eastAsia="zh-CN"/>
        </w:rPr>
        <w:t xml:space="preserve">0-1   </w:t>
      </w:r>
      <w:r>
        <w:rPr>
          <w:rFonts w:hint="eastAsia"/>
          <w:highlight w:val="none"/>
          <w:lang w:val="en-US" w:eastAsia="zh-CN"/>
        </w:rPr>
        <w:t>XGT7026-12S1剩余塔身拆除平面图</w:t>
      </w:r>
    </w:p>
    <w:p w14:paraId="5575F536">
      <w:pPr>
        <w:bidi w:val="0"/>
        <w:ind w:left="0" w:leftChars="0" w:firstLine="0" w:firstLineChars="0"/>
        <w:jc w:val="center"/>
        <w:rPr>
          <w:rFonts w:hint="default"/>
          <w:lang w:val="en-US" w:eastAsia="zh-CN"/>
        </w:rPr>
      </w:pPr>
      <w:r>
        <w:drawing>
          <wp:inline distT="0" distB="0" distL="114300" distR="114300">
            <wp:extent cx="5476875" cy="2807335"/>
            <wp:effectExtent l="0" t="0" r="9525" b="12065"/>
            <wp:docPr id="8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pic:cNvPicPr>
                      <a:picLocks noChangeAspect="1"/>
                    </pic:cNvPicPr>
                  </pic:nvPicPr>
                  <pic:blipFill>
                    <a:blip r:embed="rId38"/>
                    <a:stretch>
                      <a:fillRect/>
                    </a:stretch>
                  </pic:blipFill>
                  <pic:spPr>
                    <a:xfrm>
                      <a:off x="0" y="0"/>
                      <a:ext cx="5476875" cy="2807335"/>
                    </a:xfrm>
                    <a:prstGeom prst="rect">
                      <a:avLst/>
                    </a:prstGeom>
                    <a:noFill/>
                    <a:ln>
                      <a:noFill/>
                    </a:ln>
                  </pic:spPr>
                </pic:pic>
              </a:graphicData>
            </a:graphic>
          </wp:inline>
        </w:drawing>
      </w:r>
      <w:r>
        <w:rPr>
          <w:rFonts w:hint="eastAsia" w:ascii="宋体" w:hAnsi="宋体" w:eastAsia="宋体" w:cs="宋体"/>
          <w:sz w:val="24"/>
          <w:szCs w:val="24"/>
          <w:highlight w:val="none"/>
        </w:rPr>
        <w:t>图</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STYLEREF 3\s</w:instrText>
      </w:r>
      <w:r>
        <w:rPr>
          <w:rFonts w:hint="eastAsia" w:ascii="宋体" w:hAnsi="宋体" w:eastAsia="宋体" w:cs="宋体"/>
          <w:sz w:val="24"/>
          <w:szCs w:val="24"/>
          <w:highlight w:val="none"/>
        </w:rPr>
        <w:fldChar w:fldCharType="separate"/>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fldChar w:fldCharType="end"/>
      </w:r>
      <w:r>
        <w:rPr>
          <w:rFonts w:hint="eastAsia" w:ascii="宋体" w:hAnsi="宋体" w:cs="宋体"/>
          <w:sz w:val="24"/>
          <w:szCs w:val="24"/>
          <w:highlight w:val="none"/>
          <w:lang w:val="en-US" w:eastAsia="zh-CN"/>
        </w:rPr>
        <w:t xml:space="preserve">0-2   </w:t>
      </w:r>
      <w:r>
        <w:rPr>
          <w:rFonts w:hint="eastAsia"/>
          <w:highlight w:val="none"/>
          <w:lang w:val="en-US" w:eastAsia="zh-CN"/>
        </w:rPr>
        <w:t xml:space="preserve">XGT7026-12S1剩余塔身拆除立面图 </w:t>
      </w:r>
    </w:p>
    <w:p w14:paraId="53860D0C">
      <w:pPr>
        <w:pStyle w:val="3"/>
        <w:bidi w:val="0"/>
        <w:rPr>
          <w:rFonts w:hint="default"/>
          <w:lang w:val="en-US" w:eastAsia="zh-CN"/>
        </w:rPr>
      </w:pPr>
      <w:bookmarkStart w:id="46" w:name="_Toc8371"/>
      <w:r>
        <w:rPr>
          <w:rFonts w:hint="eastAsia"/>
          <w:lang w:val="en-US" w:eastAsia="zh-CN"/>
        </w:rPr>
        <w:t>2.11风险与应对措施</w:t>
      </w:r>
      <w:bookmarkEnd w:id="46"/>
    </w:p>
    <w:p w14:paraId="7914D240">
      <w:pPr>
        <w:pStyle w:val="16"/>
        <w:rPr>
          <w:rFonts w:hint="eastAsia"/>
          <w:lang w:val="en-US" w:eastAsia="zh-CN"/>
        </w:rPr>
        <w:sectPr>
          <w:headerReference r:id="rId7" w:type="default"/>
          <w:pgSz w:w="11906" w:h="16838"/>
          <w:pgMar w:top="1440" w:right="1800" w:bottom="1440" w:left="1800" w:header="1304" w:footer="907" w:gutter="0"/>
          <w:pgBorders>
            <w:top w:val="none" w:sz="0" w:space="0"/>
            <w:left w:val="none" w:sz="0" w:space="0"/>
            <w:bottom w:val="none" w:sz="0" w:space="0"/>
            <w:right w:val="none" w:sz="0" w:space="0"/>
          </w:pgBorders>
          <w:pgNumType w:fmt="decimal"/>
          <w:cols w:space="425" w:num="1"/>
          <w:docGrid w:type="lines" w:linePitch="312" w:charSpace="0"/>
        </w:sectPr>
      </w:pPr>
      <w:r>
        <w:t>表</w:t>
      </w:r>
      <w:r>
        <w:rPr>
          <w:rFonts w:hint="eastAsia"/>
          <w:lang w:val="en-US" w:eastAsia="zh-CN"/>
        </w:rPr>
        <w:t>2.11-1风险与应对措施表</w:t>
      </w:r>
    </w:p>
    <w:p w14:paraId="73348C4E">
      <w:pPr>
        <w:pStyle w:val="29"/>
        <w:rPr>
          <w:rFonts w:hint="default"/>
          <w:lang w:val="en-US" w:eastAsia="zh-CN"/>
        </w:rPr>
      </w:pPr>
    </w:p>
    <w:tbl>
      <w:tblPr>
        <w:tblStyle w:val="25"/>
        <w:tblW w:w="14260"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499"/>
        <w:gridCol w:w="862"/>
        <w:gridCol w:w="2919"/>
        <w:gridCol w:w="539"/>
        <w:gridCol w:w="539"/>
        <w:gridCol w:w="539"/>
        <w:gridCol w:w="539"/>
        <w:gridCol w:w="542"/>
        <w:gridCol w:w="614"/>
        <w:gridCol w:w="614"/>
        <w:gridCol w:w="614"/>
        <w:gridCol w:w="740"/>
        <w:gridCol w:w="613"/>
        <w:gridCol w:w="4087"/>
      </w:tblGrid>
      <w:tr w14:paraId="6E3AD19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99" w:type="dxa"/>
            <w:vMerge w:val="restart"/>
            <w:tcBorders>
              <w:tl2br w:val="nil"/>
              <w:tr2bl w:val="nil"/>
            </w:tcBorders>
            <w:shd w:val="clear" w:color="auto" w:fill="D4F4F1" w:themeFill="accent5" w:themeFillTint="32"/>
            <w:noWrap w:val="0"/>
            <w:vAlign w:val="center"/>
          </w:tcPr>
          <w:p w14:paraId="2B939E49">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862" w:type="dxa"/>
            <w:vMerge w:val="restart"/>
            <w:tcBorders>
              <w:tl2br w:val="nil"/>
              <w:tr2bl w:val="nil"/>
            </w:tcBorders>
            <w:shd w:val="clear" w:color="auto" w:fill="D4F4F1" w:themeFill="accent5" w:themeFillTint="32"/>
            <w:noWrap w:val="0"/>
            <w:vAlign w:val="center"/>
          </w:tcPr>
          <w:p w14:paraId="56F64474">
            <w:pPr>
              <w:spacing w:line="240" w:lineRule="auto"/>
              <w:ind w:firstLine="0" w:firstLineChars="0"/>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危险源分类</w:t>
            </w:r>
          </w:p>
        </w:tc>
        <w:tc>
          <w:tcPr>
            <w:tcW w:w="2919" w:type="dxa"/>
            <w:vMerge w:val="restart"/>
            <w:tcBorders>
              <w:tl2br w:val="nil"/>
              <w:tr2bl w:val="nil"/>
            </w:tcBorders>
            <w:shd w:val="clear" w:color="auto" w:fill="D4F4F1" w:themeFill="accent5" w:themeFillTint="32"/>
            <w:noWrap w:val="0"/>
            <w:vAlign w:val="center"/>
          </w:tcPr>
          <w:p w14:paraId="6DCDDBF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危险源/危害因素</w:t>
            </w:r>
          </w:p>
        </w:tc>
        <w:tc>
          <w:tcPr>
            <w:tcW w:w="2698" w:type="dxa"/>
            <w:gridSpan w:val="5"/>
            <w:tcBorders>
              <w:tl2br w:val="nil"/>
              <w:tr2bl w:val="nil"/>
            </w:tcBorders>
            <w:shd w:val="clear" w:color="auto" w:fill="D4F4F1" w:themeFill="accent5" w:themeFillTint="32"/>
            <w:noWrap w:val="0"/>
            <w:vAlign w:val="center"/>
          </w:tcPr>
          <w:p w14:paraId="2E71BD8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事故类型</w:t>
            </w:r>
          </w:p>
        </w:tc>
        <w:tc>
          <w:tcPr>
            <w:tcW w:w="2582" w:type="dxa"/>
            <w:gridSpan w:val="4"/>
            <w:tcBorders>
              <w:tl2br w:val="nil"/>
              <w:tr2bl w:val="nil"/>
            </w:tcBorders>
            <w:shd w:val="clear" w:color="auto" w:fill="D4F4F1" w:themeFill="accent5" w:themeFillTint="32"/>
            <w:noWrap w:val="0"/>
            <w:vAlign w:val="center"/>
          </w:tcPr>
          <w:p w14:paraId="7BBBB75F">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风险评价</w:t>
            </w:r>
          </w:p>
        </w:tc>
        <w:tc>
          <w:tcPr>
            <w:tcW w:w="613" w:type="dxa"/>
            <w:vMerge w:val="restart"/>
            <w:tcBorders>
              <w:tl2br w:val="nil"/>
              <w:tr2bl w:val="nil"/>
            </w:tcBorders>
            <w:shd w:val="clear" w:color="auto" w:fill="D4F4F1" w:themeFill="accent5" w:themeFillTint="32"/>
            <w:noWrap w:val="0"/>
            <w:vAlign w:val="center"/>
          </w:tcPr>
          <w:p w14:paraId="004263B6">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危险程度</w:t>
            </w:r>
          </w:p>
        </w:tc>
        <w:tc>
          <w:tcPr>
            <w:tcW w:w="4087" w:type="dxa"/>
            <w:vMerge w:val="restart"/>
            <w:tcBorders>
              <w:tl2br w:val="nil"/>
              <w:tr2bl w:val="nil"/>
            </w:tcBorders>
            <w:shd w:val="clear" w:color="auto" w:fill="D4F4F1" w:themeFill="accent5" w:themeFillTint="32"/>
            <w:noWrap w:val="0"/>
            <w:vAlign w:val="center"/>
          </w:tcPr>
          <w:p w14:paraId="4C0DC65D">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预防/控制措施</w:t>
            </w:r>
          </w:p>
        </w:tc>
      </w:tr>
      <w:tr w14:paraId="0218195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99" w:type="dxa"/>
            <w:vMerge w:val="continue"/>
            <w:tcBorders>
              <w:tl2br w:val="nil"/>
              <w:tr2bl w:val="nil"/>
            </w:tcBorders>
            <w:shd w:val="clear" w:color="auto" w:fill="C7DAF1"/>
            <w:noWrap w:val="0"/>
            <w:vAlign w:val="center"/>
          </w:tcPr>
          <w:p w14:paraId="6E081D97">
            <w:pPr>
              <w:pStyle w:val="37"/>
              <w:spacing w:line="240" w:lineRule="auto"/>
              <w:ind w:firstLine="0" w:firstLineChars="0"/>
              <w:rPr>
                <w:rFonts w:hint="eastAsia" w:ascii="仿宋" w:hAnsi="仿宋" w:eastAsia="仿宋" w:cs="仿宋"/>
                <w:b/>
                <w:bCs/>
                <w:sz w:val="21"/>
                <w:szCs w:val="21"/>
              </w:rPr>
            </w:pPr>
          </w:p>
        </w:tc>
        <w:tc>
          <w:tcPr>
            <w:tcW w:w="862" w:type="dxa"/>
            <w:vMerge w:val="continue"/>
            <w:tcBorders>
              <w:tl2br w:val="nil"/>
              <w:tr2bl w:val="nil"/>
            </w:tcBorders>
            <w:shd w:val="clear" w:color="auto" w:fill="C7DAF1"/>
            <w:noWrap w:val="0"/>
            <w:vAlign w:val="center"/>
          </w:tcPr>
          <w:p w14:paraId="2EE0E154">
            <w:pPr>
              <w:pStyle w:val="37"/>
              <w:spacing w:line="240" w:lineRule="auto"/>
              <w:ind w:firstLine="0" w:firstLineChars="0"/>
              <w:rPr>
                <w:rFonts w:hint="eastAsia" w:ascii="仿宋" w:hAnsi="仿宋" w:eastAsia="仿宋" w:cs="仿宋"/>
                <w:b/>
                <w:bCs/>
                <w:sz w:val="21"/>
                <w:szCs w:val="21"/>
              </w:rPr>
            </w:pPr>
          </w:p>
        </w:tc>
        <w:tc>
          <w:tcPr>
            <w:tcW w:w="2919" w:type="dxa"/>
            <w:vMerge w:val="continue"/>
            <w:tcBorders>
              <w:tl2br w:val="nil"/>
              <w:tr2bl w:val="nil"/>
            </w:tcBorders>
            <w:shd w:val="clear" w:color="auto" w:fill="C7DAF1"/>
            <w:noWrap w:val="0"/>
            <w:vAlign w:val="center"/>
          </w:tcPr>
          <w:p w14:paraId="09D6E01E">
            <w:pPr>
              <w:pStyle w:val="37"/>
              <w:spacing w:line="240" w:lineRule="auto"/>
              <w:ind w:firstLine="0" w:firstLineChars="0"/>
              <w:rPr>
                <w:rFonts w:hint="eastAsia" w:ascii="仿宋" w:hAnsi="仿宋" w:eastAsia="仿宋" w:cs="仿宋"/>
                <w:b/>
                <w:bCs/>
                <w:sz w:val="21"/>
                <w:szCs w:val="21"/>
              </w:rPr>
            </w:pPr>
          </w:p>
        </w:tc>
        <w:tc>
          <w:tcPr>
            <w:tcW w:w="539" w:type="dxa"/>
            <w:tcBorders>
              <w:tl2br w:val="nil"/>
              <w:tr2bl w:val="nil"/>
            </w:tcBorders>
            <w:shd w:val="clear" w:color="auto" w:fill="D4F4F1" w:themeFill="accent5" w:themeFillTint="32"/>
            <w:noWrap w:val="0"/>
            <w:vAlign w:val="center"/>
          </w:tcPr>
          <w:p w14:paraId="7A4FDE7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死亡</w:t>
            </w:r>
          </w:p>
        </w:tc>
        <w:tc>
          <w:tcPr>
            <w:tcW w:w="539" w:type="dxa"/>
            <w:tcBorders>
              <w:tl2br w:val="nil"/>
              <w:tr2bl w:val="nil"/>
            </w:tcBorders>
            <w:shd w:val="clear" w:color="auto" w:fill="D4F4F1" w:themeFill="accent5" w:themeFillTint="32"/>
            <w:noWrap w:val="0"/>
            <w:vAlign w:val="center"/>
          </w:tcPr>
          <w:p w14:paraId="0405447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伤害</w:t>
            </w:r>
          </w:p>
        </w:tc>
        <w:tc>
          <w:tcPr>
            <w:tcW w:w="539" w:type="dxa"/>
            <w:tcBorders>
              <w:tl2br w:val="nil"/>
              <w:tr2bl w:val="nil"/>
            </w:tcBorders>
            <w:shd w:val="clear" w:color="auto" w:fill="D4F4F1" w:themeFill="accent5" w:themeFillTint="32"/>
            <w:noWrap w:val="0"/>
            <w:vAlign w:val="center"/>
          </w:tcPr>
          <w:p w14:paraId="71B38B68">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职业病</w:t>
            </w:r>
          </w:p>
        </w:tc>
        <w:tc>
          <w:tcPr>
            <w:tcW w:w="539" w:type="dxa"/>
            <w:tcBorders>
              <w:tl2br w:val="nil"/>
              <w:tr2bl w:val="nil"/>
            </w:tcBorders>
            <w:shd w:val="clear" w:color="auto" w:fill="D4F4F1" w:themeFill="accent5" w:themeFillTint="32"/>
            <w:noWrap w:val="0"/>
            <w:vAlign w:val="center"/>
          </w:tcPr>
          <w:p w14:paraId="1AEAFDF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财产损失</w:t>
            </w:r>
          </w:p>
        </w:tc>
        <w:tc>
          <w:tcPr>
            <w:tcW w:w="542" w:type="dxa"/>
            <w:tcBorders>
              <w:tl2br w:val="nil"/>
              <w:tr2bl w:val="nil"/>
            </w:tcBorders>
            <w:shd w:val="clear" w:color="auto" w:fill="D4F4F1" w:themeFill="accent5" w:themeFillTint="32"/>
            <w:noWrap w:val="0"/>
            <w:vAlign w:val="center"/>
          </w:tcPr>
          <w:p w14:paraId="4ADDB4A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其他</w:t>
            </w:r>
          </w:p>
        </w:tc>
        <w:tc>
          <w:tcPr>
            <w:tcW w:w="614" w:type="dxa"/>
            <w:tcBorders>
              <w:tl2br w:val="nil"/>
              <w:tr2bl w:val="nil"/>
            </w:tcBorders>
            <w:shd w:val="clear" w:color="auto" w:fill="D4F4F1" w:themeFill="accent5" w:themeFillTint="32"/>
            <w:noWrap w:val="0"/>
            <w:vAlign w:val="center"/>
          </w:tcPr>
          <w:p w14:paraId="1FC243D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L</w:t>
            </w:r>
          </w:p>
        </w:tc>
        <w:tc>
          <w:tcPr>
            <w:tcW w:w="614" w:type="dxa"/>
            <w:tcBorders>
              <w:tl2br w:val="nil"/>
              <w:tr2bl w:val="nil"/>
            </w:tcBorders>
            <w:shd w:val="clear" w:color="auto" w:fill="D4F4F1" w:themeFill="accent5" w:themeFillTint="32"/>
            <w:noWrap w:val="0"/>
            <w:vAlign w:val="center"/>
          </w:tcPr>
          <w:p w14:paraId="2C7A9C57">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E</w:t>
            </w:r>
          </w:p>
        </w:tc>
        <w:tc>
          <w:tcPr>
            <w:tcW w:w="614" w:type="dxa"/>
            <w:tcBorders>
              <w:tl2br w:val="nil"/>
              <w:tr2bl w:val="nil"/>
            </w:tcBorders>
            <w:shd w:val="clear" w:color="auto" w:fill="D4F4F1" w:themeFill="accent5" w:themeFillTint="32"/>
            <w:noWrap w:val="0"/>
            <w:vAlign w:val="center"/>
          </w:tcPr>
          <w:p w14:paraId="26CCE1B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C</w:t>
            </w:r>
          </w:p>
        </w:tc>
        <w:tc>
          <w:tcPr>
            <w:tcW w:w="740" w:type="dxa"/>
            <w:tcBorders>
              <w:tl2br w:val="nil"/>
              <w:tr2bl w:val="nil"/>
            </w:tcBorders>
            <w:shd w:val="clear" w:color="auto" w:fill="D4F4F1" w:themeFill="accent5" w:themeFillTint="32"/>
            <w:noWrap w:val="0"/>
            <w:vAlign w:val="center"/>
          </w:tcPr>
          <w:p w14:paraId="31A87A5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D</w:t>
            </w:r>
          </w:p>
        </w:tc>
        <w:tc>
          <w:tcPr>
            <w:tcW w:w="613" w:type="dxa"/>
            <w:vMerge w:val="continue"/>
            <w:tcBorders>
              <w:tl2br w:val="nil"/>
              <w:tr2bl w:val="nil"/>
            </w:tcBorders>
            <w:shd w:val="clear" w:color="auto" w:fill="C7DAF1"/>
            <w:noWrap w:val="0"/>
            <w:vAlign w:val="center"/>
          </w:tcPr>
          <w:p w14:paraId="646DFB87">
            <w:pPr>
              <w:pStyle w:val="37"/>
              <w:spacing w:line="240" w:lineRule="auto"/>
              <w:ind w:firstLine="0" w:firstLineChars="0"/>
              <w:rPr>
                <w:rFonts w:hint="eastAsia" w:ascii="仿宋" w:hAnsi="仿宋" w:eastAsia="仿宋" w:cs="仿宋"/>
                <w:sz w:val="21"/>
                <w:szCs w:val="21"/>
              </w:rPr>
            </w:pPr>
          </w:p>
        </w:tc>
        <w:tc>
          <w:tcPr>
            <w:tcW w:w="4087" w:type="dxa"/>
            <w:vMerge w:val="continue"/>
            <w:tcBorders>
              <w:tl2br w:val="nil"/>
              <w:tr2bl w:val="nil"/>
            </w:tcBorders>
            <w:shd w:val="clear" w:color="auto" w:fill="C7DAF1"/>
            <w:noWrap w:val="0"/>
            <w:vAlign w:val="center"/>
          </w:tcPr>
          <w:p w14:paraId="1ACC38DE">
            <w:pPr>
              <w:pStyle w:val="37"/>
              <w:spacing w:line="240" w:lineRule="auto"/>
              <w:ind w:firstLine="0" w:firstLineChars="0"/>
              <w:rPr>
                <w:rFonts w:hint="eastAsia" w:ascii="仿宋" w:hAnsi="仿宋" w:eastAsia="仿宋" w:cs="仿宋"/>
                <w:sz w:val="21"/>
                <w:szCs w:val="21"/>
              </w:rPr>
            </w:pPr>
          </w:p>
        </w:tc>
      </w:tr>
      <w:tr w14:paraId="589891C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6EFFFA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862" w:type="dxa"/>
            <w:vMerge w:val="restart"/>
            <w:tcBorders>
              <w:tl2br w:val="nil"/>
              <w:tr2bl w:val="nil"/>
            </w:tcBorders>
            <w:noWrap w:val="0"/>
            <w:vAlign w:val="center"/>
          </w:tcPr>
          <w:p w14:paraId="59A0D26E">
            <w:pPr>
              <w:spacing w:line="240" w:lineRule="auto"/>
              <w:ind w:firstLine="0" w:firstLineChars="0"/>
              <w:jc w:val="center"/>
              <w:rPr>
                <w:rFonts w:hint="default" w:ascii="仿宋" w:hAnsi="仿宋" w:eastAsia="仿宋" w:cs="仿宋"/>
                <w:b w:val="0"/>
                <w:bCs w:val="0"/>
                <w:sz w:val="21"/>
                <w:szCs w:val="21"/>
                <w:lang w:val="en-US"/>
              </w:rPr>
            </w:pPr>
            <w:r>
              <w:rPr>
                <w:rFonts w:hint="eastAsia" w:ascii="仿宋" w:hAnsi="仿宋" w:eastAsia="仿宋" w:cs="仿宋"/>
                <w:b w:val="0"/>
                <w:bCs w:val="0"/>
                <w:sz w:val="21"/>
                <w:szCs w:val="21"/>
                <w:lang w:val="en-US" w:eastAsia="zh-CN"/>
              </w:rPr>
              <w:t>高处坠落</w:t>
            </w:r>
          </w:p>
        </w:tc>
        <w:tc>
          <w:tcPr>
            <w:tcW w:w="2919" w:type="dxa"/>
            <w:tcBorders>
              <w:tl2br w:val="nil"/>
              <w:tr2bl w:val="nil"/>
            </w:tcBorders>
            <w:noWrap w:val="0"/>
            <w:vAlign w:val="center"/>
          </w:tcPr>
          <w:p w14:paraId="2507F60D">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患有高血压、心脏病等不宜高空作业的或未经培训的人员上岗作业</w:t>
            </w:r>
          </w:p>
        </w:tc>
        <w:tc>
          <w:tcPr>
            <w:tcW w:w="539" w:type="dxa"/>
            <w:tcBorders>
              <w:tl2br w:val="nil"/>
              <w:tr2bl w:val="nil"/>
            </w:tcBorders>
            <w:noWrap w:val="0"/>
            <w:vAlign w:val="center"/>
          </w:tcPr>
          <w:p w14:paraId="536E700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B686C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0C2F23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1C6F79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8236A7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0F06AB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3</w:t>
            </w:r>
          </w:p>
        </w:tc>
        <w:tc>
          <w:tcPr>
            <w:tcW w:w="614" w:type="dxa"/>
            <w:tcBorders>
              <w:tl2br w:val="nil"/>
              <w:tr2bl w:val="nil"/>
            </w:tcBorders>
            <w:noWrap w:val="0"/>
            <w:vAlign w:val="center"/>
          </w:tcPr>
          <w:p w14:paraId="1499E0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2</w:t>
            </w:r>
          </w:p>
        </w:tc>
        <w:tc>
          <w:tcPr>
            <w:tcW w:w="614" w:type="dxa"/>
            <w:tcBorders>
              <w:tl2br w:val="nil"/>
              <w:tr2bl w:val="nil"/>
            </w:tcBorders>
            <w:noWrap w:val="0"/>
            <w:vAlign w:val="center"/>
          </w:tcPr>
          <w:p w14:paraId="6903D34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15</w:t>
            </w:r>
          </w:p>
        </w:tc>
        <w:tc>
          <w:tcPr>
            <w:tcW w:w="740" w:type="dxa"/>
            <w:tcBorders>
              <w:tl2br w:val="nil"/>
              <w:tr2bl w:val="nil"/>
            </w:tcBorders>
            <w:noWrap w:val="0"/>
            <w:vAlign w:val="center"/>
          </w:tcPr>
          <w:p w14:paraId="3FADE50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90</w:t>
            </w:r>
          </w:p>
        </w:tc>
        <w:tc>
          <w:tcPr>
            <w:tcW w:w="613" w:type="dxa"/>
            <w:tcBorders>
              <w:tl2br w:val="nil"/>
              <w:tr2bl w:val="nil"/>
            </w:tcBorders>
            <w:noWrap w:val="0"/>
            <w:vAlign w:val="center"/>
          </w:tcPr>
          <w:p w14:paraId="3E9EA10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3</w:t>
            </w:r>
          </w:p>
        </w:tc>
        <w:tc>
          <w:tcPr>
            <w:tcW w:w="4087" w:type="dxa"/>
            <w:tcBorders>
              <w:tl2br w:val="nil"/>
              <w:tr2bl w:val="nil"/>
            </w:tcBorders>
            <w:noWrap w:val="0"/>
            <w:vAlign w:val="center"/>
          </w:tcPr>
          <w:p w14:paraId="03E823A1">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高处作业人员，每年按规定体检；并完成相应的培训</w:t>
            </w:r>
          </w:p>
        </w:tc>
      </w:tr>
      <w:tr w14:paraId="14A761C0">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5E61B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862" w:type="dxa"/>
            <w:vMerge w:val="continue"/>
            <w:tcBorders>
              <w:tl2br w:val="nil"/>
              <w:tr2bl w:val="nil"/>
            </w:tcBorders>
            <w:noWrap w:val="0"/>
            <w:vAlign w:val="center"/>
          </w:tcPr>
          <w:p w14:paraId="5FF5D674">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0C939FD4">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拆除</w:t>
            </w:r>
            <w:r>
              <w:rPr>
                <w:rFonts w:hint="eastAsia" w:ascii="仿宋" w:hAnsi="仿宋" w:eastAsia="仿宋" w:cs="仿宋"/>
                <w:b w:val="0"/>
                <w:bCs w:val="0"/>
                <w:sz w:val="21"/>
                <w:szCs w:val="21"/>
              </w:rPr>
              <w:t>人员未</w:t>
            </w:r>
            <w:r>
              <w:rPr>
                <w:rFonts w:hint="eastAsia" w:ascii="仿宋" w:hAnsi="仿宋" w:eastAsia="仿宋" w:cs="仿宋"/>
                <w:b w:val="0"/>
                <w:bCs w:val="0"/>
                <w:sz w:val="21"/>
                <w:szCs w:val="21"/>
                <w:lang w:val="en-US" w:eastAsia="zh-CN"/>
              </w:rPr>
              <w:t>正确佩戴安全帽、</w:t>
            </w:r>
            <w:r>
              <w:rPr>
                <w:rFonts w:hint="eastAsia" w:ascii="仿宋" w:hAnsi="仿宋" w:eastAsia="仿宋" w:cs="仿宋"/>
                <w:b w:val="0"/>
                <w:bCs w:val="0"/>
                <w:sz w:val="21"/>
                <w:szCs w:val="21"/>
              </w:rPr>
              <w:t>安全带、未穿防滑鞋和工作服、未戴手套、酒后上班</w:t>
            </w:r>
          </w:p>
        </w:tc>
        <w:tc>
          <w:tcPr>
            <w:tcW w:w="539" w:type="dxa"/>
            <w:tcBorders>
              <w:tl2br w:val="nil"/>
              <w:tr2bl w:val="nil"/>
            </w:tcBorders>
            <w:noWrap w:val="0"/>
            <w:vAlign w:val="center"/>
          </w:tcPr>
          <w:p w14:paraId="366A6B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981C5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527DC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89A03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4351EE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3A893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w:t>
            </w:r>
          </w:p>
        </w:tc>
        <w:tc>
          <w:tcPr>
            <w:tcW w:w="614" w:type="dxa"/>
            <w:tcBorders>
              <w:tl2br w:val="nil"/>
              <w:tr2bl w:val="nil"/>
            </w:tcBorders>
            <w:noWrap w:val="0"/>
            <w:vAlign w:val="center"/>
          </w:tcPr>
          <w:p w14:paraId="03EEC3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6BBDB0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2C8719E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180</w:t>
            </w:r>
          </w:p>
        </w:tc>
        <w:tc>
          <w:tcPr>
            <w:tcW w:w="613" w:type="dxa"/>
            <w:tcBorders>
              <w:tl2br w:val="nil"/>
              <w:tr2bl w:val="nil"/>
            </w:tcBorders>
            <w:noWrap w:val="0"/>
            <w:vAlign w:val="center"/>
          </w:tcPr>
          <w:p w14:paraId="22FA61C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w:t>
            </w:r>
          </w:p>
        </w:tc>
        <w:tc>
          <w:tcPr>
            <w:tcW w:w="4087" w:type="dxa"/>
            <w:tcBorders>
              <w:tl2br w:val="nil"/>
              <w:tr2bl w:val="nil"/>
            </w:tcBorders>
            <w:noWrap w:val="0"/>
            <w:vAlign w:val="center"/>
          </w:tcPr>
          <w:p w14:paraId="6F6CA14E">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做好三级安全教育</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安全技术交底</w:t>
            </w:r>
          </w:p>
        </w:tc>
      </w:tr>
      <w:tr w14:paraId="51F72FA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4038B1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862" w:type="dxa"/>
            <w:vMerge w:val="continue"/>
            <w:tcBorders>
              <w:tl2br w:val="nil"/>
              <w:tr2bl w:val="nil"/>
            </w:tcBorders>
            <w:noWrap w:val="0"/>
            <w:vAlign w:val="center"/>
          </w:tcPr>
          <w:p w14:paraId="4E8D7B43">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C0F369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w:t>
            </w:r>
            <w:r>
              <w:rPr>
                <w:rFonts w:hint="eastAsia" w:ascii="仿宋" w:hAnsi="仿宋" w:eastAsia="仿宋" w:cs="仿宋"/>
                <w:b w:val="0"/>
                <w:bCs w:val="0"/>
                <w:sz w:val="21"/>
                <w:szCs w:val="21"/>
                <w:lang w:val="en-US" w:eastAsia="zh-CN"/>
              </w:rPr>
              <w:t>拆卸</w:t>
            </w:r>
            <w:r>
              <w:rPr>
                <w:rFonts w:hint="eastAsia" w:ascii="仿宋" w:hAnsi="仿宋" w:eastAsia="仿宋" w:cs="仿宋"/>
                <w:b w:val="0"/>
                <w:bCs w:val="0"/>
                <w:sz w:val="21"/>
                <w:szCs w:val="21"/>
              </w:rPr>
              <w:t>附着</w:t>
            </w:r>
            <w:r>
              <w:rPr>
                <w:rFonts w:hint="eastAsia" w:ascii="仿宋" w:hAnsi="仿宋" w:eastAsia="仿宋" w:cs="仿宋"/>
                <w:b w:val="0"/>
                <w:bCs w:val="0"/>
                <w:sz w:val="21"/>
                <w:szCs w:val="21"/>
                <w:lang w:val="en-US" w:eastAsia="zh-CN"/>
              </w:rPr>
              <w:t>装置</w:t>
            </w:r>
            <w:r>
              <w:rPr>
                <w:rFonts w:hint="eastAsia" w:ascii="仿宋" w:hAnsi="仿宋" w:eastAsia="仿宋" w:cs="仿宋"/>
                <w:b w:val="0"/>
                <w:bCs w:val="0"/>
                <w:sz w:val="21"/>
                <w:szCs w:val="21"/>
              </w:rPr>
              <w:t>时未搭设作业平台</w:t>
            </w:r>
          </w:p>
        </w:tc>
        <w:tc>
          <w:tcPr>
            <w:tcW w:w="539" w:type="dxa"/>
            <w:tcBorders>
              <w:tl2br w:val="nil"/>
              <w:tr2bl w:val="nil"/>
            </w:tcBorders>
            <w:noWrap w:val="0"/>
            <w:vAlign w:val="center"/>
          </w:tcPr>
          <w:p w14:paraId="5A9135F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EF22A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72E3B1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51FDA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2A952E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FD3811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169E848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413A25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3E2FEC9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48D44ED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3B87788E">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拆除</w:t>
            </w:r>
            <w:r>
              <w:rPr>
                <w:rFonts w:hint="eastAsia" w:ascii="仿宋" w:hAnsi="仿宋" w:eastAsia="仿宋" w:cs="仿宋"/>
                <w:b w:val="0"/>
                <w:bCs w:val="0"/>
                <w:sz w:val="21"/>
                <w:szCs w:val="21"/>
              </w:rPr>
              <w:t>附着</w:t>
            </w:r>
            <w:r>
              <w:rPr>
                <w:rFonts w:hint="eastAsia" w:ascii="仿宋" w:hAnsi="仿宋" w:eastAsia="仿宋" w:cs="仿宋"/>
                <w:b w:val="0"/>
                <w:bCs w:val="0"/>
                <w:sz w:val="21"/>
                <w:szCs w:val="21"/>
                <w:lang w:val="en-US" w:eastAsia="zh-CN"/>
              </w:rPr>
              <w:t>装置</w:t>
            </w:r>
            <w:r>
              <w:rPr>
                <w:rFonts w:hint="eastAsia" w:ascii="仿宋" w:hAnsi="仿宋" w:eastAsia="仿宋" w:cs="仿宋"/>
                <w:b w:val="0"/>
                <w:bCs w:val="0"/>
                <w:sz w:val="21"/>
                <w:szCs w:val="21"/>
              </w:rPr>
              <w:t>时搭设符合要求的作业平台</w:t>
            </w:r>
          </w:p>
        </w:tc>
      </w:tr>
      <w:tr w14:paraId="6C4C6EE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672C11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w:t>
            </w:r>
          </w:p>
        </w:tc>
        <w:tc>
          <w:tcPr>
            <w:tcW w:w="862" w:type="dxa"/>
            <w:vMerge w:val="continue"/>
            <w:tcBorders>
              <w:tl2br w:val="nil"/>
              <w:tr2bl w:val="nil"/>
            </w:tcBorders>
            <w:noWrap w:val="0"/>
            <w:vAlign w:val="center"/>
          </w:tcPr>
          <w:p w14:paraId="618FCC2E">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842DDA7">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高处作业中的工具未采取防坠落等措施，高处作业中的物料临边或靠近洞口堆放</w:t>
            </w:r>
          </w:p>
        </w:tc>
        <w:tc>
          <w:tcPr>
            <w:tcW w:w="539" w:type="dxa"/>
            <w:tcBorders>
              <w:tl2br w:val="nil"/>
              <w:tr2bl w:val="nil"/>
            </w:tcBorders>
            <w:noWrap w:val="0"/>
            <w:vAlign w:val="center"/>
          </w:tcPr>
          <w:p w14:paraId="5DA715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316901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672499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9920B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0E2F09E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BEE25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FF3458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035EC37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6F2F7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5B7D02A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6A0BBCC5">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安全技术交底，严格按照操作规程</w:t>
            </w:r>
          </w:p>
        </w:tc>
      </w:tr>
      <w:tr w14:paraId="3FBA743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539578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5</w:t>
            </w:r>
          </w:p>
        </w:tc>
        <w:tc>
          <w:tcPr>
            <w:tcW w:w="862" w:type="dxa"/>
            <w:vMerge w:val="restart"/>
            <w:tcBorders>
              <w:tl2br w:val="nil"/>
              <w:tr2bl w:val="nil"/>
            </w:tcBorders>
            <w:noWrap w:val="0"/>
            <w:vAlign w:val="center"/>
          </w:tcPr>
          <w:p w14:paraId="3888338D">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机械伤害</w:t>
            </w:r>
          </w:p>
        </w:tc>
        <w:tc>
          <w:tcPr>
            <w:tcW w:w="2919" w:type="dxa"/>
            <w:tcBorders>
              <w:tl2br w:val="nil"/>
              <w:tr2bl w:val="nil"/>
            </w:tcBorders>
            <w:noWrap w:val="0"/>
            <w:vAlign w:val="center"/>
          </w:tcPr>
          <w:p w14:paraId="1FA0DCC2">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未正确使用吊索具</w:t>
            </w:r>
          </w:p>
        </w:tc>
        <w:tc>
          <w:tcPr>
            <w:tcW w:w="539" w:type="dxa"/>
            <w:tcBorders>
              <w:tl2br w:val="nil"/>
              <w:tr2bl w:val="nil"/>
            </w:tcBorders>
            <w:noWrap w:val="0"/>
            <w:vAlign w:val="center"/>
          </w:tcPr>
          <w:p w14:paraId="57248B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5049A2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96839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D8038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4DE9012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FB7BBA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3DE311C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2F6D8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8401C0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55BA168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6C49A4CB">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做好三级安全教育，安全技术交底</w:t>
            </w:r>
          </w:p>
        </w:tc>
      </w:tr>
      <w:tr w14:paraId="24BC0BD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D7CC1E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w:t>
            </w:r>
          </w:p>
        </w:tc>
        <w:tc>
          <w:tcPr>
            <w:tcW w:w="862" w:type="dxa"/>
            <w:vMerge w:val="continue"/>
            <w:tcBorders>
              <w:tl2br w:val="nil"/>
              <w:tr2bl w:val="nil"/>
            </w:tcBorders>
            <w:noWrap w:val="0"/>
            <w:vAlign w:val="center"/>
          </w:tcPr>
          <w:p w14:paraId="61DE5E7E">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2A0BEAA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吊点不准确、起吊不平衡</w:t>
            </w:r>
          </w:p>
        </w:tc>
        <w:tc>
          <w:tcPr>
            <w:tcW w:w="539" w:type="dxa"/>
            <w:tcBorders>
              <w:tl2br w:val="nil"/>
              <w:tr2bl w:val="nil"/>
            </w:tcBorders>
            <w:noWrap w:val="0"/>
            <w:vAlign w:val="center"/>
          </w:tcPr>
          <w:p w14:paraId="69CF8E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DFE77E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9C855E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7F90AE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74488CA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EA5E8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725132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276547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B75FD3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08BE092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7E976FB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790A2A6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71D23D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7</w:t>
            </w:r>
          </w:p>
        </w:tc>
        <w:tc>
          <w:tcPr>
            <w:tcW w:w="862" w:type="dxa"/>
            <w:vMerge w:val="continue"/>
            <w:tcBorders>
              <w:tl2br w:val="nil"/>
              <w:tr2bl w:val="nil"/>
            </w:tcBorders>
            <w:noWrap w:val="0"/>
            <w:vAlign w:val="center"/>
          </w:tcPr>
          <w:p w14:paraId="1191FE12">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21D48797">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安装不到位，螺栓销轴未紧固</w:t>
            </w:r>
          </w:p>
        </w:tc>
        <w:tc>
          <w:tcPr>
            <w:tcW w:w="539" w:type="dxa"/>
            <w:tcBorders>
              <w:tl2br w:val="nil"/>
              <w:tr2bl w:val="nil"/>
            </w:tcBorders>
            <w:noWrap w:val="0"/>
            <w:vAlign w:val="center"/>
          </w:tcPr>
          <w:p w14:paraId="6393310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F7E7CC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688352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9B2B1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19852C7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7F1986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2F63DBD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046065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5DD05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46D3D34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40EB3D3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6D5146E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B4C32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w:t>
            </w:r>
          </w:p>
        </w:tc>
        <w:tc>
          <w:tcPr>
            <w:tcW w:w="862" w:type="dxa"/>
            <w:vMerge w:val="continue"/>
            <w:tcBorders>
              <w:tl2br w:val="nil"/>
              <w:tr2bl w:val="nil"/>
            </w:tcBorders>
            <w:noWrap w:val="0"/>
            <w:vAlign w:val="center"/>
          </w:tcPr>
          <w:p w14:paraId="7C4C77CC">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53A31AF9">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违</w:t>
            </w:r>
            <w:r>
              <w:rPr>
                <w:rFonts w:hint="eastAsia" w:ascii="仿宋" w:hAnsi="仿宋" w:eastAsia="仿宋" w:cs="仿宋"/>
                <w:b w:val="0"/>
                <w:bCs w:val="0"/>
                <w:sz w:val="21"/>
                <w:szCs w:val="21"/>
                <w:lang w:val="en-US" w:eastAsia="zh-CN"/>
              </w:rPr>
              <w:t>规</w:t>
            </w:r>
            <w:r>
              <w:rPr>
                <w:rFonts w:hint="eastAsia" w:ascii="仿宋" w:hAnsi="仿宋" w:eastAsia="仿宋" w:cs="仿宋"/>
                <w:b w:val="0"/>
                <w:bCs w:val="0"/>
                <w:sz w:val="21"/>
                <w:szCs w:val="21"/>
                <w:lang w:val="en-GB" w:eastAsia="zh-CN"/>
              </w:rPr>
              <w:t>、</w:t>
            </w:r>
            <w:r>
              <w:rPr>
                <w:rFonts w:hint="eastAsia" w:ascii="仿宋" w:hAnsi="仿宋" w:eastAsia="仿宋" w:cs="仿宋"/>
                <w:b w:val="0"/>
                <w:bCs w:val="0"/>
                <w:sz w:val="21"/>
                <w:szCs w:val="21"/>
                <w:lang w:val="en-US" w:eastAsia="zh-CN"/>
              </w:rPr>
              <w:t>违章作业</w:t>
            </w:r>
          </w:p>
        </w:tc>
        <w:tc>
          <w:tcPr>
            <w:tcW w:w="539" w:type="dxa"/>
            <w:tcBorders>
              <w:tl2br w:val="nil"/>
              <w:tr2bl w:val="nil"/>
            </w:tcBorders>
            <w:noWrap w:val="0"/>
            <w:vAlign w:val="center"/>
          </w:tcPr>
          <w:p w14:paraId="7EB6D89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20AF3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2256BC1">
            <w:pPr>
              <w:spacing w:line="240" w:lineRule="auto"/>
              <w:ind w:firstLine="0" w:firstLineChars="0"/>
              <w:jc w:val="center"/>
              <w:rPr>
                <w:rFonts w:hint="eastAsia" w:ascii="仿宋" w:hAnsi="仿宋" w:eastAsia="仿宋" w:cs="仿宋"/>
                <w:b w:val="0"/>
                <w:bCs w:val="0"/>
                <w:sz w:val="21"/>
                <w:szCs w:val="21"/>
                <w:lang w:val="en-US" w:eastAsia="zh-CN"/>
              </w:rPr>
            </w:pPr>
          </w:p>
        </w:tc>
        <w:tc>
          <w:tcPr>
            <w:tcW w:w="539" w:type="dxa"/>
            <w:tcBorders>
              <w:tl2br w:val="nil"/>
              <w:tr2bl w:val="nil"/>
            </w:tcBorders>
            <w:noWrap w:val="0"/>
            <w:vAlign w:val="center"/>
          </w:tcPr>
          <w:p w14:paraId="53A13FA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4ECEEC9">
            <w:pPr>
              <w:spacing w:line="240" w:lineRule="auto"/>
              <w:ind w:firstLine="0" w:firstLineChars="0"/>
              <w:jc w:val="center"/>
              <w:rPr>
                <w:rFonts w:hint="eastAsia" w:ascii="仿宋" w:hAnsi="仿宋" w:eastAsia="仿宋" w:cs="仿宋"/>
                <w:b w:val="0"/>
                <w:bCs w:val="0"/>
                <w:sz w:val="21"/>
                <w:szCs w:val="21"/>
                <w:lang w:val="en-US" w:eastAsia="zh-CN"/>
              </w:rPr>
            </w:pPr>
          </w:p>
        </w:tc>
        <w:tc>
          <w:tcPr>
            <w:tcW w:w="614" w:type="dxa"/>
            <w:tcBorders>
              <w:tl2br w:val="nil"/>
              <w:tr2bl w:val="nil"/>
            </w:tcBorders>
            <w:noWrap w:val="0"/>
            <w:vAlign w:val="center"/>
          </w:tcPr>
          <w:p w14:paraId="74793B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10</w:t>
            </w:r>
          </w:p>
        </w:tc>
        <w:tc>
          <w:tcPr>
            <w:tcW w:w="614" w:type="dxa"/>
            <w:tcBorders>
              <w:tl2br w:val="nil"/>
              <w:tr2bl w:val="nil"/>
            </w:tcBorders>
            <w:noWrap w:val="0"/>
            <w:vAlign w:val="center"/>
          </w:tcPr>
          <w:p w14:paraId="1A325DC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6</w:t>
            </w:r>
          </w:p>
        </w:tc>
        <w:tc>
          <w:tcPr>
            <w:tcW w:w="614" w:type="dxa"/>
            <w:tcBorders>
              <w:tl2br w:val="nil"/>
              <w:tr2bl w:val="nil"/>
            </w:tcBorders>
            <w:noWrap w:val="0"/>
            <w:vAlign w:val="center"/>
          </w:tcPr>
          <w:p w14:paraId="2477391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100</w:t>
            </w:r>
          </w:p>
        </w:tc>
        <w:tc>
          <w:tcPr>
            <w:tcW w:w="740" w:type="dxa"/>
            <w:tcBorders>
              <w:tl2br w:val="nil"/>
              <w:tr2bl w:val="nil"/>
            </w:tcBorders>
            <w:noWrap w:val="0"/>
            <w:vAlign w:val="center"/>
          </w:tcPr>
          <w:p w14:paraId="62C07AB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6000</w:t>
            </w:r>
          </w:p>
        </w:tc>
        <w:tc>
          <w:tcPr>
            <w:tcW w:w="613" w:type="dxa"/>
            <w:tcBorders>
              <w:tl2br w:val="nil"/>
              <w:tr2bl w:val="nil"/>
            </w:tcBorders>
            <w:noWrap w:val="0"/>
            <w:vAlign w:val="center"/>
          </w:tcPr>
          <w:p w14:paraId="2F0FE4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w:t>
            </w:r>
          </w:p>
        </w:tc>
        <w:tc>
          <w:tcPr>
            <w:tcW w:w="4087" w:type="dxa"/>
            <w:tcBorders>
              <w:tl2br w:val="nil"/>
              <w:tr2bl w:val="nil"/>
            </w:tcBorders>
            <w:noWrap w:val="0"/>
            <w:vAlign w:val="center"/>
          </w:tcPr>
          <w:p w14:paraId="7ADC5620">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73B7146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0C1C295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w:t>
            </w:r>
          </w:p>
        </w:tc>
        <w:tc>
          <w:tcPr>
            <w:tcW w:w="862" w:type="dxa"/>
            <w:vMerge w:val="restart"/>
            <w:tcBorders>
              <w:tl2br w:val="nil"/>
              <w:tr2bl w:val="nil"/>
            </w:tcBorders>
            <w:noWrap w:val="0"/>
            <w:vAlign w:val="center"/>
          </w:tcPr>
          <w:p w14:paraId="7BF07540">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触电</w:t>
            </w:r>
          </w:p>
        </w:tc>
        <w:tc>
          <w:tcPr>
            <w:tcW w:w="2919" w:type="dxa"/>
            <w:tcBorders>
              <w:tl2br w:val="nil"/>
              <w:tr2bl w:val="nil"/>
            </w:tcBorders>
            <w:noWrap w:val="0"/>
            <w:vAlign w:val="center"/>
          </w:tcPr>
          <w:p w14:paraId="36F3CAF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与架空线路小于安全距离又无防护措施</w:t>
            </w:r>
          </w:p>
        </w:tc>
        <w:tc>
          <w:tcPr>
            <w:tcW w:w="539" w:type="dxa"/>
            <w:tcBorders>
              <w:tl2br w:val="nil"/>
              <w:tr2bl w:val="nil"/>
            </w:tcBorders>
            <w:noWrap w:val="0"/>
            <w:vAlign w:val="center"/>
          </w:tcPr>
          <w:p w14:paraId="7D9FFC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CEDCC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8B73AC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6B5F954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095AFD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4F94911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546AE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632093E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2218927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360</w:t>
            </w:r>
          </w:p>
        </w:tc>
        <w:tc>
          <w:tcPr>
            <w:tcW w:w="613" w:type="dxa"/>
            <w:tcBorders>
              <w:tl2br w:val="nil"/>
              <w:tr2bl w:val="nil"/>
            </w:tcBorders>
            <w:noWrap w:val="0"/>
            <w:vAlign w:val="center"/>
          </w:tcPr>
          <w:p w14:paraId="117386E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5</w:t>
            </w:r>
          </w:p>
        </w:tc>
        <w:tc>
          <w:tcPr>
            <w:tcW w:w="4087" w:type="dxa"/>
            <w:tcBorders>
              <w:tl2br w:val="nil"/>
              <w:tr2bl w:val="nil"/>
            </w:tcBorders>
            <w:noWrap w:val="0"/>
            <w:vAlign w:val="center"/>
          </w:tcPr>
          <w:p w14:paraId="356A5E3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按照规范要求做好</w:t>
            </w:r>
            <w:r>
              <w:rPr>
                <w:rFonts w:hint="eastAsia" w:ascii="仿宋" w:hAnsi="仿宋" w:eastAsia="仿宋" w:cs="仿宋"/>
                <w:b w:val="0"/>
                <w:bCs w:val="0"/>
                <w:sz w:val="21"/>
                <w:szCs w:val="21"/>
                <w:lang w:val="en-US" w:eastAsia="zh-CN"/>
              </w:rPr>
              <w:t>施工用电</w:t>
            </w:r>
            <w:r>
              <w:rPr>
                <w:rFonts w:hint="eastAsia" w:ascii="仿宋" w:hAnsi="仿宋" w:eastAsia="仿宋" w:cs="仿宋"/>
                <w:b w:val="0"/>
                <w:bCs w:val="0"/>
                <w:sz w:val="21"/>
                <w:szCs w:val="21"/>
              </w:rPr>
              <w:t>安全防护</w:t>
            </w:r>
          </w:p>
        </w:tc>
      </w:tr>
      <w:tr w14:paraId="0465B49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583F14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10</w:t>
            </w:r>
          </w:p>
        </w:tc>
        <w:tc>
          <w:tcPr>
            <w:tcW w:w="862" w:type="dxa"/>
            <w:vMerge w:val="continue"/>
            <w:tcBorders>
              <w:tl2br w:val="nil"/>
              <w:tr2bl w:val="nil"/>
            </w:tcBorders>
            <w:noWrap w:val="0"/>
            <w:vAlign w:val="center"/>
          </w:tcPr>
          <w:p w14:paraId="1B77879B">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0C3C0D8D">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无专用电箱</w:t>
            </w:r>
            <w:r>
              <w:rPr>
                <w:rFonts w:hint="eastAsia" w:ascii="仿宋" w:hAnsi="仿宋" w:eastAsia="仿宋" w:cs="仿宋"/>
                <w:b w:val="0"/>
                <w:bCs w:val="0"/>
                <w:sz w:val="21"/>
                <w:szCs w:val="21"/>
                <w:lang w:val="en-US" w:eastAsia="zh-CN"/>
              </w:rPr>
              <w:t>或</w:t>
            </w:r>
            <w:r>
              <w:rPr>
                <w:rFonts w:hint="eastAsia" w:ascii="仿宋" w:hAnsi="仿宋" w:eastAsia="仿宋" w:cs="仿宋"/>
                <w:b w:val="0"/>
                <w:bCs w:val="0"/>
                <w:sz w:val="21"/>
                <w:szCs w:val="21"/>
              </w:rPr>
              <w:t>专用箱电器配置不符合要求</w:t>
            </w:r>
          </w:p>
        </w:tc>
        <w:tc>
          <w:tcPr>
            <w:tcW w:w="539" w:type="dxa"/>
            <w:tcBorders>
              <w:tl2br w:val="nil"/>
              <w:tr2bl w:val="nil"/>
            </w:tcBorders>
            <w:noWrap w:val="0"/>
            <w:vAlign w:val="center"/>
          </w:tcPr>
          <w:p w14:paraId="6B3E8B0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5F7C53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1109D5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C90E63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57B0012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CCD593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1B99999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5E6DEBB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CD9F0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45</w:t>
            </w:r>
          </w:p>
        </w:tc>
        <w:tc>
          <w:tcPr>
            <w:tcW w:w="613" w:type="dxa"/>
            <w:tcBorders>
              <w:tl2br w:val="nil"/>
              <w:tr2bl w:val="nil"/>
            </w:tcBorders>
            <w:noWrap w:val="0"/>
            <w:vAlign w:val="center"/>
          </w:tcPr>
          <w:p w14:paraId="3FF8233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F76958B">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设置塔吊</w:t>
            </w:r>
            <w:r>
              <w:rPr>
                <w:rFonts w:hint="eastAsia" w:ascii="仿宋" w:hAnsi="仿宋" w:eastAsia="仿宋" w:cs="仿宋"/>
                <w:b w:val="0"/>
                <w:bCs w:val="0"/>
                <w:sz w:val="21"/>
                <w:szCs w:val="21"/>
              </w:rPr>
              <w:t>专用</w:t>
            </w:r>
            <w:r>
              <w:rPr>
                <w:rFonts w:hint="eastAsia" w:ascii="仿宋" w:hAnsi="仿宋" w:eastAsia="仿宋" w:cs="仿宋"/>
                <w:b w:val="0"/>
                <w:bCs w:val="0"/>
                <w:sz w:val="21"/>
                <w:szCs w:val="21"/>
                <w:lang w:val="en-US" w:eastAsia="zh-CN"/>
              </w:rPr>
              <w:t>配</w:t>
            </w:r>
            <w:r>
              <w:rPr>
                <w:rFonts w:hint="eastAsia" w:ascii="仿宋" w:hAnsi="仿宋" w:eastAsia="仿宋" w:cs="仿宋"/>
                <w:b w:val="0"/>
                <w:bCs w:val="0"/>
                <w:sz w:val="21"/>
                <w:szCs w:val="21"/>
              </w:rPr>
              <w:t>电箱</w:t>
            </w:r>
          </w:p>
        </w:tc>
      </w:tr>
      <w:tr w14:paraId="5B78935B">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CECCD2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11</w:t>
            </w:r>
          </w:p>
        </w:tc>
        <w:tc>
          <w:tcPr>
            <w:tcW w:w="862" w:type="dxa"/>
            <w:vMerge w:val="continue"/>
            <w:tcBorders>
              <w:tl2br w:val="nil"/>
              <w:tr2bl w:val="nil"/>
            </w:tcBorders>
            <w:noWrap w:val="0"/>
            <w:vAlign w:val="center"/>
          </w:tcPr>
          <w:p w14:paraId="5A410A26">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450FF2CA">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电缆线未按规定固定牢靠</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电缆线</w:t>
            </w:r>
            <w:r>
              <w:rPr>
                <w:rFonts w:hint="eastAsia" w:ascii="仿宋" w:hAnsi="仿宋" w:eastAsia="仿宋" w:cs="仿宋"/>
                <w:b w:val="0"/>
                <w:bCs w:val="0"/>
                <w:sz w:val="21"/>
                <w:szCs w:val="21"/>
                <w:lang w:val="en-US" w:eastAsia="zh-CN"/>
              </w:rPr>
              <w:t>破损</w:t>
            </w:r>
            <w:r>
              <w:rPr>
                <w:rFonts w:hint="eastAsia" w:ascii="仿宋" w:hAnsi="仿宋" w:eastAsia="仿宋" w:cs="仿宋"/>
                <w:b w:val="0"/>
                <w:bCs w:val="0"/>
                <w:sz w:val="21"/>
                <w:szCs w:val="21"/>
              </w:rPr>
              <w:t>、接头破损</w:t>
            </w:r>
          </w:p>
        </w:tc>
        <w:tc>
          <w:tcPr>
            <w:tcW w:w="539" w:type="dxa"/>
            <w:tcBorders>
              <w:tl2br w:val="nil"/>
              <w:tr2bl w:val="nil"/>
            </w:tcBorders>
            <w:noWrap w:val="0"/>
            <w:vAlign w:val="center"/>
          </w:tcPr>
          <w:p w14:paraId="14C500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20ACB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364B14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89052C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790C94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AFF47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2E14B7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4DC767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6A04BB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45</w:t>
            </w:r>
          </w:p>
        </w:tc>
        <w:tc>
          <w:tcPr>
            <w:tcW w:w="613" w:type="dxa"/>
            <w:tcBorders>
              <w:tl2br w:val="nil"/>
              <w:tr2bl w:val="nil"/>
            </w:tcBorders>
            <w:noWrap w:val="0"/>
            <w:vAlign w:val="center"/>
          </w:tcPr>
          <w:p w14:paraId="5BC155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220657E">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按规范要求</w:t>
            </w:r>
            <w:r>
              <w:rPr>
                <w:rFonts w:hint="eastAsia" w:ascii="仿宋" w:hAnsi="仿宋" w:eastAsia="仿宋" w:cs="仿宋"/>
                <w:b w:val="0"/>
                <w:bCs w:val="0"/>
                <w:sz w:val="21"/>
                <w:szCs w:val="21"/>
                <w:lang w:val="en-US" w:eastAsia="zh-CN"/>
              </w:rPr>
              <w:t>安装电缆线、并修复损坏的电缆线</w:t>
            </w:r>
          </w:p>
        </w:tc>
      </w:tr>
      <w:tr w14:paraId="12F14F9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68A590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12</w:t>
            </w:r>
          </w:p>
        </w:tc>
        <w:tc>
          <w:tcPr>
            <w:tcW w:w="862" w:type="dxa"/>
            <w:vMerge w:val="continue"/>
            <w:tcBorders>
              <w:tl2br w:val="nil"/>
              <w:tr2bl w:val="nil"/>
            </w:tcBorders>
            <w:noWrap w:val="0"/>
            <w:vAlign w:val="center"/>
          </w:tcPr>
          <w:p w14:paraId="22D880D2">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3AA828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未设置防</w:t>
            </w:r>
            <w:r>
              <w:rPr>
                <w:rFonts w:hint="eastAsia" w:ascii="仿宋" w:hAnsi="仿宋" w:eastAsia="仿宋" w:cs="仿宋"/>
                <w:b w:val="0"/>
                <w:bCs w:val="0"/>
                <w:sz w:val="21"/>
                <w:szCs w:val="21"/>
              </w:rPr>
              <w:t>雷接地</w:t>
            </w:r>
          </w:p>
        </w:tc>
        <w:tc>
          <w:tcPr>
            <w:tcW w:w="539" w:type="dxa"/>
            <w:tcBorders>
              <w:tl2br w:val="nil"/>
              <w:tr2bl w:val="nil"/>
            </w:tcBorders>
            <w:noWrap w:val="0"/>
            <w:vAlign w:val="center"/>
          </w:tcPr>
          <w:p w14:paraId="74761E7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D7A64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8E87FA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BD160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3AD3FE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DB757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39837E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B88DE8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5D40DF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22.5</w:t>
            </w:r>
          </w:p>
        </w:tc>
        <w:tc>
          <w:tcPr>
            <w:tcW w:w="613" w:type="dxa"/>
            <w:tcBorders>
              <w:tl2br w:val="nil"/>
              <w:tr2bl w:val="nil"/>
            </w:tcBorders>
            <w:noWrap w:val="0"/>
            <w:vAlign w:val="center"/>
          </w:tcPr>
          <w:p w14:paraId="78672F8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7DE9F109">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按规范要求</w:t>
            </w:r>
            <w:r>
              <w:rPr>
                <w:rFonts w:hint="eastAsia" w:ascii="仿宋" w:hAnsi="仿宋" w:eastAsia="仿宋" w:cs="仿宋"/>
                <w:b w:val="0"/>
                <w:bCs w:val="0"/>
                <w:sz w:val="21"/>
                <w:szCs w:val="21"/>
                <w:lang w:val="en-US" w:eastAsia="zh-CN"/>
              </w:rPr>
              <w:t>设置防雷接地</w:t>
            </w:r>
          </w:p>
        </w:tc>
      </w:tr>
      <w:tr w14:paraId="0B0B56E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BDE5B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13</w:t>
            </w:r>
          </w:p>
        </w:tc>
        <w:tc>
          <w:tcPr>
            <w:tcW w:w="862" w:type="dxa"/>
            <w:vMerge w:val="restart"/>
            <w:tcBorders>
              <w:tl2br w:val="nil"/>
              <w:tr2bl w:val="nil"/>
            </w:tcBorders>
            <w:noWrap w:val="0"/>
            <w:vAlign w:val="center"/>
          </w:tcPr>
          <w:p w14:paraId="1DAD96E5">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物体打击</w:t>
            </w:r>
          </w:p>
        </w:tc>
        <w:tc>
          <w:tcPr>
            <w:tcW w:w="2919" w:type="dxa"/>
            <w:tcBorders>
              <w:tl2br w:val="nil"/>
              <w:tr2bl w:val="nil"/>
            </w:tcBorders>
            <w:noWrap w:val="0"/>
            <w:vAlign w:val="center"/>
          </w:tcPr>
          <w:p w14:paraId="2C5AB489">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w:t>
            </w:r>
            <w:r>
              <w:rPr>
                <w:rFonts w:hint="eastAsia" w:ascii="仿宋" w:hAnsi="仿宋" w:eastAsia="仿宋" w:cs="仿宋"/>
                <w:b w:val="0"/>
                <w:bCs w:val="0"/>
                <w:sz w:val="21"/>
                <w:szCs w:val="21"/>
                <w:lang w:val="en-US" w:eastAsia="zh-CN"/>
              </w:rPr>
              <w:t>拆卸</w:t>
            </w:r>
            <w:r>
              <w:rPr>
                <w:rFonts w:hint="eastAsia" w:ascii="仿宋" w:hAnsi="仿宋" w:eastAsia="仿宋" w:cs="仿宋"/>
                <w:b w:val="0"/>
                <w:bCs w:val="0"/>
                <w:sz w:val="21"/>
                <w:szCs w:val="21"/>
              </w:rPr>
              <w:t>作业</w:t>
            </w:r>
            <w:r>
              <w:rPr>
                <w:rFonts w:hint="eastAsia" w:ascii="仿宋" w:hAnsi="仿宋" w:eastAsia="仿宋" w:cs="仿宋"/>
                <w:b w:val="0"/>
                <w:bCs w:val="0"/>
                <w:sz w:val="21"/>
                <w:szCs w:val="21"/>
                <w:lang w:val="en-US" w:eastAsia="zh-CN"/>
              </w:rPr>
              <w:t>区域</w:t>
            </w:r>
            <w:r>
              <w:rPr>
                <w:rFonts w:hint="eastAsia" w:ascii="仿宋" w:hAnsi="仿宋" w:eastAsia="仿宋" w:cs="仿宋"/>
                <w:b w:val="0"/>
                <w:bCs w:val="0"/>
                <w:sz w:val="21"/>
                <w:szCs w:val="21"/>
              </w:rPr>
              <w:t>未布置警戒线、挂醒目安全警示牌</w:t>
            </w:r>
          </w:p>
        </w:tc>
        <w:tc>
          <w:tcPr>
            <w:tcW w:w="539" w:type="dxa"/>
            <w:tcBorders>
              <w:tl2br w:val="nil"/>
              <w:tr2bl w:val="nil"/>
            </w:tcBorders>
            <w:noWrap w:val="0"/>
            <w:vAlign w:val="center"/>
          </w:tcPr>
          <w:p w14:paraId="20DE8E0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C5438E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A3868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B9749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167982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25B2D6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7C60715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1FE10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527E4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4F89962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094BB8D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安装作业区域</w:t>
            </w:r>
            <w:r>
              <w:rPr>
                <w:rFonts w:hint="eastAsia" w:ascii="仿宋" w:hAnsi="仿宋" w:eastAsia="仿宋" w:cs="仿宋"/>
                <w:b w:val="0"/>
                <w:bCs w:val="0"/>
                <w:sz w:val="21"/>
                <w:szCs w:val="21"/>
                <w:lang w:val="en-US" w:eastAsia="zh-CN"/>
              </w:rPr>
              <w:t>设置安全</w:t>
            </w:r>
            <w:r>
              <w:rPr>
                <w:rFonts w:hint="eastAsia" w:ascii="仿宋" w:hAnsi="仿宋" w:eastAsia="仿宋" w:cs="仿宋"/>
                <w:b w:val="0"/>
                <w:bCs w:val="0"/>
                <w:sz w:val="21"/>
                <w:szCs w:val="21"/>
              </w:rPr>
              <w:t>警戒线，挂警示牌，现场安全员全权负责安全区域的安全监护工作</w:t>
            </w:r>
          </w:p>
        </w:tc>
      </w:tr>
      <w:tr w14:paraId="38E3895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ECC7F1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14</w:t>
            </w:r>
          </w:p>
        </w:tc>
        <w:tc>
          <w:tcPr>
            <w:tcW w:w="862" w:type="dxa"/>
            <w:vMerge w:val="continue"/>
            <w:tcBorders>
              <w:tl2br w:val="nil"/>
              <w:tr2bl w:val="nil"/>
            </w:tcBorders>
            <w:noWrap w:val="0"/>
            <w:vAlign w:val="center"/>
          </w:tcPr>
          <w:p w14:paraId="49E79029">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C3894B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安装拆卸时未做好安全教育和安全交底</w:t>
            </w:r>
          </w:p>
        </w:tc>
        <w:tc>
          <w:tcPr>
            <w:tcW w:w="539" w:type="dxa"/>
            <w:tcBorders>
              <w:tl2br w:val="nil"/>
              <w:tr2bl w:val="nil"/>
            </w:tcBorders>
            <w:noWrap w:val="0"/>
            <w:vAlign w:val="center"/>
          </w:tcPr>
          <w:p w14:paraId="50D61A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7295F8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33BC0E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1A053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DD7AC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18DDE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1D95360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4838FE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523B36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329AB2C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291BD8E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向所有安装、拆除、加节顶升人员进行全面安全技术交底，组织学习安装、拆除方案</w:t>
            </w:r>
          </w:p>
        </w:tc>
      </w:tr>
      <w:tr w14:paraId="51D711A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9D8109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862" w:type="dxa"/>
            <w:vMerge w:val="continue"/>
            <w:tcBorders>
              <w:tl2br w:val="nil"/>
              <w:tr2bl w:val="nil"/>
            </w:tcBorders>
            <w:noWrap w:val="0"/>
            <w:vAlign w:val="center"/>
          </w:tcPr>
          <w:p w14:paraId="135A5FA1">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D789BC8">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交叉作业</w:t>
            </w:r>
          </w:p>
        </w:tc>
        <w:tc>
          <w:tcPr>
            <w:tcW w:w="539" w:type="dxa"/>
            <w:tcBorders>
              <w:tl2br w:val="nil"/>
              <w:tr2bl w:val="nil"/>
            </w:tcBorders>
            <w:noWrap w:val="0"/>
            <w:vAlign w:val="center"/>
          </w:tcPr>
          <w:p w14:paraId="24EA12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7571D3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F5F178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937E3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22303E1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7E6BE92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3A9646C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500ABAE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31DD36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27DE53D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2D9D3A3E">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塔吊安装拆卸时，禁止交叉作业</w:t>
            </w:r>
          </w:p>
        </w:tc>
      </w:tr>
      <w:tr w14:paraId="14377C2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48C304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16</w:t>
            </w:r>
          </w:p>
        </w:tc>
        <w:tc>
          <w:tcPr>
            <w:tcW w:w="862" w:type="dxa"/>
            <w:vMerge w:val="restart"/>
            <w:tcBorders>
              <w:tl2br w:val="nil"/>
              <w:tr2bl w:val="nil"/>
            </w:tcBorders>
            <w:noWrap w:val="0"/>
            <w:vAlign w:val="center"/>
          </w:tcPr>
          <w:p w14:paraId="087BE4C3">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车辆伤害</w:t>
            </w:r>
          </w:p>
        </w:tc>
        <w:tc>
          <w:tcPr>
            <w:tcW w:w="2919" w:type="dxa"/>
            <w:tcBorders>
              <w:tl2br w:val="nil"/>
              <w:tr2bl w:val="nil"/>
            </w:tcBorders>
            <w:noWrap w:val="0"/>
            <w:vAlign w:val="center"/>
          </w:tcPr>
          <w:p w14:paraId="0E7CC65B">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车辆运输时绑扎不牢固造成物件掉落</w:t>
            </w:r>
          </w:p>
        </w:tc>
        <w:tc>
          <w:tcPr>
            <w:tcW w:w="539" w:type="dxa"/>
            <w:tcBorders>
              <w:tl2br w:val="nil"/>
              <w:tr2bl w:val="nil"/>
            </w:tcBorders>
            <w:noWrap w:val="0"/>
            <w:vAlign w:val="center"/>
          </w:tcPr>
          <w:p w14:paraId="1BEB2FD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9ACB7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5F6695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228318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12F95B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5A265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424860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230CEF1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6A1635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613505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209D8B0D">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按说明书要求装卸车，绑扎牢固</w:t>
            </w:r>
          </w:p>
        </w:tc>
      </w:tr>
      <w:tr w14:paraId="318BE4B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2469A9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17</w:t>
            </w:r>
          </w:p>
        </w:tc>
        <w:tc>
          <w:tcPr>
            <w:tcW w:w="862" w:type="dxa"/>
            <w:vMerge w:val="continue"/>
            <w:tcBorders>
              <w:tl2br w:val="nil"/>
              <w:tr2bl w:val="nil"/>
            </w:tcBorders>
            <w:noWrap w:val="0"/>
            <w:vAlign w:val="center"/>
          </w:tcPr>
          <w:p w14:paraId="7C78C531">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1D95D8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运输平板车超载、超速行驶</w:t>
            </w:r>
          </w:p>
        </w:tc>
        <w:tc>
          <w:tcPr>
            <w:tcW w:w="539" w:type="dxa"/>
            <w:tcBorders>
              <w:tl2br w:val="nil"/>
              <w:tr2bl w:val="nil"/>
            </w:tcBorders>
            <w:noWrap w:val="0"/>
            <w:vAlign w:val="center"/>
          </w:tcPr>
          <w:p w14:paraId="66BB28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CCE654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7E18E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F7E24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0337AF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C2CCA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2DA145C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0425F0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798F3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47A6A9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33274C2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选派合格的驾驶员，小心驾驶</w:t>
            </w:r>
          </w:p>
        </w:tc>
      </w:tr>
      <w:tr w14:paraId="107FCFCB">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D9C474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18</w:t>
            </w:r>
          </w:p>
        </w:tc>
        <w:tc>
          <w:tcPr>
            <w:tcW w:w="862" w:type="dxa"/>
            <w:vMerge w:val="continue"/>
            <w:tcBorders>
              <w:tl2br w:val="nil"/>
              <w:tr2bl w:val="nil"/>
            </w:tcBorders>
            <w:noWrap w:val="0"/>
            <w:vAlign w:val="center"/>
          </w:tcPr>
          <w:p w14:paraId="2D686C8B">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546CE7C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汽车吊支座基础地耐力不符合要求</w:t>
            </w:r>
          </w:p>
        </w:tc>
        <w:tc>
          <w:tcPr>
            <w:tcW w:w="539" w:type="dxa"/>
            <w:tcBorders>
              <w:tl2br w:val="nil"/>
              <w:tr2bl w:val="nil"/>
            </w:tcBorders>
            <w:noWrap w:val="0"/>
            <w:vAlign w:val="center"/>
          </w:tcPr>
          <w:p w14:paraId="109C235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5257AD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D01F69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D574CD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1B911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CB70E6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3DCE0B5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0E3E4B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2471BD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741FEA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02E1E5F0">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对地耐力进行计算，不满足要求必须采取加固措施</w:t>
            </w:r>
          </w:p>
        </w:tc>
      </w:tr>
      <w:tr w14:paraId="1828D4B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583601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19</w:t>
            </w:r>
          </w:p>
        </w:tc>
        <w:tc>
          <w:tcPr>
            <w:tcW w:w="862" w:type="dxa"/>
            <w:vMerge w:val="continue"/>
            <w:tcBorders>
              <w:tl2br w:val="nil"/>
              <w:tr2bl w:val="nil"/>
            </w:tcBorders>
            <w:noWrap w:val="0"/>
            <w:vAlign w:val="center"/>
          </w:tcPr>
          <w:p w14:paraId="771D52B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D87C2E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汽车吊载重量不符合要求</w:t>
            </w:r>
          </w:p>
        </w:tc>
        <w:tc>
          <w:tcPr>
            <w:tcW w:w="539" w:type="dxa"/>
            <w:tcBorders>
              <w:tl2br w:val="nil"/>
              <w:tr2bl w:val="nil"/>
            </w:tcBorders>
            <w:noWrap w:val="0"/>
            <w:vAlign w:val="center"/>
          </w:tcPr>
          <w:p w14:paraId="4009B79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680C3F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08CCA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DA3C56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14D1E6D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752E2D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274A8C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D7B7D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6C0224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80</w:t>
            </w:r>
          </w:p>
        </w:tc>
        <w:tc>
          <w:tcPr>
            <w:tcW w:w="613" w:type="dxa"/>
            <w:tcBorders>
              <w:tl2br w:val="nil"/>
              <w:tr2bl w:val="nil"/>
            </w:tcBorders>
            <w:noWrap w:val="0"/>
            <w:vAlign w:val="center"/>
          </w:tcPr>
          <w:p w14:paraId="4EFA391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5C38C32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选择合理的起吊位置和载重量大的吊车，确保汽车吊在能力内作业</w:t>
            </w:r>
          </w:p>
        </w:tc>
      </w:tr>
      <w:tr w14:paraId="36BD88E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8A3984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20</w:t>
            </w:r>
          </w:p>
        </w:tc>
        <w:tc>
          <w:tcPr>
            <w:tcW w:w="862" w:type="dxa"/>
            <w:vMerge w:val="restart"/>
            <w:tcBorders>
              <w:tl2br w:val="nil"/>
              <w:tr2bl w:val="nil"/>
            </w:tcBorders>
            <w:noWrap w:val="0"/>
            <w:vAlign w:val="center"/>
          </w:tcPr>
          <w:p w14:paraId="59722967">
            <w:pPr>
              <w:spacing w:line="240" w:lineRule="auto"/>
              <w:ind w:firstLine="0" w:firstLineChars="0"/>
              <w:jc w:val="center"/>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坍塌</w:t>
            </w:r>
          </w:p>
        </w:tc>
        <w:tc>
          <w:tcPr>
            <w:tcW w:w="2919" w:type="dxa"/>
            <w:tcBorders>
              <w:tl2br w:val="nil"/>
              <w:tr2bl w:val="nil"/>
            </w:tcBorders>
            <w:noWrap w:val="0"/>
            <w:vAlign w:val="center"/>
          </w:tcPr>
          <w:p w14:paraId="6B592D7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加节顶升配平或不符合要求</w:t>
            </w:r>
          </w:p>
        </w:tc>
        <w:tc>
          <w:tcPr>
            <w:tcW w:w="539" w:type="dxa"/>
            <w:tcBorders>
              <w:tl2br w:val="nil"/>
              <w:tr2bl w:val="nil"/>
            </w:tcBorders>
            <w:noWrap w:val="0"/>
            <w:vAlign w:val="center"/>
          </w:tcPr>
          <w:p w14:paraId="24FF8C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0EDFC6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07FA0E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6C8EFF4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1CF0C23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804AE1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723479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6C6F31B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49CBF84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37FD66F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10218BA">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严格按要求和实际情况配平，保证</w:t>
            </w: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上部重心落在顶升油缸梁的位置上</w:t>
            </w:r>
          </w:p>
        </w:tc>
      </w:tr>
      <w:tr w14:paraId="3AD4FE2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4A7D86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21</w:t>
            </w:r>
          </w:p>
        </w:tc>
        <w:tc>
          <w:tcPr>
            <w:tcW w:w="862" w:type="dxa"/>
            <w:vMerge w:val="continue"/>
            <w:tcBorders>
              <w:tl2br w:val="nil"/>
              <w:tr2bl w:val="nil"/>
            </w:tcBorders>
            <w:noWrap w:val="0"/>
            <w:vAlign w:val="center"/>
          </w:tcPr>
          <w:p w14:paraId="566D317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A54F51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顶升过程中起重臂与引入（导轮）标准节方向不一致</w:t>
            </w:r>
          </w:p>
        </w:tc>
        <w:tc>
          <w:tcPr>
            <w:tcW w:w="539" w:type="dxa"/>
            <w:tcBorders>
              <w:tl2br w:val="nil"/>
              <w:tr2bl w:val="nil"/>
            </w:tcBorders>
            <w:noWrap w:val="0"/>
            <w:vAlign w:val="center"/>
          </w:tcPr>
          <w:p w14:paraId="5C3407A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B82CBA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C17D8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CF9D23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50E74D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8E299F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3F95521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CBE344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4A32B9E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3C503B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1917889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顶升过程中起重臂与引入标准节方向必须保持一致</w:t>
            </w:r>
          </w:p>
        </w:tc>
      </w:tr>
      <w:tr w14:paraId="7266D58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AA9B5B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22</w:t>
            </w:r>
          </w:p>
        </w:tc>
        <w:tc>
          <w:tcPr>
            <w:tcW w:w="862" w:type="dxa"/>
            <w:vMerge w:val="continue"/>
            <w:tcBorders>
              <w:tl2br w:val="nil"/>
              <w:tr2bl w:val="nil"/>
            </w:tcBorders>
            <w:noWrap w:val="0"/>
            <w:vAlign w:val="center"/>
          </w:tcPr>
          <w:p w14:paraId="015E56D9">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5892C3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下支麻与塔身螺栓没有连接好的情况下回转吊臂、小车变幅、吊装作业</w:t>
            </w:r>
          </w:p>
        </w:tc>
        <w:tc>
          <w:tcPr>
            <w:tcW w:w="539" w:type="dxa"/>
            <w:tcBorders>
              <w:tl2br w:val="nil"/>
              <w:tr2bl w:val="nil"/>
            </w:tcBorders>
            <w:noWrap w:val="0"/>
            <w:vAlign w:val="center"/>
          </w:tcPr>
          <w:p w14:paraId="5F2A6A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B019E8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4E7D80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682EB3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2F65C8B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9EBCC6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0C9556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7C4E14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111039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80</w:t>
            </w:r>
          </w:p>
        </w:tc>
        <w:tc>
          <w:tcPr>
            <w:tcW w:w="613" w:type="dxa"/>
            <w:tcBorders>
              <w:tl2br w:val="nil"/>
              <w:tr2bl w:val="nil"/>
            </w:tcBorders>
            <w:noWrap w:val="0"/>
            <w:vAlign w:val="center"/>
          </w:tcPr>
          <w:p w14:paraId="641716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35FB1C67">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在下支座与塔身螺栓没有连接好的情况下严禁回转吊臂、小车变幅、吊装作业</w:t>
            </w:r>
          </w:p>
        </w:tc>
      </w:tr>
      <w:tr w14:paraId="733952D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2F6D5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23</w:t>
            </w:r>
          </w:p>
        </w:tc>
        <w:tc>
          <w:tcPr>
            <w:tcW w:w="862" w:type="dxa"/>
            <w:vMerge w:val="continue"/>
            <w:tcBorders>
              <w:tl2br w:val="nil"/>
              <w:tr2bl w:val="nil"/>
            </w:tcBorders>
            <w:noWrap w:val="0"/>
            <w:vAlign w:val="center"/>
          </w:tcPr>
          <w:p w14:paraId="418C34B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25DB92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顶升过程中液压系统出现故障</w:t>
            </w:r>
          </w:p>
        </w:tc>
        <w:tc>
          <w:tcPr>
            <w:tcW w:w="539" w:type="dxa"/>
            <w:tcBorders>
              <w:tl2br w:val="nil"/>
              <w:tr2bl w:val="nil"/>
            </w:tcBorders>
            <w:noWrap w:val="0"/>
            <w:vAlign w:val="center"/>
          </w:tcPr>
          <w:p w14:paraId="00291DF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F67F6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9AE02F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1C7739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D785FE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7397B7A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7EF721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40A5CB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1B66DA7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1A3D563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6CDA2E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若顶升过程中液压系统出现异常，应立即停止顶升，收回油缸，将上支麻落在塔身顶部，并将下支座与塔身连接固定后，再排除液压系统故障</w:t>
            </w:r>
          </w:p>
        </w:tc>
      </w:tr>
      <w:tr w14:paraId="3307A0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CA7E17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24</w:t>
            </w:r>
          </w:p>
        </w:tc>
        <w:tc>
          <w:tcPr>
            <w:tcW w:w="862" w:type="dxa"/>
            <w:vMerge w:val="continue"/>
            <w:tcBorders>
              <w:tl2br w:val="nil"/>
              <w:tr2bl w:val="nil"/>
            </w:tcBorders>
            <w:noWrap w:val="0"/>
            <w:vAlign w:val="center"/>
          </w:tcPr>
          <w:p w14:paraId="4D1C21F5">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28852AD">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顶升超出独立自由高度</w:t>
            </w:r>
          </w:p>
        </w:tc>
        <w:tc>
          <w:tcPr>
            <w:tcW w:w="539" w:type="dxa"/>
            <w:tcBorders>
              <w:tl2br w:val="nil"/>
              <w:tr2bl w:val="nil"/>
            </w:tcBorders>
            <w:noWrap w:val="0"/>
            <w:vAlign w:val="center"/>
          </w:tcPr>
          <w:p w14:paraId="55E82E9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1228BD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30527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C5C53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19F648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40ACA66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1ED05BA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598A7AA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158FF4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2B6FE9E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61B33A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在超出独立自由高度前附墙</w:t>
            </w:r>
          </w:p>
        </w:tc>
      </w:tr>
      <w:tr w14:paraId="162751F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6F30DE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25</w:t>
            </w:r>
          </w:p>
        </w:tc>
        <w:tc>
          <w:tcPr>
            <w:tcW w:w="862" w:type="dxa"/>
            <w:vMerge w:val="continue"/>
            <w:tcBorders>
              <w:tl2br w:val="nil"/>
              <w:tr2bl w:val="nil"/>
            </w:tcBorders>
            <w:noWrap w:val="0"/>
            <w:vAlign w:val="center"/>
          </w:tcPr>
          <w:p w14:paraId="47027917">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4DE0EFC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顶升时踏步、横梁爬爪的外表的焊缝联结处有脱焊、裂缝</w:t>
            </w:r>
          </w:p>
        </w:tc>
        <w:tc>
          <w:tcPr>
            <w:tcW w:w="539" w:type="dxa"/>
            <w:tcBorders>
              <w:tl2br w:val="nil"/>
              <w:tr2bl w:val="nil"/>
            </w:tcBorders>
            <w:noWrap w:val="0"/>
            <w:vAlign w:val="center"/>
          </w:tcPr>
          <w:p w14:paraId="390534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15BB8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3091A8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819E3C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70D60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466A1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54DF6B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2A4EF9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2BEDF27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744279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A10D13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应立即停机整修后再顶升作业</w:t>
            </w:r>
          </w:p>
        </w:tc>
      </w:tr>
      <w:tr w14:paraId="4AE7450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0DB4A8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26</w:t>
            </w:r>
          </w:p>
        </w:tc>
        <w:tc>
          <w:tcPr>
            <w:tcW w:w="862" w:type="dxa"/>
            <w:vMerge w:val="continue"/>
            <w:tcBorders>
              <w:tl2br w:val="nil"/>
              <w:tr2bl w:val="nil"/>
            </w:tcBorders>
            <w:noWrap w:val="0"/>
            <w:vAlign w:val="center"/>
          </w:tcPr>
          <w:p w14:paraId="199F15AC">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F0590D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高度超过规定未安装附墙</w:t>
            </w:r>
          </w:p>
        </w:tc>
        <w:tc>
          <w:tcPr>
            <w:tcW w:w="539" w:type="dxa"/>
            <w:tcBorders>
              <w:tl2br w:val="nil"/>
              <w:tr2bl w:val="nil"/>
            </w:tcBorders>
            <w:noWrap w:val="0"/>
            <w:vAlign w:val="center"/>
          </w:tcPr>
          <w:p w14:paraId="3210FDA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F86C47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DF727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C34EA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7DD8D0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0BC94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148350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C0421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5647BAC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1DDCACA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9E9D9F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高度超过规定必须安装附墙</w:t>
            </w:r>
          </w:p>
        </w:tc>
      </w:tr>
      <w:tr w14:paraId="4E1C72E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AB7246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27</w:t>
            </w:r>
          </w:p>
        </w:tc>
        <w:tc>
          <w:tcPr>
            <w:tcW w:w="862" w:type="dxa"/>
            <w:vMerge w:val="continue"/>
            <w:tcBorders>
              <w:tl2br w:val="nil"/>
              <w:tr2bl w:val="nil"/>
            </w:tcBorders>
            <w:noWrap w:val="0"/>
            <w:vAlign w:val="center"/>
          </w:tcPr>
          <w:p w14:paraId="254A2CCA">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5D3A04A9">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附墙装置安装不符合要求</w:t>
            </w:r>
          </w:p>
        </w:tc>
        <w:tc>
          <w:tcPr>
            <w:tcW w:w="539" w:type="dxa"/>
            <w:tcBorders>
              <w:tl2br w:val="nil"/>
              <w:tr2bl w:val="nil"/>
            </w:tcBorders>
            <w:noWrap w:val="0"/>
            <w:vAlign w:val="center"/>
          </w:tcPr>
          <w:p w14:paraId="0C08DD8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9B092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E025C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755C99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74FEE42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DAF92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63C485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486453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7B89909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2CA8FFB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D7191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按照</w:t>
            </w: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使用说明书要求安装符合要求的附墙装置，若超长附墙，必须进行计算</w:t>
            </w:r>
          </w:p>
        </w:tc>
      </w:tr>
      <w:tr w14:paraId="2B434C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5FBC9A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28</w:t>
            </w:r>
          </w:p>
        </w:tc>
        <w:tc>
          <w:tcPr>
            <w:tcW w:w="862" w:type="dxa"/>
            <w:vMerge w:val="continue"/>
            <w:tcBorders>
              <w:tl2br w:val="nil"/>
              <w:tr2bl w:val="nil"/>
            </w:tcBorders>
            <w:noWrap w:val="0"/>
            <w:vAlign w:val="center"/>
          </w:tcPr>
          <w:p w14:paraId="4E7B2E63">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893FD5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附着撑杆堆放重物</w:t>
            </w:r>
          </w:p>
        </w:tc>
        <w:tc>
          <w:tcPr>
            <w:tcW w:w="539" w:type="dxa"/>
            <w:tcBorders>
              <w:tl2br w:val="nil"/>
              <w:tr2bl w:val="nil"/>
            </w:tcBorders>
            <w:noWrap w:val="0"/>
            <w:vAlign w:val="center"/>
          </w:tcPr>
          <w:p w14:paraId="4D93209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1BCB82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80DFDD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148273B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004E2A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E04800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01DE5EA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5466E98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73B88D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6D3207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4A0DFE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可以设置上人通道但严禁堆放重物</w:t>
            </w:r>
          </w:p>
        </w:tc>
      </w:tr>
    </w:tbl>
    <w:p w14:paraId="0EC1FD06">
      <w:pPr>
        <w:pStyle w:val="3"/>
        <w:numPr>
          <w:ilvl w:val="1"/>
          <w:numId w:val="0"/>
        </w:numPr>
        <w:tabs>
          <w:tab w:val="left" w:pos="525"/>
          <w:tab w:val="clear" w:pos="240"/>
        </w:tabs>
        <w:bidi w:val="0"/>
        <w:ind w:leftChars="0"/>
        <w:rPr>
          <w:rFonts w:hint="default"/>
          <w:lang w:val="en-US" w:eastAsia="zh-CN"/>
        </w:rPr>
        <w:sectPr>
          <w:pgSz w:w="16838" w:h="11906" w:orient="landscape"/>
          <w:pgMar w:top="1800" w:right="1440" w:bottom="1800" w:left="1440" w:header="1304" w:footer="907" w:gutter="0"/>
          <w:pgBorders>
            <w:top w:val="none" w:sz="0" w:space="0"/>
            <w:left w:val="none" w:sz="0" w:space="0"/>
            <w:bottom w:val="none" w:sz="0" w:space="0"/>
            <w:right w:val="none" w:sz="0" w:space="0"/>
          </w:pgBorders>
          <w:pgNumType w:fmt="decimal"/>
          <w:cols w:space="425" w:num="1"/>
          <w:docGrid w:type="lines" w:linePitch="312" w:charSpace="0"/>
        </w:sectPr>
      </w:pPr>
    </w:p>
    <w:p w14:paraId="182EE9A3">
      <w:pPr>
        <w:bidi w:val="0"/>
        <w:ind w:firstLine="480" w:firstLineChars="200"/>
        <w:rPr>
          <w:rFonts w:hint="default"/>
          <w:lang w:val="en-US" w:eastAsia="zh-CN"/>
        </w:rPr>
      </w:pPr>
    </w:p>
    <w:bookmarkEnd w:id="19"/>
    <w:bookmarkEnd w:id="20"/>
    <w:bookmarkEnd w:id="21"/>
    <w:bookmarkEnd w:id="22"/>
    <w:bookmarkEnd w:id="23"/>
    <w:bookmarkEnd w:id="24"/>
    <w:bookmarkEnd w:id="25"/>
    <w:bookmarkEnd w:id="26"/>
    <w:p w14:paraId="772A14E9">
      <w:pPr>
        <w:pStyle w:val="2"/>
        <w:bidi w:val="0"/>
        <w:rPr>
          <w:rFonts w:hint="default"/>
          <w:lang w:val="en-US" w:eastAsia="zh-CN"/>
        </w:rPr>
      </w:pPr>
      <w:bookmarkStart w:id="47" w:name="_Toc30716"/>
      <w:bookmarkStart w:id="48" w:name="_Toc6988"/>
      <w:bookmarkStart w:id="49" w:name="_Toc31520"/>
      <w:bookmarkStart w:id="50" w:name="_Toc21041"/>
      <w:bookmarkStart w:id="51" w:name="_Toc9485"/>
      <w:bookmarkStart w:id="52" w:name="_Toc31164"/>
      <w:bookmarkStart w:id="53" w:name="_Toc27309"/>
      <w:bookmarkStart w:id="54" w:name="_Toc7330"/>
      <w:bookmarkStart w:id="55" w:name="_Toc11726"/>
      <w:bookmarkStart w:id="56" w:name="_Toc21159"/>
      <w:r>
        <w:rPr>
          <w:rFonts w:hint="eastAsia"/>
          <w:lang w:val="en-US" w:eastAsia="zh-CN"/>
        </w:rPr>
        <w:t xml:space="preserve">3 </w:t>
      </w:r>
      <w:bookmarkEnd w:id="47"/>
      <w:bookmarkEnd w:id="48"/>
      <w:bookmarkEnd w:id="49"/>
      <w:bookmarkEnd w:id="50"/>
      <w:bookmarkEnd w:id="51"/>
      <w:bookmarkEnd w:id="52"/>
      <w:bookmarkEnd w:id="53"/>
      <w:bookmarkEnd w:id="54"/>
      <w:bookmarkEnd w:id="55"/>
      <w:bookmarkStart w:id="57" w:name="_Toc29719"/>
      <w:bookmarkStart w:id="58" w:name="_Toc30796"/>
      <w:bookmarkStart w:id="59" w:name="_Toc16131"/>
      <w:bookmarkStart w:id="60" w:name="_Toc23915"/>
      <w:bookmarkStart w:id="61" w:name="_Toc31245"/>
      <w:bookmarkStart w:id="62" w:name="_Toc15366"/>
      <w:bookmarkStart w:id="63" w:name="_Toc24962"/>
      <w:bookmarkStart w:id="64" w:name="_Toc20022"/>
      <w:bookmarkStart w:id="65" w:name="_Toc29111"/>
      <w:r>
        <w:rPr>
          <w:rFonts w:hint="eastAsia"/>
          <w:lang w:val="en-US" w:eastAsia="zh-CN"/>
        </w:rPr>
        <w:t>质量安全环保要求</w:t>
      </w:r>
      <w:bookmarkEnd w:id="56"/>
      <w:bookmarkEnd w:id="57"/>
    </w:p>
    <w:p w14:paraId="1302DAAF">
      <w:pPr>
        <w:bidi w:val="0"/>
        <w:jc w:val="center"/>
        <w:rPr>
          <w:rFonts w:hint="eastAsia"/>
          <w:lang w:val="en-US" w:eastAsia="zh-CN"/>
        </w:rPr>
      </w:pPr>
      <w:r>
        <w:rPr>
          <w:rFonts w:hint="eastAsia"/>
          <w:lang w:val="en-US" w:eastAsia="zh-CN"/>
        </w:rPr>
        <w:t>表3-1 质量、安全、环保注意事项</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631"/>
        <w:gridCol w:w="6026"/>
      </w:tblGrid>
      <w:tr w14:paraId="157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0" w:type="dxa"/>
            <w:shd w:val="clear" w:color="auto" w:fill="auto"/>
            <w:vAlign w:val="center"/>
          </w:tcPr>
          <w:p w14:paraId="44697E09">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序号</w:t>
            </w:r>
          </w:p>
        </w:tc>
        <w:tc>
          <w:tcPr>
            <w:tcW w:w="1782" w:type="dxa"/>
            <w:shd w:val="clear" w:color="auto" w:fill="auto"/>
            <w:vAlign w:val="center"/>
          </w:tcPr>
          <w:p w14:paraId="4E0A56A1">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类  别</w:t>
            </w:r>
          </w:p>
        </w:tc>
        <w:tc>
          <w:tcPr>
            <w:tcW w:w="6613" w:type="dxa"/>
            <w:shd w:val="clear" w:color="auto" w:fill="auto"/>
            <w:vAlign w:val="center"/>
          </w:tcPr>
          <w:p w14:paraId="6243AE9D">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要  求</w:t>
            </w:r>
          </w:p>
        </w:tc>
      </w:tr>
      <w:tr w14:paraId="67E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20" w:type="dxa"/>
            <w:shd w:val="clear" w:color="auto" w:fill="auto"/>
            <w:vAlign w:val="center"/>
          </w:tcPr>
          <w:p w14:paraId="16A5451E">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w:t>
            </w:r>
          </w:p>
        </w:tc>
        <w:tc>
          <w:tcPr>
            <w:tcW w:w="1782" w:type="dxa"/>
            <w:shd w:val="clear" w:color="auto" w:fill="auto"/>
            <w:vAlign w:val="center"/>
          </w:tcPr>
          <w:p w14:paraId="7BEEF930">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施工质量</w:t>
            </w:r>
          </w:p>
        </w:tc>
        <w:tc>
          <w:tcPr>
            <w:tcW w:w="6613" w:type="dxa"/>
            <w:shd w:val="clear" w:color="auto" w:fill="auto"/>
            <w:vAlign w:val="center"/>
          </w:tcPr>
          <w:p w14:paraId="5C391EBF">
            <w:pPr>
              <w:pStyle w:val="11"/>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 拆除方案：制定专项拆除方案，明确构件拆除顺序、吊装点位及受力计算，方案需经审批后实施，严禁随意更改拆除流程。2. 构件保护：拆除过程中避免构件碰撞、变形或损坏，对易损部件进行包裹防护，拆卸的螺栓、销轴等小部件分类存放，防止丢失。3. 吊装规范：起重吊装时构件绑扎牢固，吊点位置符合设计要求，避免单点起吊或受力不均导致构件变形，吊装过程平稳缓慢，防止冲击荷载。4. 结构稳定：塔身拆除过程中保持塔机整体稳定性，每拆除一节标准节后及时检查塔身垂直度，偏差超限时暂停作业并调整，确保拆除过程不发生结构失稳。</w:t>
            </w:r>
          </w:p>
        </w:tc>
      </w:tr>
      <w:tr w14:paraId="4A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20" w:type="dxa"/>
            <w:shd w:val="clear" w:color="auto" w:fill="auto"/>
            <w:vAlign w:val="center"/>
          </w:tcPr>
          <w:p w14:paraId="194C622C">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w:t>
            </w:r>
          </w:p>
        </w:tc>
        <w:tc>
          <w:tcPr>
            <w:tcW w:w="1782" w:type="dxa"/>
            <w:shd w:val="clear" w:color="auto" w:fill="auto"/>
            <w:vAlign w:val="center"/>
          </w:tcPr>
          <w:p w14:paraId="55849A1D">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施工安全</w:t>
            </w:r>
          </w:p>
        </w:tc>
        <w:tc>
          <w:tcPr>
            <w:tcW w:w="6613" w:type="dxa"/>
            <w:shd w:val="clear" w:color="auto" w:fill="auto"/>
            <w:vAlign w:val="center"/>
          </w:tcPr>
          <w:p w14:paraId="4D5A76C4">
            <w:pPr>
              <w:pStyle w:val="11"/>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 人员管理：拆除人员需持特种作业操作证上岗，作业前进行安全交底，熟悉拆除方案及应急措施，严禁无证上岗或违规操作。2. 现场防护：拆除区域设置硬质封闭围挡及警示标志，配备专职安全员监护，高空作业人员必须系挂安全带，作业平台搭设牢固，严禁高空抛物。3. 设备检查：拆除前检查起重机械、钢丝绳、吊钩、制动系统等性能，确保符合安全要求；对塔机结构件进行全面检查，确认无裂纹、腐蚀等隐患后方可拆除。4. 作业环境：遇大风（风速≥10.8m/s）、雷雨、大雾等恶劣天气停止作业；夜间拆除需保证充足照明，照明亮度符合安全作业标准。5. 应急防护：配备应急救援设备（如急救箱、灭火器、应急爬梯），制定高空坠落、物体打击等事故应急预案，作业前进行应急演练。</w:t>
            </w:r>
          </w:p>
        </w:tc>
      </w:tr>
      <w:tr w14:paraId="2DE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20" w:type="dxa"/>
            <w:shd w:val="clear" w:color="auto" w:fill="auto"/>
            <w:vAlign w:val="center"/>
          </w:tcPr>
          <w:p w14:paraId="505BD980">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w:t>
            </w:r>
          </w:p>
        </w:tc>
        <w:tc>
          <w:tcPr>
            <w:tcW w:w="1782" w:type="dxa"/>
            <w:shd w:val="clear" w:color="auto" w:fill="auto"/>
            <w:vAlign w:val="center"/>
          </w:tcPr>
          <w:p w14:paraId="38DADFC7">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环境保护</w:t>
            </w:r>
          </w:p>
        </w:tc>
        <w:tc>
          <w:tcPr>
            <w:tcW w:w="6613" w:type="dxa"/>
            <w:shd w:val="clear" w:color="auto" w:fill="auto"/>
            <w:vAlign w:val="center"/>
          </w:tcPr>
          <w:p w14:paraId="535FAF5F">
            <w:pPr>
              <w:pStyle w:val="11"/>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 噪声控制：选用低噪声拆除设备，合理安排作业时间，避免夜间或午休时段施工，减少对周边居民的噪声干扰。2. 扬尘控制：拆除现场进行洒水降尘，构件搬运、堆放时轻拿轻放，对建筑垃圾堆放区域进行覆盖，车辆出场前冲洗轮胎及车身，防止扬尘扩散。3. 废弃物处理：拆除产生的废钢材、废钢丝绳、废塑料等分类存放，可回收物资交由合规单位回收利用，危险废弃物（如废油、废电池）单独存放并交由专业机构处置，严禁随意丢弃。4. 污染防治：对液压油、润滑油等泄漏部位提前做好收集措施，避免油污泄漏污染土壤或水体，废弃油污统一回收处理。</w:t>
            </w:r>
          </w:p>
        </w:tc>
      </w:tr>
    </w:tbl>
    <w:p w14:paraId="16FFCE37">
      <w:pPr>
        <w:rPr>
          <w:rFonts w:hint="default"/>
          <w:lang w:val="en-US" w:eastAsia="zh-CN"/>
        </w:rPr>
      </w:pPr>
      <w:r>
        <w:rPr>
          <w:rFonts w:hint="default"/>
          <w:lang w:val="en-US" w:eastAsia="zh-CN"/>
        </w:rPr>
        <w:br w:type="page"/>
      </w:r>
    </w:p>
    <w:p w14:paraId="1E8346D3">
      <w:pPr>
        <w:bidi w:val="0"/>
        <w:rPr>
          <w:rFonts w:hint="default"/>
          <w:lang w:val="en-US" w:eastAsia="zh-CN"/>
        </w:rPr>
      </w:pPr>
    </w:p>
    <w:p w14:paraId="1D624AD7">
      <w:pPr>
        <w:pStyle w:val="2"/>
        <w:tabs>
          <w:tab w:val="left" w:pos="420"/>
        </w:tabs>
        <w:bidi w:val="0"/>
        <w:rPr>
          <w:rFonts w:hint="default"/>
          <w:lang w:val="en-US" w:eastAsia="zh-CN"/>
        </w:rPr>
      </w:pPr>
      <w:bookmarkStart w:id="66" w:name="_Toc1476"/>
      <w:r>
        <w:rPr>
          <w:rFonts w:hint="eastAsia"/>
          <w:lang w:val="en-US" w:eastAsia="zh-CN"/>
        </w:rPr>
        <w:t xml:space="preserve">4 </w:t>
      </w:r>
      <w:bookmarkStart w:id="67" w:name="_Toc4123"/>
      <w:bookmarkStart w:id="68" w:name="_Toc17113"/>
      <w:bookmarkStart w:id="69" w:name="_Toc8800"/>
      <w:r>
        <w:rPr>
          <w:rFonts w:hint="eastAsia"/>
          <w:lang w:val="en-US" w:eastAsia="zh-CN"/>
        </w:rPr>
        <w:t>施工管理及作业人员配备和分工</w:t>
      </w:r>
      <w:bookmarkEnd w:id="66"/>
      <w:bookmarkEnd w:id="67"/>
      <w:bookmarkEnd w:id="68"/>
      <w:bookmarkEnd w:id="69"/>
    </w:p>
    <w:p w14:paraId="287C93DF">
      <w:pPr>
        <w:pStyle w:val="3"/>
        <w:bidi w:val="0"/>
        <w:rPr>
          <w:rFonts w:hint="default"/>
          <w:lang w:val="en-US" w:eastAsia="zh-CN"/>
        </w:rPr>
      </w:pPr>
      <w:bookmarkStart w:id="70" w:name="_Toc18415"/>
      <w:r>
        <w:rPr>
          <w:rFonts w:hint="eastAsia"/>
          <w:lang w:val="en-US" w:eastAsia="zh-CN"/>
        </w:rPr>
        <w:t xml:space="preserve">4 </w:t>
      </w:r>
      <w:bookmarkEnd w:id="58"/>
      <w:bookmarkEnd w:id="59"/>
      <w:bookmarkEnd w:id="60"/>
      <w:bookmarkEnd w:id="61"/>
      <w:bookmarkEnd w:id="62"/>
      <w:bookmarkEnd w:id="63"/>
      <w:bookmarkEnd w:id="64"/>
      <w:bookmarkEnd w:id="65"/>
      <w:bookmarkStart w:id="71" w:name="_Toc2375"/>
      <w:bookmarkStart w:id="72" w:name="_Toc22592"/>
      <w:bookmarkStart w:id="73" w:name="_Toc11134"/>
      <w:r>
        <w:rPr>
          <w:rFonts w:hint="eastAsia"/>
          <w:lang w:val="en-US" w:eastAsia="zh-CN"/>
        </w:rPr>
        <w:t>.1施工管理人员</w:t>
      </w:r>
      <w:bookmarkEnd w:id="70"/>
      <w:bookmarkEnd w:id="71"/>
      <w:bookmarkEnd w:id="72"/>
      <w:bookmarkEnd w:id="73"/>
    </w:p>
    <w:p w14:paraId="30FCA8DF">
      <w:pPr>
        <w:pStyle w:val="16"/>
        <w:rPr>
          <w:rFonts w:hint="default" w:eastAsia="黑体"/>
          <w:lang w:val="en-US" w:eastAsia="zh-CN"/>
        </w:rPr>
      </w:pPr>
      <w:r>
        <w:t>表</w:t>
      </w:r>
      <w:r>
        <w:rPr>
          <w:rFonts w:hint="eastAsia"/>
          <w:lang w:val="en-US" w:eastAsia="zh-CN"/>
        </w:rPr>
        <w:t>4</w:t>
      </w:r>
      <w:r>
        <w:t>-</w:t>
      </w:r>
      <w:r>
        <w:fldChar w:fldCharType="begin"/>
      </w:r>
      <w:r>
        <w:instrText xml:space="preserve"> SEQ 表5- \* ARABIC </w:instrText>
      </w:r>
      <w:r>
        <w:fldChar w:fldCharType="separate"/>
      </w:r>
      <w:r>
        <w:t>1</w:t>
      </w:r>
      <w:r>
        <w:fldChar w:fldCharType="end"/>
      </w:r>
      <w:r>
        <w:rPr>
          <w:rFonts w:hint="eastAsia"/>
          <w:lang w:val="en-US" w:eastAsia="zh-CN"/>
        </w:rPr>
        <w:t>塔吊安拆施工管理人员配置计划表</w:t>
      </w:r>
    </w:p>
    <w:tbl>
      <w:tblPr>
        <w:tblStyle w:val="25"/>
        <w:tblW w:w="8554"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1009"/>
        <w:gridCol w:w="1365"/>
        <w:gridCol w:w="2268"/>
        <w:gridCol w:w="3912"/>
      </w:tblGrid>
      <w:tr w14:paraId="62CA832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tblHeader/>
          <w:jc w:val="center"/>
        </w:trPr>
        <w:tc>
          <w:tcPr>
            <w:tcW w:w="1009" w:type="dxa"/>
            <w:tcBorders>
              <w:tl2br w:val="nil"/>
              <w:tr2bl w:val="nil"/>
            </w:tcBorders>
            <w:shd w:val="clear" w:color="auto" w:fill="D4F4F1" w:themeFill="accent5" w:themeFillTint="32"/>
            <w:vAlign w:val="center"/>
          </w:tcPr>
          <w:p w14:paraId="27F468BC">
            <w:pPr>
              <w:pStyle w:val="11"/>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365" w:type="dxa"/>
            <w:tcBorders>
              <w:tl2br w:val="nil"/>
              <w:tr2bl w:val="nil"/>
            </w:tcBorders>
            <w:shd w:val="clear" w:color="auto" w:fill="D4F4F1" w:themeFill="accent5" w:themeFillTint="32"/>
            <w:vAlign w:val="center"/>
          </w:tcPr>
          <w:p w14:paraId="7B8E2344">
            <w:pPr>
              <w:pStyle w:val="11"/>
              <w:ind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岗位名称</w:t>
            </w:r>
          </w:p>
        </w:tc>
        <w:tc>
          <w:tcPr>
            <w:tcW w:w="2268" w:type="dxa"/>
            <w:tcBorders>
              <w:tl2br w:val="nil"/>
              <w:tr2bl w:val="nil"/>
            </w:tcBorders>
            <w:shd w:val="clear" w:color="auto" w:fill="D4F4F1" w:themeFill="accent5" w:themeFillTint="32"/>
            <w:vAlign w:val="center"/>
          </w:tcPr>
          <w:p w14:paraId="788CB014">
            <w:pPr>
              <w:pStyle w:val="11"/>
              <w:ind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rPr>
              <w:t>数量</w:t>
            </w:r>
          </w:p>
        </w:tc>
        <w:tc>
          <w:tcPr>
            <w:tcW w:w="3912" w:type="dxa"/>
            <w:tcBorders>
              <w:tl2br w:val="nil"/>
              <w:tr2bl w:val="nil"/>
            </w:tcBorders>
            <w:shd w:val="clear" w:color="auto" w:fill="D4F4F1" w:themeFill="accent5" w:themeFillTint="32"/>
            <w:vAlign w:val="center"/>
          </w:tcPr>
          <w:p w14:paraId="567A71A5">
            <w:pPr>
              <w:pStyle w:val="11"/>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职责</w:t>
            </w:r>
          </w:p>
        </w:tc>
      </w:tr>
      <w:tr w14:paraId="0F44EE0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43C3ED70">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1365" w:type="dxa"/>
            <w:tcBorders>
              <w:tl2br w:val="nil"/>
              <w:tr2bl w:val="nil"/>
            </w:tcBorders>
            <w:vAlign w:val="center"/>
          </w:tcPr>
          <w:p w14:paraId="742A779C">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项目</w:t>
            </w:r>
            <w:r>
              <w:rPr>
                <w:rFonts w:hint="eastAsia" w:ascii="仿宋" w:hAnsi="仿宋" w:eastAsia="仿宋" w:cs="仿宋"/>
                <w:sz w:val="21"/>
                <w:szCs w:val="21"/>
              </w:rPr>
              <w:t>经理</w:t>
            </w:r>
          </w:p>
        </w:tc>
        <w:tc>
          <w:tcPr>
            <w:tcW w:w="2268" w:type="dxa"/>
            <w:tcBorders>
              <w:tl2br w:val="nil"/>
              <w:tr2bl w:val="nil"/>
            </w:tcBorders>
            <w:vAlign w:val="center"/>
          </w:tcPr>
          <w:p w14:paraId="3969BA55">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人</w:t>
            </w:r>
          </w:p>
        </w:tc>
        <w:tc>
          <w:tcPr>
            <w:tcW w:w="3912" w:type="dxa"/>
            <w:tcBorders>
              <w:tl2br w:val="nil"/>
              <w:tr2bl w:val="nil"/>
            </w:tcBorders>
            <w:vAlign w:val="center"/>
          </w:tcPr>
          <w:p w14:paraId="3F6590D6">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负责现场全面管理</w:t>
            </w:r>
          </w:p>
        </w:tc>
      </w:tr>
      <w:tr w14:paraId="068C208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CB64DDC">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2</w:t>
            </w:r>
          </w:p>
        </w:tc>
        <w:tc>
          <w:tcPr>
            <w:tcW w:w="1365" w:type="dxa"/>
            <w:tcBorders>
              <w:tl2br w:val="nil"/>
              <w:tr2bl w:val="nil"/>
            </w:tcBorders>
            <w:vAlign w:val="center"/>
          </w:tcPr>
          <w:p w14:paraId="4E0E4F26">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项目总工</w:t>
            </w:r>
          </w:p>
        </w:tc>
        <w:tc>
          <w:tcPr>
            <w:tcW w:w="2268" w:type="dxa"/>
            <w:tcBorders>
              <w:tl2br w:val="nil"/>
              <w:tr2bl w:val="nil"/>
            </w:tcBorders>
            <w:vAlign w:val="center"/>
          </w:tcPr>
          <w:p w14:paraId="638D470B">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人</w:t>
            </w:r>
          </w:p>
        </w:tc>
        <w:tc>
          <w:tcPr>
            <w:tcW w:w="3912" w:type="dxa"/>
            <w:tcBorders>
              <w:tl2br w:val="nil"/>
              <w:tr2bl w:val="nil"/>
            </w:tcBorders>
            <w:vAlign w:val="center"/>
          </w:tcPr>
          <w:p w14:paraId="32AE6894">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负责现场全面技术管理</w:t>
            </w:r>
          </w:p>
        </w:tc>
      </w:tr>
      <w:tr w14:paraId="6F6FCB2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1532E86">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3</w:t>
            </w:r>
          </w:p>
        </w:tc>
        <w:tc>
          <w:tcPr>
            <w:tcW w:w="1365" w:type="dxa"/>
            <w:tcBorders>
              <w:tl2br w:val="nil"/>
              <w:tr2bl w:val="nil"/>
            </w:tcBorders>
            <w:vAlign w:val="center"/>
          </w:tcPr>
          <w:p w14:paraId="1010A710">
            <w:pPr>
              <w:pStyle w:val="11"/>
              <w:ind w:left="0" w:leftChars="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项目副经理</w:t>
            </w:r>
          </w:p>
        </w:tc>
        <w:tc>
          <w:tcPr>
            <w:tcW w:w="2268" w:type="dxa"/>
            <w:tcBorders>
              <w:tl2br w:val="nil"/>
              <w:tr2bl w:val="nil"/>
            </w:tcBorders>
            <w:vAlign w:val="center"/>
          </w:tcPr>
          <w:p w14:paraId="58B607FD">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每工区段1人</w:t>
            </w:r>
          </w:p>
        </w:tc>
        <w:tc>
          <w:tcPr>
            <w:tcW w:w="3912" w:type="dxa"/>
            <w:tcBorders>
              <w:tl2br w:val="nil"/>
              <w:tr2bl w:val="nil"/>
            </w:tcBorders>
            <w:vAlign w:val="center"/>
          </w:tcPr>
          <w:p w14:paraId="6A6219DB">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负责现场进度、质量、安全及资源组织</w:t>
            </w:r>
          </w:p>
        </w:tc>
      </w:tr>
      <w:tr w14:paraId="307E534B">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22CAFD13">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4</w:t>
            </w:r>
          </w:p>
        </w:tc>
        <w:tc>
          <w:tcPr>
            <w:tcW w:w="1365" w:type="dxa"/>
            <w:tcBorders>
              <w:tl2br w:val="nil"/>
              <w:tr2bl w:val="nil"/>
            </w:tcBorders>
            <w:vAlign w:val="center"/>
          </w:tcPr>
          <w:p w14:paraId="4C6FB13D">
            <w:pPr>
              <w:pStyle w:val="11"/>
              <w:ind w:left="0" w:leftChars="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项目副总工</w:t>
            </w:r>
          </w:p>
        </w:tc>
        <w:tc>
          <w:tcPr>
            <w:tcW w:w="2268" w:type="dxa"/>
            <w:tcBorders>
              <w:tl2br w:val="nil"/>
              <w:tr2bl w:val="nil"/>
            </w:tcBorders>
            <w:vAlign w:val="center"/>
          </w:tcPr>
          <w:p w14:paraId="566587A4">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每工区段1人</w:t>
            </w:r>
          </w:p>
        </w:tc>
        <w:tc>
          <w:tcPr>
            <w:tcW w:w="3912" w:type="dxa"/>
            <w:tcBorders>
              <w:tl2br w:val="nil"/>
              <w:tr2bl w:val="nil"/>
            </w:tcBorders>
            <w:vAlign w:val="center"/>
          </w:tcPr>
          <w:p w14:paraId="685D5EEF">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协助项目总工开展现场技术管理工作</w:t>
            </w:r>
          </w:p>
        </w:tc>
      </w:tr>
      <w:tr w14:paraId="14095BB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6519323D">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5</w:t>
            </w:r>
          </w:p>
        </w:tc>
        <w:tc>
          <w:tcPr>
            <w:tcW w:w="1365" w:type="dxa"/>
            <w:tcBorders>
              <w:tl2br w:val="nil"/>
              <w:tr2bl w:val="nil"/>
            </w:tcBorders>
            <w:vAlign w:val="center"/>
          </w:tcPr>
          <w:p w14:paraId="7CF747FD">
            <w:pPr>
              <w:pStyle w:val="11"/>
              <w:ind w:left="0" w:leftChars="0" w:firstLine="0" w:firstLineChars="0"/>
              <w:jc w:val="both"/>
              <w:rPr>
                <w:rFonts w:hint="eastAsia" w:ascii="仿宋" w:hAnsi="仿宋" w:eastAsia="仿宋" w:cs="仿宋"/>
                <w:sz w:val="21"/>
                <w:szCs w:val="21"/>
              </w:rPr>
            </w:pPr>
            <w:r>
              <w:rPr>
                <w:rFonts w:hint="eastAsia" w:ascii="仿宋" w:hAnsi="仿宋" w:eastAsia="仿宋" w:cs="仿宋"/>
                <w:sz w:val="21"/>
                <w:szCs w:val="21"/>
              </w:rPr>
              <w:t>现场技术员</w:t>
            </w:r>
          </w:p>
        </w:tc>
        <w:tc>
          <w:tcPr>
            <w:tcW w:w="2268" w:type="dxa"/>
            <w:tcBorders>
              <w:tl2br w:val="nil"/>
              <w:tr2bl w:val="nil"/>
            </w:tcBorders>
            <w:vAlign w:val="center"/>
          </w:tcPr>
          <w:p w14:paraId="19F41ACA">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每单位工程至少1人</w:t>
            </w:r>
          </w:p>
        </w:tc>
        <w:tc>
          <w:tcPr>
            <w:tcW w:w="3912" w:type="dxa"/>
            <w:tcBorders>
              <w:tl2br w:val="nil"/>
              <w:tr2bl w:val="nil"/>
            </w:tcBorders>
            <w:vAlign w:val="center"/>
          </w:tcPr>
          <w:p w14:paraId="01DD6299">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负责各工点现场</w:t>
            </w:r>
            <w:r>
              <w:rPr>
                <w:rFonts w:hint="eastAsia" w:ascii="仿宋" w:hAnsi="仿宋" w:eastAsia="仿宋" w:cs="仿宋"/>
                <w:sz w:val="21"/>
                <w:szCs w:val="21"/>
                <w:lang w:val="en-US" w:eastAsia="zh-CN"/>
              </w:rPr>
              <w:t>进度、</w:t>
            </w:r>
            <w:r>
              <w:rPr>
                <w:rFonts w:hint="eastAsia" w:ascii="仿宋" w:hAnsi="仿宋" w:eastAsia="仿宋" w:cs="仿宋"/>
                <w:sz w:val="21"/>
                <w:szCs w:val="21"/>
              </w:rPr>
              <w:t>技术</w:t>
            </w:r>
            <w:r>
              <w:rPr>
                <w:rFonts w:hint="eastAsia" w:ascii="仿宋" w:hAnsi="仿宋" w:eastAsia="仿宋" w:cs="仿宋"/>
                <w:sz w:val="21"/>
                <w:szCs w:val="21"/>
                <w:lang w:val="en-US" w:eastAsia="zh-CN"/>
              </w:rPr>
              <w:t>质量、安全、资源调配</w:t>
            </w:r>
            <w:r>
              <w:rPr>
                <w:rFonts w:hint="eastAsia" w:ascii="仿宋" w:hAnsi="仿宋" w:eastAsia="仿宋" w:cs="仿宋"/>
                <w:sz w:val="21"/>
                <w:szCs w:val="21"/>
              </w:rPr>
              <w:t>管理</w:t>
            </w:r>
          </w:p>
        </w:tc>
      </w:tr>
      <w:tr w14:paraId="25CA628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0EB5384C">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6</w:t>
            </w:r>
          </w:p>
        </w:tc>
        <w:tc>
          <w:tcPr>
            <w:tcW w:w="1365" w:type="dxa"/>
            <w:tcBorders>
              <w:tl2br w:val="nil"/>
              <w:tr2bl w:val="nil"/>
            </w:tcBorders>
            <w:vAlign w:val="center"/>
          </w:tcPr>
          <w:p w14:paraId="2C3C78E2">
            <w:pPr>
              <w:pStyle w:val="11"/>
              <w:ind w:left="0" w:leftChars="0" w:firstLine="0" w:firstLineChars="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质检工程师</w:t>
            </w:r>
          </w:p>
        </w:tc>
        <w:tc>
          <w:tcPr>
            <w:tcW w:w="2268" w:type="dxa"/>
            <w:tcBorders>
              <w:tl2br w:val="nil"/>
              <w:tr2bl w:val="nil"/>
            </w:tcBorders>
            <w:vAlign w:val="center"/>
          </w:tcPr>
          <w:p w14:paraId="63778F4C">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1人</w:t>
            </w:r>
          </w:p>
        </w:tc>
        <w:tc>
          <w:tcPr>
            <w:tcW w:w="3912" w:type="dxa"/>
            <w:tcBorders>
              <w:tl2br w:val="nil"/>
              <w:tr2bl w:val="nil"/>
            </w:tcBorders>
            <w:vAlign w:val="center"/>
          </w:tcPr>
          <w:p w14:paraId="6EC295B1">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负责现场质量专检</w:t>
            </w:r>
          </w:p>
        </w:tc>
      </w:tr>
      <w:tr w14:paraId="4B7F7C1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B02D42E">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7</w:t>
            </w:r>
          </w:p>
        </w:tc>
        <w:tc>
          <w:tcPr>
            <w:tcW w:w="1365" w:type="dxa"/>
            <w:tcBorders>
              <w:tl2br w:val="nil"/>
              <w:tr2bl w:val="nil"/>
            </w:tcBorders>
            <w:vAlign w:val="center"/>
          </w:tcPr>
          <w:p w14:paraId="16C8FCB9">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测量员</w:t>
            </w:r>
          </w:p>
        </w:tc>
        <w:tc>
          <w:tcPr>
            <w:tcW w:w="2268" w:type="dxa"/>
            <w:tcBorders>
              <w:tl2br w:val="nil"/>
              <w:tr2bl w:val="nil"/>
            </w:tcBorders>
            <w:vAlign w:val="center"/>
          </w:tcPr>
          <w:p w14:paraId="01217F26">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每工区段至少安排3人</w:t>
            </w:r>
          </w:p>
        </w:tc>
        <w:tc>
          <w:tcPr>
            <w:tcW w:w="3912" w:type="dxa"/>
            <w:tcBorders>
              <w:tl2br w:val="nil"/>
              <w:tr2bl w:val="nil"/>
            </w:tcBorders>
            <w:vAlign w:val="center"/>
          </w:tcPr>
          <w:p w14:paraId="3C30F252">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负责现场测量复核</w:t>
            </w:r>
          </w:p>
        </w:tc>
      </w:tr>
      <w:tr w14:paraId="217A816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66D8C467">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8</w:t>
            </w:r>
          </w:p>
        </w:tc>
        <w:tc>
          <w:tcPr>
            <w:tcW w:w="1365" w:type="dxa"/>
            <w:tcBorders>
              <w:tl2br w:val="nil"/>
              <w:tr2bl w:val="nil"/>
            </w:tcBorders>
            <w:vAlign w:val="center"/>
          </w:tcPr>
          <w:p w14:paraId="350053A8">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试验检测员</w:t>
            </w:r>
          </w:p>
        </w:tc>
        <w:tc>
          <w:tcPr>
            <w:tcW w:w="2268" w:type="dxa"/>
            <w:tcBorders>
              <w:tl2br w:val="nil"/>
              <w:tr2bl w:val="nil"/>
            </w:tcBorders>
            <w:vAlign w:val="center"/>
          </w:tcPr>
          <w:p w14:paraId="58EDAE44">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每工区段4人</w:t>
            </w:r>
          </w:p>
        </w:tc>
        <w:tc>
          <w:tcPr>
            <w:tcW w:w="3912" w:type="dxa"/>
            <w:tcBorders>
              <w:tl2br w:val="nil"/>
              <w:tr2bl w:val="nil"/>
            </w:tcBorders>
            <w:vAlign w:val="center"/>
          </w:tcPr>
          <w:p w14:paraId="3A2EE049">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负责现场试验检测工作</w:t>
            </w:r>
          </w:p>
        </w:tc>
      </w:tr>
      <w:tr w14:paraId="40AD4A7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7BA6C88">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9</w:t>
            </w:r>
          </w:p>
        </w:tc>
        <w:tc>
          <w:tcPr>
            <w:tcW w:w="1365" w:type="dxa"/>
            <w:tcBorders>
              <w:tl2br w:val="nil"/>
              <w:tr2bl w:val="nil"/>
            </w:tcBorders>
            <w:vAlign w:val="center"/>
          </w:tcPr>
          <w:p w14:paraId="3D5F557E">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分包单位现场负责人</w:t>
            </w:r>
          </w:p>
        </w:tc>
        <w:tc>
          <w:tcPr>
            <w:tcW w:w="2268" w:type="dxa"/>
            <w:tcBorders>
              <w:tl2br w:val="nil"/>
              <w:tr2bl w:val="nil"/>
            </w:tcBorders>
            <w:vAlign w:val="center"/>
          </w:tcPr>
          <w:p w14:paraId="7023D394">
            <w:pPr>
              <w:pStyle w:val="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3人</w:t>
            </w:r>
          </w:p>
        </w:tc>
        <w:tc>
          <w:tcPr>
            <w:tcW w:w="3912" w:type="dxa"/>
            <w:tcBorders>
              <w:tl2br w:val="nil"/>
              <w:tr2bl w:val="nil"/>
            </w:tcBorders>
            <w:vAlign w:val="center"/>
          </w:tcPr>
          <w:p w14:paraId="7537A013">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负责现场施工调配管理</w:t>
            </w:r>
          </w:p>
        </w:tc>
      </w:tr>
    </w:tbl>
    <w:p w14:paraId="604690B4">
      <w:pPr>
        <w:pStyle w:val="3"/>
        <w:bidi w:val="0"/>
        <w:rPr>
          <w:rFonts w:hint="default"/>
          <w:lang w:val="en-US" w:eastAsia="zh-CN"/>
        </w:rPr>
      </w:pPr>
      <w:bookmarkStart w:id="74" w:name="_Toc1256"/>
      <w:bookmarkStart w:id="75" w:name="_Toc15823"/>
      <w:bookmarkStart w:id="76" w:name="_Toc3598"/>
      <w:bookmarkStart w:id="77" w:name="_Toc2975"/>
      <w:r>
        <w:rPr>
          <w:rFonts w:hint="eastAsia"/>
          <w:lang w:val="en-US" w:eastAsia="zh-CN"/>
        </w:rPr>
        <w:t>4.2专职安全生产管理人员</w:t>
      </w:r>
      <w:bookmarkEnd w:id="74"/>
      <w:bookmarkEnd w:id="75"/>
      <w:bookmarkEnd w:id="76"/>
      <w:bookmarkEnd w:id="77"/>
    </w:p>
    <w:p w14:paraId="1A17A0A0">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1</w:t>
      </w:r>
      <w:r>
        <w:rPr>
          <w:rFonts w:hint="eastAsia" w:ascii="宋体" w:hAnsi="宋体" w:eastAsia="宋体" w:cs="宋体"/>
          <w:b/>
          <w:bCs/>
          <w:kern w:val="2"/>
          <w:sz w:val="24"/>
          <w:szCs w:val="24"/>
          <w:lang w:val="en-US" w:eastAsia="zh-CN" w:bidi="ar"/>
        </w:rPr>
        <w:t>、安全管理人员要求</w:t>
      </w:r>
    </w:p>
    <w:p w14:paraId="69F3310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专职安全员的配置以满足现场生产安全管理为主，同时项目负责人、专职安全生产管理人员必须取得交通运输主管部门颁发的“安全生产考核合格证书”。</w:t>
      </w:r>
    </w:p>
    <w:p w14:paraId="7D80A2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）总承包单位配备项目专职安全生产管理人员应当满足下列要求：</w:t>
      </w:r>
    </w:p>
    <w:p w14:paraId="47E34C9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按照工程合同价配备：</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亿元及以上的工程不少于</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人，且按专业配备专职安全生产管理人员。</w:t>
      </w:r>
    </w:p>
    <w:p w14:paraId="0951BEF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）分包单位配备项目专职安全生产管理人员应当满足下列要求：</w:t>
      </w:r>
    </w:p>
    <w:p w14:paraId="5D5A078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专业承包单位应当配置至少</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人，并根据所承担的分部分项工程的工程量和施工危险程度增加。</w:t>
      </w:r>
    </w:p>
    <w:p w14:paraId="439150B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）采用新技术、新工艺、新材料或致害因素多、施工作业难度大的工程项目，项目专职安全生产管理人员的数量应当根据施工实际情况增加。</w:t>
      </w:r>
    </w:p>
    <w:p w14:paraId="5C0D5068">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2</w:t>
      </w:r>
      <w:r>
        <w:rPr>
          <w:rFonts w:hint="eastAsia" w:ascii="宋体" w:hAnsi="宋体" w:eastAsia="宋体" w:cs="宋体"/>
          <w:b/>
          <w:bCs/>
          <w:kern w:val="2"/>
          <w:sz w:val="24"/>
          <w:szCs w:val="24"/>
          <w:lang w:val="en-US" w:eastAsia="zh-CN" w:bidi="ar"/>
        </w:rPr>
        <w:t>、</w:t>
      </w:r>
      <w:r>
        <w:rPr>
          <w:rFonts w:hint="eastAsia" w:ascii="宋体" w:hAnsi="宋体" w:cs="宋体"/>
          <w:b/>
          <w:bCs/>
          <w:kern w:val="2"/>
          <w:sz w:val="24"/>
          <w:szCs w:val="24"/>
          <w:lang w:val="en-US" w:eastAsia="zh-CN" w:bidi="ar"/>
        </w:rPr>
        <w:t>塔吊安拆</w:t>
      </w:r>
      <w:r>
        <w:rPr>
          <w:rFonts w:hint="eastAsia" w:ascii="宋体" w:hAnsi="宋体" w:eastAsia="宋体" w:cs="宋体"/>
          <w:b/>
          <w:bCs/>
          <w:kern w:val="2"/>
          <w:sz w:val="24"/>
          <w:szCs w:val="24"/>
          <w:lang w:val="en-US" w:eastAsia="zh-CN" w:bidi="ar"/>
        </w:rPr>
        <w:t>施工专职安全生产管理人员配置</w:t>
      </w:r>
    </w:p>
    <w:p w14:paraId="191C4FB2">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）安全总监</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名。建立健全安全生产保障提体系，组织成立安全生产组织机构，保证安全生产管理体系的有效运转，监督现场各岗位人员安全主体责任的落实。</w:t>
      </w:r>
    </w:p>
    <w:p w14:paraId="161579D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）专职安全员</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名。负责现场日常各项安全检查工作，排查各项安全隐患，监督现场技术员及班组落实整改要求，有权制止各种不安全行为。</w:t>
      </w:r>
    </w:p>
    <w:p w14:paraId="278CFCD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）此外，</w:t>
      </w:r>
      <w:r>
        <w:rPr>
          <w:rFonts w:hint="eastAsia" w:ascii="宋体" w:hAnsi="宋体" w:cs="宋体"/>
          <w:kern w:val="2"/>
          <w:sz w:val="24"/>
          <w:szCs w:val="24"/>
          <w:lang w:val="en-US" w:eastAsia="zh-CN" w:bidi="ar"/>
        </w:rPr>
        <w:t>塔吊安拆专业承包单位专职安全员一名，</w:t>
      </w:r>
      <w:r>
        <w:rPr>
          <w:rFonts w:hint="eastAsia" w:ascii="宋体" w:hAnsi="宋体" w:eastAsia="宋体" w:cs="宋体"/>
          <w:kern w:val="2"/>
          <w:sz w:val="24"/>
          <w:szCs w:val="24"/>
          <w:lang w:val="en-US" w:eastAsia="zh-CN" w:bidi="ar"/>
        </w:rPr>
        <w:t>负责现场日常各项安全检查工作，排查各项安全隐患。</w:t>
      </w:r>
    </w:p>
    <w:p w14:paraId="3E5BFE12">
      <w:pPr>
        <w:bidi w:val="0"/>
        <w:ind w:left="0" w:leftChars="0" w:firstLine="0" w:firstLineChars="0"/>
        <w:jc w:val="center"/>
        <w:rPr>
          <w:rFonts w:hint="eastAsia"/>
          <w:lang w:val="en-US" w:eastAsia="zh-CN"/>
        </w:rPr>
      </w:pPr>
      <w:r>
        <w:rPr>
          <w:rFonts w:hint="eastAsia"/>
          <w:lang w:eastAsia="zh-CN"/>
        </w:rPr>
        <w:drawing>
          <wp:inline distT="0" distB="0" distL="114300" distR="114300">
            <wp:extent cx="1790700" cy="3121025"/>
            <wp:effectExtent l="0" t="0" r="0" b="3175"/>
            <wp:docPr id="57" name="图片 19" descr="安全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descr="安全员C证"/>
                    <pic:cNvPicPr>
                      <a:picLocks noChangeAspect="1"/>
                    </pic:cNvPicPr>
                  </pic:nvPicPr>
                  <pic:blipFill>
                    <a:blip r:embed="rId39"/>
                    <a:srcRect l="3693" t="3060" r="3693" b="594"/>
                    <a:stretch>
                      <a:fillRect/>
                    </a:stretch>
                  </pic:blipFill>
                  <pic:spPr>
                    <a:xfrm>
                      <a:off x="0" y="0"/>
                      <a:ext cx="1790700" cy="3121025"/>
                    </a:xfrm>
                    <a:prstGeom prst="rect">
                      <a:avLst/>
                    </a:prstGeom>
                    <a:noFill/>
                    <a:ln>
                      <a:noFill/>
                    </a:ln>
                  </pic:spPr>
                </pic:pic>
              </a:graphicData>
            </a:graphic>
          </wp:inline>
        </w:drawing>
      </w:r>
      <w:r>
        <w:rPr>
          <w:rFonts w:hint="eastAsia"/>
          <w:lang w:val="en-US" w:eastAsia="zh-CN"/>
        </w:rPr>
        <w:t xml:space="preserve"> </w:t>
      </w:r>
    </w:p>
    <w:p w14:paraId="04FE1175">
      <w:pPr>
        <w:pStyle w:val="16"/>
        <w:rPr>
          <w:rFonts w:hint="eastAsia"/>
          <w:lang w:val="en-US" w:eastAsia="zh-CN"/>
        </w:rPr>
      </w:pPr>
      <w:r>
        <w:t>图</w:t>
      </w:r>
      <w:r>
        <w:rPr>
          <w:rFonts w:hint="eastAsia"/>
          <w:lang w:val="en-US" w:eastAsia="zh-CN"/>
        </w:rPr>
        <w:t>4</w:t>
      </w:r>
      <w:r>
        <w:t>-</w:t>
      </w:r>
      <w:r>
        <w:rPr>
          <w:rFonts w:hint="eastAsia"/>
          <w:lang w:val="en-US" w:eastAsia="zh-CN"/>
        </w:rPr>
        <w:t>1专业分包单位专职安全员证件</w:t>
      </w:r>
    </w:p>
    <w:p w14:paraId="21E6B996">
      <w:pPr>
        <w:pStyle w:val="3"/>
        <w:bidi w:val="0"/>
        <w:rPr>
          <w:rFonts w:hint="default"/>
          <w:lang w:val="en-US" w:eastAsia="zh-CN"/>
        </w:rPr>
      </w:pPr>
      <w:bookmarkStart w:id="78" w:name="_Toc3048"/>
      <w:bookmarkStart w:id="79" w:name="_Toc29362"/>
      <w:bookmarkStart w:id="80" w:name="_Toc26505"/>
      <w:r>
        <w:rPr>
          <w:rFonts w:hint="eastAsia"/>
          <w:lang w:val="en-US" w:eastAsia="zh-CN"/>
        </w:rPr>
        <w:t>4.3特种作业人员</w:t>
      </w:r>
      <w:bookmarkEnd w:id="78"/>
      <w:bookmarkEnd w:id="79"/>
      <w:bookmarkEnd w:id="80"/>
    </w:p>
    <w:p w14:paraId="237DB971">
      <w:pPr>
        <w:pStyle w:val="16"/>
        <w:rPr>
          <w:rFonts w:hint="eastAsia"/>
          <w:lang w:val="en-US" w:eastAsia="zh-CN"/>
        </w:rPr>
      </w:pPr>
      <w:r>
        <w:t>表</w:t>
      </w:r>
      <w:r>
        <w:rPr>
          <w:rFonts w:hint="eastAsia"/>
          <w:lang w:val="en-US" w:eastAsia="zh-CN"/>
        </w:rPr>
        <w:t>4</w:t>
      </w:r>
      <w:r>
        <w:t>-</w:t>
      </w:r>
      <w:r>
        <w:fldChar w:fldCharType="begin"/>
      </w:r>
      <w:r>
        <w:instrText xml:space="preserve"> SEQ 表5- \* ARABIC </w:instrText>
      </w:r>
      <w:r>
        <w:fldChar w:fldCharType="separate"/>
      </w:r>
      <w:r>
        <w:t>2</w:t>
      </w:r>
      <w:r>
        <w:fldChar w:fldCharType="end"/>
      </w:r>
      <w:r>
        <w:rPr>
          <w:rFonts w:hint="eastAsia"/>
          <w:lang w:val="en-US" w:eastAsia="zh-CN"/>
        </w:rPr>
        <w:t>每班组特种作业人员配置计划表</w:t>
      </w:r>
    </w:p>
    <w:tbl>
      <w:tblPr>
        <w:tblStyle w:val="25"/>
        <w:tblW w:w="8209"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1009"/>
        <w:gridCol w:w="2115"/>
        <w:gridCol w:w="1221"/>
        <w:gridCol w:w="3864"/>
      </w:tblGrid>
      <w:tr w14:paraId="11E749B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tblHeader/>
          <w:jc w:val="center"/>
        </w:trPr>
        <w:tc>
          <w:tcPr>
            <w:tcW w:w="1009" w:type="dxa"/>
            <w:tcBorders>
              <w:tl2br w:val="nil"/>
              <w:tr2bl w:val="nil"/>
            </w:tcBorders>
            <w:shd w:val="clear" w:color="auto" w:fill="D4F4F1" w:themeFill="accent5" w:themeFillTint="32"/>
            <w:vAlign w:val="center"/>
          </w:tcPr>
          <w:p w14:paraId="088AA696">
            <w:pPr>
              <w:pStyle w:val="11"/>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2115" w:type="dxa"/>
            <w:tcBorders>
              <w:tl2br w:val="nil"/>
              <w:tr2bl w:val="nil"/>
            </w:tcBorders>
            <w:shd w:val="clear" w:color="auto" w:fill="D4F4F1" w:themeFill="accent5" w:themeFillTint="32"/>
            <w:vAlign w:val="center"/>
          </w:tcPr>
          <w:p w14:paraId="30C671B6">
            <w:pPr>
              <w:pStyle w:val="11"/>
              <w:ind w:left="0" w:leftChars="0" w:firstLine="0" w:firstLineChars="0"/>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特种作业工名称</w:t>
            </w:r>
          </w:p>
        </w:tc>
        <w:tc>
          <w:tcPr>
            <w:tcW w:w="1221" w:type="dxa"/>
            <w:tcBorders>
              <w:tl2br w:val="nil"/>
              <w:tr2bl w:val="nil"/>
            </w:tcBorders>
            <w:shd w:val="clear" w:color="auto" w:fill="D4F4F1" w:themeFill="accent5" w:themeFillTint="32"/>
            <w:vAlign w:val="center"/>
          </w:tcPr>
          <w:p w14:paraId="5B65683D">
            <w:pPr>
              <w:pStyle w:val="11"/>
              <w:ind w:left="0" w:leftChars="0"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rPr>
              <w:t>数量</w:t>
            </w:r>
            <w:r>
              <w:rPr>
                <w:rFonts w:hint="eastAsia" w:ascii="仿宋" w:hAnsi="仿宋" w:eastAsia="仿宋" w:cs="仿宋"/>
                <w:b/>
                <w:bCs/>
                <w:sz w:val="21"/>
                <w:szCs w:val="21"/>
                <w:lang w:eastAsia="zh-CN"/>
              </w:rPr>
              <w:t>（</w:t>
            </w:r>
            <w:r>
              <w:rPr>
                <w:rFonts w:hint="eastAsia" w:ascii="仿宋" w:hAnsi="仿宋" w:eastAsia="仿宋" w:cs="仿宋"/>
                <w:b/>
                <w:bCs/>
                <w:sz w:val="21"/>
                <w:szCs w:val="21"/>
              </w:rPr>
              <w:t>人</w:t>
            </w:r>
            <w:r>
              <w:rPr>
                <w:rFonts w:hint="eastAsia" w:ascii="仿宋" w:hAnsi="仿宋" w:eastAsia="仿宋" w:cs="仿宋"/>
                <w:b/>
                <w:bCs/>
                <w:sz w:val="21"/>
                <w:szCs w:val="21"/>
                <w:lang w:eastAsia="zh-CN"/>
              </w:rPr>
              <w:t>）</w:t>
            </w:r>
          </w:p>
        </w:tc>
        <w:tc>
          <w:tcPr>
            <w:tcW w:w="3864" w:type="dxa"/>
            <w:tcBorders>
              <w:tl2br w:val="nil"/>
              <w:tr2bl w:val="nil"/>
            </w:tcBorders>
            <w:shd w:val="clear" w:color="auto" w:fill="D4F4F1" w:themeFill="accent5" w:themeFillTint="32"/>
            <w:vAlign w:val="center"/>
          </w:tcPr>
          <w:p w14:paraId="2E4ED24D">
            <w:pPr>
              <w:pStyle w:val="11"/>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职责</w:t>
            </w:r>
          </w:p>
        </w:tc>
      </w:tr>
      <w:tr w14:paraId="72EEBC3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12B0A7D7">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2115" w:type="dxa"/>
            <w:tcBorders>
              <w:tl2br w:val="nil"/>
              <w:tr2bl w:val="nil"/>
            </w:tcBorders>
            <w:vAlign w:val="center"/>
          </w:tcPr>
          <w:p w14:paraId="3D509F15">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电工</w:t>
            </w:r>
          </w:p>
        </w:tc>
        <w:tc>
          <w:tcPr>
            <w:tcW w:w="1221" w:type="dxa"/>
            <w:tcBorders>
              <w:tl2br w:val="nil"/>
              <w:tr2bl w:val="nil"/>
            </w:tcBorders>
            <w:vAlign w:val="center"/>
          </w:tcPr>
          <w:p w14:paraId="3F15CD08">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3864" w:type="dxa"/>
            <w:tcBorders>
              <w:tl2br w:val="nil"/>
              <w:tr2bl w:val="nil"/>
            </w:tcBorders>
            <w:vAlign w:val="center"/>
          </w:tcPr>
          <w:p w14:paraId="0C6F8960">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rPr>
              <w:t>负责现场</w:t>
            </w:r>
            <w:r>
              <w:rPr>
                <w:rFonts w:hint="eastAsia" w:ascii="仿宋" w:hAnsi="仿宋" w:eastAsia="仿宋" w:cs="仿宋"/>
                <w:sz w:val="21"/>
                <w:szCs w:val="21"/>
                <w:lang w:val="en-US" w:eastAsia="zh-CN"/>
              </w:rPr>
              <w:t>临时用电安装、检查、维修</w:t>
            </w:r>
          </w:p>
        </w:tc>
      </w:tr>
      <w:tr w14:paraId="2C953C8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577F9EB3">
            <w:pPr>
              <w:pStyle w:val="11"/>
              <w:ind w:left="0" w:leftChars="0"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2</w:t>
            </w:r>
          </w:p>
        </w:tc>
        <w:tc>
          <w:tcPr>
            <w:tcW w:w="2115" w:type="dxa"/>
            <w:tcBorders>
              <w:tl2br w:val="nil"/>
              <w:tr2bl w:val="nil"/>
            </w:tcBorders>
            <w:vAlign w:val="center"/>
          </w:tcPr>
          <w:p w14:paraId="760340A2">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安拆维保人员</w:t>
            </w:r>
          </w:p>
        </w:tc>
        <w:tc>
          <w:tcPr>
            <w:tcW w:w="1221" w:type="dxa"/>
            <w:tcBorders>
              <w:tl2br w:val="nil"/>
              <w:tr2bl w:val="nil"/>
            </w:tcBorders>
            <w:vAlign w:val="center"/>
          </w:tcPr>
          <w:p w14:paraId="72C8C4C4">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3864" w:type="dxa"/>
            <w:tcBorders>
              <w:tl2br w:val="nil"/>
              <w:tr2bl w:val="nil"/>
            </w:tcBorders>
            <w:vAlign w:val="center"/>
          </w:tcPr>
          <w:p w14:paraId="0E8C8EC5">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按规章安拆维保起重机械</w:t>
            </w:r>
          </w:p>
        </w:tc>
      </w:tr>
      <w:tr w14:paraId="44564DE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540B919C">
            <w:pPr>
              <w:pStyle w:val="11"/>
              <w:ind w:firstLine="0" w:firstLineChars="0"/>
              <w:jc w:val="center"/>
              <w:rPr>
                <w:rFonts w:hint="default" w:ascii="仿宋" w:hAnsi="仿宋" w:eastAsia="仿宋" w:cs="仿宋"/>
                <w:sz w:val="21"/>
                <w:szCs w:val="21"/>
                <w:lang w:val="en-US" w:eastAsia="zh-CN"/>
              </w:rPr>
            </w:pPr>
          </w:p>
        </w:tc>
        <w:tc>
          <w:tcPr>
            <w:tcW w:w="2115" w:type="dxa"/>
            <w:tcBorders>
              <w:tl2br w:val="nil"/>
              <w:tr2bl w:val="nil"/>
            </w:tcBorders>
            <w:vAlign w:val="center"/>
          </w:tcPr>
          <w:p w14:paraId="3DF78104">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合计</w:t>
            </w:r>
          </w:p>
        </w:tc>
        <w:tc>
          <w:tcPr>
            <w:tcW w:w="1221" w:type="dxa"/>
            <w:tcBorders>
              <w:tl2br w:val="nil"/>
              <w:tr2bl w:val="nil"/>
            </w:tcBorders>
            <w:vAlign w:val="center"/>
          </w:tcPr>
          <w:p w14:paraId="009E0C74">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3864" w:type="dxa"/>
            <w:tcBorders>
              <w:tl2br w:val="nil"/>
              <w:tr2bl w:val="nil"/>
            </w:tcBorders>
            <w:vAlign w:val="center"/>
          </w:tcPr>
          <w:p w14:paraId="15511C2F">
            <w:pPr>
              <w:pStyle w:val="11"/>
              <w:jc w:val="center"/>
              <w:rPr>
                <w:rFonts w:hint="default" w:ascii="仿宋" w:hAnsi="仿宋" w:eastAsia="仿宋" w:cs="仿宋"/>
                <w:sz w:val="21"/>
                <w:szCs w:val="21"/>
                <w:lang w:val="en-US" w:eastAsia="zh-CN"/>
              </w:rPr>
            </w:pPr>
          </w:p>
        </w:tc>
      </w:tr>
    </w:tbl>
    <w:p w14:paraId="2E489E08">
      <w:pPr>
        <w:bidi w:val="0"/>
        <w:ind w:firstLine="480" w:firstLineChars="200"/>
        <w:rPr>
          <w:rFonts w:hint="eastAsia" w:eastAsia="宋体" w:cs="Times New Roman"/>
          <w:lang w:val="en-US" w:eastAsia="zh-CN"/>
        </w:rPr>
      </w:pPr>
      <w:r>
        <w:rPr>
          <w:rFonts w:hint="eastAsia" w:eastAsia="宋体" w:cs="Times New Roman"/>
          <w:lang w:val="en-US" w:eastAsia="zh-CN"/>
        </w:rPr>
        <w:t>特种作业人员必须接受与本工种相适应的、专门的安全技术培训、经安全技术理论考核和实际操作技能考核合格，取得特种作业操作证后，方可上岗作业；未经培训或培训考核不合格者，不得上岗作业。特种作业人员必须持证上岗。</w:t>
      </w:r>
    </w:p>
    <w:p w14:paraId="2ED79B0A">
      <w:pPr>
        <w:pStyle w:val="3"/>
        <w:bidi w:val="0"/>
        <w:rPr>
          <w:rFonts w:hint="default"/>
          <w:lang w:val="en-US" w:eastAsia="zh-CN"/>
        </w:rPr>
      </w:pPr>
      <w:bookmarkStart w:id="81" w:name="_Toc11053"/>
      <w:bookmarkStart w:id="82" w:name="_Toc12099"/>
      <w:bookmarkStart w:id="83" w:name="_Toc6570"/>
      <w:r>
        <w:rPr>
          <w:rFonts w:hint="eastAsia"/>
          <w:lang w:val="en-US" w:eastAsia="zh-CN"/>
        </w:rPr>
        <w:t>4.4</w:t>
      </w:r>
      <w:r>
        <w:rPr>
          <w:rFonts w:hint="default"/>
          <w:lang w:val="en-US" w:eastAsia="zh-CN"/>
        </w:rPr>
        <w:t>安拆专业分包单位管理人员及安拆人员名单</w:t>
      </w:r>
      <w:bookmarkEnd w:id="81"/>
      <w:bookmarkEnd w:id="82"/>
      <w:bookmarkEnd w:id="83"/>
    </w:p>
    <w:p w14:paraId="1035FAEA">
      <w:pPr>
        <w:pStyle w:val="16"/>
        <w:rPr>
          <w:rFonts w:hint="default" w:eastAsia="黑体"/>
          <w:lang w:val="en-US" w:eastAsia="zh-CN"/>
        </w:rPr>
      </w:pPr>
      <w:r>
        <w:t>表</w:t>
      </w:r>
      <w:r>
        <w:rPr>
          <w:rFonts w:hint="eastAsia"/>
          <w:lang w:val="en-US" w:eastAsia="zh-CN"/>
        </w:rPr>
        <w:t>4</w:t>
      </w:r>
      <w:r>
        <w:t>-</w:t>
      </w:r>
      <w:r>
        <w:fldChar w:fldCharType="begin"/>
      </w:r>
      <w:r>
        <w:instrText xml:space="preserve"> SEQ 表5- \* ARABIC </w:instrText>
      </w:r>
      <w:r>
        <w:fldChar w:fldCharType="separate"/>
      </w:r>
      <w:r>
        <w:t>3</w:t>
      </w:r>
      <w:r>
        <w:fldChar w:fldCharType="end"/>
      </w:r>
      <w:r>
        <w:rPr>
          <w:rFonts w:hint="eastAsia"/>
        </w:rPr>
        <w:t>安拆专业分包单位管理人员及安拆人员名单</w:t>
      </w:r>
      <w:r>
        <w:rPr>
          <w:rFonts w:hint="eastAsia"/>
          <w:lang w:val="en-US" w:eastAsia="zh-CN"/>
        </w:rPr>
        <w:t>汇总表</w:t>
      </w:r>
    </w:p>
    <w:tbl>
      <w:tblPr>
        <w:tblStyle w:val="25"/>
        <w:tblW w:w="10362"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Layout w:type="autofit"/>
        <w:tblCellMar>
          <w:top w:w="0" w:type="dxa"/>
          <w:left w:w="108" w:type="dxa"/>
          <w:bottom w:w="0" w:type="dxa"/>
          <w:right w:w="108" w:type="dxa"/>
        </w:tblCellMar>
      </w:tblPr>
      <w:tblGrid>
        <w:gridCol w:w="1508"/>
        <w:gridCol w:w="2135"/>
        <w:gridCol w:w="2416"/>
        <w:gridCol w:w="2289"/>
        <w:gridCol w:w="2014"/>
      </w:tblGrid>
      <w:tr w14:paraId="60F6018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10362" w:type="dxa"/>
            <w:gridSpan w:val="5"/>
            <w:tcBorders>
              <w:tl2br w:val="nil"/>
              <w:tr2bl w:val="nil"/>
            </w:tcBorders>
            <w:shd w:val="clear" w:color="auto" w:fill="DAE3F3"/>
            <w:vAlign w:val="center"/>
          </w:tcPr>
          <w:p w14:paraId="259F8BBD">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拟投入安全管理人员及技术人员名单</w:t>
            </w:r>
          </w:p>
        </w:tc>
      </w:tr>
      <w:tr w14:paraId="1E2B412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1508" w:type="dxa"/>
            <w:tcBorders>
              <w:tl2br w:val="nil"/>
              <w:tr2bl w:val="nil"/>
            </w:tcBorders>
            <w:shd w:val="clear" w:color="auto" w:fill="DAE3F3"/>
            <w:vAlign w:val="center"/>
          </w:tcPr>
          <w:p w14:paraId="1706A466">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姓名</w:t>
            </w:r>
          </w:p>
        </w:tc>
        <w:tc>
          <w:tcPr>
            <w:tcW w:w="2135" w:type="dxa"/>
            <w:tcBorders>
              <w:tl2br w:val="nil"/>
              <w:tr2bl w:val="nil"/>
            </w:tcBorders>
            <w:shd w:val="clear" w:color="auto" w:fill="DAE3F3"/>
            <w:vAlign w:val="center"/>
          </w:tcPr>
          <w:p w14:paraId="107791F8">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职务/工种</w:t>
            </w:r>
          </w:p>
        </w:tc>
        <w:tc>
          <w:tcPr>
            <w:tcW w:w="2416" w:type="dxa"/>
            <w:tcBorders>
              <w:tl2br w:val="nil"/>
              <w:tr2bl w:val="nil"/>
            </w:tcBorders>
            <w:shd w:val="clear" w:color="auto" w:fill="DAE3F3"/>
            <w:vAlign w:val="center"/>
          </w:tcPr>
          <w:p w14:paraId="1D40647A">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身份证号码</w:t>
            </w:r>
          </w:p>
        </w:tc>
        <w:tc>
          <w:tcPr>
            <w:tcW w:w="2289" w:type="dxa"/>
            <w:tcBorders>
              <w:tl2br w:val="nil"/>
              <w:tr2bl w:val="nil"/>
            </w:tcBorders>
            <w:shd w:val="clear" w:color="auto" w:fill="DAE3F3"/>
            <w:vAlign w:val="center"/>
          </w:tcPr>
          <w:p w14:paraId="3370144A">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作业证号</w:t>
            </w:r>
          </w:p>
        </w:tc>
        <w:tc>
          <w:tcPr>
            <w:tcW w:w="2014" w:type="dxa"/>
            <w:tcBorders>
              <w:tl2br w:val="nil"/>
              <w:tr2bl w:val="nil"/>
            </w:tcBorders>
            <w:shd w:val="clear" w:color="auto" w:fill="DAE3F3"/>
            <w:vAlign w:val="center"/>
          </w:tcPr>
          <w:p w14:paraId="1281EBB8">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工作内容</w:t>
            </w:r>
          </w:p>
        </w:tc>
      </w:tr>
      <w:tr w14:paraId="000B455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4D879DF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彭善忠</w:t>
            </w:r>
          </w:p>
        </w:tc>
        <w:tc>
          <w:tcPr>
            <w:tcW w:w="2135" w:type="dxa"/>
            <w:tcBorders>
              <w:tl2br w:val="nil"/>
              <w:tr2bl w:val="nil"/>
            </w:tcBorders>
            <w:shd w:val="clear" w:color="auto" w:fill="auto"/>
            <w:vAlign w:val="center"/>
          </w:tcPr>
          <w:p w14:paraId="3094CE7B">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项目负责人</w:t>
            </w:r>
          </w:p>
        </w:tc>
        <w:tc>
          <w:tcPr>
            <w:tcW w:w="2416" w:type="dxa"/>
            <w:tcBorders>
              <w:tl2br w:val="nil"/>
              <w:tr2bl w:val="nil"/>
            </w:tcBorders>
            <w:shd w:val="clear" w:color="auto" w:fill="auto"/>
            <w:vAlign w:val="center"/>
          </w:tcPr>
          <w:p w14:paraId="2D7E1C77">
            <w:pPr>
              <w:spacing w:line="240" w:lineRule="auto"/>
              <w:ind w:firstLine="0" w:firstLineChars="0"/>
              <w:jc w:val="center"/>
              <w:rPr>
                <w:rFonts w:hint="default"/>
                <w:lang w:val="en-US" w:eastAsia="zh-CN"/>
              </w:rPr>
            </w:pPr>
            <w:r>
              <w:rPr>
                <w:rFonts w:hint="eastAsia" w:ascii="仿宋" w:hAnsi="仿宋" w:eastAsia="仿宋" w:cs="仿宋"/>
                <w:sz w:val="21"/>
                <w:szCs w:val="21"/>
                <w:highlight w:val="none"/>
                <w:lang w:val="en-US" w:eastAsia="zh-CN"/>
              </w:rPr>
              <w:t>512223197508214798</w:t>
            </w:r>
          </w:p>
        </w:tc>
        <w:tc>
          <w:tcPr>
            <w:tcW w:w="2289" w:type="dxa"/>
            <w:tcBorders>
              <w:tl2br w:val="nil"/>
              <w:tr2bl w:val="nil"/>
            </w:tcBorders>
            <w:shd w:val="clear" w:color="auto" w:fill="auto"/>
            <w:vAlign w:val="center"/>
          </w:tcPr>
          <w:p w14:paraId="2BC36E2A">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鲁230001133100304</w:t>
            </w:r>
          </w:p>
        </w:tc>
        <w:tc>
          <w:tcPr>
            <w:tcW w:w="2014" w:type="dxa"/>
            <w:tcBorders>
              <w:tl2br w:val="nil"/>
              <w:tr2bl w:val="nil"/>
            </w:tcBorders>
            <w:shd w:val="clear" w:color="auto" w:fill="auto"/>
            <w:vAlign w:val="center"/>
          </w:tcPr>
          <w:p w14:paraId="318EEC78">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主持现场工作</w:t>
            </w:r>
          </w:p>
        </w:tc>
      </w:tr>
      <w:tr w14:paraId="50A5725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880A845">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温涛</w:t>
            </w:r>
          </w:p>
        </w:tc>
        <w:tc>
          <w:tcPr>
            <w:tcW w:w="2135" w:type="dxa"/>
            <w:tcBorders>
              <w:tl2br w:val="nil"/>
              <w:tr2bl w:val="nil"/>
            </w:tcBorders>
            <w:shd w:val="clear" w:color="auto" w:fill="auto"/>
            <w:vAlign w:val="center"/>
          </w:tcPr>
          <w:p w14:paraId="403BE252">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技术负责人</w:t>
            </w:r>
          </w:p>
        </w:tc>
        <w:tc>
          <w:tcPr>
            <w:tcW w:w="2416" w:type="dxa"/>
            <w:tcBorders>
              <w:tl2br w:val="nil"/>
              <w:tr2bl w:val="nil"/>
            </w:tcBorders>
            <w:shd w:val="clear" w:color="auto" w:fill="auto"/>
            <w:vAlign w:val="center"/>
          </w:tcPr>
          <w:p w14:paraId="62991F38">
            <w:pPr>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412801198705060316</w:t>
            </w:r>
          </w:p>
        </w:tc>
        <w:tc>
          <w:tcPr>
            <w:tcW w:w="2289" w:type="dxa"/>
            <w:tcBorders>
              <w:tl2br w:val="nil"/>
              <w:tr2bl w:val="nil"/>
            </w:tcBorders>
            <w:shd w:val="clear" w:color="auto" w:fill="auto"/>
            <w:vAlign w:val="center"/>
          </w:tcPr>
          <w:p w14:paraId="1CA928C5">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鲁200100033201097</w:t>
            </w:r>
          </w:p>
        </w:tc>
        <w:tc>
          <w:tcPr>
            <w:tcW w:w="2014" w:type="dxa"/>
            <w:tcBorders>
              <w:tl2br w:val="nil"/>
              <w:tr2bl w:val="nil"/>
            </w:tcBorders>
            <w:shd w:val="clear" w:color="auto" w:fill="auto"/>
            <w:vAlign w:val="center"/>
          </w:tcPr>
          <w:p w14:paraId="26A81F84">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公司技术负责人</w:t>
            </w:r>
          </w:p>
        </w:tc>
      </w:tr>
      <w:tr w14:paraId="4EEBBC9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253C7373">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白美富</w:t>
            </w:r>
          </w:p>
        </w:tc>
        <w:tc>
          <w:tcPr>
            <w:tcW w:w="2135" w:type="dxa"/>
            <w:tcBorders>
              <w:tl2br w:val="nil"/>
              <w:tr2bl w:val="nil"/>
            </w:tcBorders>
            <w:shd w:val="clear" w:color="auto" w:fill="auto"/>
            <w:vAlign w:val="center"/>
          </w:tcPr>
          <w:p w14:paraId="05C1DBB1">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专职安全管理人员</w:t>
            </w:r>
          </w:p>
        </w:tc>
        <w:tc>
          <w:tcPr>
            <w:tcW w:w="2416" w:type="dxa"/>
            <w:tcBorders>
              <w:tl2br w:val="nil"/>
              <w:tr2bl w:val="nil"/>
            </w:tcBorders>
            <w:shd w:val="clear" w:color="auto" w:fill="auto"/>
            <w:vAlign w:val="center"/>
          </w:tcPr>
          <w:p w14:paraId="014D10BB">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510113198801248019</w:t>
            </w:r>
          </w:p>
        </w:tc>
        <w:tc>
          <w:tcPr>
            <w:tcW w:w="2289" w:type="dxa"/>
            <w:tcBorders>
              <w:tl2br w:val="nil"/>
              <w:tr2bl w:val="nil"/>
            </w:tcBorders>
            <w:shd w:val="clear" w:color="auto" w:fill="auto"/>
            <w:vAlign w:val="center"/>
          </w:tcPr>
          <w:p w14:paraId="77655394">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川建安C3(2023)0080797</w:t>
            </w:r>
          </w:p>
        </w:tc>
        <w:tc>
          <w:tcPr>
            <w:tcW w:w="2014" w:type="dxa"/>
            <w:tcBorders>
              <w:tl2br w:val="nil"/>
              <w:tr2bl w:val="nil"/>
            </w:tcBorders>
            <w:shd w:val="clear" w:color="auto" w:fill="auto"/>
            <w:vAlign w:val="center"/>
          </w:tcPr>
          <w:p w14:paraId="0F6B0EB2">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负责现场安拆指导及安全管理</w:t>
            </w:r>
          </w:p>
        </w:tc>
      </w:tr>
      <w:tr w14:paraId="18D18D0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0362" w:type="dxa"/>
            <w:gridSpan w:val="5"/>
            <w:tcBorders>
              <w:tl2br w:val="nil"/>
              <w:tr2bl w:val="nil"/>
            </w:tcBorders>
            <w:shd w:val="clear" w:color="auto" w:fill="DAE3F3"/>
            <w:vAlign w:val="center"/>
          </w:tcPr>
          <w:p w14:paraId="24195BF9">
            <w:pPr>
              <w:spacing w:line="240" w:lineRule="auto"/>
              <w:ind w:firstLine="0" w:firstLineChars="0"/>
              <w:jc w:val="center"/>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安拆施工特种设备作业人员</w:t>
            </w:r>
          </w:p>
        </w:tc>
      </w:tr>
      <w:tr w14:paraId="16D4E633">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626" w:hRule="atLeast"/>
          <w:jc w:val="center"/>
        </w:trPr>
        <w:tc>
          <w:tcPr>
            <w:tcW w:w="1508" w:type="dxa"/>
            <w:tcBorders>
              <w:tl2br w:val="nil"/>
              <w:tr2bl w:val="nil"/>
            </w:tcBorders>
            <w:shd w:val="clear" w:color="auto" w:fill="auto"/>
            <w:vAlign w:val="center"/>
          </w:tcPr>
          <w:p w14:paraId="38F02460">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黄科</w:t>
            </w:r>
          </w:p>
        </w:tc>
        <w:tc>
          <w:tcPr>
            <w:tcW w:w="2135" w:type="dxa"/>
            <w:tcBorders>
              <w:tl2br w:val="nil"/>
              <w:tr2bl w:val="nil"/>
            </w:tcBorders>
            <w:shd w:val="clear" w:color="auto" w:fill="auto"/>
            <w:vAlign w:val="center"/>
          </w:tcPr>
          <w:p w14:paraId="7B7B9EBC">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05FEF5CB">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510113198609247470</w:t>
            </w:r>
          </w:p>
        </w:tc>
        <w:tc>
          <w:tcPr>
            <w:tcW w:w="2289" w:type="dxa"/>
            <w:tcBorders>
              <w:tl2br w:val="nil"/>
              <w:tr2bl w:val="nil"/>
            </w:tcBorders>
            <w:shd w:val="clear" w:color="auto" w:fill="auto"/>
            <w:vAlign w:val="center"/>
          </w:tcPr>
          <w:p w14:paraId="25520F2D">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A082023006932</w:t>
            </w:r>
          </w:p>
        </w:tc>
        <w:tc>
          <w:tcPr>
            <w:tcW w:w="2014" w:type="dxa"/>
            <w:tcBorders>
              <w:tl2br w:val="nil"/>
              <w:tr2bl w:val="nil"/>
            </w:tcBorders>
            <w:shd w:val="clear" w:color="auto" w:fill="auto"/>
            <w:vAlign w:val="center"/>
          </w:tcPr>
          <w:p w14:paraId="2E67DA76">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BD7E2C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385EAB0">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徐刚</w:t>
            </w:r>
          </w:p>
        </w:tc>
        <w:tc>
          <w:tcPr>
            <w:tcW w:w="2135" w:type="dxa"/>
            <w:tcBorders>
              <w:tl2br w:val="nil"/>
              <w:tr2bl w:val="nil"/>
            </w:tcBorders>
            <w:shd w:val="clear" w:color="auto" w:fill="auto"/>
            <w:vAlign w:val="center"/>
          </w:tcPr>
          <w:p w14:paraId="0D84E63B">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4409D279">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500226198809275711</w:t>
            </w:r>
          </w:p>
        </w:tc>
        <w:tc>
          <w:tcPr>
            <w:tcW w:w="2289" w:type="dxa"/>
            <w:tcBorders>
              <w:tl2br w:val="nil"/>
              <w:tr2bl w:val="nil"/>
            </w:tcBorders>
            <w:shd w:val="clear" w:color="auto" w:fill="auto"/>
            <w:vAlign w:val="center"/>
          </w:tcPr>
          <w:p w14:paraId="4EBEC684">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 082023007219</w:t>
            </w:r>
          </w:p>
        </w:tc>
        <w:tc>
          <w:tcPr>
            <w:tcW w:w="2014" w:type="dxa"/>
            <w:tcBorders>
              <w:tl2br w:val="nil"/>
              <w:tr2bl w:val="nil"/>
            </w:tcBorders>
            <w:shd w:val="clear" w:color="auto" w:fill="auto"/>
            <w:vAlign w:val="center"/>
          </w:tcPr>
          <w:p w14:paraId="04EDE87C">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4E1E03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6D96C816">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陈刚</w:t>
            </w:r>
          </w:p>
        </w:tc>
        <w:tc>
          <w:tcPr>
            <w:tcW w:w="2135" w:type="dxa"/>
            <w:tcBorders>
              <w:tl2br w:val="nil"/>
              <w:tr2bl w:val="nil"/>
            </w:tcBorders>
            <w:shd w:val="clear" w:color="auto" w:fill="auto"/>
            <w:vAlign w:val="center"/>
          </w:tcPr>
          <w:p w14:paraId="0BAB7694">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2073F622">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510922198601193519</w:t>
            </w:r>
          </w:p>
        </w:tc>
        <w:tc>
          <w:tcPr>
            <w:tcW w:w="2289" w:type="dxa"/>
            <w:tcBorders>
              <w:tl2br w:val="nil"/>
              <w:tr2bl w:val="nil"/>
            </w:tcBorders>
            <w:shd w:val="clear" w:color="auto" w:fill="auto"/>
            <w:vAlign w:val="center"/>
          </w:tcPr>
          <w:p w14:paraId="09896A29">
            <w:pPr>
              <w:spacing w:line="240" w:lineRule="auto"/>
              <w:ind w:firstLine="0" w:firstLineChars="0"/>
              <w:jc w:val="center"/>
              <w:rPr>
                <w:rFonts w:hint="eastAsia" w:ascii="仿宋" w:hAnsi="仿宋" w:eastAsia="仿宋" w:cs="仿宋"/>
                <w:sz w:val="21"/>
                <w:szCs w:val="21"/>
                <w:lang w:val="en-US" w:eastAsia="zh-CN"/>
              </w:rPr>
            </w:pPr>
            <w:r>
              <w:rPr>
                <w:rFonts w:hint="default" w:ascii="仿宋" w:hAnsi="仿宋" w:eastAsia="仿宋" w:cs="仿宋"/>
                <w:sz w:val="21"/>
                <w:szCs w:val="21"/>
                <w:highlight w:val="none"/>
                <w:lang w:val="en-US" w:eastAsia="zh-CN"/>
              </w:rPr>
              <w:t>川A082023006907</w:t>
            </w:r>
          </w:p>
        </w:tc>
        <w:tc>
          <w:tcPr>
            <w:tcW w:w="2014" w:type="dxa"/>
            <w:tcBorders>
              <w:tl2br w:val="nil"/>
              <w:tr2bl w:val="nil"/>
            </w:tcBorders>
            <w:shd w:val="clear" w:color="auto" w:fill="auto"/>
            <w:vAlign w:val="center"/>
          </w:tcPr>
          <w:p w14:paraId="7200891F">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EDB773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76407717">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黄仁训</w:t>
            </w:r>
          </w:p>
        </w:tc>
        <w:tc>
          <w:tcPr>
            <w:tcW w:w="2135" w:type="dxa"/>
            <w:tcBorders>
              <w:tl2br w:val="nil"/>
              <w:tr2bl w:val="nil"/>
            </w:tcBorders>
            <w:shd w:val="clear" w:color="auto" w:fill="auto"/>
            <w:vAlign w:val="center"/>
          </w:tcPr>
          <w:p w14:paraId="3517E181">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3757143E">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510113198608137413</w:t>
            </w:r>
          </w:p>
        </w:tc>
        <w:tc>
          <w:tcPr>
            <w:tcW w:w="2289" w:type="dxa"/>
            <w:tcBorders>
              <w:tl2br w:val="nil"/>
              <w:tr2bl w:val="nil"/>
            </w:tcBorders>
            <w:shd w:val="clear" w:color="auto" w:fill="auto"/>
            <w:vAlign w:val="center"/>
          </w:tcPr>
          <w:p w14:paraId="60A4C755">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K 082019700001</w:t>
            </w:r>
          </w:p>
        </w:tc>
        <w:tc>
          <w:tcPr>
            <w:tcW w:w="2014" w:type="dxa"/>
            <w:tcBorders>
              <w:tl2br w:val="nil"/>
              <w:tr2bl w:val="nil"/>
            </w:tcBorders>
            <w:shd w:val="clear" w:color="auto" w:fill="auto"/>
            <w:vAlign w:val="center"/>
          </w:tcPr>
          <w:p w14:paraId="25F603E8">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24F9F94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38A67EC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明兴富</w:t>
            </w:r>
          </w:p>
        </w:tc>
        <w:tc>
          <w:tcPr>
            <w:tcW w:w="2135" w:type="dxa"/>
            <w:tcBorders>
              <w:tl2br w:val="nil"/>
              <w:tr2bl w:val="nil"/>
            </w:tcBorders>
            <w:shd w:val="clear" w:color="auto" w:fill="auto"/>
            <w:vAlign w:val="center"/>
          </w:tcPr>
          <w:p w14:paraId="78483A6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建筑电工（维保人员）</w:t>
            </w:r>
          </w:p>
        </w:tc>
        <w:tc>
          <w:tcPr>
            <w:tcW w:w="2416" w:type="dxa"/>
            <w:tcBorders>
              <w:tl2br w:val="nil"/>
              <w:tr2bl w:val="nil"/>
            </w:tcBorders>
            <w:shd w:val="clear" w:color="auto" w:fill="auto"/>
            <w:vAlign w:val="center"/>
          </w:tcPr>
          <w:p w14:paraId="6A2C66A6">
            <w:pPr>
              <w:spacing w:line="240" w:lineRule="auto"/>
              <w:ind w:firstLine="0" w:firstLineChars="0"/>
              <w:jc w:val="center"/>
              <w:rPr>
                <w:rFonts w:hint="default" w:ascii="仿宋" w:hAnsi="仿宋" w:eastAsia="仿宋" w:cs="仿宋"/>
                <w:sz w:val="21"/>
                <w:szCs w:val="21"/>
                <w:highlight w:val="none"/>
                <w:lang w:val="en-US" w:eastAsia="zh-CN"/>
              </w:rPr>
            </w:pPr>
            <w:r>
              <w:rPr>
                <w:rFonts w:hint="default" w:ascii="仿宋" w:hAnsi="仿宋" w:eastAsia="仿宋" w:cs="仿宋"/>
                <w:sz w:val="21"/>
                <w:szCs w:val="21"/>
                <w:highlight w:val="none"/>
                <w:lang w:val="en-US" w:eastAsia="zh-CN"/>
              </w:rPr>
              <w:t>510322197807274712</w:t>
            </w:r>
          </w:p>
        </w:tc>
        <w:tc>
          <w:tcPr>
            <w:tcW w:w="2289" w:type="dxa"/>
            <w:tcBorders>
              <w:tl2br w:val="nil"/>
              <w:tr2bl w:val="nil"/>
            </w:tcBorders>
            <w:shd w:val="clear" w:color="auto" w:fill="auto"/>
            <w:vAlign w:val="center"/>
          </w:tcPr>
          <w:p w14:paraId="35C86E3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川A012023012238</w:t>
            </w:r>
          </w:p>
        </w:tc>
        <w:tc>
          <w:tcPr>
            <w:tcW w:w="2014" w:type="dxa"/>
            <w:tcBorders>
              <w:tl2br w:val="nil"/>
              <w:tr2bl w:val="nil"/>
            </w:tcBorders>
            <w:shd w:val="clear" w:color="auto" w:fill="auto"/>
            <w:vAlign w:val="center"/>
          </w:tcPr>
          <w:p w14:paraId="44CD109F">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负责设备安拆电气调试及维保</w:t>
            </w:r>
          </w:p>
        </w:tc>
      </w:tr>
      <w:tr w14:paraId="1CFF4A1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91C18CA">
            <w:pPr>
              <w:spacing w:line="240" w:lineRule="auto"/>
              <w:ind w:firstLine="0" w:firstLineChars="0"/>
              <w:jc w:val="center"/>
              <w:rPr>
                <w:rFonts w:hint="eastAsia" w:ascii="仿宋" w:hAnsi="仿宋" w:eastAsia="仿宋" w:cs="仿宋"/>
                <w:sz w:val="21"/>
                <w:szCs w:val="21"/>
                <w:highlight w:val="none"/>
                <w:lang w:val="en-US" w:eastAsia="zh-CN"/>
              </w:rPr>
            </w:pPr>
            <w:bookmarkStart w:id="84" w:name="_Toc29051"/>
            <w:bookmarkStart w:id="85" w:name="_Toc2793"/>
            <w:bookmarkStart w:id="86" w:name="_Toc9611"/>
            <w:bookmarkStart w:id="87" w:name="_Toc26638"/>
            <w:bookmarkStart w:id="88" w:name="_Toc15920"/>
            <w:bookmarkStart w:id="89" w:name="_Toc11245"/>
            <w:bookmarkStart w:id="90" w:name="_Toc20398"/>
            <w:bookmarkStart w:id="91" w:name="_Toc9260"/>
            <w:bookmarkStart w:id="92" w:name="_Toc11753"/>
            <w:bookmarkStart w:id="93" w:name="_Toc19188"/>
            <w:bookmarkStart w:id="94" w:name="_Toc15633"/>
            <w:bookmarkStart w:id="95" w:name="_Toc27413"/>
            <w:r>
              <w:rPr>
                <w:rFonts w:hint="eastAsia" w:ascii="仿宋" w:hAnsi="仿宋" w:eastAsia="仿宋" w:cs="仿宋"/>
                <w:sz w:val="21"/>
                <w:szCs w:val="21"/>
                <w:highlight w:val="none"/>
                <w:lang w:val="en-US" w:eastAsia="zh-CN"/>
              </w:rPr>
              <w:t>彭善忠</w:t>
            </w:r>
          </w:p>
        </w:tc>
        <w:tc>
          <w:tcPr>
            <w:tcW w:w="2135" w:type="dxa"/>
            <w:tcBorders>
              <w:tl2br w:val="nil"/>
              <w:tr2bl w:val="nil"/>
            </w:tcBorders>
            <w:shd w:val="clear" w:color="auto" w:fill="auto"/>
            <w:vAlign w:val="center"/>
          </w:tcPr>
          <w:p w14:paraId="5B49AB7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项目负责人</w:t>
            </w:r>
          </w:p>
        </w:tc>
        <w:tc>
          <w:tcPr>
            <w:tcW w:w="2416" w:type="dxa"/>
            <w:tcBorders>
              <w:tl2br w:val="nil"/>
              <w:tr2bl w:val="nil"/>
            </w:tcBorders>
            <w:shd w:val="clear" w:color="auto" w:fill="auto"/>
            <w:vAlign w:val="center"/>
          </w:tcPr>
          <w:p w14:paraId="598E321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512223197508214798</w:t>
            </w:r>
          </w:p>
        </w:tc>
        <w:tc>
          <w:tcPr>
            <w:tcW w:w="2289" w:type="dxa"/>
            <w:tcBorders>
              <w:tl2br w:val="nil"/>
              <w:tr2bl w:val="nil"/>
            </w:tcBorders>
            <w:shd w:val="clear" w:color="auto" w:fill="auto"/>
            <w:vAlign w:val="center"/>
          </w:tcPr>
          <w:p w14:paraId="58CD059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鲁230001133100304</w:t>
            </w:r>
          </w:p>
        </w:tc>
        <w:tc>
          <w:tcPr>
            <w:tcW w:w="2014" w:type="dxa"/>
            <w:tcBorders>
              <w:tl2br w:val="nil"/>
              <w:tr2bl w:val="nil"/>
            </w:tcBorders>
            <w:shd w:val="clear" w:color="auto" w:fill="auto"/>
            <w:vAlign w:val="center"/>
          </w:tcPr>
          <w:p w14:paraId="5767168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主持现场工作</w:t>
            </w:r>
          </w:p>
        </w:tc>
      </w:tr>
    </w:tbl>
    <w:p w14:paraId="2F0BB9FE">
      <w:pPr>
        <w:pStyle w:val="2"/>
        <w:bidi w:val="0"/>
        <w:rPr>
          <w:rFonts w:hint="eastAsia"/>
          <w:lang w:val="en-US" w:eastAsia="zh-CN"/>
        </w:rPr>
      </w:pPr>
      <w:bookmarkStart w:id="96" w:name="_Toc9840"/>
      <w:r>
        <w:rPr>
          <w:rFonts w:hint="eastAsia"/>
          <w:lang w:val="en-US" w:eastAsia="zh-CN"/>
        </w:rPr>
        <w:t>5 应急处置及应急救援措施</w:t>
      </w:r>
      <w:bookmarkEnd w:id="84"/>
      <w:bookmarkEnd w:id="96"/>
    </w:p>
    <w:p w14:paraId="7C9CD1EC">
      <w:pPr>
        <w:pStyle w:val="3"/>
        <w:tabs>
          <w:tab w:val="left" w:pos="525"/>
          <w:tab w:val="left" w:pos="601"/>
          <w:tab w:val="clear" w:pos="240"/>
        </w:tabs>
        <w:bidi w:val="0"/>
        <w:rPr>
          <w:rFonts w:hint="default"/>
          <w:lang w:val="en-US" w:eastAsia="zh-CN"/>
        </w:rPr>
      </w:pPr>
      <w:bookmarkStart w:id="97" w:name="_Toc15652"/>
      <w:r>
        <w:rPr>
          <w:rFonts w:hint="eastAsia"/>
          <w:lang w:val="en-US" w:eastAsia="zh-CN"/>
        </w:rPr>
        <w:t>5.1专项应急处置措施</w:t>
      </w:r>
      <w:bookmarkEnd w:id="97"/>
    </w:p>
    <w:p w14:paraId="4B12AD30">
      <w:pPr>
        <w:pStyle w:val="4"/>
        <w:tabs>
          <w:tab w:val="left" w:pos="0"/>
          <w:tab w:val="left" w:pos="630"/>
          <w:tab w:val="clear" w:pos="312"/>
        </w:tabs>
        <w:bidi w:val="0"/>
        <w:rPr>
          <w:rFonts w:hint="eastAsia"/>
          <w:lang w:val="en-US" w:eastAsia="zh-CN"/>
        </w:rPr>
      </w:pPr>
      <w:r>
        <w:rPr>
          <w:rFonts w:hint="eastAsia"/>
          <w:lang w:val="en-US" w:eastAsia="zh-CN"/>
        </w:rPr>
        <w:t>5.1.1高处坠落应急处置措施</w:t>
      </w:r>
    </w:p>
    <w:p w14:paraId="4B03618F">
      <w:pPr>
        <w:bidi w:val="0"/>
        <w:ind w:firstLine="480" w:firstLineChars="200"/>
        <w:rPr>
          <w:rFonts w:hint="eastAsia" w:eastAsia="宋体" w:cs="Times New Roman"/>
          <w:lang w:val="en-US" w:eastAsia="zh-CN"/>
        </w:rPr>
      </w:pPr>
      <w:r>
        <w:rPr>
          <w:rFonts w:hint="eastAsia" w:eastAsia="宋体" w:cs="Times New Roman"/>
          <w:lang w:val="en-US" w:eastAsia="zh-CN"/>
        </w:rPr>
        <w:t>（1）当事人发现高处坠落事故时，迅速将伤员脱离危险地，移至安全地带。</w:t>
      </w:r>
    </w:p>
    <w:p w14:paraId="56517665">
      <w:pPr>
        <w:bidi w:val="0"/>
        <w:ind w:firstLine="480" w:firstLineChars="200"/>
        <w:rPr>
          <w:rFonts w:hint="eastAsia" w:eastAsia="宋体" w:cs="Times New Roman"/>
          <w:lang w:val="en-US" w:eastAsia="zh-CN"/>
        </w:rPr>
      </w:pPr>
      <w:r>
        <w:rPr>
          <w:rFonts w:hint="eastAsia" w:eastAsia="宋体" w:cs="Times New Roman"/>
          <w:lang w:val="en-US" w:eastAsia="zh-CN"/>
        </w:rPr>
        <w:t>（2）保持受伤人员的呼吸顺畅，若发现窒息者，应立即解开伤员的衣领，消除伤员口、鼻、咽、喉部异物、血块、分泌物、呕吐物，同时进行体外心脏按压等抢救措施。</w:t>
      </w:r>
    </w:p>
    <w:p w14:paraId="46C2F456">
      <w:pPr>
        <w:bidi w:val="0"/>
        <w:ind w:firstLine="480" w:firstLineChars="200"/>
        <w:rPr>
          <w:rFonts w:hint="eastAsia" w:eastAsia="宋体" w:cs="Times New Roman"/>
          <w:lang w:val="en-US" w:eastAsia="zh-CN"/>
        </w:rPr>
      </w:pPr>
      <w:r>
        <w:rPr>
          <w:rFonts w:hint="eastAsia" w:eastAsia="宋体" w:cs="Times New Roman"/>
          <w:lang w:val="en-US" w:eastAsia="zh-CN"/>
        </w:rPr>
        <w:t>（3）有效止血，包扎伤口。</w:t>
      </w:r>
    </w:p>
    <w:p w14:paraId="23B4D1B0">
      <w:pPr>
        <w:bidi w:val="0"/>
        <w:ind w:firstLine="480" w:firstLineChars="200"/>
        <w:rPr>
          <w:rFonts w:hint="eastAsia" w:eastAsia="宋体" w:cs="Times New Roman"/>
          <w:lang w:val="en-US" w:eastAsia="zh-CN"/>
        </w:rPr>
      </w:pPr>
      <w:r>
        <w:rPr>
          <w:rFonts w:hint="eastAsia" w:eastAsia="宋体" w:cs="Times New Roman"/>
          <w:lang w:val="en-US" w:eastAsia="zh-CN"/>
        </w:rPr>
        <w:t>（4）视其伤情采取报警或直接送往医院，或现场简单处理后再送其去医院。</w:t>
      </w:r>
    </w:p>
    <w:p w14:paraId="0D5BCF20">
      <w:pPr>
        <w:bidi w:val="0"/>
        <w:ind w:firstLine="480" w:firstLineChars="200"/>
        <w:rPr>
          <w:rFonts w:hint="eastAsia" w:eastAsia="宋体" w:cs="Times New Roman"/>
          <w:lang w:val="en-US" w:eastAsia="zh-CN"/>
        </w:rPr>
      </w:pPr>
      <w:r>
        <w:rPr>
          <w:rFonts w:hint="eastAsia" w:eastAsia="宋体" w:cs="Times New Roman"/>
          <w:lang w:val="en-US" w:eastAsia="zh-CN"/>
        </w:rPr>
        <w:t>（5）伤员有骨折、关节伤、肢体挤压伤、大块软组织伤都要想法固定受伤部位。</w:t>
      </w:r>
    </w:p>
    <w:p w14:paraId="78A33665">
      <w:pPr>
        <w:bidi w:val="0"/>
        <w:ind w:firstLine="480" w:firstLineChars="200"/>
        <w:rPr>
          <w:rFonts w:hint="eastAsia" w:eastAsia="宋体" w:cs="Times New Roman"/>
          <w:lang w:val="en-US" w:eastAsia="zh-CN"/>
        </w:rPr>
      </w:pPr>
      <w:r>
        <w:rPr>
          <w:rFonts w:hint="eastAsia" w:eastAsia="宋体" w:cs="Times New Roman"/>
          <w:lang w:val="en-US" w:eastAsia="zh-CN"/>
        </w:rPr>
        <w:t>（6）紧急呼叫120急救电话；或拨打大樟乡卫生院急救电话。向当地急救中心取得联系，应详细说明事故地点、严重程度、本部门联系人或联系电话，并派人在路口接车。</w:t>
      </w:r>
    </w:p>
    <w:p w14:paraId="066A77AA">
      <w:pPr>
        <w:bidi w:val="0"/>
        <w:ind w:firstLine="480" w:firstLineChars="200"/>
        <w:rPr>
          <w:rFonts w:hint="eastAsia" w:eastAsia="宋体" w:cs="Times New Roman"/>
          <w:lang w:val="en-US" w:eastAsia="zh-CN"/>
        </w:rPr>
      </w:pPr>
      <w:r>
        <w:rPr>
          <w:rFonts w:hint="eastAsia" w:eastAsia="宋体" w:cs="Times New Roman"/>
          <w:lang w:val="en-US" w:eastAsia="zh-CN"/>
        </w:rPr>
        <w:t>（7）保护现场：指挥小组要派人保护事故现场，维护好现场秩序，等待对事故原因分析及处理。</w:t>
      </w:r>
    </w:p>
    <w:p w14:paraId="78D6E2F0">
      <w:pPr>
        <w:pStyle w:val="4"/>
        <w:tabs>
          <w:tab w:val="left" w:pos="0"/>
          <w:tab w:val="left" w:pos="630"/>
          <w:tab w:val="clear" w:pos="312"/>
        </w:tabs>
        <w:bidi w:val="0"/>
        <w:rPr>
          <w:rFonts w:hint="eastAsia"/>
          <w:lang w:val="en-US" w:eastAsia="zh-CN"/>
        </w:rPr>
      </w:pPr>
      <w:r>
        <w:rPr>
          <w:rFonts w:hint="eastAsia"/>
          <w:lang w:val="en-US" w:eastAsia="zh-CN"/>
        </w:rPr>
        <w:t>5.1.2物体打击应急处置措施</w:t>
      </w:r>
    </w:p>
    <w:p w14:paraId="2DDB5448">
      <w:pPr>
        <w:bidi w:val="0"/>
        <w:ind w:firstLine="480" w:firstLineChars="200"/>
        <w:rPr>
          <w:rFonts w:hint="eastAsia" w:eastAsia="宋体" w:cs="Times New Roman"/>
          <w:lang w:val="en-US" w:eastAsia="zh-CN"/>
        </w:rPr>
      </w:pPr>
      <w:r>
        <w:rPr>
          <w:rFonts w:hint="eastAsia" w:eastAsia="宋体" w:cs="Times New Roman"/>
          <w:lang w:val="en-US" w:eastAsia="zh-CN"/>
        </w:rPr>
        <w:t>（1）在事故现场要确保对自己、伤病员或其他人无任何危险，迅速使伤病员脱离危险场所，尤其是施工现场。</w:t>
      </w:r>
    </w:p>
    <w:p w14:paraId="75D8C100">
      <w:pPr>
        <w:bidi w:val="0"/>
        <w:ind w:firstLine="480" w:firstLineChars="200"/>
        <w:rPr>
          <w:rFonts w:hint="eastAsia" w:eastAsia="宋体" w:cs="Times New Roman"/>
          <w:lang w:val="en-US" w:eastAsia="zh-CN"/>
        </w:rPr>
      </w:pPr>
      <w:r>
        <w:rPr>
          <w:rFonts w:hint="eastAsia" w:eastAsia="宋体" w:cs="Times New Roman"/>
          <w:lang w:val="en-US" w:eastAsia="zh-CN"/>
        </w:rPr>
        <w:t>（2）初步检查伤病员，判断其神志、气管、呼吸循环是否有问题，必要时立即进行现场急救和监护，使伤病员保持呼吸道畅通，视情况采取有效的止血、防止休克、包扎伤口、固定、保存好断离的器官或组织、预防感染、止疼等措施。</w:t>
      </w:r>
    </w:p>
    <w:p w14:paraId="2FE9E15C">
      <w:pPr>
        <w:bidi w:val="0"/>
        <w:ind w:firstLine="480" w:firstLineChars="200"/>
        <w:rPr>
          <w:rFonts w:hint="eastAsia" w:eastAsia="宋体" w:cs="Times New Roman"/>
          <w:lang w:val="en-US" w:eastAsia="zh-CN"/>
        </w:rPr>
      </w:pPr>
      <w:r>
        <w:rPr>
          <w:rFonts w:hint="eastAsia" w:eastAsia="宋体" w:cs="Times New Roman"/>
          <w:lang w:val="en-US" w:eastAsia="zh-CN"/>
        </w:rPr>
        <w:t>（3）同步呼救。在施救的同时，另派人拨通120，通知救护人员和车辆，并继续进行施救，一直要坚持到救护人员或其他施救者到达现场接替为止。此时还应反映伤病员的伤病情和简单的救治过程。</w:t>
      </w:r>
    </w:p>
    <w:p w14:paraId="0B89E1A4">
      <w:pPr>
        <w:bidi w:val="0"/>
        <w:ind w:firstLine="480" w:firstLineChars="200"/>
        <w:rPr>
          <w:rFonts w:hint="eastAsia" w:eastAsia="宋体" w:cs="Times New Roman"/>
          <w:lang w:val="en-US" w:eastAsia="zh-CN"/>
        </w:rPr>
      </w:pPr>
      <w:r>
        <w:rPr>
          <w:rFonts w:hint="eastAsia" w:eastAsia="宋体" w:cs="Times New Roman"/>
          <w:lang w:val="en-US" w:eastAsia="zh-CN"/>
        </w:rPr>
        <w:t>（4）如果没有发现危及伤病员的体征，可作第二次检查，以免遗漏其他的损伤、骨折和病变。这样有利于现场施行必要的急救盒稳定病情，降低病发症和伤残率。</w:t>
      </w:r>
    </w:p>
    <w:p w14:paraId="272B1BC8">
      <w:pPr>
        <w:bidi w:val="0"/>
        <w:ind w:firstLine="480" w:firstLineChars="200"/>
        <w:rPr>
          <w:rFonts w:hint="eastAsia" w:eastAsia="宋体" w:cs="Times New Roman"/>
          <w:lang w:val="en-US" w:eastAsia="zh-CN"/>
        </w:rPr>
      </w:pPr>
      <w:r>
        <w:rPr>
          <w:rFonts w:hint="eastAsia" w:eastAsia="宋体" w:cs="Times New Roman"/>
          <w:lang w:val="en-US" w:eastAsia="zh-CN"/>
        </w:rPr>
        <w:t>（5）施工现场应设立疏散指示标志、应急照明、走道、缓降器、救生袋、救生滑梯等，要教育和培训从业人员学会自救和求救的方法。发生安全事故时，一定要努力保护自己或他人的宝贵生命。各级领导和救护组要组织好救护工作，要选择现成的疏散通道和设施，做到尽快疏散人员和设备。如遇到不能处理的紧急情况，要立即报警请求社会支援。</w:t>
      </w:r>
    </w:p>
    <w:p w14:paraId="4981C7DC">
      <w:pPr>
        <w:pStyle w:val="4"/>
        <w:tabs>
          <w:tab w:val="left" w:pos="0"/>
          <w:tab w:val="left" w:pos="630"/>
          <w:tab w:val="clear" w:pos="312"/>
        </w:tabs>
        <w:bidi w:val="0"/>
        <w:rPr>
          <w:rFonts w:hint="default"/>
          <w:lang w:val="en-US" w:eastAsia="zh-CN"/>
        </w:rPr>
      </w:pPr>
      <w:r>
        <w:rPr>
          <w:rFonts w:hint="eastAsia"/>
          <w:lang w:val="en-US" w:eastAsia="zh-CN"/>
        </w:rPr>
        <w:t>5.1.3临时用电安全事故应急救援措施</w:t>
      </w:r>
    </w:p>
    <w:p w14:paraId="7E6ABA55">
      <w:pPr>
        <w:bidi w:val="0"/>
        <w:ind w:firstLine="480" w:firstLineChars="200"/>
        <w:rPr>
          <w:rFonts w:hint="eastAsia" w:eastAsia="宋体" w:cs="Times New Roman"/>
          <w:lang w:val="en-US" w:eastAsia="zh-CN"/>
        </w:rPr>
      </w:pPr>
      <w:r>
        <w:rPr>
          <w:rFonts w:hint="eastAsia" w:eastAsia="宋体" w:cs="Times New Roman"/>
          <w:lang w:val="en-US" w:eastAsia="zh-CN"/>
        </w:rPr>
        <w:t>如遇触电事故时，在现场的项目人员要立即用向项目经理汇报险情；在保证自身安全的情况下，现场人员迅速进行抢救触电者脱离电源。项目负责人立即带领抢救指挥组成员赶赴出事现场。抢救、救护、防护组成员携带着各自的抢险工具，赶赴出事现场。</w:t>
      </w:r>
    </w:p>
    <w:p w14:paraId="35E417E4">
      <w:pPr>
        <w:bidi w:val="0"/>
        <w:ind w:firstLine="480" w:firstLineChars="200"/>
        <w:rPr>
          <w:rFonts w:hint="eastAsia" w:eastAsia="宋体" w:cs="Times New Roman"/>
          <w:lang w:val="en-US" w:eastAsia="zh-CN"/>
        </w:rPr>
      </w:pPr>
      <w:r>
        <w:rPr>
          <w:rFonts w:hint="eastAsia" w:eastAsia="宋体" w:cs="Times New Roman"/>
          <w:lang w:val="en-US" w:eastAsia="zh-CN"/>
        </w:rPr>
        <w:t>抢救组到达出事地点，在项目负责人指挥下分头进行工作</w:t>
      </w:r>
    </w:p>
    <w:p w14:paraId="1B58B0E1">
      <w:pPr>
        <w:bidi w:val="0"/>
        <w:ind w:firstLine="480" w:firstLineChars="200"/>
        <w:rPr>
          <w:rFonts w:hint="eastAsia" w:eastAsia="宋体" w:cs="Times New Roman"/>
          <w:lang w:val="en-US" w:eastAsia="zh-CN"/>
        </w:rPr>
      </w:pPr>
      <w:r>
        <w:rPr>
          <w:rFonts w:hint="eastAsia" w:eastAsia="宋体" w:cs="Times New Roman"/>
          <w:lang w:val="en-US" w:eastAsia="zh-CN"/>
        </w:rPr>
        <w:t>（1）抢救组查明险情：确定触电者的电源是高压电还是低压电，触电电源是否被切断，是否还有发生触电的可能和危险物，抢救组提出救护方案；项目经理主持商定抢救方案。对低压触电事故的处理，采取边抢救边汇报的处理方式。对高压触电事故采取边准备边汇报的处理方式，项目经理向公司主管副总经理请示汇报批准后组织实施。</w:t>
      </w:r>
    </w:p>
    <w:p w14:paraId="5CAFDEB4">
      <w:pPr>
        <w:bidi w:val="0"/>
        <w:ind w:firstLine="480" w:firstLineChars="200"/>
        <w:rPr>
          <w:rFonts w:hint="eastAsia" w:eastAsia="宋体" w:cs="Times New Roman"/>
          <w:lang w:val="en-US" w:eastAsia="zh-CN"/>
        </w:rPr>
      </w:pPr>
      <w:r>
        <w:rPr>
          <w:rFonts w:hint="eastAsia" w:eastAsia="宋体" w:cs="Times New Roman"/>
          <w:lang w:val="en-US" w:eastAsia="zh-CN"/>
        </w:rPr>
        <w:t>（2）防护组负责把出事地点附近的作业人员疏散到安全地带，并进行警戒不准闲人靠近，对外注意礼貌用语。</w:t>
      </w:r>
    </w:p>
    <w:p w14:paraId="3267E6A4">
      <w:pPr>
        <w:bidi w:val="0"/>
        <w:ind w:firstLine="480" w:firstLineChars="200"/>
        <w:rPr>
          <w:rFonts w:hint="eastAsia" w:eastAsia="宋体" w:cs="Times New Roman"/>
          <w:lang w:val="en-US" w:eastAsia="zh-CN"/>
        </w:rPr>
      </w:pPr>
      <w:r>
        <w:rPr>
          <w:rFonts w:hint="eastAsia" w:eastAsia="宋体" w:cs="Times New Roman"/>
          <w:lang w:val="en-US" w:eastAsia="zh-CN"/>
        </w:rPr>
        <w:t>（3）抢救组电工负责快速使触电者脱离低压电气线路的电源。其方法：如果事故离电源开关较近，应立即切断电源开关；如果事故离电源开关太远，不即立即断开，救护人员可用干燥的衣服、手套、绳索、木板、木棒等、绝缘杆等绝缘物作为工具，拉开触电者或挑开电源线使之脱离电源；如果触电者因抽筋而紧握电线，可用干燥的木柄斧、胶把钳等工具切断电线；或用干木板、干胶木板等绝缘物插入触电者身下，以隔断电流。</w:t>
      </w:r>
    </w:p>
    <w:p w14:paraId="54067411">
      <w:pPr>
        <w:bidi w:val="0"/>
        <w:ind w:firstLine="480" w:firstLineChars="200"/>
        <w:rPr>
          <w:rFonts w:hint="eastAsia" w:eastAsia="宋体" w:cs="Times New Roman"/>
          <w:lang w:val="en-US" w:eastAsia="zh-CN"/>
        </w:rPr>
      </w:pPr>
      <w:r>
        <w:rPr>
          <w:rFonts w:hint="eastAsia" w:eastAsia="宋体" w:cs="Times New Roman"/>
          <w:lang w:val="en-US" w:eastAsia="zh-CN"/>
        </w:rPr>
        <w:t>（4）脱离电源后的救护。触电者脱离电源后，应尽量在现场救护，先救后搬；搬运中也要注意触电者的变化，按伤势轻重采取不同的救护方法：如触电者呈一定的昏迷状态，还未失去知觉，或触电时间较长，则应让他静卧，保持安静，再旁看护，并召请医生。如触电者已失去知觉，但还有呼吸和心脏跳动，应使他舒适地静卧解开衣服，让他闻些氨水，或在他身上洒些冷水，摩擦全身，使他发热。如天冷还要注意保温。同时，迅速请医生诊治如发现呼吸困难，或逐渐衰弱，并有痉挛现象，则应立即进行人工氧合——即用人工的方法，以起到恢复心脏跳动和人工呼吸互相配合的作用。如触电者呼吸、脉搏、心脏均已停止，也不能认为已经死亡必须立即进行人工氧合，进行紧急救护。同时迅速请医生抢救。</w:t>
      </w:r>
    </w:p>
    <w:p w14:paraId="7E659A03">
      <w:pPr>
        <w:bidi w:val="0"/>
        <w:ind w:firstLine="480" w:firstLineChars="200"/>
        <w:rPr>
          <w:rFonts w:hint="eastAsia" w:eastAsia="宋体" w:cs="Times New Roman"/>
          <w:lang w:val="en-US" w:eastAsia="zh-CN"/>
        </w:rPr>
      </w:pPr>
      <w:r>
        <w:rPr>
          <w:rFonts w:hint="eastAsia" w:eastAsia="宋体" w:cs="Times New Roman"/>
          <w:lang w:val="en-US" w:eastAsia="zh-CN"/>
        </w:rPr>
        <w:t>（5）人工氧合基本内容和步骤</w:t>
      </w:r>
    </w:p>
    <w:p w14:paraId="2107A901">
      <w:pPr>
        <w:bidi w:val="0"/>
        <w:ind w:firstLine="480" w:firstLineChars="200"/>
        <w:rPr>
          <w:rFonts w:hint="eastAsia" w:eastAsia="宋体" w:cs="Times New Roman"/>
          <w:lang w:val="en-US" w:eastAsia="zh-CN"/>
        </w:rPr>
      </w:pPr>
      <w:r>
        <w:rPr>
          <w:rFonts w:hint="eastAsia" w:eastAsia="宋体" w:cs="Times New Roman"/>
          <w:lang w:val="en-US" w:eastAsia="zh-CN"/>
        </w:rPr>
        <w:t>人工氧合是触电急救行之有效的科学方法。人工氧合包括人工呼吸和心脏挤压（即心脏按摩两种方法）。根据触电者的具体情况，这两种方法可单独应用，也可以配合应用。</w:t>
      </w:r>
    </w:p>
    <w:p w14:paraId="6FB90EC7">
      <w:pPr>
        <w:bidi w:val="0"/>
        <w:ind w:firstLine="480" w:firstLineChars="200"/>
        <w:rPr>
          <w:rFonts w:hint="eastAsia" w:eastAsia="宋体" w:cs="Times New Roman"/>
          <w:lang w:val="en-US" w:eastAsia="zh-CN"/>
        </w:rPr>
      </w:pPr>
      <w:r>
        <w:rPr>
          <w:rFonts w:hint="eastAsia" w:eastAsia="宋体" w:cs="Times New Roman"/>
          <w:lang w:val="en-US" w:eastAsia="zh-CN"/>
        </w:rPr>
        <w:t>①口对口（鼻）式人工呼吸法的步骤</w:t>
      </w:r>
    </w:p>
    <w:p w14:paraId="38ACC692">
      <w:pPr>
        <w:bidi w:val="0"/>
        <w:ind w:firstLine="480" w:firstLineChars="200"/>
        <w:rPr>
          <w:rFonts w:hint="eastAsia" w:eastAsia="宋体" w:cs="Times New Roman"/>
          <w:lang w:val="en-US" w:eastAsia="zh-CN"/>
        </w:rPr>
      </w:pPr>
      <w:r>
        <w:rPr>
          <w:rFonts w:hint="eastAsia" w:eastAsia="宋体" w:cs="Times New Roman"/>
          <w:lang w:val="en-US" w:eastAsia="zh-CN"/>
        </w:rPr>
        <w:t>使触电者仰卧，头部尽量后仰鼻孔朝天，下鄂尖部与前胸大体保持在一条水平线上；触电者颈部下方可以垫起，但不可在触电者头部下方垫枕头或其他物品，以免堵塞呼吸道。</w:t>
      </w:r>
    </w:p>
    <w:p w14:paraId="7AD64A7E">
      <w:pPr>
        <w:bidi w:val="0"/>
        <w:ind w:firstLine="480" w:firstLineChars="200"/>
        <w:rPr>
          <w:rFonts w:hint="eastAsia" w:eastAsia="宋体" w:cs="Times New Roman"/>
          <w:lang w:val="en-US" w:eastAsia="zh-CN"/>
        </w:rPr>
      </w:pPr>
      <w:r>
        <w:rPr>
          <w:rFonts w:hint="eastAsia" w:eastAsia="宋体" w:cs="Times New Roman"/>
          <w:lang w:val="en-US" w:eastAsia="zh-CN"/>
        </w:rPr>
        <w:t>使触电者鼻孔（或口）紧闭，救护人深吸一口气后紧靠触电者的口（鼻）向内吹气，为时约2s。</w:t>
      </w:r>
    </w:p>
    <w:p w14:paraId="3C9440A6">
      <w:pPr>
        <w:bidi w:val="0"/>
        <w:ind w:firstLine="480" w:firstLineChars="200"/>
        <w:rPr>
          <w:rFonts w:hint="eastAsia" w:eastAsia="宋体" w:cs="Times New Roman"/>
          <w:lang w:val="en-US" w:eastAsia="zh-CN"/>
        </w:rPr>
      </w:pPr>
      <w:r>
        <w:rPr>
          <w:rFonts w:hint="eastAsia" w:eastAsia="宋体" w:cs="Times New Roman"/>
          <w:lang w:val="en-US" w:eastAsia="zh-CN"/>
        </w:rPr>
        <w:t>吹气完毕，立即离开触电者的口（鼻），并松开触电者的口（或鼻），让他自行呼气，为时3s。</w:t>
      </w:r>
    </w:p>
    <w:p w14:paraId="454895B4">
      <w:pPr>
        <w:bidi w:val="0"/>
        <w:ind w:firstLine="480" w:firstLineChars="200"/>
        <w:rPr>
          <w:rFonts w:hint="eastAsia" w:eastAsia="宋体" w:cs="Times New Roman"/>
          <w:lang w:val="en-US" w:eastAsia="zh-CN"/>
        </w:rPr>
      </w:pPr>
      <w:r>
        <w:rPr>
          <w:rFonts w:hint="eastAsia" w:eastAsia="宋体" w:cs="Times New Roman"/>
          <w:lang w:val="en-US" w:eastAsia="zh-CN"/>
        </w:rPr>
        <w:t>②心脏挤压的操作方法、步骤</w:t>
      </w:r>
    </w:p>
    <w:p w14:paraId="3F6DFCC7">
      <w:pPr>
        <w:bidi w:val="0"/>
        <w:ind w:firstLine="480" w:firstLineChars="200"/>
        <w:rPr>
          <w:rFonts w:hint="eastAsia" w:eastAsia="宋体" w:cs="Times New Roman"/>
          <w:lang w:val="en-US" w:eastAsia="zh-CN"/>
        </w:rPr>
      </w:pPr>
      <w:r>
        <w:rPr>
          <w:rFonts w:hint="eastAsia" w:eastAsia="宋体" w:cs="Times New Roman"/>
          <w:lang w:val="en-US" w:eastAsia="zh-CN"/>
        </w:rPr>
        <w:t>如果触电者呼吸没停而心脏跳动停止了，则应进行心脏挤压。施行胸外挤压是使触电者仰卧在比较坚实的地或地板上，仰卧姿势与口对口（鼻）人工呼吸的姿势同。</w:t>
      </w:r>
    </w:p>
    <w:p w14:paraId="7FEE6D6F">
      <w:pPr>
        <w:bidi w:val="0"/>
        <w:ind w:firstLine="480" w:firstLineChars="200"/>
        <w:rPr>
          <w:rFonts w:hint="eastAsia" w:eastAsia="宋体" w:cs="Times New Roman"/>
          <w:lang w:val="en-US" w:eastAsia="zh-CN"/>
        </w:rPr>
      </w:pPr>
      <w:r>
        <w:rPr>
          <w:rFonts w:hint="eastAsia" w:eastAsia="宋体" w:cs="Times New Roman"/>
          <w:lang w:val="en-US" w:eastAsia="zh-CN"/>
        </w:rPr>
        <w:t>救护者脆在触电者腰部一侧，或者骑跪在他的身上，两手相叠，手掌根部放在心窝稍高一点的地方，即两乳头间略下一点，胸骨下三分之一处。</w:t>
      </w:r>
    </w:p>
    <w:p w14:paraId="4D6D154C">
      <w:pPr>
        <w:bidi w:val="0"/>
        <w:ind w:firstLine="480" w:firstLineChars="200"/>
        <w:rPr>
          <w:rFonts w:hint="eastAsia" w:eastAsia="宋体" w:cs="Times New Roman"/>
          <w:lang w:val="en-US" w:eastAsia="zh-CN"/>
        </w:rPr>
      </w:pPr>
      <w:r>
        <w:rPr>
          <w:rFonts w:hint="eastAsia" w:eastAsia="宋体" w:cs="Times New Roman"/>
          <w:lang w:val="en-US" w:eastAsia="zh-CN"/>
        </w:rPr>
        <w:t>掌根用力向下（脊背方向）挤压，压出心脏里面的血液。对成人应压陷3～4cm。以每秒挤压一次，每分挤压60次为宜。</w:t>
      </w:r>
    </w:p>
    <w:p w14:paraId="32C5E494">
      <w:pPr>
        <w:bidi w:val="0"/>
        <w:ind w:firstLine="480" w:firstLineChars="200"/>
        <w:rPr>
          <w:rFonts w:hint="eastAsia" w:eastAsia="宋体" w:cs="Times New Roman"/>
          <w:lang w:val="en-US" w:eastAsia="zh-CN"/>
        </w:rPr>
      </w:pPr>
      <w:r>
        <w:rPr>
          <w:rFonts w:hint="eastAsia" w:eastAsia="宋体" w:cs="Times New Roman"/>
          <w:lang w:val="en-US" w:eastAsia="zh-CN"/>
        </w:rPr>
        <w:t>挤压后，掌根迅速全部放松，让触电者胸廓自动复原，血液充满心脏。放松时掌根不必完全离开胸廓。触电者如系儿童，只用一只手挤压，用力要轻一些，以免损伤胸骨，而且每分钟挤压100次。</w:t>
      </w:r>
    </w:p>
    <w:p w14:paraId="5F78FCE6">
      <w:pPr>
        <w:bidi w:val="0"/>
        <w:ind w:firstLine="480" w:firstLineChars="200"/>
        <w:rPr>
          <w:rFonts w:hint="eastAsia" w:eastAsia="宋体" w:cs="Times New Roman"/>
          <w:lang w:val="en-US" w:eastAsia="zh-CN"/>
        </w:rPr>
      </w:pPr>
      <w:r>
        <w:rPr>
          <w:rFonts w:hint="eastAsia" w:eastAsia="宋体" w:cs="Times New Roman"/>
          <w:lang w:val="en-US" w:eastAsia="zh-CN"/>
        </w:rPr>
        <w:t>应当指出，心脏跳动和呼吸互相联系的，心脏跳动停止了，呼吸很快就会停止；呼吸停止了。心脏跳动也维持不了多久。一旦呼吸和心脏跳动都停止了，则应当同时进行口对口（鼻）人工呼吸和胸外心脏挤压。如果现场仅一个人抢救，则两种方法交替进行，每吸气2～3次，再挤压10～15次。急救过程中，如果触电者身上出现尸班或身体僵硬，经医生做出无法救活的诊断后方可停止人工氧合。</w:t>
      </w:r>
    </w:p>
    <w:p w14:paraId="7433BA43">
      <w:pPr>
        <w:bidi w:val="0"/>
        <w:ind w:firstLine="480" w:firstLineChars="200"/>
        <w:rPr>
          <w:rFonts w:hint="eastAsia" w:eastAsia="宋体" w:cs="Times New Roman"/>
          <w:lang w:val="en-US" w:eastAsia="zh-CN"/>
        </w:rPr>
      </w:pPr>
      <w:r>
        <w:rPr>
          <w:rFonts w:hint="eastAsia" w:eastAsia="宋体" w:cs="Times New Roman"/>
          <w:lang w:val="en-US" w:eastAsia="zh-CN"/>
        </w:rPr>
        <w:t>救护组在抢救触电者恢复清醒的情况下，联系救护车，用担架将伤员抬到车上，送往医院继续救护。</w:t>
      </w:r>
    </w:p>
    <w:p w14:paraId="3B8D8DE0">
      <w:pPr>
        <w:bidi w:val="0"/>
        <w:ind w:firstLine="480" w:firstLineChars="200"/>
        <w:rPr>
          <w:rFonts w:hint="eastAsia" w:eastAsia="宋体" w:cs="Times New Roman"/>
          <w:lang w:val="en-US" w:eastAsia="zh-CN"/>
        </w:rPr>
      </w:pPr>
      <w:r>
        <w:rPr>
          <w:rFonts w:hint="eastAsia" w:eastAsia="宋体" w:cs="Times New Roman"/>
          <w:lang w:val="en-US" w:eastAsia="zh-CN"/>
        </w:rPr>
        <w:t>对发生触电事故的电气线路设备，进行全面检查和修复工作。</w:t>
      </w:r>
    </w:p>
    <w:p w14:paraId="281C65C6">
      <w:pPr>
        <w:pStyle w:val="4"/>
        <w:tabs>
          <w:tab w:val="left" w:pos="0"/>
          <w:tab w:val="left" w:pos="630"/>
          <w:tab w:val="clear" w:pos="312"/>
        </w:tabs>
        <w:bidi w:val="0"/>
        <w:rPr>
          <w:rFonts w:hint="eastAsia"/>
          <w:lang w:val="en-US" w:eastAsia="zh-CN"/>
        </w:rPr>
      </w:pPr>
      <w:r>
        <w:rPr>
          <w:rFonts w:hint="eastAsia"/>
          <w:lang w:val="en-US" w:eastAsia="zh-CN"/>
        </w:rPr>
        <w:t>5.1.4落物伤害事故及应急处置方案</w:t>
      </w:r>
    </w:p>
    <w:p w14:paraId="28747178">
      <w:pPr>
        <w:bidi w:val="0"/>
        <w:ind w:firstLine="480" w:firstLineChars="200"/>
        <w:rPr>
          <w:rFonts w:hint="eastAsia" w:eastAsia="宋体" w:cs="Times New Roman"/>
          <w:lang w:val="en-US" w:eastAsia="zh-CN"/>
        </w:rPr>
      </w:pPr>
      <w:r>
        <w:rPr>
          <w:rFonts w:hint="eastAsia" w:eastAsia="宋体" w:cs="Times New Roman"/>
          <w:lang w:val="en-US" w:eastAsia="zh-CN"/>
        </w:rPr>
        <w:t>当发生物体打击事故后，抢救的重点放在颅脑损伤、胸部骨折和出血上进行处理。</w:t>
      </w:r>
    </w:p>
    <w:p w14:paraId="1DDA3E4A">
      <w:pPr>
        <w:bidi w:val="0"/>
        <w:ind w:firstLine="480" w:firstLineChars="200"/>
        <w:rPr>
          <w:rFonts w:hint="eastAsia" w:eastAsia="宋体" w:cs="Times New Roman"/>
          <w:lang w:val="en-US" w:eastAsia="zh-CN"/>
        </w:rPr>
      </w:pPr>
      <w:r>
        <w:rPr>
          <w:rFonts w:hint="eastAsia" w:eastAsia="宋体" w:cs="Times New Roman"/>
          <w:lang w:val="en-US" w:eastAsia="zh-CN"/>
        </w:rPr>
        <w:t>发生的物体打击事故，应马上组织抢救伤者，首先观察伤者的受伤情况、部位、伤害性质，如务员发生休克，应先处理休克。遇呼吸、心跳停止者，应立即进行人工呼吸，胸外心脏挤压。处于休克状态的伤员要让其安静、保暖、平卧、少动，并将下肢抬高约20度左右，尽快送医院进行抢救治疗。</w:t>
      </w:r>
    </w:p>
    <w:p w14:paraId="5ED0B507">
      <w:pPr>
        <w:bidi w:val="0"/>
        <w:ind w:firstLine="480" w:firstLineChars="200"/>
        <w:rPr>
          <w:rFonts w:hint="eastAsia" w:eastAsia="宋体" w:cs="Times New Roman"/>
          <w:lang w:val="en-US" w:eastAsia="zh-CN"/>
        </w:rPr>
      </w:pPr>
      <w:r>
        <w:rPr>
          <w:rFonts w:hint="eastAsia" w:eastAsia="宋体" w:cs="Times New Roman"/>
          <w:lang w:val="en-US" w:eastAsia="zh-CN"/>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w:t>
      </w:r>
    </w:p>
    <w:p w14:paraId="605B1EA8">
      <w:pPr>
        <w:pStyle w:val="4"/>
        <w:tabs>
          <w:tab w:val="left" w:pos="0"/>
          <w:tab w:val="left" w:pos="630"/>
          <w:tab w:val="clear" w:pos="312"/>
        </w:tabs>
        <w:bidi w:val="0"/>
        <w:rPr>
          <w:rFonts w:hint="eastAsia"/>
          <w:lang w:val="en-US" w:eastAsia="zh-CN"/>
        </w:rPr>
      </w:pPr>
      <w:r>
        <w:rPr>
          <w:rFonts w:hint="eastAsia"/>
          <w:lang w:val="en-US" w:eastAsia="zh-CN"/>
        </w:rPr>
        <w:t>5.1.5车辆伤害事故应急处置方案</w:t>
      </w:r>
    </w:p>
    <w:p w14:paraId="432E549F">
      <w:pPr>
        <w:bidi w:val="0"/>
        <w:ind w:firstLine="480" w:firstLineChars="200"/>
        <w:rPr>
          <w:rFonts w:hint="eastAsia" w:eastAsia="宋体" w:cs="Times New Roman"/>
          <w:lang w:val="en-US" w:eastAsia="zh-CN"/>
        </w:rPr>
      </w:pPr>
      <w:r>
        <w:rPr>
          <w:rFonts w:hint="eastAsia" w:eastAsia="宋体" w:cs="Times New Roman"/>
          <w:lang w:val="en-US" w:eastAsia="zh-CN"/>
        </w:rPr>
        <w:t>发生事故后，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就近有条件医院进行抢救治疗。方法如下：</w:t>
      </w:r>
    </w:p>
    <w:p w14:paraId="28FB601E">
      <w:pPr>
        <w:bidi w:val="0"/>
        <w:ind w:firstLine="480" w:firstLineChars="200"/>
        <w:rPr>
          <w:rFonts w:hint="eastAsia" w:eastAsia="宋体" w:cs="Times New Roman"/>
          <w:lang w:val="en-US" w:eastAsia="zh-CN"/>
        </w:rPr>
      </w:pPr>
      <w:r>
        <w:rPr>
          <w:rFonts w:hint="eastAsia" w:eastAsia="宋体" w:cs="Times New Roman"/>
          <w:lang w:val="en-US" w:eastAsia="zh-CN"/>
        </w:rPr>
        <w:t>口对口（鼻）人工呼吸。使受伤者仰卧，松解衣扣和腰带，清除受伤者腔内痰液、呕吐物、血块、泥土等，保持呼吸道通畅。救护人员一手将受伤者下颌托起，使其头尽量后仰，另一只手捏住受伤者的鼻孔，深呼一口气，对着受伤者的口用力吹气，然后立即离开受伤者口，同时松开捏鼻孔的手。吹气力量要适中，次数以每分钟16～18次为宜。</w:t>
      </w:r>
    </w:p>
    <w:p w14:paraId="2332EE4B">
      <w:pPr>
        <w:bidi w:val="0"/>
        <w:ind w:firstLine="480" w:firstLineChars="200"/>
        <w:rPr>
          <w:rFonts w:hint="eastAsia" w:eastAsia="宋体" w:cs="Times New Roman"/>
          <w:lang w:val="en-US" w:eastAsia="zh-CN"/>
        </w:rPr>
      </w:pPr>
      <w:r>
        <w:rPr>
          <w:rFonts w:hint="eastAsia" w:eastAsia="宋体" w:cs="Times New Roman"/>
          <w:lang w:val="en-US" w:eastAsia="zh-CN"/>
        </w:rPr>
        <w:t>胸外心脏挤压。将受伤者仰卧在地上或硬板床上，救护人员跪或站于受伤者一侧，面对受伤者，将右手掌置于受伤者胸骨下段及剑突部，左手置于右手之上，以上身的重量用力把胸骨下段向后压向脊柱，随后将手腕放松，每分钟挤压60～80次。在进行胸外心脏挤压时，宜将受伤者头放低以利静脉血回流。若受伤者同时伴有呼吸停止，在进行胸外心脏挤压时，还应进行人工呼吸。一般做4次胸外心脏挤压，做1次人工呼吸。</w:t>
      </w:r>
    </w:p>
    <w:p w14:paraId="6643BC0A">
      <w:pPr>
        <w:bidi w:val="0"/>
        <w:ind w:firstLine="480" w:firstLineChars="200"/>
        <w:rPr>
          <w:rFonts w:hint="eastAsia" w:eastAsia="宋体" w:cs="Times New Roman"/>
          <w:lang w:val="en-US" w:eastAsia="zh-CN"/>
        </w:rPr>
      </w:pPr>
      <w:r>
        <w:rPr>
          <w:rFonts w:hint="eastAsia" w:eastAsia="宋体" w:cs="Times New Roman"/>
          <w:lang w:val="en-US" w:eastAsia="zh-CN"/>
        </w:rPr>
        <w:t>出现颅脑损伤，必须维持呼吸道通畅。昏迷着应平卧，面部转向一侧，以防舌根下坠或分泌物、呕吐物吸入，发生喉阻塞。有骨折者，应初步固定后再搬运。</w:t>
      </w:r>
    </w:p>
    <w:p w14:paraId="29E60380">
      <w:pPr>
        <w:bidi w:val="0"/>
        <w:ind w:firstLine="480" w:firstLineChars="200"/>
        <w:rPr>
          <w:rFonts w:hint="eastAsia" w:eastAsia="宋体" w:cs="Times New Roman"/>
          <w:lang w:val="en-US" w:eastAsia="zh-CN"/>
        </w:rPr>
      </w:pPr>
      <w:r>
        <w:rPr>
          <w:rFonts w:hint="eastAsia" w:eastAsia="宋体" w:cs="Times New Roman"/>
          <w:lang w:val="en-US" w:eastAsia="zh-CN"/>
        </w:rPr>
        <w:t>遇有凹陷骨折、严重的颅底骨折及严重的脑损伤症状出现，创伤处用消毒的纱布或清洁布等覆盖伤口，用绷带或布条包扎后，及时送就近有条件的医院治疗。</w:t>
      </w:r>
    </w:p>
    <w:p w14:paraId="638897F7">
      <w:pPr>
        <w:pStyle w:val="4"/>
        <w:tabs>
          <w:tab w:val="left" w:pos="0"/>
          <w:tab w:val="left" w:pos="630"/>
          <w:tab w:val="clear" w:pos="312"/>
        </w:tabs>
        <w:bidi w:val="0"/>
        <w:rPr>
          <w:rFonts w:hint="eastAsia"/>
          <w:lang w:val="en-US" w:eastAsia="zh-CN"/>
        </w:rPr>
      </w:pPr>
      <w:r>
        <w:rPr>
          <w:rFonts w:hint="eastAsia"/>
          <w:lang w:val="en-US" w:eastAsia="zh-CN"/>
        </w:rPr>
        <w:t>5.1.6坍塌事故应急处置措施</w:t>
      </w:r>
    </w:p>
    <w:p w14:paraId="506C429D">
      <w:pPr>
        <w:rPr>
          <w:rFonts w:hint="default"/>
          <w:b/>
          <w:bCs/>
          <w:lang w:val="en-US" w:eastAsia="zh-CN"/>
        </w:rPr>
      </w:pPr>
      <w:r>
        <w:rPr>
          <w:rFonts w:hint="eastAsia"/>
          <w:b/>
          <w:bCs/>
          <w:lang w:val="en-US" w:eastAsia="zh-CN"/>
        </w:rPr>
        <w:t>1、指挥与控制</w:t>
      </w:r>
    </w:p>
    <w:p w14:paraId="7C35A93B">
      <w:pPr>
        <w:bidi w:val="0"/>
        <w:ind w:firstLine="480" w:firstLineChars="200"/>
        <w:rPr>
          <w:rFonts w:hint="default" w:eastAsia="宋体" w:cs="Times New Roman"/>
          <w:lang w:val="en-US" w:eastAsia="zh-CN"/>
        </w:rPr>
      </w:pPr>
      <w:r>
        <w:rPr>
          <w:rFonts w:hint="eastAsia" w:eastAsia="宋体" w:cs="Times New Roman"/>
          <w:lang w:val="en-US" w:eastAsia="zh-CN"/>
        </w:rPr>
        <w:t>安全应急领导小组在接到事故报告后，立即赶往事故现场，在应急领导小组组长的指挥下按预案各司其职，有序组织救援行动：</w:t>
      </w:r>
      <w:r>
        <w:rPr>
          <w:rFonts w:hint="default" w:eastAsia="宋体" w:cs="Times New Roman"/>
          <w:lang w:val="en-US" w:eastAsia="zh-CN"/>
        </w:rPr>
        <w:t>分析现场事故情况，明确救援步骤、所需设备、设施及人员，按照</w:t>
      </w:r>
      <w:r>
        <w:rPr>
          <w:rFonts w:hint="eastAsia" w:eastAsia="宋体" w:cs="Times New Roman"/>
          <w:lang w:val="en-US" w:eastAsia="zh-CN"/>
        </w:rPr>
        <w:t>现场救援方案，</w:t>
      </w:r>
      <w:r>
        <w:rPr>
          <w:rFonts w:hint="default" w:eastAsia="宋体" w:cs="Times New Roman"/>
          <w:lang w:val="en-US" w:eastAsia="zh-CN"/>
        </w:rPr>
        <w:t>分工实施救援。需要救援车辆时，应急指挥安排专人接车，引领救援车辆迅速施救。</w:t>
      </w:r>
    </w:p>
    <w:p w14:paraId="5234C483">
      <w:pPr>
        <w:bidi w:val="0"/>
        <w:ind w:firstLine="480" w:firstLineChars="200"/>
        <w:rPr>
          <w:rFonts w:hint="eastAsia" w:eastAsia="宋体" w:cs="Times New Roman"/>
          <w:lang w:val="en-US" w:eastAsia="zh-CN"/>
        </w:rPr>
      </w:pPr>
      <w:r>
        <w:rPr>
          <w:rFonts w:hint="eastAsia" w:eastAsia="宋体" w:cs="Times New Roman"/>
          <w:lang w:val="en-US" w:eastAsia="zh-CN"/>
        </w:rPr>
        <w:t>（1）首先，救援队和管理人员共同识别危险：确定是否有继发性危险源。比如断掉的高低压线是否带电；塔机部件和其他部件是否有继续倒塌的危险；伤亡。</w:t>
      </w:r>
    </w:p>
    <w:p w14:paraId="239E3D52">
      <w:pPr>
        <w:bidi w:val="0"/>
        <w:ind w:firstLine="480" w:firstLineChars="200"/>
        <w:rPr>
          <w:rFonts w:hint="eastAsia" w:eastAsia="宋体" w:cs="Times New Roman"/>
          <w:lang w:val="en-US" w:eastAsia="zh-CN"/>
        </w:rPr>
      </w:pPr>
      <w:r>
        <w:rPr>
          <w:rFonts w:hint="eastAsia" w:eastAsia="宋体" w:cs="Times New Roman"/>
          <w:lang w:val="en-US" w:eastAsia="zh-CN"/>
        </w:rPr>
        <w:t>（2）抢险救援组负责将事故现场附近的操作人员疏散到安全区域，并进行警戒，防止闲人靠近，注意礼貌用语。</w:t>
      </w:r>
    </w:p>
    <w:p w14:paraId="51F45907">
      <w:pPr>
        <w:bidi w:val="0"/>
        <w:ind w:firstLine="480" w:firstLineChars="200"/>
        <w:rPr>
          <w:rFonts w:hint="eastAsia" w:eastAsia="宋体" w:cs="Times New Roman"/>
          <w:lang w:val="en-US" w:eastAsia="zh-CN"/>
        </w:rPr>
      </w:pPr>
      <w:r>
        <w:rPr>
          <w:rFonts w:hint="eastAsia" w:eastAsia="宋体" w:cs="Times New Roman"/>
          <w:lang w:val="en-US" w:eastAsia="zh-CN"/>
        </w:rPr>
        <w:t>（3）施工现场值班电工负责切断危险电气线路的电源。如果在晚上，打开必要的照明。</w:t>
      </w:r>
    </w:p>
    <w:p w14:paraId="6EEAA736">
      <w:pPr>
        <w:bidi w:val="0"/>
        <w:ind w:firstLine="480" w:firstLineChars="200"/>
        <w:rPr>
          <w:rFonts w:hint="eastAsia" w:eastAsia="宋体" w:cs="Times New Roman"/>
          <w:lang w:val="en-US" w:eastAsia="zh-CN"/>
        </w:rPr>
      </w:pPr>
      <w:r>
        <w:rPr>
          <w:rFonts w:hint="eastAsia" w:eastAsia="宋体" w:cs="Times New Roman"/>
          <w:lang w:val="en-US" w:eastAsia="zh-CN"/>
        </w:rPr>
        <w:t>（4）在排除继续倒塌或触电危险后，救援队将立即对伤员进行抢救。在联系救护车的同时，及时进行包扎止血，将伤员用担架转移至安全区域、救护车或备用救援车送往医院。</w:t>
      </w:r>
    </w:p>
    <w:p w14:paraId="0625E5FD">
      <w:pPr>
        <w:bidi w:val="0"/>
        <w:ind w:firstLine="480" w:firstLineChars="200"/>
        <w:rPr>
          <w:rFonts w:hint="eastAsia" w:eastAsia="宋体" w:cs="Times New Roman"/>
          <w:lang w:val="en-US" w:eastAsia="zh-CN"/>
        </w:rPr>
      </w:pPr>
      <w:r>
        <w:rPr>
          <w:rFonts w:hint="eastAsia" w:eastAsia="宋体" w:cs="Times New Roman"/>
          <w:lang w:val="en-US" w:eastAsia="zh-CN"/>
        </w:rPr>
        <w:t>（5）翻倒变形塔式起重机的拆卸和修理应在塔式起重机生产厂家的指导下进行。</w:t>
      </w:r>
    </w:p>
    <w:p w14:paraId="729961C1">
      <w:pPr>
        <w:bidi w:val="0"/>
        <w:ind w:firstLine="480" w:firstLineChars="200"/>
        <w:rPr>
          <w:rFonts w:hint="eastAsia" w:eastAsia="宋体" w:cs="Times New Roman"/>
          <w:lang w:val="en-US" w:eastAsia="zh-CN"/>
        </w:rPr>
      </w:pPr>
      <w:r>
        <w:rPr>
          <w:rFonts w:hint="eastAsia" w:eastAsia="宋体" w:cs="Times New Roman"/>
          <w:lang w:val="en-US" w:eastAsia="zh-CN"/>
        </w:rPr>
        <w:t>（6）塔机事故应急救援完成后，应急领导小组组长（项目经理）立即召集副经理、技术员、安全员和塔机司机全体同志对事故进行调查，查明事故原因、责任人并制定整改措施防止类似事件再次发生的措施。</w:t>
      </w:r>
    </w:p>
    <w:p w14:paraId="14102DDD">
      <w:pPr>
        <w:bidi w:val="0"/>
        <w:ind w:firstLine="480" w:firstLineChars="200"/>
        <w:rPr>
          <w:rFonts w:hint="eastAsia" w:eastAsia="宋体" w:cs="Times New Roman"/>
          <w:lang w:val="en-US" w:eastAsia="zh-CN"/>
        </w:rPr>
      </w:pPr>
      <w:r>
        <w:rPr>
          <w:rFonts w:hint="eastAsia" w:eastAsia="宋体" w:cs="Times New Roman"/>
          <w:lang w:val="en-US" w:eastAsia="zh-CN"/>
        </w:rPr>
        <w:t>（7）审查和修订应急预案的有效性。</w:t>
      </w:r>
    </w:p>
    <w:p w14:paraId="6FCC7A15">
      <w:pPr>
        <w:bidi w:val="0"/>
        <w:rPr>
          <w:rFonts w:hint="default"/>
          <w:b/>
          <w:bCs/>
          <w:lang w:val="en-US" w:eastAsia="zh-CN"/>
        </w:rPr>
      </w:pPr>
      <w:r>
        <w:rPr>
          <w:rFonts w:hint="eastAsia"/>
          <w:b/>
          <w:bCs/>
          <w:lang w:val="en-US" w:eastAsia="zh-CN"/>
        </w:rPr>
        <w:t>2、</w:t>
      </w:r>
      <w:r>
        <w:rPr>
          <w:rFonts w:hint="default"/>
          <w:b/>
          <w:bCs/>
          <w:lang w:val="en-US" w:eastAsia="zh-CN"/>
        </w:rPr>
        <w:t>塔式起重机出现事故征兆时的应急措施</w:t>
      </w:r>
    </w:p>
    <w:p w14:paraId="4DE2A84E">
      <w:pPr>
        <w:bidi w:val="0"/>
        <w:ind w:firstLine="480" w:firstLineChars="200"/>
        <w:rPr>
          <w:rFonts w:hint="default" w:eastAsia="宋体" w:cs="Times New Roman"/>
          <w:lang w:val="en-US" w:eastAsia="zh-CN"/>
        </w:rPr>
      </w:pPr>
      <w:r>
        <w:rPr>
          <w:rFonts w:hint="eastAsia" w:eastAsia="宋体" w:cs="Times New Roman"/>
          <w:lang w:val="en-US" w:eastAsia="zh-CN"/>
        </w:rPr>
        <w:t>（1）</w:t>
      </w:r>
      <w:r>
        <w:rPr>
          <w:rFonts w:hint="default" w:eastAsia="宋体" w:cs="Times New Roman"/>
          <w:lang w:val="en-US" w:eastAsia="zh-CN"/>
        </w:rPr>
        <w:t>起重设备基础下沉、倾斜：</w:t>
      </w:r>
    </w:p>
    <w:p w14:paraId="62931192">
      <w:pPr>
        <w:bidi w:val="0"/>
        <w:ind w:firstLine="480" w:firstLineChars="200"/>
        <w:rPr>
          <w:rFonts w:hint="default" w:eastAsia="宋体" w:cs="Times New Roman"/>
          <w:lang w:val="en-US" w:eastAsia="zh-CN"/>
        </w:rPr>
      </w:pPr>
      <w:r>
        <w:rPr>
          <w:rFonts w:hint="default" w:eastAsia="宋体" w:cs="Times New Roman"/>
          <w:lang w:val="en-US" w:eastAsia="zh-CN"/>
        </w:rPr>
        <w:t>①应立即停止作业，并将回转机构锁住，限制其转动；</w:t>
      </w:r>
    </w:p>
    <w:p w14:paraId="3F727CB8">
      <w:pPr>
        <w:bidi w:val="0"/>
        <w:ind w:firstLine="480" w:firstLineChars="200"/>
        <w:rPr>
          <w:rFonts w:hint="default" w:eastAsia="宋体" w:cs="Times New Roman"/>
          <w:lang w:val="en-US" w:eastAsia="zh-CN"/>
        </w:rPr>
      </w:pPr>
      <w:r>
        <w:rPr>
          <w:rFonts w:hint="default" w:eastAsia="宋体" w:cs="Times New Roman"/>
          <w:lang w:val="en-US" w:eastAsia="zh-CN"/>
        </w:rPr>
        <w:t>②根据情况设置地锚，控制起重设备的倾斜。</w:t>
      </w:r>
    </w:p>
    <w:p w14:paraId="70676E01">
      <w:pPr>
        <w:bidi w:val="0"/>
        <w:ind w:firstLine="480" w:firstLineChars="200"/>
        <w:rPr>
          <w:rFonts w:hint="default" w:eastAsia="宋体" w:cs="Times New Roman"/>
          <w:lang w:val="en-US" w:eastAsia="zh-CN"/>
        </w:rPr>
      </w:pPr>
      <w:r>
        <w:rPr>
          <w:rFonts w:hint="eastAsia" w:eastAsia="宋体" w:cs="Times New Roman"/>
          <w:lang w:val="en-US" w:eastAsia="zh-CN"/>
        </w:rPr>
        <w:t>（2）</w:t>
      </w:r>
      <w:r>
        <w:rPr>
          <w:rFonts w:hint="default" w:eastAsia="宋体" w:cs="Times New Roman"/>
          <w:lang w:val="en-US" w:eastAsia="zh-CN"/>
        </w:rPr>
        <w:t>起重设备平衡臂、起重臂折臂：</w:t>
      </w:r>
    </w:p>
    <w:p w14:paraId="63409108">
      <w:pPr>
        <w:bidi w:val="0"/>
        <w:ind w:firstLine="480" w:firstLineChars="200"/>
        <w:rPr>
          <w:rFonts w:hint="default" w:eastAsia="宋体" w:cs="Times New Roman"/>
          <w:lang w:val="en-US" w:eastAsia="zh-CN"/>
        </w:rPr>
      </w:pPr>
      <w:r>
        <w:rPr>
          <w:rFonts w:hint="default" w:eastAsia="宋体" w:cs="Times New Roman"/>
          <w:lang w:val="en-US" w:eastAsia="zh-CN"/>
        </w:rPr>
        <w:t>①起重设备不能做任何运作；</w:t>
      </w:r>
    </w:p>
    <w:p w14:paraId="7C452287">
      <w:pPr>
        <w:bidi w:val="0"/>
        <w:ind w:firstLine="480" w:firstLineChars="200"/>
        <w:rPr>
          <w:rFonts w:hint="default" w:eastAsia="宋体" w:cs="Times New Roman"/>
          <w:lang w:val="en-US" w:eastAsia="zh-CN"/>
        </w:rPr>
      </w:pPr>
      <w:r>
        <w:rPr>
          <w:rFonts w:hint="default" w:eastAsia="宋体" w:cs="Times New Roman"/>
          <w:lang w:val="en-US" w:eastAsia="zh-CN"/>
        </w:rPr>
        <w:t>②按照抢险方案，根据情况</w:t>
      </w:r>
      <w:r>
        <w:rPr>
          <w:rFonts w:hint="eastAsia" w:eastAsia="宋体" w:cs="Times New Roman"/>
          <w:lang w:val="en-US" w:eastAsia="zh-CN"/>
        </w:rPr>
        <w:t>采用</w:t>
      </w:r>
      <w:r>
        <w:rPr>
          <w:rFonts w:hint="default" w:eastAsia="宋体" w:cs="Times New Roman"/>
          <w:lang w:val="en-US" w:eastAsia="zh-CN"/>
        </w:rPr>
        <w:t>焊接等手段，将起重设备结构加固，或用连接方法将起重设备结构与其它物体联接，防止起重设备倾翻和在拆除过程中发生意外；</w:t>
      </w:r>
    </w:p>
    <w:p w14:paraId="30A2012C">
      <w:pPr>
        <w:bidi w:val="0"/>
        <w:ind w:firstLine="480" w:firstLineChars="200"/>
        <w:rPr>
          <w:rFonts w:hint="default" w:eastAsia="宋体" w:cs="Times New Roman"/>
          <w:lang w:val="en-US" w:eastAsia="zh-CN"/>
        </w:rPr>
      </w:pPr>
      <w:r>
        <w:rPr>
          <w:rFonts w:hint="eastAsia" w:eastAsia="宋体" w:cs="Times New Roman"/>
          <w:lang w:val="en-US" w:eastAsia="zh-CN"/>
        </w:rPr>
        <w:t>③</w:t>
      </w:r>
      <w:r>
        <w:rPr>
          <w:rFonts w:hint="default" w:eastAsia="宋体" w:cs="Times New Roman"/>
          <w:lang w:val="en-US" w:eastAsia="zh-CN"/>
        </w:rPr>
        <w:t>按抢险方案规定的顺序，将起重臂或平衡臂连接</w:t>
      </w:r>
      <w:r>
        <w:rPr>
          <w:rFonts w:hint="eastAsia" w:eastAsia="宋体" w:cs="Times New Roman"/>
          <w:lang w:val="en-US" w:eastAsia="zh-CN"/>
        </w:rPr>
        <w:t>部位</w:t>
      </w:r>
      <w:r>
        <w:rPr>
          <w:rFonts w:hint="default" w:eastAsia="宋体" w:cs="Times New Roman"/>
          <w:lang w:val="en-US" w:eastAsia="zh-CN"/>
        </w:rPr>
        <w:t>中变形的连接件取下，用气焊割开，用起重机将臂杆取下；</w:t>
      </w:r>
    </w:p>
    <w:p w14:paraId="7B7B7DC3">
      <w:pPr>
        <w:bidi w:val="0"/>
        <w:ind w:firstLine="480" w:firstLineChars="200"/>
        <w:rPr>
          <w:rFonts w:hint="default" w:eastAsia="宋体" w:cs="Times New Roman"/>
          <w:lang w:val="en-US" w:eastAsia="zh-CN"/>
        </w:rPr>
      </w:pPr>
      <w:r>
        <w:rPr>
          <w:rFonts w:hint="eastAsia" w:eastAsia="宋体" w:cs="Times New Roman"/>
          <w:lang w:val="en-US" w:eastAsia="zh-CN"/>
        </w:rPr>
        <w:t>④在塔机供应商、专业拆除单位的指导下进行</w:t>
      </w:r>
      <w:r>
        <w:rPr>
          <w:rFonts w:hint="default" w:eastAsia="宋体" w:cs="Times New Roman"/>
          <w:lang w:val="en-US" w:eastAsia="zh-CN"/>
        </w:rPr>
        <w:t>拆塔</w:t>
      </w:r>
      <w:r>
        <w:rPr>
          <w:rFonts w:hint="eastAsia" w:eastAsia="宋体" w:cs="Times New Roman"/>
          <w:lang w:val="en-US" w:eastAsia="zh-CN"/>
        </w:rPr>
        <w:t>作业</w:t>
      </w:r>
      <w:r>
        <w:rPr>
          <w:rFonts w:hint="default" w:eastAsia="宋体" w:cs="Times New Roman"/>
          <w:lang w:val="en-US" w:eastAsia="zh-CN"/>
        </w:rPr>
        <w:t>。</w:t>
      </w:r>
    </w:p>
    <w:p w14:paraId="4F32DD1A">
      <w:pPr>
        <w:bidi w:val="0"/>
        <w:ind w:firstLine="480" w:firstLineChars="200"/>
        <w:rPr>
          <w:rFonts w:hint="default" w:eastAsia="宋体" w:cs="Times New Roman"/>
          <w:lang w:val="en-US" w:eastAsia="zh-CN"/>
        </w:rPr>
      </w:pPr>
      <w:r>
        <w:rPr>
          <w:rFonts w:hint="eastAsia" w:eastAsia="宋体" w:cs="Times New Roman"/>
          <w:lang w:val="en-US" w:eastAsia="zh-CN"/>
        </w:rPr>
        <w:t>（3）</w:t>
      </w:r>
      <w:r>
        <w:rPr>
          <w:rFonts w:hint="default" w:eastAsia="宋体" w:cs="Times New Roman"/>
          <w:lang w:val="en-US" w:eastAsia="zh-CN"/>
        </w:rPr>
        <w:t>起重设备倾翻：</w:t>
      </w:r>
    </w:p>
    <w:p w14:paraId="3D69D24B">
      <w:pPr>
        <w:bidi w:val="0"/>
        <w:ind w:firstLine="480" w:firstLineChars="200"/>
        <w:rPr>
          <w:rFonts w:hint="default" w:eastAsia="宋体" w:cs="Times New Roman"/>
          <w:lang w:val="en-US" w:eastAsia="zh-CN"/>
        </w:rPr>
      </w:pPr>
      <w:r>
        <w:rPr>
          <w:rFonts w:hint="default" w:eastAsia="宋体" w:cs="Times New Roman"/>
          <w:lang w:val="en-US" w:eastAsia="zh-CN"/>
        </w:rPr>
        <w:t>①采取焊接、连接方法，在不破坏失稳受力情况下增加平衡力矩，控制险情发展。</w:t>
      </w:r>
    </w:p>
    <w:p w14:paraId="0F47F13B">
      <w:pPr>
        <w:bidi w:val="0"/>
        <w:ind w:firstLine="480" w:firstLineChars="200"/>
        <w:rPr>
          <w:rFonts w:hint="default" w:eastAsia="宋体" w:cs="Times New Roman"/>
          <w:lang w:val="en-US" w:eastAsia="zh-CN"/>
        </w:rPr>
      </w:pPr>
      <w:r>
        <w:rPr>
          <w:rFonts w:hint="default" w:eastAsia="宋体" w:cs="Times New Roman"/>
          <w:lang w:val="en-US" w:eastAsia="zh-CN"/>
        </w:rPr>
        <w:t>②选用适量吨位起重机重机按照抢险方案将起重设备拆除，变形部件用气焊割开或调整。</w:t>
      </w:r>
    </w:p>
    <w:p w14:paraId="5375900C">
      <w:pPr>
        <w:bidi w:val="0"/>
        <w:ind w:firstLine="480" w:firstLineChars="200"/>
        <w:rPr>
          <w:rFonts w:hint="default" w:eastAsia="宋体" w:cs="Times New Roman"/>
          <w:lang w:val="en-US" w:eastAsia="zh-CN"/>
        </w:rPr>
      </w:pPr>
      <w:r>
        <w:rPr>
          <w:rFonts w:hint="eastAsia" w:eastAsia="宋体" w:cs="Times New Roman"/>
          <w:lang w:val="en-US" w:eastAsia="zh-CN"/>
        </w:rPr>
        <w:t>（4）</w:t>
      </w:r>
      <w:r>
        <w:rPr>
          <w:rFonts w:hint="default" w:eastAsia="宋体" w:cs="Times New Roman"/>
          <w:lang w:val="en-US" w:eastAsia="zh-CN"/>
        </w:rPr>
        <w:t>锚固系统险情：</w:t>
      </w:r>
    </w:p>
    <w:p w14:paraId="5DD4BFEE">
      <w:pPr>
        <w:bidi w:val="0"/>
        <w:ind w:firstLine="480" w:firstLineChars="200"/>
        <w:rPr>
          <w:rFonts w:hint="default" w:eastAsia="宋体" w:cs="Times New Roman"/>
          <w:lang w:val="en-US" w:eastAsia="zh-CN"/>
        </w:rPr>
      </w:pPr>
      <w:r>
        <w:rPr>
          <w:rFonts w:hint="default" w:eastAsia="宋体" w:cs="Times New Roman"/>
          <w:lang w:val="en-US" w:eastAsia="zh-CN"/>
        </w:rPr>
        <w:t>①将塔式平衡臂对应到建筑物，转臂过程要平稳并锁住；</w:t>
      </w:r>
    </w:p>
    <w:p w14:paraId="49D3574D">
      <w:pPr>
        <w:bidi w:val="0"/>
        <w:ind w:firstLine="480" w:firstLineChars="200"/>
        <w:rPr>
          <w:rFonts w:hint="default" w:eastAsia="宋体" w:cs="Times New Roman"/>
          <w:lang w:val="en-US" w:eastAsia="zh-CN"/>
        </w:rPr>
      </w:pPr>
      <w:r>
        <w:rPr>
          <w:rFonts w:hint="default" w:eastAsia="宋体" w:cs="Times New Roman"/>
          <w:lang w:val="en-US" w:eastAsia="zh-CN"/>
        </w:rPr>
        <w:t>②将起重设备锚固系统加固；</w:t>
      </w:r>
    </w:p>
    <w:p w14:paraId="092BC7CF">
      <w:pPr>
        <w:bidi w:val="0"/>
        <w:ind w:firstLine="480" w:firstLineChars="200"/>
        <w:rPr>
          <w:rFonts w:hint="default" w:eastAsia="宋体" w:cs="Times New Roman"/>
          <w:lang w:val="en-US" w:eastAsia="zh-CN"/>
        </w:rPr>
      </w:pPr>
      <w:r>
        <w:rPr>
          <w:rFonts w:hint="default" w:eastAsia="宋体" w:cs="Times New Roman"/>
          <w:lang w:val="en-US" w:eastAsia="zh-CN"/>
        </w:rPr>
        <w:t>③如需更换锚固系统部件，先将塔机降至规定高度后，再行更换部件。</w:t>
      </w:r>
    </w:p>
    <w:p w14:paraId="04A65DD0">
      <w:pPr>
        <w:bidi w:val="0"/>
        <w:ind w:firstLine="480" w:firstLineChars="200"/>
        <w:rPr>
          <w:rFonts w:hint="default" w:eastAsia="宋体" w:cs="Times New Roman"/>
          <w:lang w:val="en-US" w:eastAsia="zh-CN"/>
        </w:rPr>
      </w:pPr>
      <w:r>
        <w:rPr>
          <w:rFonts w:hint="eastAsia" w:eastAsia="宋体" w:cs="Times New Roman"/>
          <w:lang w:val="en-US" w:eastAsia="zh-CN"/>
        </w:rPr>
        <w:t>（5）</w:t>
      </w:r>
      <w:r>
        <w:rPr>
          <w:rFonts w:hint="default" w:eastAsia="宋体" w:cs="Times New Roman"/>
          <w:lang w:val="en-US" w:eastAsia="zh-CN"/>
        </w:rPr>
        <w:t>塔身结构变形、断裂、开焊：</w:t>
      </w:r>
    </w:p>
    <w:p w14:paraId="150A7054">
      <w:pPr>
        <w:bidi w:val="0"/>
        <w:ind w:firstLine="480" w:firstLineChars="200"/>
        <w:rPr>
          <w:rFonts w:hint="default" w:eastAsia="宋体" w:cs="Times New Roman"/>
          <w:lang w:val="en-US" w:eastAsia="zh-CN"/>
        </w:rPr>
      </w:pPr>
      <w:r>
        <w:rPr>
          <w:rFonts w:hint="default" w:eastAsia="宋体" w:cs="Times New Roman"/>
          <w:lang w:val="en-US" w:eastAsia="zh-CN"/>
        </w:rPr>
        <w:t>①将塔式平衡臂对应到变形部位转臂过程要平稳并锁住</w:t>
      </w:r>
      <w:r>
        <w:rPr>
          <w:rFonts w:hint="eastAsia" w:eastAsia="宋体" w:cs="Times New Roman"/>
          <w:lang w:val="en-US" w:eastAsia="zh-CN"/>
        </w:rPr>
        <w:t>；</w:t>
      </w:r>
    </w:p>
    <w:p w14:paraId="26C5B792">
      <w:pPr>
        <w:bidi w:val="0"/>
        <w:ind w:firstLine="480" w:firstLineChars="200"/>
        <w:rPr>
          <w:rFonts w:hint="default" w:eastAsia="宋体" w:cs="Times New Roman"/>
          <w:lang w:val="en-US" w:eastAsia="zh-CN"/>
        </w:rPr>
      </w:pPr>
      <w:r>
        <w:rPr>
          <w:rFonts w:hint="default" w:eastAsia="宋体" w:cs="Times New Roman"/>
          <w:lang w:val="en-US" w:eastAsia="zh-CN"/>
        </w:rPr>
        <w:t>②根据情况何用焊接等手段，将起重设备结构变形或断裂、开焊部位加固</w:t>
      </w:r>
      <w:r>
        <w:rPr>
          <w:rFonts w:hint="eastAsia" w:eastAsia="宋体" w:cs="Times New Roman"/>
          <w:lang w:val="en-US" w:eastAsia="zh-CN"/>
        </w:rPr>
        <w:t>；</w:t>
      </w:r>
    </w:p>
    <w:p w14:paraId="479DBB03">
      <w:pPr>
        <w:bidi w:val="0"/>
        <w:ind w:firstLine="480" w:firstLineChars="200"/>
        <w:rPr>
          <w:rFonts w:hint="default" w:eastAsia="宋体" w:cs="Times New Roman"/>
          <w:lang w:val="en-US" w:eastAsia="zh-CN"/>
        </w:rPr>
      </w:pPr>
      <w:r>
        <w:rPr>
          <w:rFonts w:hint="default" w:eastAsia="宋体" w:cs="Times New Roman"/>
          <w:lang w:val="en-US" w:eastAsia="zh-CN"/>
        </w:rPr>
        <w:t>③落塔更换损坏结构</w:t>
      </w:r>
      <w:r>
        <w:rPr>
          <w:rFonts w:hint="eastAsia" w:eastAsia="宋体" w:cs="Times New Roman"/>
          <w:lang w:val="en-US" w:eastAsia="zh-CN"/>
        </w:rPr>
        <w:t>；</w:t>
      </w:r>
    </w:p>
    <w:p w14:paraId="0B18E7FB">
      <w:pPr>
        <w:bidi w:val="0"/>
        <w:rPr>
          <w:rFonts w:hint="eastAsia"/>
          <w:b/>
          <w:bCs/>
          <w:lang w:val="en-US" w:eastAsia="zh-CN"/>
        </w:rPr>
      </w:pPr>
      <w:r>
        <w:rPr>
          <w:rFonts w:hint="eastAsia"/>
          <w:b/>
          <w:bCs/>
          <w:lang w:val="en-US" w:eastAsia="zh-CN"/>
        </w:rPr>
        <w:t>3、恢复生产及应急抢险总结</w:t>
      </w:r>
    </w:p>
    <w:p w14:paraId="5BD4AC76">
      <w:pPr>
        <w:bidi w:val="0"/>
        <w:ind w:firstLine="480" w:firstLineChars="200"/>
        <w:rPr>
          <w:rFonts w:hint="eastAsia" w:eastAsia="宋体" w:cs="Times New Roman"/>
          <w:lang w:val="en-US" w:eastAsia="zh-CN"/>
        </w:rPr>
      </w:pPr>
      <w:r>
        <w:rPr>
          <w:rFonts w:hint="eastAsia" w:eastAsia="宋体" w:cs="Times New Roman"/>
          <w:lang w:val="en-US" w:eastAsia="zh-CN"/>
        </w:rPr>
        <w:t>（1）抢险救援结束后，组织相关人员评审该应急预案的适应性，部分条款不适应时则予以修订；</w:t>
      </w:r>
    </w:p>
    <w:p w14:paraId="4365A50A">
      <w:pPr>
        <w:bidi w:val="0"/>
        <w:ind w:firstLine="480" w:firstLineChars="200"/>
        <w:rPr>
          <w:rFonts w:hint="default" w:eastAsia="宋体" w:cs="Times New Roman"/>
          <w:lang w:val="en-US" w:eastAsia="zh-CN"/>
        </w:rPr>
      </w:pPr>
      <w:r>
        <w:rPr>
          <w:rFonts w:hint="eastAsia" w:eastAsia="宋体" w:cs="Times New Roman"/>
          <w:lang w:val="en-US" w:eastAsia="zh-CN"/>
        </w:rPr>
        <w:t>（2）组织监理单位、业主、设计等相关单位召开恢复生产会，对事故发生的原因进行分析，确定恢复生产的施工措施。</w:t>
      </w:r>
    </w:p>
    <w:p w14:paraId="5D290A1C">
      <w:pPr>
        <w:pStyle w:val="3"/>
        <w:tabs>
          <w:tab w:val="left" w:pos="525"/>
          <w:tab w:val="left" w:pos="601"/>
          <w:tab w:val="clear" w:pos="240"/>
        </w:tabs>
        <w:bidi w:val="0"/>
        <w:rPr>
          <w:rFonts w:hint="default"/>
          <w:lang w:val="en-US" w:eastAsia="zh-CN"/>
        </w:rPr>
      </w:pPr>
      <w:bookmarkStart w:id="98" w:name="_Toc8320"/>
      <w:bookmarkStart w:id="99" w:name="_Toc25962"/>
      <w:bookmarkStart w:id="100" w:name="_Toc4330"/>
      <w:bookmarkStart w:id="101" w:name="_Toc25729"/>
      <w:r>
        <w:rPr>
          <w:rFonts w:hint="eastAsia"/>
          <w:lang w:val="en-US" w:eastAsia="zh-CN"/>
        </w:rPr>
        <w:t>5.2</w:t>
      </w:r>
      <w:bookmarkEnd w:id="98"/>
      <w:bookmarkEnd w:id="99"/>
      <w:bookmarkEnd w:id="100"/>
      <w:r>
        <w:rPr>
          <w:rFonts w:hint="eastAsia"/>
          <w:lang w:val="en-US" w:eastAsia="zh-CN"/>
        </w:rPr>
        <w:t>紧急救援措施</w:t>
      </w:r>
      <w:bookmarkEnd w:id="101"/>
    </w:p>
    <w:bookmarkEnd w:id="85"/>
    <w:bookmarkEnd w:id="86"/>
    <w:bookmarkEnd w:id="87"/>
    <w:p w14:paraId="2B2C97D2">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为急救医生留出抢救通道，确保安全通道畅通，我部已与恭城县人民医院签订协议，联系电话120、0773-8212298。</w:t>
      </w:r>
    </w:p>
    <w:p w14:paraId="42FC3D16">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应急救援路线：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24"/>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18415" b="254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40"/>
                    <a:srcRect b="6944"/>
                    <a:stretch>
                      <a:fillRect/>
                    </a:stretch>
                  </pic:blipFill>
                  <pic:spPr>
                    <a:xfrm>
                      <a:off x="0" y="0"/>
                      <a:ext cx="4458335" cy="2416810"/>
                    </a:xfrm>
                    <a:prstGeom prst="rect">
                      <a:avLst/>
                    </a:prstGeom>
                    <a:noFill/>
                    <a:ln w="9525">
                      <a:noFill/>
                    </a:ln>
                  </pic:spPr>
                </pic:pic>
              </a:graphicData>
            </a:graphic>
          </wp:inline>
        </w:drawing>
      </w:r>
    </w:p>
    <w:p w14:paraId="741763BE">
      <w:pPr>
        <w:bidi w:val="0"/>
        <w:jc w:val="center"/>
        <w:rPr>
          <w:rFonts w:hint="eastAsia"/>
          <w:lang w:val="en-US" w:eastAsia="zh-CN"/>
        </w:rPr>
      </w:pPr>
      <w:r>
        <w:rPr>
          <w:rFonts w:hint="eastAsia"/>
          <w:lang w:val="en-US" w:eastAsia="zh-CN"/>
        </w:rPr>
        <w:t>图5.2</w:t>
      </w:r>
      <w:r>
        <w:rPr>
          <w:rFonts w:hint="default"/>
          <w:lang w:val="en-US" w:eastAsia="zh-CN"/>
        </w:rPr>
        <w:t xml:space="preserve">-1 </w:t>
      </w:r>
      <w:r>
        <w:rPr>
          <w:rFonts w:hint="eastAsia"/>
          <w:lang w:val="en-US" w:eastAsia="zh-CN"/>
        </w:rPr>
        <w:t>应急路线图</w:t>
      </w:r>
    </w:p>
    <w:p w14:paraId="0EC0440F">
      <w:pPr>
        <w:bidi w:val="0"/>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4C5F11A2">
      <w:pPr>
        <w:pStyle w:val="2"/>
        <w:bidi w:val="0"/>
        <w:rPr>
          <w:rFonts w:hint="eastAsia"/>
          <w:lang w:val="en-US" w:eastAsia="zh-CN"/>
        </w:rPr>
      </w:pPr>
      <w:bookmarkStart w:id="102" w:name="_Toc23851"/>
      <w:r>
        <w:rPr>
          <w:rFonts w:hint="eastAsia"/>
          <w:lang w:val="en-US" w:eastAsia="zh-CN"/>
        </w:rPr>
        <w:t>6附件</w:t>
      </w:r>
      <w:bookmarkEnd w:id="88"/>
      <w:bookmarkEnd w:id="89"/>
      <w:bookmarkEnd w:id="90"/>
      <w:bookmarkEnd w:id="91"/>
      <w:bookmarkEnd w:id="92"/>
      <w:bookmarkEnd w:id="93"/>
      <w:bookmarkEnd w:id="94"/>
      <w:bookmarkEnd w:id="95"/>
      <w:bookmarkEnd w:id="102"/>
    </w:p>
    <w:p w14:paraId="4247A973">
      <w:pPr>
        <w:pStyle w:val="3"/>
        <w:bidi w:val="0"/>
        <w:rPr>
          <w:rFonts w:hint="eastAsia"/>
          <w:lang w:val="en-US" w:eastAsia="zh-CN"/>
        </w:rPr>
      </w:pPr>
      <w:bookmarkStart w:id="103" w:name="_Toc30036"/>
      <w:bookmarkStart w:id="104" w:name="_Toc3010"/>
      <w:bookmarkStart w:id="105" w:name="_Toc30117"/>
      <w:bookmarkStart w:id="106" w:name="_Toc1391"/>
      <w:bookmarkStart w:id="107" w:name="_Toc30563"/>
      <w:bookmarkStart w:id="108" w:name="_Toc18774"/>
      <w:bookmarkStart w:id="109" w:name="_Toc21339"/>
      <w:bookmarkStart w:id="110" w:name="_Toc20334"/>
      <w:bookmarkStart w:id="111" w:name="_Toc31940"/>
      <w:r>
        <w:rPr>
          <w:rFonts w:hint="eastAsia"/>
          <w:lang w:val="en-US" w:eastAsia="zh-CN"/>
        </w:rPr>
        <w:t>附件一：工序施工控制要点一览表</w:t>
      </w:r>
      <w:bookmarkEnd w:id="103"/>
      <w:bookmarkEnd w:id="104"/>
      <w:bookmarkEnd w:id="105"/>
      <w:bookmarkEnd w:id="106"/>
      <w:bookmarkEnd w:id="107"/>
      <w:bookmarkEnd w:id="108"/>
      <w:bookmarkEnd w:id="109"/>
      <w:bookmarkEnd w:id="110"/>
      <w:bookmarkEnd w:id="111"/>
    </w:p>
    <w:tbl>
      <w:tblPr>
        <w:tblStyle w:val="26"/>
        <w:tblW w:w="21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6"/>
        <w:gridCol w:w="1329"/>
        <w:gridCol w:w="3107"/>
        <w:gridCol w:w="1459"/>
        <w:gridCol w:w="1382"/>
        <w:gridCol w:w="1384"/>
        <w:gridCol w:w="4132"/>
        <w:gridCol w:w="4467"/>
        <w:gridCol w:w="1980"/>
      </w:tblGrid>
      <w:tr w14:paraId="70C9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restart"/>
            <w:vAlign w:val="center"/>
          </w:tcPr>
          <w:p w14:paraId="21A6A3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序号</w:t>
            </w:r>
          </w:p>
        </w:tc>
        <w:tc>
          <w:tcPr>
            <w:tcW w:w="1126" w:type="dxa"/>
            <w:vMerge w:val="restart"/>
            <w:vAlign w:val="center"/>
          </w:tcPr>
          <w:p w14:paraId="6BDE3F2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工序名称</w:t>
            </w:r>
          </w:p>
        </w:tc>
        <w:tc>
          <w:tcPr>
            <w:tcW w:w="1329" w:type="dxa"/>
            <w:vMerge w:val="restart"/>
            <w:vAlign w:val="center"/>
          </w:tcPr>
          <w:p w14:paraId="0BBDD3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作业内容</w:t>
            </w:r>
          </w:p>
        </w:tc>
        <w:tc>
          <w:tcPr>
            <w:tcW w:w="3107" w:type="dxa"/>
            <w:vMerge w:val="restart"/>
            <w:vAlign w:val="center"/>
          </w:tcPr>
          <w:p w14:paraId="3CE9236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施工方法</w:t>
            </w:r>
          </w:p>
        </w:tc>
        <w:tc>
          <w:tcPr>
            <w:tcW w:w="4225" w:type="dxa"/>
            <w:gridSpan w:val="3"/>
            <w:vAlign w:val="center"/>
          </w:tcPr>
          <w:p w14:paraId="4DE87A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资源配置</w:t>
            </w:r>
          </w:p>
        </w:tc>
        <w:tc>
          <w:tcPr>
            <w:tcW w:w="4132" w:type="dxa"/>
            <w:vMerge w:val="restart"/>
            <w:vAlign w:val="center"/>
          </w:tcPr>
          <w:p w14:paraId="0AB71E7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施工风险及安全作业条件</w:t>
            </w:r>
          </w:p>
        </w:tc>
        <w:tc>
          <w:tcPr>
            <w:tcW w:w="4467" w:type="dxa"/>
            <w:vMerge w:val="restart"/>
            <w:vAlign w:val="center"/>
          </w:tcPr>
          <w:p w14:paraId="082F924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工作及质量标准</w:t>
            </w:r>
          </w:p>
        </w:tc>
        <w:tc>
          <w:tcPr>
            <w:tcW w:w="1980" w:type="dxa"/>
            <w:vMerge w:val="restart"/>
            <w:vAlign w:val="center"/>
          </w:tcPr>
          <w:p w14:paraId="21B1DAA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责任人</w:t>
            </w:r>
          </w:p>
        </w:tc>
      </w:tr>
      <w:tr w14:paraId="5FBE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continue"/>
            <w:vAlign w:val="center"/>
          </w:tcPr>
          <w:p w14:paraId="1B4CAC4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126" w:type="dxa"/>
            <w:vMerge w:val="continue"/>
            <w:vAlign w:val="center"/>
          </w:tcPr>
          <w:p w14:paraId="684DD22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329" w:type="dxa"/>
            <w:vMerge w:val="continue"/>
            <w:vAlign w:val="center"/>
          </w:tcPr>
          <w:p w14:paraId="1FF017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3107" w:type="dxa"/>
            <w:vMerge w:val="continue"/>
            <w:vAlign w:val="center"/>
          </w:tcPr>
          <w:p w14:paraId="0B17C5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459" w:type="dxa"/>
            <w:vAlign w:val="center"/>
          </w:tcPr>
          <w:p w14:paraId="45E7293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人员</w:t>
            </w:r>
          </w:p>
        </w:tc>
        <w:tc>
          <w:tcPr>
            <w:tcW w:w="1382" w:type="dxa"/>
            <w:vAlign w:val="center"/>
          </w:tcPr>
          <w:p w14:paraId="53C4FF3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设备</w:t>
            </w:r>
          </w:p>
        </w:tc>
        <w:tc>
          <w:tcPr>
            <w:tcW w:w="1384" w:type="dxa"/>
            <w:vAlign w:val="center"/>
          </w:tcPr>
          <w:p w14:paraId="1F335E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材料</w:t>
            </w:r>
          </w:p>
        </w:tc>
        <w:tc>
          <w:tcPr>
            <w:tcW w:w="4132" w:type="dxa"/>
            <w:vMerge w:val="continue"/>
            <w:vAlign w:val="center"/>
          </w:tcPr>
          <w:p w14:paraId="3B9771C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4467" w:type="dxa"/>
            <w:vMerge w:val="continue"/>
            <w:vAlign w:val="center"/>
          </w:tcPr>
          <w:p w14:paraId="5027AB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980" w:type="dxa"/>
            <w:vMerge w:val="continue"/>
            <w:vAlign w:val="center"/>
          </w:tcPr>
          <w:p w14:paraId="683568A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r>
      <w:tr w14:paraId="14E0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restart"/>
            <w:vAlign w:val="center"/>
          </w:tcPr>
          <w:p w14:paraId="72F0F63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现场管理人员配置</w:t>
            </w:r>
          </w:p>
        </w:tc>
        <w:tc>
          <w:tcPr>
            <w:tcW w:w="17911" w:type="dxa"/>
            <w:gridSpan w:val="7"/>
            <w:vAlign w:val="center"/>
          </w:tcPr>
          <w:p w14:paraId="528E5F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白班：生产经理、技术负责人、技术员、安全员、质检员、班组长</w:t>
            </w:r>
          </w:p>
        </w:tc>
      </w:tr>
      <w:tr w14:paraId="2D20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continue"/>
            <w:vAlign w:val="center"/>
          </w:tcPr>
          <w:p w14:paraId="6A854C8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7911" w:type="dxa"/>
            <w:gridSpan w:val="7"/>
            <w:vAlign w:val="center"/>
          </w:tcPr>
          <w:p w14:paraId="542333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夜班：生产经理、技术负责人、技术员、安全员、质检员、班组长夜间一般不施工</w:t>
            </w:r>
          </w:p>
        </w:tc>
      </w:tr>
      <w:tr w14:paraId="5396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19957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E402B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施工步骤1</w:t>
            </w:r>
          </w:p>
        </w:tc>
        <w:tc>
          <w:tcPr>
            <w:tcW w:w="1329" w:type="dxa"/>
            <w:vAlign w:val="center"/>
          </w:tcPr>
          <w:p w14:paraId="1CB7B0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降节</w:t>
            </w:r>
          </w:p>
        </w:tc>
        <w:tc>
          <w:tcPr>
            <w:tcW w:w="3107" w:type="dxa"/>
            <w:vAlign w:val="center"/>
          </w:tcPr>
          <w:p w14:paraId="18D5D5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塔机降节施工需先配平起重臂与平衡臂，逐节拆除标准节并缓慢降低塔身高度，确保顶升系统稳定。作业时需专人指挥、风速达标，并严格遵循"升多少、降多少"原则，保持塔身垂直度。每降一节后应及时紧固连接螺栓，并检查结构稳定性。</w:t>
            </w:r>
          </w:p>
        </w:tc>
        <w:tc>
          <w:tcPr>
            <w:tcW w:w="1459" w:type="dxa"/>
            <w:vAlign w:val="center"/>
          </w:tcPr>
          <w:p w14:paraId="562CE7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7547C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0D111B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5770AA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：顶升油缸失效、塔身倾斜、标准节坠落。</w:t>
            </w:r>
          </w:p>
          <w:p w14:paraId="3545A4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安全条件：严格配平、风速＜4级、螺栓预紧力达标、实时监测垂直度。</w:t>
            </w:r>
          </w:p>
          <w:p w14:paraId="5E7D45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kern w:val="2"/>
                <w:sz w:val="20"/>
                <w:szCs w:val="20"/>
                <w:highlight w:val="none"/>
                <w:lang w:val="en-US" w:eastAsia="zh-CN" w:bidi="ar-SA"/>
              </w:rPr>
            </w:pPr>
          </w:p>
        </w:tc>
        <w:tc>
          <w:tcPr>
            <w:tcW w:w="4467" w:type="dxa"/>
            <w:vAlign w:val="center"/>
          </w:tcPr>
          <w:p w14:paraId="2DDBC0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kern w:val="2"/>
                <w:sz w:val="20"/>
                <w:szCs w:val="20"/>
                <w:lang w:val="en-US" w:eastAsia="zh-CN" w:bidi="ar-SA"/>
              </w:rPr>
              <w:t>连接螺栓扭矩达标（±5%设计值），无滑牙损伤。</w:t>
            </w:r>
          </w:p>
        </w:tc>
        <w:tc>
          <w:tcPr>
            <w:tcW w:w="1980" w:type="dxa"/>
            <w:vAlign w:val="center"/>
          </w:tcPr>
          <w:p w14:paraId="60EC45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661B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D9669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7AD464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施工步骤2</w:t>
            </w:r>
          </w:p>
        </w:tc>
        <w:tc>
          <w:tcPr>
            <w:tcW w:w="1329" w:type="dxa"/>
            <w:vAlign w:val="center"/>
          </w:tcPr>
          <w:p w14:paraId="50FAF8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拆除部分平衡重</w:t>
            </w:r>
          </w:p>
        </w:tc>
        <w:tc>
          <w:tcPr>
            <w:tcW w:w="3107" w:type="dxa"/>
            <w:vAlign w:val="center"/>
          </w:tcPr>
          <w:p w14:paraId="52F7B2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拆除塔机平衡重时，，确保起重臂与平衡臂受力平衡。作业时应使用辅助吊车配合，逐块拆除并平稳放置，</w:t>
            </w:r>
            <w:r>
              <w:rPr>
                <w:rFonts w:hint="default" w:ascii="宋体" w:hAnsi="宋体" w:eastAsia="宋体" w:cs="宋体"/>
                <w:sz w:val="20"/>
                <w:szCs w:val="20"/>
                <w:highlight w:val="none"/>
                <w:lang w:val="en-US" w:eastAsia="zh-CN"/>
              </w:rPr>
              <w:t>严禁单侧一次性拆除多块，防止塔身失稳倾覆。拆除过程中需实时监测塔机稳定性，确保安全。</w:t>
            </w:r>
          </w:p>
        </w:tc>
        <w:tc>
          <w:tcPr>
            <w:tcW w:w="1459" w:type="dxa"/>
            <w:vAlign w:val="center"/>
          </w:tcPr>
          <w:p w14:paraId="67BD92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7DE0EB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6ED051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16AD57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3859E8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：顶升油缸失效、塔身倾斜、标准节坠落。</w:t>
            </w:r>
          </w:p>
          <w:p w14:paraId="22DE5B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安全条件：严格配平、风速＜4级、螺栓预紧力达标、实时监测垂直度。</w:t>
            </w:r>
          </w:p>
          <w:p w14:paraId="52BF3C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384784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kern w:val="2"/>
                <w:sz w:val="20"/>
                <w:szCs w:val="20"/>
                <w:lang w:val="en-US" w:eastAsia="zh-CN" w:bidi="ar-SA"/>
              </w:rPr>
              <w:t>配重块拆除后平衡力矩差≤5%，存放区地基承载力≥150kPa，码放整齐无倾翻风险。</w:t>
            </w:r>
          </w:p>
        </w:tc>
        <w:tc>
          <w:tcPr>
            <w:tcW w:w="1980" w:type="dxa"/>
            <w:vAlign w:val="center"/>
          </w:tcPr>
          <w:p w14:paraId="06E297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0DA7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7A9A99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59EE8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施工步骤3</w:t>
            </w:r>
          </w:p>
        </w:tc>
        <w:tc>
          <w:tcPr>
            <w:tcW w:w="1329" w:type="dxa"/>
            <w:vAlign w:val="center"/>
          </w:tcPr>
          <w:p w14:paraId="12A5E3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拆除起重臂</w:t>
            </w:r>
          </w:p>
        </w:tc>
        <w:tc>
          <w:tcPr>
            <w:tcW w:w="3107" w:type="dxa"/>
            <w:vAlign w:val="center"/>
          </w:tcPr>
          <w:p w14:paraId="5C3952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拆除起重臂总成时，</w:t>
            </w:r>
            <w:r>
              <w:rPr>
                <w:rFonts w:hint="default" w:ascii="宋体" w:hAnsi="宋体" w:eastAsia="宋体" w:cs="宋体"/>
                <w:sz w:val="20"/>
                <w:szCs w:val="20"/>
                <w:highlight w:val="none"/>
                <w:lang w:val="en-US" w:eastAsia="zh-CN"/>
              </w:rPr>
              <w:t>需先拆卸臂节间连接销轴并分段固定，使用辅助吊车配合缓慢放至地面。作业时需保持起重臂平衡，由专人指挥协调，确保拆除过程平稳可控，严禁野蛮操作。拆除后应及时检查塔身结构稳定性，确认无安全隐患。</w:t>
            </w:r>
          </w:p>
        </w:tc>
        <w:tc>
          <w:tcPr>
            <w:tcW w:w="1459" w:type="dxa"/>
            <w:vAlign w:val="center"/>
          </w:tcPr>
          <w:p w14:paraId="1C263D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3EC103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4BF356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170598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6C634C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：臂架摆动、销轴卡死、吊装失控。</w:t>
            </w:r>
          </w:p>
          <w:p w14:paraId="40DA06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安全条件：分段固定、双机抬吊时荷载≤80%、专人指挥。</w:t>
            </w:r>
          </w:p>
          <w:p w14:paraId="1464BE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4B8221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0"/>
                <w:szCs w:val="20"/>
                <w:lang w:val="en-US" w:eastAsia="zh-CN"/>
              </w:rPr>
            </w:pPr>
            <w:r>
              <w:rPr>
                <w:rFonts w:hint="eastAsia" w:ascii="宋体" w:hAnsi="宋体" w:eastAsia="宋体" w:cs="宋体"/>
                <w:kern w:val="2"/>
                <w:sz w:val="20"/>
                <w:szCs w:val="20"/>
                <w:lang w:val="en-US" w:eastAsia="zh-CN" w:bidi="ar-SA"/>
              </w:rPr>
              <w:t>臂节销轴孔磨损量≤2mm，吊装后结构无扭曲变形，拉杆销轴润滑脂覆盖率≥90%</w:t>
            </w:r>
          </w:p>
        </w:tc>
        <w:tc>
          <w:tcPr>
            <w:tcW w:w="1980" w:type="dxa"/>
            <w:vAlign w:val="center"/>
          </w:tcPr>
          <w:p w14:paraId="39C2F2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3EED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7FFD3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047AA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施工步骤4</w:t>
            </w:r>
          </w:p>
        </w:tc>
        <w:tc>
          <w:tcPr>
            <w:tcW w:w="1329" w:type="dxa"/>
            <w:vAlign w:val="center"/>
          </w:tcPr>
          <w:p w14:paraId="5499F1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拆除剩余平衡重</w:t>
            </w:r>
          </w:p>
        </w:tc>
        <w:tc>
          <w:tcPr>
            <w:tcW w:w="3107" w:type="dxa"/>
            <w:vAlign w:val="center"/>
          </w:tcPr>
          <w:p w14:paraId="22E11F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拆除塔机平衡重时，，确保起重臂与平衡臂受力平衡。作业时应使用辅助吊车配合，逐块拆除并平稳放置，</w:t>
            </w:r>
            <w:r>
              <w:rPr>
                <w:rFonts w:hint="default" w:ascii="宋体" w:hAnsi="宋体" w:eastAsia="宋体" w:cs="宋体"/>
                <w:sz w:val="20"/>
                <w:szCs w:val="20"/>
                <w:highlight w:val="none"/>
                <w:lang w:val="en-US" w:eastAsia="zh-CN"/>
              </w:rPr>
              <w:t>严禁单侧一次性拆除多块，防止塔身失稳倾覆。拆除过程中需实时监测塔机稳定性，确保安全。</w:t>
            </w:r>
          </w:p>
        </w:tc>
        <w:tc>
          <w:tcPr>
            <w:tcW w:w="1459" w:type="dxa"/>
            <w:vAlign w:val="center"/>
          </w:tcPr>
          <w:p w14:paraId="58E427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5D1807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0BF79D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0488E5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7AA6D4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：塔身失衡倾覆、配重块滑落。</w:t>
            </w:r>
          </w:p>
          <w:p w14:paraId="0CE185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安全条件：对称卸载、辅助吊车配合、禁止单侧多拆。</w:t>
            </w:r>
          </w:p>
          <w:p w14:paraId="5CB120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6911AD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kern w:val="2"/>
                <w:sz w:val="20"/>
                <w:szCs w:val="20"/>
                <w:lang w:val="en-US" w:eastAsia="zh-CN" w:bidi="ar-SA"/>
              </w:rPr>
              <w:t>码放整齐无倾翻风险。</w:t>
            </w:r>
          </w:p>
        </w:tc>
        <w:tc>
          <w:tcPr>
            <w:tcW w:w="1980" w:type="dxa"/>
            <w:vAlign w:val="center"/>
          </w:tcPr>
          <w:p w14:paraId="16E65B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0F8E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27FBAA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42229B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施工步骤5</w:t>
            </w:r>
          </w:p>
        </w:tc>
        <w:tc>
          <w:tcPr>
            <w:tcW w:w="1329" w:type="dxa"/>
            <w:vAlign w:val="center"/>
          </w:tcPr>
          <w:p w14:paraId="5DDA36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拆除平衡臂</w:t>
            </w:r>
          </w:p>
        </w:tc>
        <w:tc>
          <w:tcPr>
            <w:tcW w:w="3107" w:type="dxa"/>
            <w:vAlign w:val="center"/>
          </w:tcPr>
          <w:p w14:paraId="15AD71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default" w:ascii="宋体" w:hAnsi="宋体" w:eastAsia="宋体" w:cs="宋体"/>
                <w:sz w:val="20"/>
                <w:szCs w:val="20"/>
                <w:highlight w:val="none"/>
                <w:lang w:val="en-US" w:eastAsia="zh-CN"/>
              </w:rPr>
              <w:t>拆除平衡臂时，需先拆卸配重块并解除拉杆连接，使用辅助吊车吊住平衡臂后端保持平衡。由专人指挥缓慢下放至地面，过程中需实时监测塔身稳定性，确保平衡臂与塔头分离过程平稳受控，防止结构失稳</w:t>
            </w:r>
            <w:r>
              <w:rPr>
                <w:rFonts w:hint="eastAsia" w:ascii="宋体" w:hAnsi="宋体" w:eastAsia="宋体" w:cs="宋体"/>
                <w:sz w:val="20"/>
                <w:szCs w:val="20"/>
                <w:highlight w:val="none"/>
                <w:lang w:val="en-US" w:eastAsia="zh-CN"/>
              </w:rPr>
              <w:t>。</w:t>
            </w:r>
          </w:p>
        </w:tc>
        <w:tc>
          <w:tcPr>
            <w:tcW w:w="1459" w:type="dxa"/>
            <w:vAlign w:val="center"/>
          </w:tcPr>
          <w:p w14:paraId="7BDD3E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4CAF9A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044350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261CAB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628EFF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：拉杆反弹、塔头受力突变。</w:t>
            </w:r>
          </w:p>
          <w:p w14:paraId="0B3943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安全条件：先拆配重后拆拉杆、吊点平衡、实时监测扭矩。</w:t>
            </w:r>
          </w:p>
          <w:p w14:paraId="40A205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3580BE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0"/>
                <w:szCs w:val="20"/>
                <w:lang w:val="en-US" w:eastAsia="zh-CN"/>
              </w:rPr>
            </w:pPr>
            <w:r>
              <w:rPr>
                <w:rFonts w:hint="eastAsia" w:ascii="宋体" w:hAnsi="宋体" w:eastAsia="宋体" w:cs="宋体"/>
                <w:kern w:val="2"/>
                <w:sz w:val="20"/>
                <w:szCs w:val="20"/>
                <w:lang w:val="en-US" w:eastAsia="zh-CN" w:bidi="ar-SA"/>
              </w:rPr>
              <w:t>平衡臂拆除后塔头不平衡力矩≤3%，拉杆铰接点无裂纹，连接销轴轴向位移≤1mm。</w:t>
            </w:r>
          </w:p>
        </w:tc>
        <w:tc>
          <w:tcPr>
            <w:tcW w:w="1980" w:type="dxa"/>
            <w:vAlign w:val="center"/>
          </w:tcPr>
          <w:p w14:paraId="4F39BC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32AB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jc w:val="center"/>
        </w:trPr>
        <w:tc>
          <w:tcPr>
            <w:tcW w:w="711" w:type="dxa"/>
            <w:vAlign w:val="center"/>
          </w:tcPr>
          <w:p w14:paraId="1926BC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6EF1A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施工步骤6</w:t>
            </w:r>
          </w:p>
        </w:tc>
        <w:tc>
          <w:tcPr>
            <w:tcW w:w="1329" w:type="dxa"/>
            <w:vAlign w:val="center"/>
          </w:tcPr>
          <w:p w14:paraId="516D1B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拆除起重臂臂根节</w:t>
            </w:r>
          </w:p>
        </w:tc>
        <w:tc>
          <w:tcPr>
            <w:tcW w:w="3107" w:type="dxa"/>
            <w:vAlign w:val="center"/>
          </w:tcPr>
          <w:p w14:paraId="792067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拆除起重臂臂根节时，</w:t>
            </w:r>
            <w:r>
              <w:rPr>
                <w:rFonts w:hint="default" w:ascii="宋体" w:hAnsi="宋体" w:eastAsia="宋体" w:cs="宋体"/>
                <w:sz w:val="20"/>
                <w:szCs w:val="20"/>
                <w:highlight w:val="none"/>
                <w:lang w:val="en-US" w:eastAsia="zh-CN"/>
              </w:rPr>
              <w:t>需先解除变幅钢丝绳和拉杆连接，用辅助吊车吊稳臂根节并固定。缓慢拆除与回转塔身连接的高强螺栓或销轴，由专人指挥平稳吊离，同步监控塔身稳定性，确保安全拆卸。</w:t>
            </w:r>
          </w:p>
        </w:tc>
        <w:tc>
          <w:tcPr>
            <w:tcW w:w="1459" w:type="dxa"/>
            <w:vAlign w:val="center"/>
          </w:tcPr>
          <w:p w14:paraId="3A8CCF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CEFD3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368FFB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132" w:type="dxa"/>
            <w:vAlign w:val="center"/>
          </w:tcPr>
          <w:p w14:paraId="35666C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13FEBC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：变幅绳反弹、回转机构损伤。</w:t>
            </w:r>
          </w:p>
          <w:p w14:paraId="6A7571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安全条件：钢丝绳完全卸载、高强螺栓一次性更换。</w:t>
            </w:r>
          </w:p>
          <w:p w14:paraId="2C16CB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46E002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51CE1F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回转支承齿轮啮合面无剥落（面积≤5%），高强螺栓更换率100%，螺栓预紧力误差±3%。</w:t>
            </w:r>
          </w:p>
          <w:p w14:paraId="4D5B75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bCs/>
                <w:color w:val="auto"/>
                <w:kern w:val="2"/>
                <w:sz w:val="20"/>
                <w:szCs w:val="20"/>
                <w:highlight w:val="none"/>
                <w:lang w:val="en-US" w:eastAsia="zh-CN" w:bidi="ar-SA"/>
              </w:rPr>
            </w:pPr>
          </w:p>
        </w:tc>
        <w:tc>
          <w:tcPr>
            <w:tcW w:w="1980" w:type="dxa"/>
            <w:vAlign w:val="center"/>
          </w:tcPr>
          <w:p w14:paraId="0950EB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46A7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5FA0C0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0953FD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7</w:t>
            </w:r>
          </w:p>
        </w:tc>
        <w:tc>
          <w:tcPr>
            <w:tcW w:w="1329" w:type="dxa"/>
            <w:vAlign w:val="center"/>
          </w:tcPr>
          <w:p w14:paraId="76354A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cs="宋体"/>
                <w:sz w:val="20"/>
                <w:szCs w:val="20"/>
                <w:lang w:val="en-US" w:eastAsia="zh-CN"/>
              </w:rPr>
            </w:pPr>
            <w:r>
              <w:rPr>
                <w:rFonts w:hint="eastAsia" w:ascii="宋体" w:hAnsi="宋体" w:cs="宋体"/>
                <w:sz w:val="20"/>
                <w:szCs w:val="20"/>
                <w:lang w:val="en-US" w:eastAsia="zh-CN"/>
              </w:rPr>
              <w:t>拆除司机室、回转总成</w:t>
            </w:r>
          </w:p>
        </w:tc>
        <w:tc>
          <w:tcPr>
            <w:tcW w:w="3107" w:type="dxa"/>
            <w:vAlign w:val="center"/>
          </w:tcPr>
          <w:p w14:paraId="7A8142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拆除司机室时，</w:t>
            </w:r>
            <w:r>
              <w:rPr>
                <w:rFonts w:hint="default" w:ascii="宋体" w:hAnsi="宋体" w:eastAsia="宋体" w:cs="宋体"/>
                <w:sz w:val="20"/>
                <w:szCs w:val="20"/>
                <w:highlight w:val="none"/>
                <w:lang w:val="en-US" w:eastAsia="zh-CN"/>
              </w:rPr>
              <w:t>需先断开电源及控制线路，使用辅助吊车配合钢丝绳固定，平稳吊运至地面。拆除回转总成时，需解除回转机构与塔身的连接螺栓，由专人指挥吊车同步顶升并缓慢移出，全程监控塔机稳定性，确保安全拆卸。</w:t>
            </w:r>
          </w:p>
        </w:tc>
        <w:tc>
          <w:tcPr>
            <w:tcW w:w="1459" w:type="dxa"/>
            <w:vAlign w:val="center"/>
          </w:tcPr>
          <w:p w14:paraId="70C2F7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5BC66E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50t汽车吊</w:t>
            </w:r>
          </w:p>
        </w:tc>
        <w:tc>
          <w:tcPr>
            <w:tcW w:w="1384" w:type="dxa"/>
            <w:vAlign w:val="center"/>
          </w:tcPr>
          <w:p w14:paraId="281485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132" w:type="dxa"/>
            <w:vAlign w:val="center"/>
          </w:tcPr>
          <w:p w14:paraId="48F9BB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4C1232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：线路短路、回转齿轮卡阻。</w:t>
            </w:r>
          </w:p>
          <w:p w14:paraId="7D9639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安全条件：断电验电、齿轮间隙检查、同步顶升。</w:t>
            </w:r>
          </w:p>
          <w:p w14:paraId="50F5DD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tc>
        <w:tc>
          <w:tcPr>
            <w:tcW w:w="4467" w:type="dxa"/>
            <w:vAlign w:val="center"/>
          </w:tcPr>
          <w:p w14:paraId="710C8D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电气线路绝缘电阻≥1MΩ，回转齿轮侧隙0.2-0.5mm，拆除后密封件完好率100%。</w:t>
            </w:r>
          </w:p>
        </w:tc>
        <w:tc>
          <w:tcPr>
            <w:tcW w:w="1980" w:type="dxa"/>
            <w:vAlign w:val="center"/>
          </w:tcPr>
          <w:p w14:paraId="5A0A19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19C9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E4DB4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0AA7BD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8</w:t>
            </w:r>
          </w:p>
        </w:tc>
        <w:tc>
          <w:tcPr>
            <w:tcW w:w="1329" w:type="dxa"/>
            <w:vAlign w:val="center"/>
          </w:tcPr>
          <w:p w14:paraId="4E2843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拆除特殊节</w:t>
            </w:r>
          </w:p>
        </w:tc>
        <w:tc>
          <w:tcPr>
            <w:tcW w:w="3107" w:type="dxa"/>
            <w:vAlign w:val="center"/>
          </w:tcPr>
          <w:p w14:paraId="4C4A32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拆除特殊节时，</w:t>
            </w:r>
            <w:r>
              <w:rPr>
                <w:rFonts w:hint="default" w:ascii="宋体" w:hAnsi="宋体" w:eastAsia="宋体" w:cs="宋体"/>
                <w:sz w:val="20"/>
                <w:szCs w:val="20"/>
                <w:highlight w:val="none"/>
                <w:lang w:val="en-US" w:eastAsia="zh-CN"/>
              </w:rPr>
              <w:t>需先解除与相邻标准节的连接螺栓或销轴，使用专用吊具固定后缓慢平移抽出。由专人指挥吊车配合操作，同步监测塔身垂直度与稳定性，确保特殊节安全分离，避免结构变形或倾覆风险。</w:t>
            </w:r>
          </w:p>
        </w:tc>
        <w:tc>
          <w:tcPr>
            <w:tcW w:w="1459" w:type="dxa"/>
            <w:vAlign w:val="center"/>
          </w:tcPr>
          <w:p w14:paraId="2965B0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1772E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50t汽车吊</w:t>
            </w:r>
          </w:p>
        </w:tc>
        <w:tc>
          <w:tcPr>
            <w:tcW w:w="1384" w:type="dxa"/>
            <w:vAlign w:val="center"/>
          </w:tcPr>
          <w:p w14:paraId="26A265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132" w:type="dxa"/>
            <w:vAlign w:val="center"/>
          </w:tcPr>
          <w:p w14:paraId="0D7FAE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7686CA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：非标件变形、吊具脱钩。</w:t>
            </w:r>
          </w:p>
          <w:p w14:paraId="1EB8D9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安全条件：专用吊具认证、平移路径净空、垂直度偏差≤2‰。</w:t>
            </w:r>
          </w:p>
          <w:p w14:paraId="7EF38B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tc>
        <w:tc>
          <w:tcPr>
            <w:tcW w:w="4467" w:type="dxa"/>
            <w:vAlign w:val="center"/>
          </w:tcPr>
          <w:p w14:paraId="56FBFF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非标件拆除后无塑性变形（直线度≤1‰），吊具索具破断力≥6倍工作载荷。</w:t>
            </w:r>
          </w:p>
        </w:tc>
        <w:tc>
          <w:tcPr>
            <w:tcW w:w="1980" w:type="dxa"/>
            <w:vAlign w:val="center"/>
          </w:tcPr>
          <w:p w14:paraId="53511B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24B7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409EA3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3B27D5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9</w:t>
            </w:r>
          </w:p>
        </w:tc>
        <w:tc>
          <w:tcPr>
            <w:tcW w:w="1329" w:type="dxa"/>
            <w:vAlign w:val="center"/>
          </w:tcPr>
          <w:p w14:paraId="14EA24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爬升架与剩余塔身</w:t>
            </w:r>
          </w:p>
        </w:tc>
        <w:tc>
          <w:tcPr>
            <w:tcW w:w="3107" w:type="dxa"/>
            <w:vAlign w:val="center"/>
          </w:tcPr>
          <w:p w14:paraId="3579BB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拆除爬升架时，</w:t>
            </w:r>
            <w:r>
              <w:rPr>
                <w:rFonts w:hint="default" w:ascii="宋体" w:hAnsi="宋体" w:eastAsia="宋体" w:cs="宋体"/>
                <w:sz w:val="20"/>
                <w:szCs w:val="20"/>
                <w:highlight w:val="none"/>
                <w:lang w:val="en-US" w:eastAsia="zh-CN"/>
              </w:rPr>
              <w:t>需先解除与塔身的连接装置并固定导向轮，使用辅助吊车稳定架体后整体吊离。拆除剩余塔身时，需自上而下逐节拆卸标准节，每降一节后立即紧固临时支撑，全程监测塔身垂直度，确保平稳落地。</w:t>
            </w:r>
          </w:p>
        </w:tc>
        <w:tc>
          <w:tcPr>
            <w:tcW w:w="1459" w:type="dxa"/>
            <w:vAlign w:val="center"/>
          </w:tcPr>
          <w:p w14:paraId="13D37D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F5107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50t汽车吊</w:t>
            </w:r>
          </w:p>
        </w:tc>
        <w:tc>
          <w:tcPr>
            <w:tcW w:w="1384" w:type="dxa"/>
            <w:vAlign w:val="center"/>
          </w:tcPr>
          <w:p w14:paraId="037A28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132" w:type="dxa"/>
            <w:vAlign w:val="center"/>
          </w:tcPr>
          <w:p w14:paraId="6CDB91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0ABB82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：导向轮卡死、塔身塌落。</w:t>
            </w:r>
          </w:p>
          <w:p w14:paraId="123460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安全条件：临时支撑间距≤10米、风速＜3级、逐节验收连接点。</w:t>
            </w:r>
          </w:p>
        </w:tc>
        <w:tc>
          <w:tcPr>
            <w:tcW w:w="4467" w:type="dxa"/>
            <w:vAlign w:val="center"/>
          </w:tcPr>
          <w:p w14:paraId="4D13B4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标准节拆除后切口平整度≤2mm，临时支撑间距偏差±0.5m，基础节地脚螺栓无锈蚀。</w:t>
            </w:r>
          </w:p>
        </w:tc>
        <w:tc>
          <w:tcPr>
            <w:tcW w:w="1980" w:type="dxa"/>
            <w:vAlign w:val="center"/>
          </w:tcPr>
          <w:p w14:paraId="71C52A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bl>
    <w:p w14:paraId="5545C025">
      <w:pPr>
        <w:rPr>
          <w:rFonts w:hint="default"/>
          <w:lang w:val="en-US" w:eastAsia="zh-CN"/>
        </w:rPr>
        <w:sectPr>
          <w:headerReference r:id="rId8" w:type="default"/>
          <w:footerReference r:id="rId9" w:type="default"/>
          <w:pgSz w:w="23811" w:h="16838"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840905">
      <w:pPr>
        <w:pStyle w:val="3"/>
        <w:bidi w:val="0"/>
        <w:rPr>
          <w:rFonts w:hint="eastAsia" w:ascii="宋体" w:hAnsi="宋体" w:eastAsia="宋体" w:cs="宋体"/>
          <w:lang w:val="en-US" w:eastAsia="zh-CN"/>
        </w:rPr>
      </w:pPr>
      <w:bookmarkStart w:id="112" w:name="_Toc21652"/>
      <w:bookmarkStart w:id="113" w:name="_Toc29358"/>
      <w:bookmarkStart w:id="114" w:name="_Toc8810"/>
      <w:bookmarkStart w:id="115" w:name="_Toc1217"/>
      <w:bookmarkStart w:id="116" w:name="_Toc32557"/>
      <w:bookmarkStart w:id="117" w:name="_Toc15121"/>
      <w:bookmarkStart w:id="118" w:name="_Toc12179"/>
      <w:bookmarkStart w:id="119" w:name="_Toc2800"/>
      <w:bookmarkStart w:id="120" w:name="_Toc594"/>
      <w:r>
        <w:rPr>
          <w:rFonts w:hint="eastAsia" w:ascii="宋体" w:hAnsi="宋体" w:eastAsia="宋体" w:cs="宋体"/>
          <w:lang w:val="en-US" w:eastAsia="zh-CN"/>
        </w:rPr>
        <w:t>附件二：工序相关设计图表</w:t>
      </w:r>
      <w:bookmarkEnd w:id="112"/>
      <w:bookmarkEnd w:id="113"/>
      <w:bookmarkEnd w:id="114"/>
      <w:bookmarkEnd w:id="115"/>
      <w:bookmarkEnd w:id="116"/>
      <w:bookmarkEnd w:id="117"/>
      <w:bookmarkEnd w:id="118"/>
      <w:bookmarkEnd w:id="119"/>
      <w:bookmarkEnd w:id="120"/>
    </w:p>
    <w:p w14:paraId="17BAFF10">
      <w:pPr>
        <w:pStyle w:val="18"/>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附图1：设计构造图</w:t>
      </w:r>
    </w:p>
    <w:p w14:paraId="775A0E52">
      <w:pPr>
        <w:jc w:val="center"/>
        <w:rPr>
          <w:rFonts w:hint="eastAsia"/>
          <w:lang w:val="en-US" w:eastAsia="zh-CN"/>
        </w:rPr>
      </w:pPr>
      <w:r>
        <w:drawing>
          <wp:inline distT="0" distB="0" distL="114300" distR="114300">
            <wp:extent cx="5274310" cy="4450080"/>
            <wp:effectExtent l="0" t="0" r="2540" b="762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5274310" cy="4450080"/>
                    </a:xfrm>
                    <a:prstGeom prst="rect">
                      <a:avLst/>
                    </a:prstGeom>
                    <a:noFill/>
                    <a:ln>
                      <a:noFill/>
                    </a:ln>
                  </pic:spPr>
                </pic:pic>
              </a:graphicData>
            </a:graphic>
          </wp:inline>
        </w:drawing>
      </w:r>
      <w:r>
        <w:drawing>
          <wp:inline distT="0" distB="0" distL="114300" distR="114300">
            <wp:extent cx="5272405" cy="2079625"/>
            <wp:effectExtent l="0" t="0" r="4445" b="158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5272405" cy="2079625"/>
                    </a:xfrm>
                    <a:prstGeom prst="rect">
                      <a:avLst/>
                    </a:prstGeom>
                    <a:noFill/>
                    <a:ln>
                      <a:noFill/>
                    </a:ln>
                  </pic:spPr>
                </pic:pic>
              </a:graphicData>
            </a:graphic>
          </wp:inline>
        </w:drawing>
      </w:r>
    </w:p>
    <w:p w14:paraId="01CB67F2">
      <w:pPr>
        <w:rPr>
          <w:rFonts w:hint="eastAsia"/>
          <w:lang w:val="en-US" w:eastAsia="zh-CN"/>
        </w:rPr>
      </w:pPr>
      <w:bookmarkStart w:id="121" w:name="_Toc5839"/>
      <w:r>
        <w:rPr>
          <w:rFonts w:hint="eastAsia"/>
          <w:lang w:val="en-US" w:eastAsia="zh-CN"/>
        </w:rPr>
        <w:br w:type="page"/>
      </w:r>
    </w:p>
    <w:p w14:paraId="2158A187">
      <w:pPr>
        <w:pStyle w:val="3"/>
        <w:bidi w:val="0"/>
        <w:rPr>
          <w:rFonts w:hint="eastAsia"/>
          <w:lang w:val="en-US" w:eastAsia="zh-CN"/>
        </w:rPr>
      </w:pPr>
      <w:bookmarkStart w:id="122" w:name="_Toc9655"/>
      <w:r>
        <w:rPr>
          <w:rFonts w:hint="eastAsia"/>
          <w:lang w:val="en-US" w:eastAsia="zh-CN"/>
        </w:rPr>
        <w:t>附件三：工序施工记录表</w:t>
      </w:r>
      <w:bookmarkEnd w:id="121"/>
      <w:bookmarkEnd w:id="122"/>
    </w:p>
    <w:p w14:paraId="04A20436">
      <w:pPr>
        <w:pStyle w:val="16"/>
        <w:rPr>
          <w:rFonts w:ascii="宋体" w:hAnsi="宋体" w:eastAsia="宋体" w:cs="宋体"/>
          <w:b w:val="0"/>
          <w:bCs w:val="0"/>
          <w:snapToGrid w:val="0"/>
          <w:kern w:val="0"/>
          <w:sz w:val="21"/>
          <w:szCs w:val="24"/>
          <w:lang w:val="en-US" w:eastAsia="zh-CN" w:bidi="ar-SA"/>
        </w:rPr>
      </w:pPr>
      <w:bookmarkStart w:id="123" w:name="_Toc464"/>
      <w:bookmarkStart w:id="124" w:name="_Toc7812"/>
      <w:bookmarkStart w:id="125" w:name="_Toc20043"/>
      <w:r>
        <w:rPr>
          <w:rFonts w:hint="eastAsia" w:ascii="宋体" w:hAnsi="宋体" w:eastAsia="宋体" w:cs="宋体"/>
          <w:b w:val="0"/>
          <w:bCs w:val="0"/>
          <w:snapToGrid w:val="0"/>
          <w:kern w:val="0"/>
          <w:sz w:val="21"/>
          <w:szCs w:val="24"/>
          <w:lang w:val="en-US" w:eastAsia="zh-CN" w:bidi="ar-SA"/>
        </w:rPr>
        <w:t>塔吊拆除自检表</w:t>
      </w:r>
    </w:p>
    <w:tbl>
      <w:tblPr>
        <w:tblStyle w:val="25"/>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49B9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F7E50C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工程名称</w:t>
            </w:r>
          </w:p>
        </w:tc>
        <w:tc>
          <w:tcPr>
            <w:tcW w:w="5979" w:type="dxa"/>
            <w:gridSpan w:val="4"/>
            <w:vAlign w:val="center"/>
          </w:tcPr>
          <w:p w14:paraId="4D3E637F">
            <w:pPr>
              <w:pStyle w:val="29"/>
              <w:rPr>
                <w:rFonts w:ascii="宋体" w:hAnsi="宋体" w:eastAsia="宋体" w:cs="宋体"/>
                <w:b w:val="0"/>
                <w:bCs w:val="0"/>
                <w:snapToGrid w:val="0"/>
                <w:kern w:val="0"/>
                <w:sz w:val="21"/>
                <w:szCs w:val="24"/>
                <w:lang w:val="en-US" w:eastAsia="zh-CN" w:bidi="ar-SA"/>
              </w:rPr>
            </w:pPr>
          </w:p>
        </w:tc>
        <w:tc>
          <w:tcPr>
            <w:tcW w:w="1618" w:type="dxa"/>
            <w:gridSpan w:val="2"/>
            <w:vAlign w:val="center"/>
          </w:tcPr>
          <w:p w14:paraId="3F4C7A03">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施工地址</w:t>
            </w:r>
          </w:p>
        </w:tc>
        <w:tc>
          <w:tcPr>
            <w:tcW w:w="1116" w:type="dxa"/>
            <w:vAlign w:val="center"/>
          </w:tcPr>
          <w:p w14:paraId="4D0BCF34">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项目工地</w:t>
            </w:r>
          </w:p>
        </w:tc>
      </w:tr>
      <w:tr w14:paraId="25C9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634DF10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出租单位</w:t>
            </w:r>
          </w:p>
        </w:tc>
        <w:tc>
          <w:tcPr>
            <w:tcW w:w="8713" w:type="dxa"/>
            <w:gridSpan w:val="7"/>
            <w:vAlign w:val="center"/>
          </w:tcPr>
          <w:p w14:paraId="69BF447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四川科斗文智能装备有限公司</w:t>
            </w:r>
          </w:p>
        </w:tc>
      </w:tr>
      <w:tr w14:paraId="56C2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CC52F6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型号</w:t>
            </w:r>
          </w:p>
        </w:tc>
        <w:tc>
          <w:tcPr>
            <w:tcW w:w="1897" w:type="dxa"/>
            <w:gridSpan w:val="2"/>
            <w:vAlign w:val="center"/>
          </w:tcPr>
          <w:p w14:paraId="10EC87E9">
            <w:pPr>
              <w:pStyle w:val="29"/>
              <w:rPr>
                <w:rFonts w:ascii="宋体" w:hAnsi="宋体" w:eastAsia="宋体" w:cs="宋体"/>
                <w:b w:val="0"/>
                <w:bCs w:val="0"/>
                <w:snapToGrid w:val="0"/>
                <w:kern w:val="0"/>
                <w:sz w:val="21"/>
                <w:szCs w:val="24"/>
                <w:lang w:val="en-US" w:eastAsia="zh-CN" w:bidi="ar-SA"/>
              </w:rPr>
            </w:pPr>
          </w:p>
        </w:tc>
        <w:tc>
          <w:tcPr>
            <w:tcW w:w="3056" w:type="dxa"/>
            <w:vAlign w:val="center"/>
          </w:tcPr>
          <w:p w14:paraId="6FA21414">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设备编号</w:t>
            </w:r>
          </w:p>
        </w:tc>
        <w:tc>
          <w:tcPr>
            <w:tcW w:w="1041" w:type="dxa"/>
            <w:gridSpan w:val="2"/>
            <w:vAlign w:val="center"/>
          </w:tcPr>
          <w:p w14:paraId="5F21A1CA">
            <w:pPr>
              <w:pStyle w:val="29"/>
              <w:rPr>
                <w:rFonts w:ascii="宋体" w:hAnsi="宋体" w:eastAsia="宋体" w:cs="宋体"/>
                <w:b w:val="0"/>
                <w:bCs w:val="0"/>
                <w:snapToGrid w:val="0"/>
                <w:kern w:val="0"/>
                <w:sz w:val="21"/>
                <w:szCs w:val="24"/>
                <w:lang w:val="en-US" w:eastAsia="zh-CN" w:bidi="ar-SA"/>
              </w:rPr>
            </w:pPr>
          </w:p>
        </w:tc>
        <w:tc>
          <w:tcPr>
            <w:tcW w:w="1603" w:type="dxa"/>
            <w:vAlign w:val="center"/>
          </w:tcPr>
          <w:p w14:paraId="2E7E687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施工高度</w:t>
            </w:r>
          </w:p>
        </w:tc>
        <w:tc>
          <w:tcPr>
            <w:tcW w:w="1116" w:type="dxa"/>
            <w:vAlign w:val="center"/>
          </w:tcPr>
          <w:p w14:paraId="61783322">
            <w:pPr>
              <w:pStyle w:val="29"/>
              <w:rPr>
                <w:rFonts w:ascii="宋体" w:hAnsi="宋体" w:eastAsia="宋体" w:cs="宋体"/>
                <w:b w:val="0"/>
                <w:bCs w:val="0"/>
                <w:snapToGrid w:val="0"/>
                <w:kern w:val="0"/>
                <w:sz w:val="21"/>
                <w:szCs w:val="24"/>
                <w:lang w:val="en-US" w:eastAsia="zh-CN" w:bidi="ar-SA"/>
              </w:rPr>
            </w:pPr>
          </w:p>
        </w:tc>
      </w:tr>
      <w:tr w14:paraId="1288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0" w:hRule="atLeast"/>
          <w:jc w:val="center"/>
        </w:trPr>
        <w:tc>
          <w:tcPr>
            <w:tcW w:w="808" w:type="dxa"/>
            <w:vAlign w:val="center"/>
          </w:tcPr>
          <w:p w14:paraId="7E2625F9">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附墙个数</w:t>
            </w:r>
          </w:p>
        </w:tc>
        <w:tc>
          <w:tcPr>
            <w:tcW w:w="1897" w:type="dxa"/>
            <w:gridSpan w:val="2"/>
            <w:vAlign w:val="center"/>
          </w:tcPr>
          <w:p w14:paraId="6E598AF4">
            <w:pPr>
              <w:pStyle w:val="29"/>
              <w:rPr>
                <w:rFonts w:ascii="宋体" w:hAnsi="宋体" w:eastAsia="宋体" w:cs="宋体"/>
                <w:b w:val="0"/>
                <w:bCs w:val="0"/>
                <w:snapToGrid w:val="0"/>
                <w:kern w:val="0"/>
                <w:sz w:val="21"/>
                <w:szCs w:val="24"/>
                <w:lang w:val="en-US" w:eastAsia="zh-CN" w:bidi="ar-SA"/>
              </w:rPr>
            </w:pPr>
          </w:p>
        </w:tc>
        <w:tc>
          <w:tcPr>
            <w:tcW w:w="3056" w:type="dxa"/>
            <w:vAlign w:val="center"/>
          </w:tcPr>
          <w:p w14:paraId="668380CB">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最大载重量</w:t>
            </w:r>
          </w:p>
        </w:tc>
        <w:tc>
          <w:tcPr>
            <w:tcW w:w="1041" w:type="dxa"/>
            <w:gridSpan w:val="2"/>
            <w:vAlign w:val="center"/>
          </w:tcPr>
          <w:p w14:paraId="576724D3">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吨</w:t>
            </w:r>
          </w:p>
        </w:tc>
        <w:tc>
          <w:tcPr>
            <w:tcW w:w="1603" w:type="dxa"/>
            <w:vAlign w:val="center"/>
          </w:tcPr>
          <w:p w14:paraId="3A11B11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检查日期</w:t>
            </w:r>
          </w:p>
        </w:tc>
        <w:tc>
          <w:tcPr>
            <w:tcW w:w="1116" w:type="dxa"/>
            <w:vAlign w:val="center"/>
          </w:tcPr>
          <w:p w14:paraId="6D523A14">
            <w:pPr>
              <w:pStyle w:val="29"/>
              <w:rPr>
                <w:rFonts w:ascii="宋体" w:hAnsi="宋体" w:eastAsia="宋体" w:cs="宋体"/>
                <w:b w:val="0"/>
                <w:bCs w:val="0"/>
                <w:snapToGrid w:val="0"/>
                <w:kern w:val="0"/>
                <w:sz w:val="21"/>
                <w:szCs w:val="24"/>
                <w:lang w:val="en-US" w:eastAsia="zh-CN" w:bidi="ar-SA"/>
              </w:rPr>
            </w:pPr>
          </w:p>
        </w:tc>
      </w:tr>
      <w:tr w14:paraId="1B31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07869BB5">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       查      内      容</w:t>
            </w:r>
          </w:p>
        </w:tc>
        <w:tc>
          <w:tcPr>
            <w:tcW w:w="1618" w:type="dxa"/>
            <w:gridSpan w:val="2"/>
            <w:vAlign w:val="center"/>
          </w:tcPr>
          <w:p w14:paraId="4F37AFF9">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参照标准</w:t>
            </w:r>
          </w:p>
        </w:tc>
        <w:tc>
          <w:tcPr>
            <w:tcW w:w="1116" w:type="dxa"/>
            <w:vAlign w:val="center"/>
          </w:tcPr>
          <w:p w14:paraId="65ADCDAD">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检查结果</w:t>
            </w:r>
          </w:p>
        </w:tc>
      </w:tr>
      <w:tr w14:paraId="0B95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47E674A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（一）基</w:t>
            </w:r>
          </w:p>
          <w:p w14:paraId="1406745B">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础</w:t>
            </w:r>
          </w:p>
        </w:tc>
        <w:tc>
          <w:tcPr>
            <w:tcW w:w="5799" w:type="dxa"/>
            <w:gridSpan w:val="3"/>
            <w:vAlign w:val="center"/>
          </w:tcPr>
          <w:p w14:paraId="06AD1CB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1.稳定性；</w:t>
            </w:r>
          </w:p>
        </w:tc>
        <w:tc>
          <w:tcPr>
            <w:tcW w:w="1618" w:type="dxa"/>
            <w:gridSpan w:val="2"/>
            <w:vMerge w:val="restart"/>
            <w:vAlign w:val="center"/>
          </w:tcPr>
          <w:p w14:paraId="5983BE0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JBJ/T187-2009</w:t>
            </w:r>
          </w:p>
        </w:tc>
        <w:tc>
          <w:tcPr>
            <w:tcW w:w="1116" w:type="dxa"/>
            <w:vAlign w:val="center"/>
          </w:tcPr>
          <w:p w14:paraId="13963152">
            <w:pPr>
              <w:pStyle w:val="29"/>
              <w:rPr>
                <w:rFonts w:ascii="宋体" w:hAnsi="宋体" w:eastAsia="宋体" w:cs="宋体"/>
                <w:b w:val="0"/>
                <w:bCs w:val="0"/>
                <w:snapToGrid w:val="0"/>
                <w:kern w:val="0"/>
                <w:sz w:val="21"/>
                <w:szCs w:val="24"/>
                <w:lang w:val="en-US" w:eastAsia="zh-CN" w:bidi="ar-SA"/>
              </w:rPr>
            </w:pPr>
          </w:p>
        </w:tc>
      </w:tr>
      <w:tr w14:paraId="5C1F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2DAF5918">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58E4284">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2.排水措施；</w:t>
            </w:r>
          </w:p>
        </w:tc>
        <w:tc>
          <w:tcPr>
            <w:tcW w:w="1618" w:type="dxa"/>
            <w:gridSpan w:val="2"/>
            <w:vMerge w:val="continue"/>
            <w:vAlign w:val="center"/>
          </w:tcPr>
          <w:p w14:paraId="7DFAA4A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09160279">
            <w:pPr>
              <w:pStyle w:val="29"/>
              <w:rPr>
                <w:rFonts w:ascii="宋体" w:hAnsi="宋体" w:eastAsia="宋体" w:cs="宋体"/>
                <w:b w:val="0"/>
                <w:bCs w:val="0"/>
                <w:snapToGrid w:val="0"/>
                <w:kern w:val="0"/>
                <w:sz w:val="21"/>
                <w:szCs w:val="24"/>
                <w:lang w:val="en-US" w:eastAsia="zh-CN" w:bidi="ar-SA"/>
              </w:rPr>
            </w:pPr>
          </w:p>
        </w:tc>
      </w:tr>
      <w:tr w14:paraId="6DF8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5309EBC2">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3481B6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3.沉降量不大于50mm。</w:t>
            </w:r>
          </w:p>
        </w:tc>
        <w:tc>
          <w:tcPr>
            <w:tcW w:w="1618" w:type="dxa"/>
            <w:gridSpan w:val="2"/>
            <w:vMerge w:val="continue"/>
            <w:vAlign w:val="center"/>
          </w:tcPr>
          <w:p w14:paraId="5D12F301">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2B0FDEAC">
            <w:pPr>
              <w:pStyle w:val="29"/>
              <w:rPr>
                <w:rFonts w:ascii="宋体" w:hAnsi="宋体" w:eastAsia="宋体" w:cs="宋体"/>
                <w:b w:val="0"/>
                <w:bCs w:val="0"/>
                <w:snapToGrid w:val="0"/>
                <w:kern w:val="0"/>
                <w:sz w:val="21"/>
                <w:szCs w:val="24"/>
                <w:lang w:val="en-US" w:eastAsia="zh-CN" w:bidi="ar-SA"/>
              </w:rPr>
            </w:pPr>
          </w:p>
        </w:tc>
      </w:tr>
      <w:tr w14:paraId="07FC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68D20A19">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（二）塔</w:t>
            </w:r>
          </w:p>
          <w:p w14:paraId="02B9BD4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身</w:t>
            </w:r>
          </w:p>
          <w:p w14:paraId="494CA8D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结</w:t>
            </w:r>
          </w:p>
          <w:p w14:paraId="2ED3B4F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构</w:t>
            </w:r>
          </w:p>
        </w:tc>
        <w:tc>
          <w:tcPr>
            <w:tcW w:w="5799" w:type="dxa"/>
            <w:gridSpan w:val="3"/>
            <w:vAlign w:val="center"/>
          </w:tcPr>
          <w:p w14:paraId="55430EEE">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1.结构无变形、开焊、裂纹；</w:t>
            </w:r>
          </w:p>
        </w:tc>
        <w:tc>
          <w:tcPr>
            <w:tcW w:w="1618" w:type="dxa"/>
            <w:gridSpan w:val="2"/>
            <w:vMerge w:val="restart"/>
            <w:vAlign w:val="center"/>
          </w:tcPr>
          <w:p w14:paraId="21E1C268">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p w14:paraId="19B09484">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377E9FF1">
            <w:pPr>
              <w:pStyle w:val="29"/>
              <w:rPr>
                <w:rFonts w:ascii="宋体" w:hAnsi="宋体" w:eastAsia="宋体" w:cs="宋体"/>
                <w:b w:val="0"/>
                <w:bCs w:val="0"/>
                <w:snapToGrid w:val="0"/>
                <w:kern w:val="0"/>
                <w:sz w:val="21"/>
                <w:szCs w:val="24"/>
                <w:lang w:val="en-US" w:eastAsia="zh-CN" w:bidi="ar-SA"/>
              </w:rPr>
            </w:pPr>
          </w:p>
        </w:tc>
      </w:tr>
      <w:tr w14:paraId="351E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197C5A20">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27604B92">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2.过渡节、销轴、高强度螺栓等零部件配置齐全、无松动、缺损、无严重锈蚀；</w:t>
            </w:r>
          </w:p>
        </w:tc>
        <w:tc>
          <w:tcPr>
            <w:tcW w:w="1618" w:type="dxa"/>
            <w:gridSpan w:val="2"/>
            <w:vMerge w:val="continue"/>
            <w:vAlign w:val="center"/>
          </w:tcPr>
          <w:p w14:paraId="45B15A21">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546DA560">
            <w:pPr>
              <w:pStyle w:val="29"/>
              <w:rPr>
                <w:rFonts w:ascii="宋体" w:hAnsi="宋体" w:eastAsia="宋体" w:cs="宋体"/>
                <w:b w:val="0"/>
                <w:bCs w:val="0"/>
                <w:snapToGrid w:val="0"/>
                <w:kern w:val="0"/>
                <w:sz w:val="21"/>
                <w:szCs w:val="24"/>
                <w:lang w:val="en-US" w:eastAsia="zh-CN" w:bidi="ar-SA"/>
              </w:rPr>
            </w:pPr>
          </w:p>
        </w:tc>
      </w:tr>
      <w:tr w14:paraId="6FEF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F7DB888">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7043DCF">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3.垂直度≤3‰；</w:t>
            </w:r>
          </w:p>
        </w:tc>
        <w:tc>
          <w:tcPr>
            <w:tcW w:w="1618" w:type="dxa"/>
            <w:gridSpan w:val="2"/>
            <w:vMerge w:val="continue"/>
            <w:vAlign w:val="center"/>
          </w:tcPr>
          <w:p w14:paraId="7382ECAE">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5EFFC43">
            <w:pPr>
              <w:pStyle w:val="29"/>
              <w:rPr>
                <w:rFonts w:ascii="宋体" w:hAnsi="宋体" w:eastAsia="宋体" w:cs="宋体"/>
                <w:b w:val="0"/>
                <w:bCs w:val="0"/>
                <w:snapToGrid w:val="0"/>
                <w:kern w:val="0"/>
                <w:sz w:val="21"/>
                <w:szCs w:val="24"/>
                <w:lang w:val="en-US" w:eastAsia="zh-CN" w:bidi="ar-SA"/>
              </w:rPr>
            </w:pPr>
          </w:p>
        </w:tc>
      </w:tr>
      <w:tr w14:paraId="548B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9E67135">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8D14234">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4.爬梯设置防护圈应符合国家标准；</w:t>
            </w:r>
          </w:p>
        </w:tc>
        <w:tc>
          <w:tcPr>
            <w:tcW w:w="1618" w:type="dxa"/>
            <w:gridSpan w:val="2"/>
            <w:vMerge w:val="continue"/>
            <w:vAlign w:val="center"/>
          </w:tcPr>
          <w:p w14:paraId="689F80B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3A20E949">
            <w:pPr>
              <w:pStyle w:val="29"/>
              <w:rPr>
                <w:rFonts w:ascii="宋体" w:hAnsi="宋体" w:eastAsia="宋体" w:cs="宋体"/>
                <w:b w:val="0"/>
                <w:bCs w:val="0"/>
                <w:snapToGrid w:val="0"/>
                <w:kern w:val="0"/>
                <w:sz w:val="21"/>
                <w:szCs w:val="24"/>
                <w:lang w:val="en-US" w:eastAsia="zh-CN" w:bidi="ar-SA"/>
              </w:rPr>
            </w:pPr>
          </w:p>
        </w:tc>
      </w:tr>
      <w:tr w14:paraId="61EA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7A73B687">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7B3B3D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5.开口销不得用金属丝等代替。</w:t>
            </w:r>
          </w:p>
        </w:tc>
        <w:tc>
          <w:tcPr>
            <w:tcW w:w="1618" w:type="dxa"/>
            <w:gridSpan w:val="2"/>
            <w:vMerge w:val="continue"/>
            <w:vAlign w:val="center"/>
          </w:tcPr>
          <w:p w14:paraId="6665AD1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6F656F38">
            <w:pPr>
              <w:pStyle w:val="29"/>
              <w:rPr>
                <w:rFonts w:ascii="宋体" w:hAnsi="宋体" w:eastAsia="宋体" w:cs="宋体"/>
                <w:b w:val="0"/>
                <w:bCs w:val="0"/>
                <w:snapToGrid w:val="0"/>
                <w:kern w:val="0"/>
                <w:sz w:val="21"/>
                <w:szCs w:val="24"/>
                <w:lang w:val="en-US" w:eastAsia="zh-CN" w:bidi="ar-SA"/>
              </w:rPr>
            </w:pPr>
          </w:p>
        </w:tc>
      </w:tr>
      <w:tr w14:paraId="3FAA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64736A18">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（三）钢</w:t>
            </w:r>
          </w:p>
          <w:p w14:paraId="1A0DEB0E">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丝</w:t>
            </w:r>
          </w:p>
          <w:p w14:paraId="29C086D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绳</w:t>
            </w:r>
          </w:p>
        </w:tc>
        <w:tc>
          <w:tcPr>
            <w:tcW w:w="5799" w:type="dxa"/>
            <w:gridSpan w:val="3"/>
            <w:vAlign w:val="center"/>
          </w:tcPr>
          <w:p w14:paraId="377E1D02">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1.完好、无断股；</w:t>
            </w:r>
          </w:p>
        </w:tc>
        <w:tc>
          <w:tcPr>
            <w:tcW w:w="1618" w:type="dxa"/>
            <w:gridSpan w:val="2"/>
            <w:vMerge w:val="restart"/>
            <w:vAlign w:val="center"/>
          </w:tcPr>
          <w:p w14:paraId="08542250">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GBT5972-2016</w:t>
            </w:r>
          </w:p>
          <w:p w14:paraId="031998E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5244DB8B">
            <w:pPr>
              <w:pStyle w:val="29"/>
              <w:rPr>
                <w:rFonts w:ascii="宋体" w:hAnsi="宋体" w:eastAsia="宋体" w:cs="宋体"/>
                <w:b w:val="0"/>
                <w:bCs w:val="0"/>
                <w:snapToGrid w:val="0"/>
                <w:kern w:val="0"/>
                <w:sz w:val="21"/>
                <w:szCs w:val="24"/>
                <w:lang w:val="en-US" w:eastAsia="zh-CN" w:bidi="ar-SA"/>
              </w:rPr>
            </w:pPr>
          </w:p>
        </w:tc>
      </w:tr>
      <w:tr w14:paraId="4ECD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262B1BFE">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197E6BB">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2.断丝不超过10％；</w:t>
            </w:r>
          </w:p>
        </w:tc>
        <w:tc>
          <w:tcPr>
            <w:tcW w:w="1618" w:type="dxa"/>
            <w:gridSpan w:val="2"/>
            <w:vMerge w:val="continue"/>
            <w:vAlign w:val="center"/>
          </w:tcPr>
          <w:p w14:paraId="214A191A">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6BCD31E9">
            <w:pPr>
              <w:pStyle w:val="29"/>
              <w:rPr>
                <w:rFonts w:ascii="宋体" w:hAnsi="宋体" w:eastAsia="宋体" w:cs="宋体"/>
                <w:b w:val="0"/>
                <w:bCs w:val="0"/>
                <w:snapToGrid w:val="0"/>
                <w:kern w:val="0"/>
                <w:sz w:val="21"/>
                <w:szCs w:val="24"/>
                <w:lang w:val="en-US" w:eastAsia="zh-CN" w:bidi="ar-SA"/>
              </w:rPr>
            </w:pPr>
          </w:p>
        </w:tc>
      </w:tr>
      <w:tr w14:paraId="7863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3F4FDAA">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3D5539FA">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3.型号、规格、长度符合本机说明书规定；</w:t>
            </w:r>
          </w:p>
        </w:tc>
        <w:tc>
          <w:tcPr>
            <w:tcW w:w="1618" w:type="dxa"/>
            <w:gridSpan w:val="2"/>
            <w:vMerge w:val="continue"/>
            <w:vAlign w:val="center"/>
          </w:tcPr>
          <w:p w14:paraId="3354C3D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64845AAD">
            <w:pPr>
              <w:pStyle w:val="29"/>
              <w:rPr>
                <w:rFonts w:ascii="宋体" w:hAnsi="宋体" w:eastAsia="宋体" w:cs="宋体"/>
                <w:b w:val="0"/>
                <w:bCs w:val="0"/>
                <w:snapToGrid w:val="0"/>
                <w:kern w:val="0"/>
                <w:sz w:val="21"/>
                <w:szCs w:val="24"/>
                <w:lang w:val="en-US" w:eastAsia="zh-CN" w:bidi="ar-SA"/>
              </w:rPr>
            </w:pPr>
          </w:p>
        </w:tc>
      </w:tr>
      <w:tr w14:paraId="6BE5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D48AEED">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215CE37">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4.固定绳卡数量与绳径匹配，卡间距为6-7倍绳径；</w:t>
            </w:r>
          </w:p>
        </w:tc>
        <w:tc>
          <w:tcPr>
            <w:tcW w:w="1618" w:type="dxa"/>
            <w:gridSpan w:val="2"/>
            <w:vMerge w:val="continue"/>
            <w:vAlign w:val="center"/>
          </w:tcPr>
          <w:p w14:paraId="3F97A24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C4DAD83">
            <w:pPr>
              <w:pStyle w:val="29"/>
              <w:rPr>
                <w:rFonts w:ascii="宋体" w:hAnsi="宋体" w:eastAsia="宋体" w:cs="宋体"/>
                <w:b w:val="0"/>
                <w:bCs w:val="0"/>
                <w:snapToGrid w:val="0"/>
                <w:kern w:val="0"/>
                <w:sz w:val="21"/>
                <w:szCs w:val="24"/>
                <w:lang w:val="en-US" w:eastAsia="zh-CN" w:bidi="ar-SA"/>
              </w:rPr>
            </w:pPr>
          </w:p>
        </w:tc>
      </w:tr>
      <w:tr w14:paraId="1DEC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52356122">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1854E47">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5.钢绳磨损量不超过钢丝绳的10%；</w:t>
            </w:r>
          </w:p>
        </w:tc>
        <w:tc>
          <w:tcPr>
            <w:tcW w:w="1618" w:type="dxa"/>
            <w:gridSpan w:val="2"/>
            <w:vMerge w:val="continue"/>
            <w:vAlign w:val="center"/>
          </w:tcPr>
          <w:p w14:paraId="1B3684B5">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92115F0">
            <w:pPr>
              <w:pStyle w:val="29"/>
              <w:rPr>
                <w:rFonts w:ascii="宋体" w:hAnsi="宋体" w:eastAsia="宋体" w:cs="宋体"/>
                <w:b w:val="0"/>
                <w:bCs w:val="0"/>
                <w:snapToGrid w:val="0"/>
                <w:kern w:val="0"/>
                <w:sz w:val="21"/>
                <w:szCs w:val="24"/>
                <w:lang w:val="en-US" w:eastAsia="zh-CN" w:bidi="ar-SA"/>
              </w:rPr>
            </w:pPr>
          </w:p>
        </w:tc>
      </w:tr>
      <w:tr w14:paraId="4E6C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609077B3">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982C444">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6.捆绑起重索具符合要求。</w:t>
            </w:r>
          </w:p>
        </w:tc>
        <w:tc>
          <w:tcPr>
            <w:tcW w:w="1618" w:type="dxa"/>
            <w:gridSpan w:val="2"/>
            <w:vMerge w:val="continue"/>
            <w:vAlign w:val="center"/>
          </w:tcPr>
          <w:p w14:paraId="13873A8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C2F2E4E">
            <w:pPr>
              <w:pStyle w:val="29"/>
              <w:rPr>
                <w:rFonts w:ascii="宋体" w:hAnsi="宋体" w:eastAsia="宋体" w:cs="宋体"/>
                <w:b w:val="0"/>
                <w:bCs w:val="0"/>
                <w:snapToGrid w:val="0"/>
                <w:kern w:val="0"/>
                <w:sz w:val="21"/>
                <w:szCs w:val="24"/>
                <w:lang w:val="en-US" w:eastAsia="zh-CN" w:bidi="ar-SA"/>
              </w:rPr>
            </w:pPr>
          </w:p>
        </w:tc>
      </w:tr>
      <w:tr w14:paraId="1DCD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2358D7B2">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（四）吊</w:t>
            </w:r>
          </w:p>
          <w:p w14:paraId="7590A2A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钩</w:t>
            </w:r>
          </w:p>
        </w:tc>
        <w:tc>
          <w:tcPr>
            <w:tcW w:w="5799" w:type="dxa"/>
            <w:gridSpan w:val="3"/>
            <w:vAlign w:val="center"/>
          </w:tcPr>
          <w:p w14:paraId="6469F9C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1.无裂纹、变形、严重磨损；</w:t>
            </w:r>
          </w:p>
        </w:tc>
        <w:tc>
          <w:tcPr>
            <w:tcW w:w="1618" w:type="dxa"/>
            <w:gridSpan w:val="2"/>
            <w:vMerge w:val="restart"/>
            <w:vAlign w:val="center"/>
          </w:tcPr>
          <w:p w14:paraId="0C7D0B82">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p w14:paraId="7658657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0CC8EF6E">
            <w:pPr>
              <w:pStyle w:val="29"/>
              <w:rPr>
                <w:rFonts w:ascii="宋体" w:hAnsi="宋体" w:eastAsia="宋体" w:cs="宋体"/>
                <w:b w:val="0"/>
                <w:bCs w:val="0"/>
                <w:snapToGrid w:val="0"/>
                <w:kern w:val="0"/>
                <w:sz w:val="21"/>
                <w:szCs w:val="24"/>
                <w:lang w:val="en-US" w:eastAsia="zh-CN" w:bidi="ar-SA"/>
              </w:rPr>
            </w:pPr>
          </w:p>
        </w:tc>
      </w:tr>
      <w:tr w14:paraId="25B8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6B050482">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24CAE51">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2.钩身无补焊、钻孔现象；</w:t>
            </w:r>
          </w:p>
        </w:tc>
        <w:tc>
          <w:tcPr>
            <w:tcW w:w="1618" w:type="dxa"/>
            <w:gridSpan w:val="2"/>
            <w:vMerge w:val="continue"/>
            <w:vAlign w:val="center"/>
          </w:tcPr>
          <w:p w14:paraId="570A62A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8E07C1C">
            <w:pPr>
              <w:pStyle w:val="29"/>
              <w:rPr>
                <w:rFonts w:ascii="宋体" w:hAnsi="宋体" w:eastAsia="宋体" w:cs="宋体"/>
                <w:b w:val="0"/>
                <w:bCs w:val="0"/>
                <w:snapToGrid w:val="0"/>
                <w:kern w:val="0"/>
                <w:sz w:val="21"/>
                <w:szCs w:val="24"/>
                <w:lang w:val="en-US" w:eastAsia="zh-CN" w:bidi="ar-SA"/>
              </w:rPr>
            </w:pPr>
          </w:p>
        </w:tc>
      </w:tr>
      <w:tr w14:paraId="1FF8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5672D1A">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0921DCE">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3.具有防脱装置;</w:t>
            </w:r>
          </w:p>
        </w:tc>
        <w:tc>
          <w:tcPr>
            <w:tcW w:w="1618" w:type="dxa"/>
            <w:gridSpan w:val="2"/>
            <w:vMerge w:val="continue"/>
            <w:vAlign w:val="center"/>
          </w:tcPr>
          <w:p w14:paraId="02CC9F90">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5F21FF97">
            <w:pPr>
              <w:pStyle w:val="29"/>
              <w:rPr>
                <w:rFonts w:ascii="宋体" w:hAnsi="宋体" w:eastAsia="宋体" w:cs="宋体"/>
                <w:b w:val="0"/>
                <w:bCs w:val="0"/>
                <w:snapToGrid w:val="0"/>
                <w:kern w:val="0"/>
                <w:sz w:val="21"/>
                <w:szCs w:val="24"/>
                <w:lang w:val="en-US" w:eastAsia="zh-CN" w:bidi="ar-SA"/>
              </w:rPr>
            </w:pPr>
          </w:p>
        </w:tc>
      </w:tr>
      <w:tr w14:paraId="4002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25031CB">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726861A">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4.挂绳处截面磨损量不超过原高度的10%；</w:t>
            </w:r>
          </w:p>
        </w:tc>
        <w:tc>
          <w:tcPr>
            <w:tcW w:w="1618" w:type="dxa"/>
            <w:gridSpan w:val="2"/>
            <w:vMerge w:val="continue"/>
            <w:vAlign w:val="center"/>
          </w:tcPr>
          <w:p w14:paraId="65328F69">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168D34F">
            <w:pPr>
              <w:pStyle w:val="29"/>
              <w:rPr>
                <w:rFonts w:ascii="宋体" w:hAnsi="宋体" w:eastAsia="宋体" w:cs="宋体"/>
                <w:b w:val="0"/>
                <w:bCs w:val="0"/>
                <w:snapToGrid w:val="0"/>
                <w:kern w:val="0"/>
                <w:sz w:val="21"/>
                <w:szCs w:val="24"/>
                <w:lang w:val="en-US" w:eastAsia="zh-CN" w:bidi="ar-SA"/>
              </w:rPr>
            </w:pPr>
          </w:p>
        </w:tc>
      </w:tr>
      <w:tr w14:paraId="6EB0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2A6672F3">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（五）高度限位</w:t>
            </w:r>
          </w:p>
        </w:tc>
        <w:tc>
          <w:tcPr>
            <w:tcW w:w="5799" w:type="dxa"/>
            <w:gridSpan w:val="3"/>
            <w:vAlign w:val="center"/>
          </w:tcPr>
          <w:p w14:paraId="74E2B44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1.吊钩顶部距起重臂下端800mm，能立即停止起升，但有向下、向内变幅运动；</w:t>
            </w:r>
          </w:p>
        </w:tc>
        <w:tc>
          <w:tcPr>
            <w:tcW w:w="1618" w:type="dxa"/>
            <w:gridSpan w:val="2"/>
            <w:vMerge w:val="restart"/>
            <w:vAlign w:val="center"/>
          </w:tcPr>
          <w:p w14:paraId="0D62CC1A">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tc>
        <w:tc>
          <w:tcPr>
            <w:tcW w:w="1116" w:type="dxa"/>
            <w:vAlign w:val="center"/>
          </w:tcPr>
          <w:p w14:paraId="25AC7836">
            <w:pPr>
              <w:pStyle w:val="29"/>
              <w:rPr>
                <w:rFonts w:ascii="宋体" w:hAnsi="宋体" w:eastAsia="宋体" w:cs="宋体"/>
                <w:b w:val="0"/>
                <w:bCs w:val="0"/>
                <w:snapToGrid w:val="0"/>
                <w:kern w:val="0"/>
                <w:sz w:val="21"/>
                <w:szCs w:val="24"/>
                <w:lang w:val="en-US" w:eastAsia="zh-CN" w:bidi="ar-SA"/>
              </w:rPr>
            </w:pPr>
          </w:p>
        </w:tc>
      </w:tr>
      <w:tr w14:paraId="263F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398A0447">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B61D6D6">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2.吊钩不能再下降或卷筒上钢丝绳只剩3圈时，应能立即停止下降运动；</w:t>
            </w:r>
          </w:p>
        </w:tc>
        <w:tc>
          <w:tcPr>
            <w:tcW w:w="1618" w:type="dxa"/>
            <w:gridSpan w:val="2"/>
            <w:vMerge w:val="continue"/>
            <w:vAlign w:val="center"/>
          </w:tcPr>
          <w:p w14:paraId="299A49E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1E38659">
            <w:pPr>
              <w:pStyle w:val="29"/>
              <w:rPr>
                <w:rFonts w:ascii="宋体" w:hAnsi="宋体" w:eastAsia="宋体" w:cs="宋体"/>
                <w:b w:val="0"/>
                <w:bCs w:val="0"/>
                <w:snapToGrid w:val="0"/>
                <w:kern w:val="0"/>
                <w:sz w:val="21"/>
                <w:szCs w:val="24"/>
                <w:lang w:val="en-US" w:eastAsia="zh-CN" w:bidi="ar-SA"/>
              </w:rPr>
            </w:pPr>
          </w:p>
        </w:tc>
      </w:tr>
      <w:tr w14:paraId="1D7D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361DB506">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C5C3B96">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3.钢丝绳松弛可能造成卷筒上钢丝绳乱绳或反卷，设置下限位。</w:t>
            </w:r>
          </w:p>
        </w:tc>
        <w:tc>
          <w:tcPr>
            <w:tcW w:w="1618" w:type="dxa"/>
            <w:gridSpan w:val="2"/>
            <w:vMerge w:val="continue"/>
            <w:vAlign w:val="center"/>
          </w:tcPr>
          <w:p w14:paraId="41A8D23D">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6E486A64">
            <w:pPr>
              <w:pStyle w:val="29"/>
              <w:rPr>
                <w:rFonts w:ascii="宋体" w:hAnsi="宋体" w:eastAsia="宋体" w:cs="宋体"/>
                <w:b w:val="0"/>
                <w:bCs w:val="0"/>
                <w:snapToGrid w:val="0"/>
                <w:kern w:val="0"/>
                <w:sz w:val="21"/>
                <w:szCs w:val="24"/>
                <w:lang w:val="en-US" w:eastAsia="zh-CN" w:bidi="ar-SA"/>
              </w:rPr>
            </w:pPr>
          </w:p>
        </w:tc>
      </w:tr>
      <w:tr w14:paraId="1B43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46DDF91C">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（六）幅度限位装置</w:t>
            </w:r>
          </w:p>
        </w:tc>
        <w:tc>
          <w:tcPr>
            <w:tcW w:w="5799" w:type="dxa"/>
            <w:gridSpan w:val="3"/>
            <w:vAlign w:val="center"/>
          </w:tcPr>
          <w:p w14:paraId="4ACC4EE9">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1.小车前后两端应设置限位开关和缓冲装置；</w:t>
            </w:r>
          </w:p>
        </w:tc>
        <w:tc>
          <w:tcPr>
            <w:tcW w:w="1618" w:type="dxa"/>
            <w:gridSpan w:val="2"/>
            <w:vMerge w:val="restart"/>
            <w:vAlign w:val="center"/>
          </w:tcPr>
          <w:p w14:paraId="137AF100">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tc>
        <w:tc>
          <w:tcPr>
            <w:tcW w:w="1116" w:type="dxa"/>
            <w:vAlign w:val="center"/>
          </w:tcPr>
          <w:p w14:paraId="1AA716C8">
            <w:pPr>
              <w:pStyle w:val="29"/>
              <w:rPr>
                <w:rFonts w:ascii="宋体" w:hAnsi="宋体" w:eastAsia="宋体" w:cs="宋体"/>
                <w:b w:val="0"/>
                <w:bCs w:val="0"/>
                <w:snapToGrid w:val="0"/>
                <w:kern w:val="0"/>
                <w:sz w:val="21"/>
                <w:szCs w:val="24"/>
                <w:lang w:val="en-US" w:eastAsia="zh-CN" w:bidi="ar-SA"/>
              </w:rPr>
            </w:pPr>
          </w:p>
        </w:tc>
      </w:tr>
      <w:tr w14:paraId="3E73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2B737FA8">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B965E6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2.限位开关距小车停车时其端部缓冲装置最小距离200mm。</w:t>
            </w:r>
          </w:p>
        </w:tc>
        <w:tc>
          <w:tcPr>
            <w:tcW w:w="1618" w:type="dxa"/>
            <w:gridSpan w:val="2"/>
            <w:vMerge w:val="continue"/>
            <w:vAlign w:val="center"/>
          </w:tcPr>
          <w:p w14:paraId="71D562E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6DC65D4">
            <w:pPr>
              <w:pStyle w:val="29"/>
              <w:rPr>
                <w:rFonts w:ascii="宋体" w:hAnsi="宋体" w:eastAsia="宋体" w:cs="宋体"/>
                <w:b w:val="0"/>
                <w:bCs w:val="0"/>
                <w:snapToGrid w:val="0"/>
                <w:kern w:val="0"/>
                <w:sz w:val="21"/>
                <w:szCs w:val="24"/>
                <w:lang w:val="en-US" w:eastAsia="zh-CN" w:bidi="ar-SA"/>
              </w:rPr>
            </w:pPr>
          </w:p>
        </w:tc>
      </w:tr>
      <w:tr w14:paraId="1C11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677839B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（七）力矩限制器</w:t>
            </w:r>
          </w:p>
        </w:tc>
        <w:tc>
          <w:tcPr>
            <w:tcW w:w="5799" w:type="dxa"/>
            <w:gridSpan w:val="3"/>
            <w:vAlign w:val="center"/>
          </w:tcPr>
          <w:p w14:paraId="2D469F33">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1.应设置力矩限制器；</w:t>
            </w:r>
          </w:p>
        </w:tc>
        <w:tc>
          <w:tcPr>
            <w:tcW w:w="1618" w:type="dxa"/>
            <w:gridSpan w:val="2"/>
            <w:vMerge w:val="restart"/>
            <w:vAlign w:val="center"/>
          </w:tcPr>
          <w:p w14:paraId="26E3628E">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GB12602-2020</w:t>
            </w:r>
          </w:p>
        </w:tc>
        <w:tc>
          <w:tcPr>
            <w:tcW w:w="1116" w:type="dxa"/>
            <w:vAlign w:val="center"/>
          </w:tcPr>
          <w:p w14:paraId="11A8C6A9">
            <w:pPr>
              <w:pStyle w:val="29"/>
              <w:rPr>
                <w:rFonts w:ascii="宋体" w:hAnsi="宋体" w:eastAsia="宋体" w:cs="宋体"/>
                <w:b w:val="0"/>
                <w:bCs w:val="0"/>
                <w:snapToGrid w:val="0"/>
                <w:kern w:val="0"/>
                <w:sz w:val="21"/>
                <w:szCs w:val="24"/>
                <w:lang w:val="en-US" w:eastAsia="zh-CN" w:bidi="ar-SA"/>
              </w:rPr>
            </w:pPr>
          </w:p>
        </w:tc>
      </w:tr>
      <w:tr w14:paraId="1874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FCF542D">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B492BC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2.起重量达到90%-95%时，能发出报警信号；</w:t>
            </w:r>
          </w:p>
        </w:tc>
        <w:tc>
          <w:tcPr>
            <w:tcW w:w="1618" w:type="dxa"/>
            <w:gridSpan w:val="2"/>
            <w:vMerge w:val="continue"/>
            <w:vAlign w:val="center"/>
          </w:tcPr>
          <w:p w14:paraId="6201B5FC">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0FC63FD7">
            <w:pPr>
              <w:pStyle w:val="29"/>
              <w:rPr>
                <w:rFonts w:ascii="宋体" w:hAnsi="宋体" w:eastAsia="宋体" w:cs="宋体"/>
                <w:b w:val="0"/>
                <w:bCs w:val="0"/>
                <w:snapToGrid w:val="0"/>
                <w:kern w:val="0"/>
                <w:sz w:val="21"/>
                <w:szCs w:val="24"/>
                <w:lang w:val="en-US" w:eastAsia="zh-CN" w:bidi="ar-SA"/>
              </w:rPr>
            </w:pPr>
          </w:p>
        </w:tc>
      </w:tr>
      <w:tr w14:paraId="538C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41551E4E">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A938B47">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3.起重量达到105%-110%时，能停止向不安全方向继续动作。</w:t>
            </w:r>
          </w:p>
        </w:tc>
        <w:tc>
          <w:tcPr>
            <w:tcW w:w="1618" w:type="dxa"/>
            <w:gridSpan w:val="2"/>
            <w:vMerge w:val="continue"/>
            <w:vAlign w:val="center"/>
          </w:tcPr>
          <w:p w14:paraId="4422F29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C92E9DB">
            <w:pPr>
              <w:pStyle w:val="29"/>
              <w:rPr>
                <w:rFonts w:ascii="宋体" w:hAnsi="宋体" w:eastAsia="宋体" w:cs="宋体"/>
                <w:b w:val="0"/>
                <w:bCs w:val="0"/>
                <w:snapToGrid w:val="0"/>
                <w:kern w:val="0"/>
                <w:sz w:val="21"/>
                <w:szCs w:val="24"/>
                <w:lang w:val="en-US" w:eastAsia="zh-CN" w:bidi="ar-SA"/>
              </w:rPr>
            </w:pPr>
          </w:p>
        </w:tc>
      </w:tr>
      <w:tr w14:paraId="1A84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6AE0BAD7">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AC2595F">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4.力矩限制器综合误差不超过±8%。</w:t>
            </w:r>
          </w:p>
        </w:tc>
        <w:tc>
          <w:tcPr>
            <w:tcW w:w="1618" w:type="dxa"/>
            <w:gridSpan w:val="2"/>
            <w:vMerge w:val="continue"/>
            <w:vAlign w:val="center"/>
          </w:tcPr>
          <w:p w14:paraId="190E8EA6">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51F09CE7">
            <w:pPr>
              <w:pStyle w:val="29"/>
              <w:rPr>
                <w:rFonts w:ascii="宋体" w:hAnsi="宋体" w:eastAsia="宋体" w:cs="宋体"/>
                <w:b w:val="0"/>
                <w:bCs w:val="0"/>
                <w:snapToGrid w:val="0"/>
                <w:kern w:val="0"/>
                <w:sz w:val="21"/>
                <w:szCs w:val="24"/>
                <w:lang w:val="en-US" w:eastAsia="zh-CN" w:bidi="ar-SA"/>
              </w:rPr>
            </w:pPr>
          </w:p>
        </w:tc>
      </w:tr>
      <w:tr w14:paraId="4697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38714C9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（八）附</w:t>
            </w:r>
          </w:p>
          <w:p w14:paraId="1B145648">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着</w:t>
            </w:r>
          </w:p>
          <w:p w14:paraId="63A7510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架</w:t>
            </w:r>
          </w:p>
        </w:tc>
        <w:tc>
          <w:tcPr>
            <w:tcW w:w="5799" w:type="dxa"/>
            <w:gridSpan w:val="3"/>
            <w:vAlign w:val="center"/>
          </w:tcPr>
          <w:p w14:paraId="5362F59F">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1.框架、附着杆拆除正确、牢固；无开焊、变形、裂纹；</w:t>
            </w:r>
          </w:p>
        </w:tc>
        <w:tc>
          <w:tcPr>
            <w:tcW w:w="1618" w:type="dxa"/>
            <w:gridSpan w:val="2"/>
            <w:vMerge w:val="restart"/>
            <w:vAlign w:val="center"/>
          </w:tcPr>
          <w:p w14:paraId="732C50D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JGJ196-2010</w:t>
            </w:r>
          </w:p>
        </w:tc>
        <w:tc>
          <w:tcPr>
            <w:tcW w:w="1116" w:type="dxa"/>
            <w:vAlign w:val="center"/>
          </w:tcPr>
          <w:p w14:paraId="35E6A59F">
            <w:pPr>
              <w:pStyle w:val="29"/>
              <w:rPr>
                <w:rFonts w:ascii="宋体" w:hAnsi="宋体" w:eastAsia="宋体" w:cs="宋体"/>
                <w:b w:val="0"/>
                <w:bCs w:val="0"/>
                <w:snapToGrid w:val="0"/>
                <w:kern w:val="0"/>
                <w:sz w:val="21"/>
                <w:szCs w:val="24"/>
                <w:lang w:val="en-US" w:eastAsia="zh-CN" w:bidi="ar-SA"/>
              </w:rPr>
            </w:pPr>
          </w:p>
        </w:tc>
      </w:tr>
      <w:tr w14:paraId="4020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1A7C1C9A">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FCDA2D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2.各处螺栓、轴销齐全牢固；</w:t>
            </w:r>
          </w:p>
        </w:tc>
        <w:tc>
          <w:tcPr>
            <w:tcW w:w="1618" w:type="dxa"/>
            <w:gridSpan w:val="2"/>
            <w:vMerge w:val="continue"/>
            <w:vAlign w:val="center"/>
          </w:tcPr>
          <w:p w14:paraId="105C9CB0">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2F81052">
            <w:pPr>
              <w:pStyle w:val="29"/>
              <w:rPr>
                <w:rFonts w:ascii="宋体" w:hAnsi="宋体" w:eastAsia="宋体" w:cs="宋体"/>
                <w:b w:val="0"/>
                <w:bCs w:val="0"/>
                <w:snapToGrid w:val="0"/>
                <w:kern w:val="0"/>
                <w:sz w:val="21"/>
                <w:szCs w:val="24"/>
                <w:lang w:val="en-US" w:eastAsia="zh-CN" w:bidi="ar-SA"/>
              </w:rPr>
            </w:pPr>
          </w:p>
        </w:tc>
      </w:tr>
      <w:tr w14:paraId="2D93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59B904E1">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CD18859">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3.间距、数量、拆除固定符合说明书要求；</w:t>
            </w:r>
          </w:p>
        </w:tc>
        <w:tc>
          <w:tcPr>
            <w:tcW w:w="1618" w:type="dxa"/>
            <w:gridSpan w:val="2"/>
            <w:vMerge w:val="continue"/>
            <w:vAlign w:val="center"/>
          </w:tcPr>
          <w:p w14:paraId="4D403FFF">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6B88428">
            <w:pPr>
              <w:pStyle w:val="29"/>
              <w:rPr>
                <w:rFonts w:ascii="宋体" w:hAnsi="宋体" w:eastAsia="宋体" w:cs="宋体"/>
                <w:b w:val="0"/>
                <w:bCs w:val="0"/>
                <w:snapToGrid w:val="0"/>
                <w:kern w:val="0"/>
                <w:sz w:val="21"/>
                <w:szCs w:val="24"/>
                <w:lang w:val="en-US" w:eastAsia="zh-CN" w:bidi="ar-SA"/>
              </w:rPr>
            </w:pPr>
          </w:p>
        </w:tc>
      </w:tr>
      <w:tr w14:paraId="7EE0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6DA3AC5">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2C929EE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4.架体不得擅自改动。</w:t>
            </w:r>
          </w:p>
        </w:tc>
        <w:tc>
          <w:tcPr>
            <w:tcW w:w="1618" w:type="dxa"/>
            <w:gridSpan w:val="2"/>
            <w:vMerge w:val="continue"/>
            <w:vAlign w:val="center"/>
          </w:tcPr>
          <w:p w14:paraId="6250831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2A4081E1">
            <w:pPr>
              <w:pStyle w:val="29"/>
              <w:rPr>
                <w:rFonts w:ascii="宋体" w:hAnsi="宋体" w:eastAsia="宋体" w:cs="宋体"/>
                <w:b w:val="0"/>
                <w:bCs w:val="0"/>
                <w:snapToGrid w:val="0"/>
                <w:kern w:val="0"/>
                <w:sz w:val="21"/>
                <w:szCs w:val="24"/>
                <w:lang w:val="en-US" w:eastAsia="zh-CN" w:bidi="ar-SA"/>
              </w:rPr>
            </w:pPr>
          </w:p>
        </w:tc>
      </w:tr>
      <w:tr w14:paraId="1E48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4C147B4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（九）电</w:t>
            </w:r>
          </w:p>
          <w:p w14:paraId="0519000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气</w:t>
            </w:r>
          </w:p>
        </w:tc>
        <w:tc>
          <w:tcPr>
            <w:tcW w:w="5799" w:type="dxa"/>
            <w:gridSpan w:val="3"/>
            <w:vAlign w:val="center"/>
          </w:tcPr>
          <w:p w14:paraId="37B866A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1.电缆无破损，无老化；</w:t>
            </w:r>
          </w:p>
        </w:tc>
        <w:tc>
          <w:tcPr>
            <w:tcW w:w="1618" w:type="dxa"/>
            <w:gridSpan w:val="2"/>
            <w:vMerge w:val="restart"/>
            <w:vAlign w:val="center"/>
          </w:tcPr>
          <w:p w14:paraId="05A57C0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GB5226</w:t>
            </w: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-2002</w:t>
            </w:r>
          </w:p>
          <w:p w14:paraId="3DA4FF0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p w14:paraId="02B3AC6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GBT5031-2008</w:t>
            </w:r>
          </w:p>
        </w:tc>
        <w:tc>
          <w:tcPr>
            <w:tcW w:w="1116" w:type="dxa"/>
            <w:vAlign w:val="center"/>
          </w:tcPr>
          <w:p w14:paraId="2B2B46A9">
            <w:pPr>
              <w:pStyle w:val="29"/>
              <w:rPr>
                <w:rFonts w:ascii="宋体" w:hAnsi="宋体" w:eastAsia="宋体" w:cs="宋体"/>
                <w:b w:val="0"/>
                <w:bCs w:val="0"/>
                <w:snapToGrid w:val="0"/>
                <w:kern w:val="0"/>
                <w:sz w:val="21"/>
                <w:szCs w:val="24"/>
                <w:lang w:val="en-US" w:eastAsia="zh-CN" w:bidi="ar-SA"/>
              </w:rPr>
            </w:pPr>
          </w:p>
        </w:tc>
      </w:tr>
      <w:tr w14:paraId="76A9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6268A722">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2FCA3D2">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2.各接地、接零保护装置符合要求；</w:t>
            </w:r>
          </w:p>
        </w:tc>
        <w:tc>
          <w:tcPr>
            <w:tcW w:w="1618" w:type="dxa"/>
            <w:gridSpan w:val="2"/>
            <w:vMerge w:val="continue"/>
            <w:vAlign w:val="center"/>
          </w:tcPr>
          <w:p w14:paraId="5A9BFA13">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4D98500">
            <w:pPr>
              <w:pStyle w:val="29"/>
              <w:rPr>
                <w:rFonts w:ascii="宋体" w:hAnsi="宋体" w:eastAsia="宋体" w:cs="宋体"/>
                <w:b w:val="0"/>
                <w:bCs w:val="0"/>
                <w:snapToGrid w:val="0"/>
                <w:kern w:val="0"/>
                <w:sz w:val="21"/>
                <w:szCs w:val="24"/>
                <w:lang w:val="en-US" w:eastAsia="zh-CN" w:bidi="ar-SA"/>
              </w:rPr>
            </w:pPr>
          </w:p>
        </w:tc>
      </w:tr>
      <w:tr w14:paraId="4E4E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4F68FFE5">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37B5F4C8">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3.开关等配电装置齐全有效；</w:t>
            </w:r>
          </w:p>
        </w:tc>
        <w:tc>
          <w:tcPr>
            <w:tcW w:w="1618" w:type="dxa"/>
            <w:gridSpan w:val="2"/>
            <w:vMerge w:val="continue"/>
            <w:vAlign w:val="center"/>
          </w:tcPr>
          <w:p w14:paraId="2611B6E6">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014D163F">
            <w:pPr>
              <w:pStyle w:val="29"/>
              <w:rPr>
                <w:rFonts w:ascii="宋体" w:hAnsi="宋体" w:eastAsia="宋体" w:cs="宋体"/>
                <w:b w:val="0"/>
                <w:bCs w:val="0"/>
                <w:snapToGrid w:val="0"/>
                <w:kern w:val="0"/>
                <w:sz w:val="21"/>
                <w:szCs w:val="24"/>
                <w:lang w:val="en-US" w:eastAsia="zh-CN" w:bidi="ar-SA"/>
              </w:rPr>
            </w:pPr>
          </w:p>
        </w:tc>
      </w:tr>
      <w:tr w14:paraId="2199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1DAAADA">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128B1B9">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4.绝缘良好；</w:t>
            </w:r>
          </w:p>
        </w:tc>
        <w:tc>
          <w:tcPr>
            <w:tcW w:w="1618" w:type="dxa"/>
            <w:gridSpan w:val="2"/>
            <w:vMerge w:val="continue"/>
            <w:vAlign w:val="center"/>
          </w:tcPr>
          <w:p w14:paraId="53D543F2">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58200BD">
            <w:pPr>
              <w:pStyle w:val="29"/>
              <w:rPr>
                <w:rFonts w:ascii="宋体" w:hAnsi="宋体" w:eastAsia="宋体" w:cs="宋体"/>
                <w:b w:val="0"/>
                <w:bCs w:val="0"/>
                <w:snapToGrid w:val="0"/>
                <w:kern w:val="0"/>
                <w:sz w:val="21"/>
                <w:szCs w:val="24"/>
                <w:lang w:val="en-US" w:eastAsia="zh-CN" w:bidi="ar-SA"/>
              </w:rPr>
            </w:pPr>
          </w:p>
        </w:tc>
      </w:tr>
      <w:tr w14:paraId="0304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A0BA201">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3089A2CA">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5.接闪器、避雷等接地装置良好,；</w:t>
            </w:r>
          </w:p>
        </w:tc>
        <w:tc>
          <w:tcPr>
            <w:tcW w:w="1618" w:type="dxa"/>
            <w:gridSpan w:val="2"/>
            <w:vMerge w:val="continue"/>
            <w:vAlign w:val="center"/>
          </w:tcPr>
          <w:p w14:paraId="05C68FB9">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31E79719">
            <w:pPr>
              <w:pStyle w:val="29"/>
              <w:rPr>
                <w:rFonts w:ascii="宋体" w:hAnsi="宋体" w:eastAsia="宋体" w:cs="宋体"/>
                <w:b w:val="0"/>
                <w:bCs w:val="0"/>
                <w:snapToGrid w:val="0"/>
                <w:kern w:val="0"/>
                <w:sz w:val="21"/>
                <w:szCs w:val="24"/>
                <w:lang w:val="en-US" w:eastAsia="zh-CN" w:bidi="ar-SA"/>
              </w:rPr>
            </w:pPr>
          </w:p>
        </w:tc>
      </w:tr>
      <w:tr w14:paraId="005A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22C9D8B">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83C2A4B">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6.动力电路和控制电路对地绝缘值不超过0.5兆欧；</w:t>
            </w:r>
          </w:p>
        </w:tc>
        <w:tc>
          <w:tcPr>
            <w:tcW w:w="1618" w:type="dxa"/>
            <w:gridSpan w:val="2"/>
            <w:vMerge w:val="continue"/>
            <w:vAlign w:val="center"/>
          </w:tcPr>
          <w:p w14:paraId="719DC444">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7399BD2">
            <w:pPr>
              <w:pStyle w:val="29"/>
              <w:rPr>
                <w:rFonts w:ascii="宋体" w:hAnsi="宋体" w:eastAsia="宋体" w:cs="宋体"/>
                <w:b w:val="0"/>
                <w:bCs w:val="0"/>
                <w:snapToGrid w:val="0"/>
                <w:kern w:val="0"/>
                <w:sz w:val="21"/>
                <w:szCs w:val="24"/>
                <w:lang w:val="en-US" w:eastAsia="zh-CN" w:bidi="ar-SA"/>
              </w:rPr>
            </w:pPr>
          </w:p>
        </w:tc>
      </w:tr>
      <w:tr w14:paraId="5EC0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14560D2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（十）机构油类</w:t>
            </w:r>
          </w:p>
        </w:tc>
        <w:tc>
          <w:tcPr>
            <w:tcW w:w="5799" w:type="dxa"/>
            <w:gridSpan w:val="3"/>
            <w:vAlign w:val="center"/>
          </w:tcPr>
          <w:p w14:paraId="7B4265D8">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1.减速机、卷扬机、回转机构、液压顶升系统部件齐全、工作正常；</w:t>
            </w:r>
          </w:p>
        </w:tc>
        <w:tc>
          <w:tcPr>
            <w:tcW w:w="1618" w:type="dxa"/>
            <w:gridSpan w:val="2"/>
            <w:vMerge w:val="restart"/>
            <w:vAlign w:val="center"/>
          </w:tcPr>
          <w:p w14:paraId="5AB9AEBC">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p w14:paraId="32B931A9">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1CF89A8A">
            <w:pPr>
              <w:pStyle w:val="29"/>
              <w:rPr>
                <w:rFonts w:ascii="宋体" w:hAnsi="宋体" w:eastAsia="宋体" w:cs="宋体"/>
                <w:b w:val="0"/>
                <w:bCs w:val="0"/>
                <w:snapToGrid w:val="0"/>
                <w:kern w:val="0"/>
                <w:sz w:val="21"/>
                <w:szCs w:val="24"/>
                <w:lang w:val="en-US" w:eastAsia="zh-CN" w:bidi="ar-SA"/>
              </w:rPr>
            </w:pPr>
          </w:p>
        </w:tc>
      </w:tr>
      <w:tr w14:paraId="0A18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F16C988">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8AAC8EF">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2.传动部位有防护罩；</w:t>
            </w:r>
          </w:p>
        </w:tc>
        <w:tc>
          <w:tcPr>
            <w:tcW w:w="1618" w:type="dxa"/>
            <w:gridSpan w:val="2"/>
            <w:vMerge w:val="continue"/>
            <w:vAlign w:val="center"/>
          </w:tcPr>
          <w:p w14:paraId="2F84C02B">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57B2881E">
            <w:pPr>
              <w:pStyle w:val="29"/>
              <w:rPr>
                <w:rFonts w:ascii="宋体" w:hAnsi="宋体" w:eastAsia="宋体" w:cs="宋体"/>
                <w:b w:val="0"/>
                <w:bCs w:val="0"/>
                <w:snapToGrid w:val="0"/>
                <w:kern w:val="0"/>
                <w:sz w:val="21"/>
                <w:szCs w:val="24"/>
                <w:lang w:val="en-US" w:eastAsia="zh-CN" w:bidi="ar-SA"/>
              </w:rPr>
            </w:pPr>
          </w:p>
        </w:tc>
      </w:tr>
      <w:tr w14:paraId="0BA7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36B66CC0">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E68E11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3.油箱有足够容量；</w:t>
            </w:r>
          </w:p>
        </w:tc>
        <w:tc>
          <w:tcPr>
            <w:tcW w:w="1618" w:type="dxa"/>
            <w:gridSpan w:val="2"/>
            <w:vMerge w:val="continue"/>
            <w:vAlign w:val="center"/>
          </w:tcPr>
          <w:p w14:paraId="6DAD5130">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ACA5325">
            <w:pPr>
              <w:pStyle w:val="29"/>
              <w:rPr>
                <w:rFonts w:ascii="宋体" w:hAnsi="宋体" w:eastAsia="宋体" w:cs="宋体"/>
                <w:b w:val="0"/>
                <w:bCs w:val="0"/>
                <w:snapToGrid w:val="0"/>
                <w:kern w:val="0"/>
                <w:sz w:val="21"/>
                <w:szCs w:val="24"/>
                <w:lang w:val="en-US" w:eastAsia="zh-CN" w:bidi="ar-SA"/>
              </w:rPr>
            </w:pPr>
          </w:p>
        </w:tc>
      </w:tr>
      <w:tr w14:paraId="0838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0A1ABD7">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E041F08">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4.油路无泄露、堵塞现象。</w:t>
            </w:r>
          </w:p>
        </w:tc>
        <w:tc>
          <w:tcPr>
            <w:tcW w:w="1618" w:type="dxa"/>
            <w:gridSpan w:val="2"/>
            <w:vMerge w:val="continue"/>
            <w:vAlign w:val="center"/>
          </w:tcPr>
          <w:p w14:paraId="029DD6B0">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96BA190">
            <w:pPr>
              <w:pStyle w:val="29"/>
              <w:rPr>
                <w:rFonts w:ascii="宋体" w:hAnsi="宋体" w:eastAsia="宋体" w:cs="宋体"/>
                <w:b w:val="0"/>
                <w:bCs w:val="0"/>
                <w:snapToGrid w:val="0"/>
                <w:kern w:val="0"/>
                <w:sz w:val="21"/>
                <w:szCs w:val="24"/>
                <w:lang w:val="en-US" w:eastAsia="zh-CN" w:bidi="ar-SA"/>
              </w:rPr>
            </w:pPr>
          </w:p>
        </w:tc>
      </w:tr>
      <w:tr w14:paraId="1DC9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2AC5A8BD">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十一</w:t>
            </w:r>
          </w:p>
          <w:p w14:paraId="7301CAC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制</w:t>
            </w:r>
          </w:p>
          <w:p w14:paraId="4E6C3B33">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动</w:t>
            </w:r>
          </w:p>
          <w:p w14:paraId="00AFC261">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器</w:t>
            </w:r>
          </w:p>
        </w:tc>
        <w:tc>
          <w:tcPr>
            <w:tcW w:w="5799" w:type="dxa"/>
            <w:gridSpan w:val="3"/>
            <w:vAlign w:val="center"/>
          </w:tcPr>
          <w:p w14:paraId="3FFA8783">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1.无可见裂纹;</w:t>
            </w:r>
          </w:p>
        </w:tc>
        <w:tc>
          <w:tcPr>
            <w:tcW w:w="1618" w:type="dxa"/>
            <w:gridSpan w:val="2"/>
            <w:vMerge w:val="restart"/>
            <w:vAlign w:val="center"/>
          </w:tcPr>
          <w:p w14:paraId="08E220D2">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GB5144-2006</w:t>
            </w:r>
          </w:p>
          <w:p w14:paraId="371F9711">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052C0992">
            <w:pPr>
              <w:pStyle w:val="29"/>
              <w:rPr>
                <w:rFonts w:ascii="宋体" w:hAnsi="宋体" w:eastAsia="宋体" w:cs="宋体"/>
                <w:b w:val="0"/>
                <w:bCs w:val="0"/>
                <w:snapToGrid w:val="0"/>
                <w:kern w:val="0"/>
                <w:sz w:val="21"/>
                <w:szCs w:val="24"/>
                <w:lang w:val="en-US" w:eastAsia="zh-CN" w:bidi="ar-SA"/>
              </w:rPr>
            </w:pPr>
          </w:p>
        </w:tc>
      </w:tr>
      <w:tr w14:paraId="3CD9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2ED6E65F">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DD0B13D">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2.制动块摩擦衬垫磨损量未达原厚度的50%;</w:t>
            </w:r>
          </w:p>
        </w:tc>
        <w:tc>
          <w:tcPr>
            <w:tcW w:w="1618" w:type="dxa"/>
            <w:gridSpan w:val="2"/>
            <w:vMerge w:val="continue"/>
            <w:vAlign w:val="center"/>
          </w:tcPr>
          <w:p w14:paraId="4AB17FF6">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D4FB48A">
            <w:pPr>
              <w:pStyle w:val="29"/>
              <w:rPr>
                <w:rFonts w:ascii="宋体" w:hAnsi="宋体" w:eastAsia="宋体" w:cs="宋体"/>
                <w:b w:val="0"/>
                <w:bCs w:val="0"/>
                <w:snapToGrid w:val="0"/>
                <w:kern w:val="0"/>
                <w:sz w:val="21"/>
                <w:szCs w:val="24"/>
                <w:lang w:val="en-US" w:eastAsia="zh-CN" w:bidi="ar-SA"/>
              </w:rPr>
            </w:pPr>
          </w:p>
        </w:tc>
      </w:tr>
      <w:tr w14:paraId="0987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57F8D463">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2772B1F7">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3.制动轮表面磨损量未达1.5 mm ~2mm;</w:t>
            </w:r>
          </w:p>
        </w:tc>
        <w:tc>
          <w:tcPr>
            <w:tcW w:w="1618" w:type="dxa"/>
            <w:gridSpan w:val="2"/>
            <w:vMerge w:val="continue"/>
            <w:vAlign w:val="center"/>
          </w:tcPr>
          <w:p w14:paraId="3A6810F8">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005825A">
            <w:pPr>
              <w:pStyle w:val="29"/>
              <w:rPr>
                <w:rFonts w:ascii="宋体" w:hAnsi="宋体" w:eastAsia="宋体" w:cs="宋体"/>
                <w:b w:val="0"/>
                <w:bCs w:val="0"/>
                <w:snapToGrid w:val="0"/>
                <w:kern w:val="0"/>
                <w:sz w:val="21"/>
                <w:szCs w:val="24"/>
                <w:lang w:val="en-US" w:eastAsia="zh-CN" w:bidi="ar-SA"/>
              </w:rPr>
            </w:pPr>
          </w:p>
        </w:tc>
      </w:tr>
      <w:tr w14:paraId="1D6B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25487264">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FABC26D">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4.弹簧未出现塑性变形;</w:t>
            </w:r>
          </w:p>
        </w:tc>
        <w:tc>
          <w:tcPr>
            <w:tcW w:w="1618" w:type="dxa"/>
            <w:gridSpan w:val="2"/>
            <w:vMerge w:val="continue"/>
            <w:vAlign w:val="center"/>
          </w:tcPr>
          <w:p w14:paraId="741CF794">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0A8B125C">
            <w:pPr>
              <w:pStyle w:val="29"/>
              <w:rPr>
                <w:rFonts w:ascii="宋体" w:hAnsi="宋体" w:eastAsia="宋体" w:cs="宋体"/>
                <w:b w:val="0"/>
                <w:bCs w:val="0"/>
                <w:snapToGrid w:val="0"/>
                <w:kern w:val="0"/>
                <w:sz w:val="21"/>
                <w:szCs w:val="24"/>
                <w:lang w:val="en-US" w:eastAsia="zh-CN" w:bidi="ar-SA"/>
              </w:rPr>
            </w:pPr>
          </w:p>
        </w:tc>
      </w:tr>
      <w:tr w14:paraId="0A28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640756CE">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十二</w:t>
            </w:r>
          </w:p>
          <w:p w14:paraId="325334CD">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安</w:t>
            </w:r>
          </w:p>
          <w:p w14:paraId="41FDE6B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全</w:t>
            </w:r>
          </w:p>
          <w:p w14:paraId="6C42112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距</w:t>
            </w:r>
          </w:p>
          <w:p w14:paraId="2CCE7941">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离</w:t>
            </w:r>
          </w:p>
        </w:tc>
        <w:tc>
          <w:tcPr>
            <w:tcW w:w="5799" w:type="dxa"/>
            <w:gridSpan w:val="3"/>
            <w:vAlign w:val="center"/>
          </w:tcPr>
          <w:p w14:paraId="2A700442">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1.与建筑物周围施工设施之间距离≥0.5米；</w:t>
            </w:r>
          </w:p>
        </w:tc>
        <w:tc>
          <w:tcPr>
            <w:tcW w:w="1618" w:type="dxa"/>
            <w:gridSpan w:val="2"/>
            <w:vMerge w:val="restart"/>
            <w:vAlign w:val="center"/>
          </w:tcPr>
          <w:p w14:paraId="66E121FD">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JGJ196-2010</w:t>
            </w:r>
          </w:p>
          <w:p w14:paraId="77F26482">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4C71366B">
            <w:pPr>
              <w:pStyle w:val="29"/>
              <w:rPr>
                <w:rFonts w:ascii="宋体" w:hAnsi="宋体" w:eastAsia="宋体" w:cs="宋体"/>
                <w:b w:val="0"/>
                <w:bCs w:val="0"/>
                <w:snapToGrid w:val="0"/>
                <w:kern w:val="0"/>
                <w:sz w:val="21"/>
                <w:szCs w:val="24"/>
                <w:lang w:val="en-US" w:eastAsia="zh-CN" w:bidi="ar-SA"/>
              </w:rPr>
            </w:pPr>
          </w:p>
        </w:tc>
      </w:tr>
      <w:tr w14:paraId="0E6F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34A03BFD">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4511EE5">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2.多塔作业相互间应符合要求，有防碰撞措施；</w:t>
            </w:r>
          </w:p>
        </w:tc>
        <w:tc>
          <w:tcPr>
            <w:tcW w:w="1618" w:type="dxa"/>
            <w:gridSpan w:val="2"/>
            <w:vMerge w:val="continue"/>
            <w:vAlign w:val="center"/>
          </w:tcPr>
          <w:p w14:paraId="269F6D4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F636435">
            <w:pPr>
              <w:pStyle w:val="29"/>
              <w:rPr>
                <w:rFonts w:ascii="宋体" w:hAnsi="宋体" w:eastAsia="宋体" w:cs="宋体"/>
                <w:b w:val="0"/>
                <w:bCs w:val="0"/>
                <w:snapToGrid w:val="0"/>
                <w:kern w:val="0"/>
                <w:sz w:val="21"/>
                <w:szCs w:val="24"/>
                <w:lang w:val="en-US" w:eastAsia="zh-CN" w:bidi="ar-SA"/>
              </w:rPr>
            </w:pPr>
          </w:p>
        </w:tc>
      </w:tr>
      <w:tr w14:paraId="4EFB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0182E0F0">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E908D4A">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3.各部位与外电线路保持安全距离，达不到要求的必须按规定采取防护措施，防护措施应达到电业部门规定要求。</w:t>
            </w:r>
          </w:p>
        </w:tc>
        <w:tc>
          <w:tcPr>
            <w:tcW w:w="1618" w:type="dxa"/>
            <w:gridSpan w:val="2"/>
            <w:vMerge w:val="continue"/>
            <w:vAlign w:val="center"/>
          </w:tcPr>
          <w:p w14:paraId="02499EA2">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18C92AD8">
            <w:pPr>
              <w:pStyle w:val="29"/>
              <w:rPr>
                <w:rFonts w:ascii="宋体" w:hAnsi="宋体" w:eastAsia="宋体" w:cs="宋体"/>
                <w:b w:val="0"/>
                <w:bCs w:val="0"/>
                <w:snapToGrid w:val="0"/>
                <w:kern w:val="0"/>
                <w:sz w:val="21"/>
                <w:szCs w:val="24"/>
                <w:lang w:val="en-US" w:eastAsia="zh-CN" w:bidi="ar-SA"/>
              </w:rPr>
            </w:pPr>
          </w:p>
        </w:tc>
      </w:tr>
      <w:tr w14:paraId="6B6E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3ED5B604">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十三</w:t>
            </w:r>
          </w:p>
          <w:p w14:paraId="6E04824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卷</w:t>
            </w:r>
          </w:p>
          <w:p w14:paraId="079B76A6">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筒</w:t>
            </w:r>
          </w:p>
          <w:p w14:paraId="382FC8A8">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滑</w:t>
            </w:r>
          </w:p>
          <w:p w14:paraId="20238ACC">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轮</w:t>
            </w:r>
          </w:p>
        </w:tc>
        <w:tc>
          <w:tcPr>
            <w:tcW w:w="5799" w:type="dxa"/>
            <w:gridSpan w:val="3"/>
            <w:vAlign w:val="center"/>
          </w:tcPr>
          <w:p w14:paraId="641B875B">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1.卷筒两侧边沿的高度大于钢丝绳直径2倍；</w:t>
            </w:r>
          </w:p>
        </w:tc>
        <w:tc>
          <w:tcPr>
            <w:tcW w:w="1618" w:type="dxa"/>
            <w:gridSpan w:val="2"/>
            <w:vMerge w:val="restart"/>
            <w:vAlign w:val="center"/>
          </w:tcPr>
          <w:p w14:paraId="719DC270">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GBT13752</w:t>
            </w:r>
            <w:r>
              <w:rPr>
                <w:rFonts w:ascii="宋体" w:hAnsi="宋体" w:eastAsia="宋体" w:cs="宋体"/>
                <w:b w:val="0"/>
                <w:bCs w:val="0"/>
                <w:snapToGrid w:val="0"/>
                <w:kern w:val="0"/>
                <w:sz w:val="21"/>
                <w:szCs w:val="24"/>
                <w:lang w:val="en-US" w:eastAsia="zh-CN" w:bidi="ar-SA"/>
              </w:rPr>
              <w:t>-2017</w:t>
            </w:r>
          </w:p>
          <w:p w14:paraId="3365117F">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04FAE641">
            <w:pPr>
              <w:pStyle w:val="29"/>
              <w:rPr>
                <w:rFonts w:ascii="宋体" w:hAnsi="宋体" w:eastAsia="宋体" w:cs="宋体"/>
                <w:b w:val="0"/>
                <w:bCs w:val="0"/>
                <w:snapToGrid w:val="0"/>
                <w:kern w:val="0"/>
                <w:sz w:val="21"/>
                <w:szCs w:val="24"/>
                <w:lang w:val="en-US" w:eastAsia="zh-CN" w:bidi="ar-SA"/>
              </w:rPr>
            </w:pPr>
          </w:p>
        </w:tc>
      </w:tr>
      <w:tr w14:paraId="66B6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13D8044">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AE408A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2.卷筒上的钢丝绳至少保留3圈；</w:t>
            </w:r>
          </w:p>
        </w:tc>
        <w:tc>
          <w:tcPr>
            <w:tcW w:w="1618" w:type="dxa"/>
            <w:gridSpan w:val="2"/>
            <w:vMerge w:val="continue"/>
            <w:vAlign w:val="center"/>
          </w:tcPr>
          <w:p w14:paraId="59797B6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2E97EDEE">
            <w:pPr>
              <w:pStyle w:val="29"/>
              <w:rPr>
                <w:rFonts w:ascii="宋体" w:hAnsi="宋体" w:eastAsia="宋体" w:cs="宋体"/>
                <w:b w:val="0"/>
                <w:bCs w:val="0"/>
                <w:snapToGrid w:val="0"/>
                <w:kern w:val="0"/>
                <w:sz w:val="21"/>
                <w:szCs w:val="24"/>
                <w:lang w:val="en-US" w:eastAsia="zh-CN" w:bidi="ar-SA"/>
              </w:rPr>
            </w:pPr>
          </w:p>
        </w:tc>
      </w:tr>
      <w:tr w14:paraId="1E16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297C882D">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1748C31">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3.滑轮应设有防绳跳槽装置，且与滑轮最外沿间隙不得超过钢丝绳直径的20％；</w:t>
            </w:r>
          </w:p>
        </w:tc>
        <w:tc>
          <w:tcPr>
            <w:tcW w:w="1618" w:type="dxa"/>
            <w:gridSpan w:val="2"/>
            <w:vMerge w:val="continue"/>
            <w:vAlign w:val="center"/>
          </w:tcPr>
          <w:p w14:paraId="10986CD9">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7A3B5CAA">
            <w:pPr>
              <w:pStyle w:val="29"/>
              <w:rPr>
                <w:rFonts w:ascii="宋体" w:hAnsi="宋体" w:eastAsia="宋体" w:cs="宋体"/>
                <w:b w:val="0"/>
                <w:bCs w:val="0"/>
                <w:snapToGrid w:val="0"/>
                <w:kern w:val="0"/>
                <w:sz w:val="21"/>
                <w:szCs w:val="24"/>
                <w:lang w:val="en-US" w:eastAsia="zh-CN" w:bidi="ar-SA"/>
              </w:rPr>
            </w:pPr>
          </w:p>
        </w:tc>
      </w:tr>
      <w:tr w14:paraId="46F5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3CABD6C3">
            <w:pPr>
              <w:pStyle w:val="29"/>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2153E6E">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4.滑轮转动灵活、无卡塞现象。</w:t>
            </w:r>
          </w:p>
        </w:tc>
        <w:tc>
          <w:tcPr>
            <w:tcW w:w="1618" w:type="dxa"/>
            <w:gridSpan w:val="2"/>
            <w:vMerge w:val="continue"/>
            <w:vAlign w:val="center"/>
          </w:tcPr>
          <w:p w14:paraId="5C34D867">
            <w:pPr>
              <w:pStyle w:val="29"/>
              <w:rPr>
                <w:rFonts w:ascii="宋体" w:hAnsi="宋体" w:eastAsia="宋体" w:cs="宋体"/>
                <w:b w:val="0"/>
                <w:bCs w:val="0"/>
                <w:snapToGrid w:val="0"/>
                <w:kern w:val="0"/>
                <w:sz w:val="21"/>
                <w:szCs w:val="24"/>
                <w:lang w:val="en-US" w:eastAsia="zh-CN" w:bidi="ar-SA"/>
              </w:rPr>
            </w:pPr>
          </w:p>
        </w:tc>
        <w:tc>
          <w:tcPr>
            <w:tcW w:w="1116" w:type="dxa"/>
            <w:vAlign w:val="center"/>
          </w:tcPr>
          <w:p w14:paraId="487ED075">
            <w:pPr>
              <w:pStyle w:val="29"/>
              <w:rPr>
                <w:rFonts w:ascii="宋体" w:hAnsi="宋体" w:eastAsia="宋体" w:cs="宋体"/>
                <w:b w:val="0"/>
                <w:bCs w:val="0"/>
                <w:snapToGrid w:val="0"/>
                <w:kern w:val="0"/>
                <w:sz w:val="21"/>
                <w:szCs w:val="24"/>
                <w:lang w:val="en-US" w:eastAsia="zh-CN" w:bidi="ar-SA"/>
              </w:rPr>
            </w:pPr>
          </w:p>
        </w:tc>
      </w:tr>
      <w:tr w14:paraId="22FA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497DC295">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十四</w:t>
            </w:r>
          </w:p>
          <w:p w14:paraId="6FEF3D0B">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持证上岗</w:t>
            </w:r>
          </w:p>
        </w:tc>
        <w:tc>
          <w:tcPr>
            <w:tcW w:w="5799" w:type="dxa"/>
            <w:gridSpan w:val="3"/>
            <w:vAlign w:val="center"/>
          </w:tcPr>
          <w:p w14:paraId="2D3F69FC">
            <w:pPr>
              <w:pStyle w:val="29"/>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1.使用过程中塔吊司机必须持证上岗。</w:t>
            </w:r>
          </w:p>
        </w:tc>
        <w:tc>
          <w:tcPr>
            <w:tcW w:w="1618" w:type="dxa"/>
            <w:gridSpan w:val="2"/>
            <w:vAlign w:val="center"/>
          </w:tcPr>
          <w:p w14:paraId="0F008C09">
            <w:pPr>
              <w:pStyle w:val="29"/>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JGJ196-2010</w:t>
            </w:r>
          </w:p>
        </w:tc>
        <w:tc>
          <w:tcPr>
            <w:tcW w:w="1116" w:type="dxa"/>
            <w:vAlign w:val="center"/>
          </w:tcPr>
          <w:p w14:paraId="12EBB110">
            <w:pPr>
              <w:pStyle w:val="29"/>
              <w:rPr>
                <w:rFonts w:ascii="宋体" w:hAnsi="宋体" w:eastAsia="宋体" w:cs="宋体"/>
                <w:b w:val="0"/>
                <w:bCs w:val="0"/>
                <w:snapToGrid w:val="0"/>
                <w:kern w:val="0"/>
                <w:sz w:val="21"/>
                <w:szCs w:val="24"/>
                <w:lang w:val="en-US" w:eastAsia="zh-CN" w:bidi="ar-SA"/>
              </w:rPr>
            </w:pPr>
          </w:p>
        </w:tc>
      </w:tr>
      <w:tr w14:paraId="5024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7E300FBA">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十五</w:t>
            </w:r>
          </w:p>
          <w:p w14:paraId="10C1D5E7">
            <w:pPr>
              <w:pStyle w:val="29"/>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检查结论及整改措施</w:t>
            </w:r>
          </w:p>
        </w:tc>
        <w:tc>
          <w:tcPr>
            <w:tcW w:w="8713" w:type="dxa"/>
            <w:gridSpan w:val="7"/>
            <w:tcBorders>
              <w:bottom w:val="single" w:color="auto" w:sz="4" w:space="0"/>
            </w:tcBorders>
            <w:vAlign w:val="center"/>
          </w:tcPr>
          <w:p w14:paraId="2D24666D">
            <w:pPr>
              <w:pStyle w:val="29"/>
              <w:rPr>
                <w:rFonts w:ascii="宋体" w:hAnsi="宋体" w:eastAsia="宋体" w:cs="宋体"/>
                <w:b w:val="0"/>
                <w:bCs w:val="0"/>
                <w:snapToGrid w:val="0"/>
                <w:kern w:val="0"/>
                <w:sz w:val="21"/>
                <w:szCs w:val="24"/>
                <w:lang w:val="en-US" w:eastAsia="zh-CN" w:bidi="ar-SA"/>
              </w:rPr>
            </w:pPr>
          </w:p>
          <w:p w14:paraId="4811A378">
            <w:pPr>
              <w:pStyle w:val="29"/>
              <w:rPr>
                <w:rFonts w:ascii="宋体" w:hAnsi="宋体" w:eastAsia="宋体" w:cs="宋体"/>
                <w:b w:val="0"/>
                <w:bCs w:val="0"/>
                <w:snapToGrid w:val="0"/>
                <w:kern w:val="0"/>
                <w:sz w:val="21"/>
                <w:szCs w:val="24"/>
                <w:lang w:val="en-US" w:eastAsia="zh-CN" w:bidi="ar-SA"/>
              </w:rPr>
            </w:pPr>
          </w:p>
          <w:p w14:paraId="0446EFA8">
            <w:pPr>
              <w:pStyle w:val="29"/>
              <w:rPr>
                <w:rFonts w:ascii="宋体" w:hAnsi="宋体" w:eastAsia="宋体" w:cs="宋体"/>
                <w:b w:val="0"/>
                <w:bCs w:val="0"/>
                <w:snapToGrid w:val="0"/>
                <w:kern w:val="0"/>
                <w:sz w:val="21"/>
                <w:szCs w:val="24"/>
                <w:lang w:val="en-US" w:eastAsia="zh-CN" w:bidi="ar-SA"/>
              </w:rPr>
            </w:pPr>
          </w:p>
        </w:tc>
      </w:tr>
    </w:tbl>
    <w:p w14:paraId="4E2F19A8">
      <w:pPr>
        <w:pStyle w:val="1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联合验收：塔式起重机工程验收内容</w:t>
      </w:r>
    </w:p>
    <w:tbl>
      <w:tblPr>
        <w:tblStyle w:val="39"/>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
      <w:tblGrid>
        <w:gridCol w:w="1034"/>
        <w:gridCol w:w="586"/>
        <w:gridCol w:w="517"/>
        <w:gridCol w:w="1250"/>
        <w:gridCol w:w="942"/>
        <w:gridCol w:w="379"/>
        <w:gridCol w:w="1653"/>
        <w:gridCol w:w="963"/>
        <w:gridCol w:w="953"/>
      </w:tblGrid>
      <w:tr w14:paraId="36643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D7D7D7"/>
            <w:tcMar>
              <w:top w:w="28" w:type="dxa"/>
              <w:left w:w="28" w:type="dxa"/>
              <w:bottom w:w="28" w:type="dxa"/>
              <w:right w:w="28" w:type="dxa"/>
            </w:tcMar>
            <w:vAlign w:val="center"/>
          </w:tcPr>
          <w:p w14:paraId="25F49401">
            <w:pPr>
              <w:pStyle w:val="36"/>
              <w:wordWrap/>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工程名称</w:t>
            </w:r>
          </w:p>
        </w:tc>
        <w:tc>
          <w:tcPr>
            <w:tcW w:w="3088" w:type="dxa"/>
            <w:gridSpan w:val="4"/>
            <w:tcBorders>
              <w:tl2br w:val="nil"/>
              <w:tr2bl w:val="nil"/>
            </w:tcBorders>
            <w:shd w:val="clear" w:color="auto" w:fill="D7D7D7"/>
            <w:tcMar>
              <w:top w:w="28" w:type="dxa"/>
              <w:left w:w="28" w:type="dxa"/>
              <w:bottom w:w="28" w:type="dxa"/>
              <w:right w:w="28" w:type="dxa"/>
            </w:tcMar>
            <w:vAlign w:val="center"/>
          </w:tcPr>
          <w:p w14:paraId="330E3120">
            <w:pPr>
              <w:pStyle w:val="36"/>
              <w:wordWrap/>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D7D7D7"/>
            <w:tcMar>
              <w:top w:w="28" w:type="dxa"/>
              <w:left w:w="28" w:type="dxa"/>
              <w:bottom w:w="28" w:type="dxa"/>
              <w:right w:w="28" w:type="dxa"/>
            </w:tcMar>
            <w:vAlign w:val="center"/>
          </w:tcPr>
          <w:p w14:paraId="216F1FE7">
            <w:pPr>
              <w:pStyle w:val="36"/>
              <w:wordWrap/>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拆除日期</w:t>
            </w:r>
          </w:p>
        </w:tc>
        <w:tc>
          <w:tcPr>
            <w:tcW w:w="1916" w:type="dxa"/>
            <w:gridSpan w:val="2"/>
            <w:tcBorders>
              <w:tl2br w:val="nil"/>
              <w:tr2bl w:val="nil"/>
            </w:tcBorders>
            <w:shd w:val="clear" w:color="auto" w:fill="D7D7D7"/>
            <w:tcMar>
              <w:top w:w="28" w:type="dxa"/>
              <w:left w:w="28" w:type="dxa"/>
              <w:bottom w:w="28" w:type="dxa"/>
              <w:right w:w="28" w:type="dxa"/>
            </w:tcMar>
            <w:vAlign w:val="center"/>
          </w:tcPr>
          <w:p w14:paraId="63424AEB">
            <w:pPr>
              <w:pStyle w:val="36"/>
              <w:wordWrap/>
              <w:rPr>
                <w:rFonts w:hint="default" w:ascii="宋体" w:hAnsi="宋体" w:eastAsia="宋体" w:cs="宋体"/>
                <w:b w:val="0"/>
                <w:bCs w:val="0"/>
                <w:snapToGrid w:val="0"/>
                <w:kern w:val="0"/>
                <w:sz w:val="21"/>
                <w:szCs w:val="24"/>
                <w:lang w:val="en-US" w:eastAsia="zh-CN" w:bidi="ar-SA"/>
              </w:rPr>
            </w:pPr>
          </w:p>
        </w:tc>
      </w:tr>
      <w:tr w14:paraId="45434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726AC29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建机一体化企业</w:t>
            </w:r>
          </w:p>
        </w:tc>
        <w:tc>
          <w:tcPr>
            <w:tcW w:w="3088" w:type="dxa"/>
            <w:gridSpan w:val="4"/>
            <w:tcBorders>
              <w:tl2br w:val="nil"/>
              <w:tr2bl w:val="nil"/>
            </w:tcBorders>
            <w:shd w:val="clear" w:color="auto" w:fill="auto"/>
            <w:tcMar>
              <w:top w:w="28" w:type="dxa"/>
              <w:left w:w="28" w:type="dxa"/>
              <w:bottom w:w="28" w:type="dxa"/>
              <w:right w:w="28" w:type="dxa"/>
            </w:tcMar>
            <w:vAlign w:val="center"/>
          </w:tcPr>
          <w:p w14:paraId="194779DF">
            <w:pPr>
              <w:pStyle w:val="36"/>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auto"/>
            <w:tcMar>
              <w:top w:w="28" w:type="dxa"/>
              <w:left w:w="28" w:type="dxa"/>
              <w:bottom w:w="28" w:type="dxa"/>
              <w:right w:w="28" w:type="dxa"/>
            </w:tcMar>
            <w:vAlign w:val="center"/>
          </w:tcPr>
          <w:p w14:paraId="7E19829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拆除资质编号</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249949FC">
            <w:pPr>
              <w:pStyle w:val="36"/>
              <w:rPr>
                <w:rFonts w:hint="default" w:ascii="宋体" w:hAnsi="宋体" w:eastAsia="宋体" w:cs="宋体"/>
                <w:b w:val="0"/>
                <w:bCs w:val="0"/>
                <w:snapToGrid w:val="0"/>
                <w:kern w:val="0"/>
                <w:sz w:val="21"/>
                <w:szCs w:val="24"/>
                <w:lang w:val="en-US" w:eastAsia="zh-CN" w:bidi="ar-SA"/>
              </w:rPr>
            </w:pPr>
          </w:p>
        </w:tc>
      </w:tr>
      <w:tr w14:paraId="5EBE9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022E9C0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制造厂家</w:t>
            </w:r>
          </w:p>
        </w:tc>
        <w:tc>
          <w:tcPr>
            <w:tcW w:w="3088" w:type="dxa"/>
            <w:gridSpan w:val="4"/>
            <w:tcBorders>
              <w:tl2br w:val="nil"/>
              <w:tr2bl w:val="nil"/>
            </w:tcBorders>
            <w:shd w:val="clear" w:color="auto" w:fill="auto"/>
            <w:tcMar>
              <w:top w:w="28" w:type="dxa"/>
              <w:left w:w="28" w:type="dxa"/>
              <w:bottom w:w="28" w:type="dxa"/>
              <w:right w:w="28" w:type="dxa"/>
            </w:tcMar>
            <w:vAlign w:val="center"/>
          </w:tcPr>
          <w:p w14:paraId="41B7E4A3">
            <w:pPr>
              <w:pStyle w:val="36"/>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auto"/>
            <w:tcMar>
              <w:top w:w="28" w:type="dxa"/>
              <w:left w:w="28" w:type="dxa"/>
              <w:bottom w:w="28" w:type="dxa"/>
              <w:right w:w="28" w:type="dxa"/>
            </w:tcMar>
            <w:vAlign w:val="center"/>
          </w:tcPr>
          <w:p w14:paraId="7FEA1BC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使用单位</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1BFD3B3B">
            <w:pPr>
              <w:pStyle w:val="36"/>
              <w:rPr>
                <w:rFonts w:hint="default" w:ascii="宋体" w:hAnsi="宋体" w:eastAsia="宋体" w:cs="宋体"/>
                <w:b w:val="0"/>
                <w:bCs w:val="0"/>
                <w:snapToGrid w:val="0"/>
                <w:kern w:val="0"/>
                <w:sz w:val="21"/>
                <w:szCs w:val="24"/>
                <w:lang w:val="en-US" w:eastAsia="zh-CN" w:bidi="ar-SA"/>
              </w:rPr>
            </w:pPr>
          </w:p>
        </w:tc>
      </w:tr>
      <w:tr w14:paraId="52966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71E785E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规格型号</w:t>
            </w:r>
          </w:p>
        </w:tc>
        <w:tc>
          <w:tcPr>
            <w:tcW w:w="3088" w:type="dxa"/>
            <w:gridSpan w:val="4"/>
            <w:tcBorders>
              <w:tl2br w:val="nil"/>
              <w:tr2bl w:val="nil"/>
            </w:tcBorders>
            <w:shd w:val="clear" w:color="auto" w:fill="auto"/>
            <w:tcMar>
              <w:top w:w="28" w:type="dxa"/>
              <w:left w:w="28" w:type="dxa"/>
              <w:bottom w:w="28" w:type="dxa"/>
              <w:right w:w="28" w:type="dxa"/>
            </w:tcMar>
            <w:vAlign w:val="center"/>
          </w:tcPr>
          <w:p w14:paraId="0BF773AE">
            <w:pPr>
              <w:pStyle w:val="36"/>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auto"/>
            <w:tcMar>
              <w:top w:w="28" w:type="dxa"/>
              <w:left w:w="28" w:type="dxa"/>
              <w:bottom w:w="28" w:type="dxa"/>
              <w:right w:w="28" w:type="dxa"/>
            </w:tcMar>
            <w:vAlign w:val="center"/>
          </w:tcPr>
          <w:p w14:paraId="589219C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备案编号</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582CE730">
            <w:pPr>
              <w:pStyle w:val="36"/>
              <w:rPr>
                <w:rFonts w:hint="default" w:ascii="宋体" w:hAnsi="宋体" w:eastAsia="宋体" w:cs="宋体"/>
                <w:b w:val="0"/>
                <w:bCs w:val="0"/>
                <w:snapToGrid w:val="0"/>
                <w:kern w:val="0"/>
                <w:sz w:val="21"/>
                <w:szCs w:val="24"/>
                <w:lang w:val="en-US" w:eastAsia="zh-CN" w:bidi="ar-SA"/>
              </w:rPr>
            </w:pPr>
          </w:p>
        </w:tc>
      </w:tr>
      <w:tr w14:paraId="6E9B2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41DC5799">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拆除</w:t>
            </w:r>
            <w:r>
              <w:rPr>
                <w:rFonts w:ascii="宋体" w:hAnsi="宋体" w:eastAsia="宋体" w:cs="宋体"/>
                <w:b w:val="0"/>
                <w:bCs w:val="0"/>
                <w:snapToGrid w:val="0"/>
                <w:kern w:val="0"/>
                <w:sz w:val="21"/>
                <w:szCs w:val="24"/>
                <w:lang w:val="en-US" w:eastAsia="zh-CN" w:bidi="ar-SA"/>
              </w:rPr>
              <w:t>高度</w:t>
            </w:r>
          </w:p>
        </w:tc>
        <w:tc>
          <w:tcPr>
            <w:tcW w:w="6657" w:type="dxa"/>
            <w:gridSpan w:val="7"/>
            <w:tcBorders>
              <w:tl2br w:val="nil"/>
              <w:tr2bl w:val="nil"/>
            </w:tcBorders>
            <w:shd w:val="clear" w:color="auto" w:fill="auto"/>
            <w:tcMar>
              <w:top w:w="28" w:type="dxa"/>
              <w:left w:w="28" w:type="dxa"/>
              <w:bottom w:w="28" w:type="dxa"/>
              <w:right w:w="28" w:type="dxa"/>
            </w:tcMar>
            <w:vAlign w:val="center"/>
          </w:tcPr>
          <w:p w14:paraId="7C38A9B6">
            <w:pPr>
              <w:pStyle w:val="36"/>
              <w:rPr>
                <w:rFonts w:hint="default" w:ascii="宋体" w:hAnsi="宋体" w:eastAsia="宋体" w:cs="宋体"/>
                <w:b w:val="0"/>
                <w:bCs w:val="0"/>
                <w:snapToGrid w:val="0"/>
                <w:kern w:val="0"/>
                <w:sz w:val="21"/>
                <w:szCs w:val="24"/>
                <w:lang w:val="en-US" w:eastAsia="zh-CN" w:bidi="ar-SA"/>
              </w:rPr>
            </w:pPr>
          </w:p>
        </w:tc>
      </w:tr>
      <w:tr w14:paraId="7A55C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351206B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检查结果</w:t>
            </w:r>
          </w:p>
          <w:p w14:paraId="57E885A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代号说明</w:t>
            </w:r>
          </w:p>
        </w:tc>
        <w:tc>
          <w:tcPr>
            <w:tcW w:w="6657" w:type="dxa"/>
            <w:gridSpan w:val="7"/>
            <w:tcBorders>
              <w:tl2br w:val="nil"/>
              <w:tr2bl w:val="nil"/>
            </w:tcBorders>
            <w:shd w:val="clear" w:color="auto" w:fill="auto"/>
            <w:tcMar>
              <w:top w:w="28" w:type="dxa"/>
              <w:left w:w="28" w:type="dxa"/>
              <w:bottom w:w="28" w:type="dxa"/>
              <w:right w:w="28" w:type="dxa"/>
            </w:tcMar>
            <w:vAlign w:val="center"/>
          </w:tcPr>
          <w:p w14:paraId="7E83297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“√”=合格“○”=整改后合格“×”=不合格“/”=无此项</w:t>
            </w:r>
          </w:p>
        </w:tc>
      </w:tr>
      <w:tr w14:paraId="64B3B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tcBorders>
              <w:tl2br w:val="nil"/>
              <w:tr2bl w:val="nil"/>
            </w:tcBorders>
            <w:shd w:val="clear" w:color="auto" w:fill="auto"/>
            <w:tcMar>
              <w:top w:w="28" w:type="dxa"/>
              <w:left w:w="28" w:type="dxa"/>
              <w:bottom w:w="28" w:type="dxa"/>
              <w:right w:w="28" w:type="dxa"/>
            </w:tcMar>
            <w:vAlign w:val="center"/>
          </w:tcPr>
          <w:p w14:paraId="5A22F27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名称</w:t>
            </w:r>
          </w:p>
        </w:tc>
        <w:tc>
          <w:tcPr>
            <w:tcW w:w="586" w:type="dxa"/>
            <w:tcBorders>
              <w:tl2br w:val="nil"/>
              <w:tr2bl w:val="nil"/>
            </w:tcBorders>
            <w:shd w:val="clear" w:color="auto" w:fill="auto"/>
            <w:tcMar>
              <w:top w:w="28" w:type="dxa"/>
              <w:left w:w="28" w:type="dxa"/>
              <w:bottom w:w="28" w:type="dxa"/>
              <w:right w:w="28" w:type="dxa"/>
            </w:tcMar>
            <w:vAlign w:val="center"/>
          </w:tcPr>
          <w:p w14:paraId="56D5D94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序号</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94F2A9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检查项目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68CE4D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要求</w:t>
            </w:r>
          </w:p>
        </w:tc>
        <w:tc>
          <w:tcPr>
            <w:tcW w:w="963" w:type="dxa"/>
            <w:tcBorders>
              <w:tl2br w:val="nil"/>
              <w:tr2bl w:val="nil"/>
            </w:tcBorders>
            <w:shd w:val="clear" w:color="auto" w:fill="auto"/>
            <w:tcMar>
              <w:top w:w="28" w:type="dxa"/>
              <w:left w:w="28" w:type="dxa"/>
              <w:bottom w:w="28" w:type="dxa"/>
              <w:right w:w="28" w:type="dxa"/>
            </w:tcMar>
            <w:vAlign w:val="center"/>
          </w:tcPr>
          <w:p w14:paraId="55BBB39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检查结果</w:t>
            </w:r>
          </w:p>
        </w:tc>
        <w:tc>
          <w:tcPr>
            <w:tcW w:w="953" w:type="dxa"/>
            <w:tcBorders>
              <w:tl2br w:val="nil"/>
              <w:tr2bl w:val="nil"/>
            </w:tcBorders>
            <w:shd w:val="clear" w:color="auto" w:fill="auto"/>
            <w:tcMar>
              <w:top w:w="28" w:type="dxa"/>
              <w:left w:w="28" w:type="dxa"/>
              <w:bottom w:w="28" w:type="dxa"/>
              <w:right w:w="28" w:type="dxa"/>
            </w:tcMar>
            <w:vAlign w:val="center"/>
          </w:tcPr>
          <w:p w14:paraId="202E07A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备注</w:t>
            </w:r>
          </w:p>
        </w:tc>
      </w:tr>
      <w:tr w14:paraId="52FA6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tcBorders>
              <w:tl2br w:val="nil"/>
              <w:tr2bl w:val="nil"/>
            </w:tcBorders>
            <w:shd w:val="clear" w:color="auto" w:fill="auto"/>
            <w:tcMar>
              <w:top w:w="28" w:type="dxa"/>
              <w:left w:w="28" w:type="dxa"/>
              <w:bottom w:w="28" w:type="dxa"/>
              <w:right w:w="28" w:type="dxa"/>
            </w:tcMar>
            <w:vAlign w:val="center"/>
          </w:tcPr>
          <w:p w14:paraId="2187F9DD">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资料</w:t>
            </w:r>
          </w:p>
        </w:tc>
        <w:tc>
          <w:tcPr>
            <w:tcW w:w="586" w:type="dxa"/>
            <w:tcBorders>
              <w:tl2br w:val="nil"/>
              <w:tr2bl w:val="nil"/>
            </w:tcBorders>
            <w:shd w:val="clear" w:color="auto" w:fill="auto"/>
            <w:tcMar>
              <w:top w:w="28" w:type="dxa"/>
              <w:left w:w="28" w:type="dxa"/>
              <w:bottom w:w="28" w:type="dxa"/>
              <w:right w:w="28" w:type="dxa"/>
            </w:tcMar>
            <w:vAlign w:val="center"/>
          </w:tcPr>
          <w:p w14:paraId="1D3639A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99D4F3F">
            <w:pPr>
              <w:pStyle w:val="36"/>
              <w:ind w:firstLine="0" w:firstLineChars="0"/>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拆除</w:t>
            </w:r>
            <w:r>
              <w:rPr>
                <w:rFonts w:ascii="宋体" w:hAnsi="宋体" w:eastAsia="宋体" w:cs="宋体"/>
                <w:b w:val="0"/>
                <w:bCs w:val="0"/>
                <w:snapToGrid w:val="0"/>
                <w:kern w:val="0"/>
                <w:sz w:val="21"/>
                <w:szCs w:val="24"/>
                <w:lang w:val="en-US" w:eastAsia="zh-CN" w:bidi="ar-SA"/>
              </w:rPr>
              <w:t>方案、安全技术交底记录</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760448A">
            <w:pPr>
              <w:pStyle w:val="36"/>
              <w:ind w:firstLine="0" w:firstLineChars="0"/>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内容及签章齐全</w:t>
            </w:r>
          </w:p>
        </w:tc>
        <w:tc>
          <w:tcPr>
            <w:tcW w:w="963" w:type="dxa"/>
            <w:tcBorders>
              <w:tl2br w:val="nil"/>
              <w:tr2bl w:val="nil"/>
            </w:tcBorders>
            <w:shd w:val="clear" w:color="auto" w:fill="auto"/>
            <w:tcMar>
              <w:top w:w="28" w:type="dxa"/>
              <w:left w:w="28" w:type="dxa"/>
              <w:bottom w:w="28" w:type="dxa"/>
              <w:right w:w="28" w:type="dxa"/>
            </w:tcMar>
            <w:vAlign w:val="center"/>
          </w:tcPr>
          <w:p w14:paraId="7FB2851F">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3825E6D">
            <w:pPr>
              <w:pStyle w:val="36"/>
              <w:rPr>
                <w:rFonts w:hint="default" w:ascii="宋体" w:hAnsi="宋体" w:eastAsia="宋体" w:cs="宋体"/>
                <w:b w:val="0"/>
                <w:bCs w:val="0"/>
                <w:snapToGrid w:val="0"/>
                <w:kern w:val="0"/>
                <w:sz w:val="21"/>
                <w:szCs w:val="24"/>
                <w:lang w:val="en-US" w:eastAsia="zh-CN" w:bidi="ar-SA"/>
              </w:rPr>
            </w:pPr>
          </w:p>
        </w:tc>
      </w:tr>
      <w:tr w14:paraId="5D4AE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5DE9F5D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基础</w:t>
            </w:r>
          </w:p>
        </w:tc>
        <w:tc>
          <w:tcPr>
            <w:tcW w:w="586" w:type="dxa"/>
            <w:tcBorders>
              <w:tl2br w:val="nil"/>
              <w:tr2bl w:val="nil"/>
            </w:tcBorders>
            <w:shd w:val="clear" w:color="auto" w:fill="auto"/>
            <w:tcMar>
              <w:top w:w="28" w:type="dxa"/>
              <w:left w:w="28" w:type="dxa"/>
              <w:bottom w:w="28" w:type="dxa"/>
              <w:right w:w="28" w:type="dxa"/>
            </w:tcMar>
            <w:vAlign w:val="center"/>
          </w:tcPr>
          <w:p w14:paraId="12482C2C">
            <w:pPr>
              <w:pStyle w:val="3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CA5649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塔式起重机底架水平度</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908FD4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488DF9C5">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839CE2B">
            <w:pPr>
              <w:pStyle w:val="36"/>
              <w:rPr>
                <w:rFonts w:hint="default" w:ascii="宋体" w:hAnsi="宋体" w:eastAsia="宋体" w:cs="宋体"/>
                <w:b w:val="0"/>
                <w:bCs w:val="0"/>
                <w:snapToGrid w:val="0"/>
                <w:kern w:val="0"/>
                <w:sz w:val="21"/>
                <w:szCs w:val="24"/>
                <w:lang w:val="en-US" w:eastAsia="zh-CN" w:bidi="ar-SA"/>
              </w:rPr>
            </w:pPr>
          </w:p>
        </w:tc>
      </w:tr>
      <w:tr w14:paraId="45D4B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F54F246">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52346ED">
            <w:pPr>
              <w:pStyle w:val="3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C4B95F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塔式起重机接地装置的设置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AEF032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符合规范要求</w:t>
            </w:r>
          </w:p>
        </w:tc>
        <w:tc>
          <w:tcPr>
            <w:tcW w:w="963" w:type="dxa"/>
            <w:tcBorders>
              <w:tl2br w:val="nil"/>
              <w:tr2bl w:val="nil"/>
            </w:tcBorders>
            <w:shd w:val="clear" w:color="auto" w:fill="auto"/>
            <w:tcMar>
              <w:top w:w="28" w:type="dxa"/>
              <w:left w:w="28" w:type="dxa"/>
              <w:bottom w:w="28" w:type="dxa"/>
              <w:right w:w="28" w:type="dxa"/>
            </w:tcMar>
            <w:vAlign w:val="center"/>
          </w:tcPr>
          <w:p w14:paraId="729B96E8">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E449179">
            <w:pPr>
              <w:pStyle w:val="36"/>
              <w:rPr>
                <w:rFonts w:hint="default" w:ascii="宋体" w:hAnsi="宋体" w:eastAsia="宋体" w:cs="宋体"/>
                <w:b w:val="0"/>
                <w:bCs w:val="0"/>
                <w:snapToGrid w:val="0"/>
                <w:kern w:val="0"/>
                <w:sz w:val="21"/>
                <w:szCs w:val="24"/>
                <w:lang w:val="en-US" w:eastAsia="zh-CN" w:bidi="ar-SA"/>
              </w:rPr>
            </w:pPr>
          </w:p>
        </w:tc>
      </w:tr>
      <w:tr w14:paraId="73FE9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C6A491">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AF68DE9">
            <w:pPr>
              <w:pStyle w:val="3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6656FC5">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排水措施</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F891D64">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有排水措施，且无积水</w:t>
            </w:r>
          </w:p>
        </w:tc>
        <w:tc>
          <w:tcPr>
            <w:tcW w:w="963" w:type="dxa"/>
            <w:tcBorders>
              <w:tl2br w:val="nil"/>
              <w:tr2bl w:val="nil"/>
            </w:tcBorders>
            <w:shd w:val="clear" w:color="auto" w:fill="auto"/>
            <w:tcMar>
              <w:top w:w="28" w:type="dxa"/>
              <w:left w:w="28" w:type="dxa"/>
              <w:bottom w:w="28" w:type="dxa"/>
              <w:right w:w="28" w:type="dxa"/>
            </w:tcMar>
            <w:vAlign w:val="center"/>
          </w:tcPr>
          <w:p w14:paraId="7C9B7B50">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70EE2DA">
            <w:pPr>
              <w:pStyle w:val="36"/>
              <w:rPr>
                <w:rFonts w:hint="default" w:ascii="宋体" w:hAnsi="宋体" w:eastAsia="宋体" w:cs="宋体"/>
                <w:b w:val="0"/>
                <w:bCs w:val="0"/>
                <w:snapToGrid w:val="0"/>
                <w:kern w:val="0"/>
                <w:sz w:val="21"/>
                <w:szCs w:val="24"/>
                <w:lang w:val="en-US" w:eastAsia="zh-CN" w:bidi="ar-SA"/>
              </w:rPr>
            </w:pPr>
          </w:p>
        </w:tc>
      </w:tr>
      <w:tr w14:paraId="1BC56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2840B80D">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标识与环境</w:t>
            </w:r>
          </w:p>
        </w:tc>
        <w:tc>
          <w:tcPr>
            <w:tcW w:w="586" w:type="dxa"/>
            <w:tcBorders>
              <w:tl2br w:val="nil"/>
              <w:tr2bl w:val="nil"/>
            </w:tcBorders>
            <w:shd w:val="clear" w:color="auto" w:fill="auto"/>
            <w:tcMar>
              <w:top w:w="28" w:type="dxa"/>
              <w:left w:w="28" w:type="dxa"/>
              <w:bottom w:w="28" w:type="dxa"/>
              <w:right w:w="28" w:type="dxa"/>
            </w:tcMar>
            <w:vAlign w:val="center"/>
          </w:tcPr>
          <w:p w14:paraId="20D15F2D">
            <w:pPr>
              <w:pStyle w:val="3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8395C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产品标牌</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DEA43E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符合使用说明书和规范要求</w:t>
            </w:r>
          </w:p>
        </w:tc>
        <w:tc>
          <w:tcPr>
            <w:tcW w:w="963" w:type="dxa"/>
            <w:tcBorders>
              <w:tl2br w:val="nil"/>
              <w:tr2bl w:val="nil"/>
            </w:tcBorders>
            <w:shd w:val="clear" w:color="auto" w:fill="auto"/>
            <w:tcMar>
              <w:top w:w="28" w:type="dxa"/>
              <w:left w:w="28" w:type="dxa"/>
              <w:bottom w:w="28" w:type="dxa"/>
              <w:right w:w="28" w:type="dxa"/>
            </w:tcMar>
            <w:vAlign w:val="center"/>
          </w:tcPr>
          <w:p w14:paraId="04959266">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EFA8747">
            <w:pPr>
              <w:pStyle w:val="36"/>
              <w:rPr>
                <w:rFonts w:hint="default" w:ascii="宋体" w:hAnsi="宋体" w:eastAsia="宋体" w:cs="宋体"/>
                <w:b w:val="0"/>
                <w:bCs w:val="0"/>
                <w:snapToGrid w:val="0"/>
                <w:kern w:val="0"/>
                <w:sz w:val="21"/>
                <w:szCs w:val="24"/>
                <w:lang w:val="en-US" w:eastAsia="zh-CN" w:bidi="ar-SA"/>
              </w:rPr>
            </w:pPr>
          </w:p>
        </w:tc>
      </w:tr>
      <w:tr w14:paraId="355A8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48B0F18">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D536EC5">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6</w:t>
            </w:r>
            <w:r>
              <w:rPr>
                <w:rFonts w:ascii="宋体" w:hAnsi="宋体" w:eastAsia="宋体" w:cs="宋体"/>
                <w:b w:val="0"/>
                <w:bCs w:val="0"/>
                <w:snapToGrid w:val="0"/>
                <w:kern w:val="0"/>
                <w:sz w:val="21"/>
                <w:szCs w:val="24"/>
                <w:lang w:val="en-US" w:eastAsia="zh-CN" w:bidi="ar-SA"/>
              </w:rPr>
              <w:t>*</w:t>
            </w:r>
          </w:p>
        </w:tc>
        <w:tc>
          <w:tcPr>
            <w:tcW w:w="1767" w:type="dxa"/>
            <w:gridSpan w:val="2"/>
            <w:vMerge w:val="restart"/>
            <w:tcBorders>
              <w:tl2br w:val="nil"/>
              <w:tr2bl w:val="nil"/>
            </w:tcBorders>
            <w:shd w:val="clear" w:color="auto" w:fill="auto"/>
            <w:tcMar>
              <w:top w:w="28" w:type="dxa"/>
              <w:left w:w="28" w:type="dxa"/>
              <w:bottom w:w="28" w:type="dxa"/>
              <w:right w:w="28" w:type="dxa"/>
            </w:tcMar>
            <w:vAlign w:val="center"/>
          </w:tcPr>
          <w:p w14:paraId="3A0D53C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塔式起重机与周围环境关系</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CDB2D5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尾部与建(构)筑物及施工设施之间的距离不小于0.6m</w:t>
            </w:r>
          </w:p>
        </w:tc>
        <w:tc>
          <w:tcPr>
            <w:tcW w:w="963" w:type="dxa"/>
            <w:tcBorders>
              <w:tl2br w:val="nil"/>
              <w:tr2bl w:val="nil"/>
            </w:tcBorders>
            <w:shd w:val="clear" w:color="auto" w:fill="auto"/>
            <w:tcMar>
              <w:top w:w="28" w:type="dxa"/>
              <w:left w:w="28" w:type="dxa"/>
              <w:bottom w:w="28" w:type="dxa"/>
              <w:right w:w="28" w:type="dxa"/>
            </w:tcMar>
            <w:vAlign w:val="center"/>
          </w:tcPr>
          <w:p w14:paraId="20FB5C82">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28ED9A4">
            <w:pPr>
              <w:pStyle w:val="36"/>
              <w:rPr>
                <w:rFonts w:hint="default" w:ascii="宋体" w:hAnsi="宋体" w:eastAsia="宋体" w:cs="宋体"/>
                <w:b w:val="0"/>
                <w:bCs w:val="0"/>
                <w:snapToGrid w:val="0"/>
                <w:kern w:val="0"/>
                <w:sz w:val="21"/>
                <w:szCs w:val="24"/>
                <w:lang w:val="en-US" w:eastAsia="zh-CN" w:bidi="ar-SA"/>
              </w:rPr>
            </w:pPr>
          </w:p>
        </w:tc>
      </w:tr>
      <w:tr w14:paraId="1029E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C6AD298">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CBFC28D">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7</w:t>
            </w:r>
            <w:r>
              <w:rPr>
                <w:rFonts w:ascii="宋体" w:hAnsi="宋体" w:eastAsia="宋体" w:cs="宋体"/>
                <w:b w:val="0"/>
                <w:bCs w:val="0"/>
                <w:snapToGrid w:val="0"/>
                <w:kern w:val="0"/>
                <w:sz w:val="21"/>
                <w:szCs w:val="24"/>
                <w:lang w:val="en-US" w:eastAsia="zh-CN" w:bidi="ar-SA"/>
              </w:rPr>
              <w:t>*</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2CB2D5B9">
            <w:pPr>
              <w:pStyle w:val="36"/>
              <w:rPr>
                <w:rFonts w:hint="default" w:ascii="宋体" w:hAnsi="宋体" w:eastAsia="宋体" w:cs="宋体"/>
                <w:b w:val="0"/>
                <w:bCs w:val="0"/>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7D1217B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两台塔式起重机之间的最小架设距离应保证处于低位塔式起重机的起重臂端部与另一塔式起重机的塔身之间至少有2m的距离；处于高位塔式起重机的最低位置的部件与低位塔式起重机中处于最高位置部件之闻的垂直距离不应小于2m</w:t>
            </w:r>
          </w:p>
        </w:tc>
        <w:tc>
          <w:tcPr>
            <w:tcW w:w="963" w:type="dxa"/>
            <w:tcBorders>
              <w:tl2br w:val="nil"/>
              <w:tr2bl w:val="nil"/>
            </w:tcBorders>
            <w:shd w:val="clear" w:color="auto" w:fill="auto"/>
            <w:tcMar>
              <w:top w:w="28" w:type="dxa"/>
              <w:left w:w="28" w:type="dxa"/>
              <w:bottom w:w="28" w:type="dxa"/>
              <w:right w:w="28" w:type="dxa"/>
            </w:tcMar>
            <w:vAlign w:val="center"/>
          </w:tcPr>
          <w:p w14:paraId="096D058A">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1065888">
            <w:pPr>
              <w:pStyle w:val="36"/>
              <w:rPr>
                <w:rFonts w:hint="default" w:ascii="宋体" w:hAnsi="宋体" w:eastAsia="宋体" w:cs="宋体"/>
                <w:b w:val="0"/>
                <w:bCs w:val="0"/>
                <w:snapToGrid w:val="0"/>
                <w:kern w:val="0"/>
                <w:sz w:val="21"/>
                <w:szCs w:val="24"/>
                <w:lang w:val="en-US" w:eastAsia="zh-CN" w:bidi="ar-SA"/>
              </w:rPr>
            </w:pPr>
          </w:p>
        </w:tc>
      </w:tr>
      <w:tr w14:paraId="21A7C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7234CFA">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89CA017">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8</w:t>
            </w:r>
            <w:r>
              <w:rPr>
                <w:rFonts w:ascii="宋体" w:hAnsi="宋体" w:eastAsia="宋体" w:cs="宋体"/>
                <w:b w:val="0"/>
                <w:bCs w:val="0"/>
                <w:snapToGrid w:val="0"/>
                <w:kern w:val="0"/>
                <w:sz w:val="21"/>
                <w:szCs w:val="24"/>
                <w:lang w:val="en-US" w:eastAsia="zh-CN" w:bidi="ar-SA"/>
              </w:rPr>
              <w:t>*</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77E8B5FC">
            <w:pPr>
              <w:pStyle w:val="36"/>
              <w:rPr>
                <w:rFonts w:hint="default" w:ascii="宋体" w:hAnsi="宋体" w:eastAsia="宋体" w:cs="宋体"/>
                <w:b w:val="0"/>
                <w:bCs w:val="0"/>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7982D704">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与输电线的距离应不小于《施工现场临时用电安全技术规范》JGJ46的规定</w:t>
            </w:r>
          </w:p>
        </w:tc>
        <w:tc>
          <w:tcPr>
            <w:tcW w:w="963" w:type="dxa"/>
            <w:tcBorders>
              <w:tl2br w:val="nil"/>
              <w:tr2bl w:val="nil"/>
            </w:tcBorders>
            <w:shd w:val="clear" w:color="auto" w:fill="auto"/>
            <w:tcMar>
              <w:top w:w="28" w:type="dxa"/>
              <w:left w:w="28" w:type="dxa"/>
              <w:bottom w:w="28" w:type="dxa"/>
              <w:right w:w="28" w:type="dxa"/>
            </w:tcMar>
            <w:vAlign w:val="center"/>
          </w:tcPr>
          <w:p w14:paraId="4E022F37">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C4991B8">
            <w:pPr>
              <w:pStyle w:val="36"/>
              <w:rPr>
                <w:rFonts w:hint="default" w:ascii="宋体" w:hAnsi="宋体" w:eastAsia="宋体" w:cs="宋体"/>
                <w:b w:val="0"/>
                <w:bCs w:val="0"/>
                <w:snapToGrid w:val="0"/>
                <w:kern w:val="0"/>
                <w:sz w:val="21"/>
                <w:szCs w:val="24"/>
                <w:lang w:val="en-US" w:eastAsia="zh-CN" w:bidi="ar-SA"/>
              </w:rPr>
            </w:pPr>
          </w:p>
        </w:tc>
      </w:tr>
      <w:tr w14:paraId="468F7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0A392F36">
            <w:pPr>
              <w:pStyle w:val="36"/>
              <w:rPr>
                <w:rFonts w:hint="default" w:ascii="宋体" w:hAnsi="宋体" w:eastAsia="宋体" w:cs="宋体"/>
                <w:b w:val="0"/>
                <w:bCs w:val="0"/>
                <w:snapToGrid w:val="0"/>
                <w:kern w:val="0"/>
                <w:sz w:val="21"/>
                <w:szCs w:val="24"/>
                <w:lang w:val="en-US" w:eastAsia="zh-CN" w:bidi="ar-SA"/>
              </w:rPr>
            </w:pPr>
          </w:p>
          <w:p w14:paraId="7CC51365">
            <w:pPr>
              <w:pStyle w:val="36"/>
              <w:rPr>
                <w:rFonts w:hint="default" w:ascii="宋体" w:hAnsi="宋体" w:eastAsia="宋体" w:cs="宋体"/>
                <w:b w:val="0"/>
                <w:bCs w:val="0"/>
                <w:snapToGrid w:val="0"/>
                <w:kern w:val="0"/>
                <w:sz w:val="21"/>
                <w:szCs w:val="24"/>
                <w:lang w:val="en-US" w:eastAsia="zh-CN" w:bidi="ar-SA"/>
              </w:rPr>
            </w:pPr>
          </w:p>
          <w:p w14:paraId="720BF90F">
            <w:pPr>
              <w:pStyle w:val="36"/>
              <w:rPr>
                <w:rFonts w:hint="default" w:ascii="宋体" w:hAnsi="宋体" w:eastAsia="宋体" w:cs="宋体"/>
                <w:b w:val="0"/>
                <w:bCs w:val="0"/>
                <w:snapToGrid w:val="0"/>
                <w:kern w:val="0"/>
                <w:sz w:val="21"/>
                <w:szCs w:val="24"/>
                <w:lang w:val="en-US" w:eastAsia="zh-CN" w:bidi="ar-SA"/>
              </w:rPr>
            </w:pPr>
          </w:p>
          <w:p w14:paraId="0DB55C9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金属结构件</w:t>
            </w:r>
          </w:p>
          <w:p w14:paraId="4D0307EB">
            <w:pPr>
              <w:pStyle w:val="36"/>
              <w:rPr>
                <w:rFonts w:hint="default" w:ascii="宋体" w:hAnsi="宋体" w:eastAsia="宋体" w:cs="宋体"/>
                <w:b w:val="0"/>
                <w:bCs w:val="0"/>
                <w:snapToGrid w:val="0"/>
                <w:kern w:val="0"/>
                <w:sz w:val="21"/>
                <w:szCs w:val="24"/>
                <w:lang w:val="en-US" w:eastAsia="zh-CN" w:bidi="ar-SA"/>
              </w:rPr>
            </w:pPr>
          </w:p>
          <w:p w14:paraId="5949BFA3">
            <w:pPr>
              <w:pStyle w:val="36"/>
              <w:rPr>
                <w:rFonts w:hint="default" w:ascii="宋体" w:hAnsi="宋体" w:eastAsia="宋体" w:cs="宋体"/>
                <w:b w:val="0"/>
                <w:bCs w:val="0"/>
                <w:snapToGrid w:val="0"/>
                <w:kern w:val="0"/>
                <w:sz w:val="21"/>
                <w:szCs w:val="24"/>
                <w:lang w:val="en-US" w:eastAsia="zh-CN" w:bidi="ar-SA"/>
              </w:rPr>
            </w:pPr>
          </w:p>
          <w:p w14:paraId="7095E386">
            <w:pPr>
              <w:pStyle w:val="36"/>
              <w:rPr>
                <w:rFonts w:hint="default" w:ascii="宋体" w:hAnsi="宋体" w:eastAsia="宋体" w:cs="宋体"/>
                <w:b w:val="0"/>
                <w:bCs w:val="0"/>
                <w:snapToGrid w:val="0"/>
                <w:kern w:val="0"/>
                <w:sz w:val="21"/>
                <w:szCs w:val="24"/>
                <w:lang w:val="en-US" w:eastAsia="zh-CN" w:bidi="ar-SA"/>
              </w:rPr>
            </w:pPr>
          </w:p>
          <w:p w14:paraId="26F42B8F">
            <w:pPr>
              <w:pStyle w:val="36"/>
              <w:rPr>
                <w:rFonts w:hint="default" w:ascii="宋体" w:hAnsi="宋体" w:eastAsia="宋体" w:cs="宋体"/>
                <w:b w:val="0"/>
                <w:bCs w:val="0"/>
                <w:snapToGrid w:val="0"/>
                <w:kern w:val="0"/>
                <w:sz w:val="21"/>
                <w:szCs w:val="24"/>
                <w:lang w:val="en-US" w:eastAsia="zh-CN" w:bidi="ar-SA"/>
              </w:rPr>
            </w:pPr>
          </w:p>
          <w:p w14:paraId="2CC2611F">
            <w:pPr>
              <w:pStyle w:val="36"/>
              <w:rPr>
                <w:rFonts w:hint="default" w:ascii="宋体" w:hAnsi="宋体" w:eastAsia="宋体" w:cs="宋体"/>
                <w:b w:val="0"/>
                <w:bCs w:val="0"/>
                <w:snapToGrid w:val="0"/>
                <w:kern w:val="0"/>
                <w:sz w:val="21"/>
                <w:szCs w:val="24"/>
                <w:lang w:val="en-US" w:eastAsia="zh-CN" w:bidi="ar-SA"/>
              </w:rPr>
            </w:pPr>
          </w:p>
          <w:p w14:paraId="09E22FCE">
            <w:pPr>
              <w:pStyle w:val="36"/>
              <w:rPr>
                <w:rFonts w:hint="default" w:ascii="宋体" w:hAnsi="宋体" w:eastAsia="宋体" w:cs="宋体"/>
                <w:b w:val="0"/>
                <w:bCs w:val="0"/>
                <w:snapToGrid w:val="0"/>
                <w:kern w:val="0"/>
                <w:sz w:val="21"/>
                <w:szCs w:val="24"/>
                <w:lang w:val="en-US" w:eastAsia="zh-CN" w:bidi="ar-SA"/>
              </w:rPr>
            </w:pPr>
          </w:p>
          <w:p w14:paraId="7D50C7B8">
            <w:pPr>
              <w:pStyle w:val="36"/>
              <w:rPr>
                <w:rFonts w:hint="default" w:ascii="宋体" w:hAnsi="宋体" w:eastAsia="宋体" w:cs="宋体"/>
                <w:b w:val="0"/>
                <w:bCs w:val="0"/>
                <w:snapToGrid w:val="0"/>
                <w:kern w:val="0"/>
                <w:sz w:val="21"/>
                <w:szCs w:val="24"/>
                <w:lang w:val="en-US" w:eastAsia="zh-CN" w:bidi="ar-SA"/>
              </w:rPr>
            </w:pPr>
          </w:p>
          <w:p w14:paraId="3B839D3F">
            <w:pPr>
              <w:pStyle w:val="36"/>
              <w:rPr>
                <w:rFonts w:hint="default" w:ascii="宋体" w:hAnsi="宋体" w:eastAsia="宋体" w:cs="宋体"/>
                <w:b w:val="0"/>
                <w:bCs w:val="0"/>
                <w:snapToGrid w:val="0"/>
                <w:kern w:val="0"/>
                <w:sz w:val="21"/>
                <w:szCs w:val="24"/>
                <w:lang w:val="en-US" w:eastAsia="zh-CN" w:bidi="ar-SA"/>
              </w:rPr>
            </w:pPr>
          </w:p>
          <w:p w14:paraId="6F3276A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金属结构件</w:t>
            </w:r>
          </w:p>
        </w:tc>
        <w:tc>
          <w:tcPr>
            <w:tcW w:w="586" w:type="dxa"/>
            <w:tcBorders>
              <w:tl2br w:val="nil"/>
              <w:tr2bl w:val="nil"/>
            </w:tcBorders>
            <w:shd w:val="clear" w:color="auto" w:fill="auto"/>
            <w:tcMar>
              <w:top w:w="28" w:type="dxa"/>
              <w:left w:w="28" w:type="dxa"/>
              <w:bottom w:w="28" w:type="dxa"/>
              <w:right w:w="28" w:type="dxa"/>
            </w:tcMar>
            <w:vAlign w:val="center"/>
          </w:tcPr>
          <w:p w14:paraId="3F1E8FA3">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9</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DAFDD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主要结构件</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5644224">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无可见裂纹和明显变形</w:t>
            </w:r>
          </w:p>
        </w:tc>
        <w:tc>
          <w:tcPr>
            <w:tcW w:w="963" w:type="dxa"/>
            <w:tcBorders>
              <w:tl2br w:val="nil"/>
              <w:tr2bl w:val="nil"/>
            </w:tcBorders>
            <w:shd w:val="clear" w:color="auto" w:fill="auto"/>
            <w:tcMar>
              <w:top w:w="28" w:type="dxa"/>
              <w:left w:w="28" w:type="dxa"/>
              <w:bottom w:w="28" w:type="dxa"/>
              <w:right w:w="28" w:type="dxa"/>
            </w:tcMar>
            <w:vAlign w:val="center"/>
          </w:tcPr>
          <w:p w14:paraId="2C3056FC">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BE6193F">
            <w:pPr>
              <w:pStyle w:val="36"/>
              <w:rPr>
                <w:rFonts w:hint="default" w:ascii="宋体" w:hAnsi="宋体" w:eastAsia="宋体" w:cs="宋体"/>
                <w:b w:val="0"/>
                <w:bCs w:val="0"/>
                <w:snapToGrid w:val="0"/>
                <w:kern w:val="0"/>
                <w:sz w:val="21"/>
                <w:szCs w:val="24"/>
                <w:lang w:val="en-US" w:eastAsia="zh-CN" w:bidi="ar-SA"/>
              </w:rPr>
            </w:pPr>
          </w:p>
        </w:tc>
      </w:tr>
      <w:tr w14:paraId="5DCD4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A0860D0">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4D426C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0</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0D903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主要连接螺栓</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C31CF1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齐全，规格和预紧力达到使用说明书要求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6F32F86A">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AD00D93">
            <w:pPr>
              <w:pStyle w:val="36"/>
              <w:rPr>
                <w:rFonts w:hint="default" w:ascii="宋体" w:hAnsi="宋体" w:eastAsia="宋体" w:cs="宋体"/>
                <w:b w:val="0"/>
                <w:bCs w:val="0"/>
                <w:snapToGrid w:val="0"/>
                <w:kern w:val="0"/>
                <w:sz w:val="21"/>
                <w:szCs w:val="24"/>
                <w:lang w:val="en-US" w:eastAsia="zh-CN" w:bidi="ar-SA"/>
              </w:rPr>
            </w:pPr>
          </w:p>
        </w:tc>
      </w:tr>
      <w:tr w14:paraId="514A2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479B50B">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39A5A0B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1</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57F4F0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主要连接销轴</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4E50FBF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销轴符合出厂要求，连接可靠</w:t>
            </w:r>
          </w:p>
        </w:tc>
        <w:tc>
          <w:tcPr>
            <w:tcW w:w="963" w:type="dxa"/>
            <w:tcBorders>
              <w:tl2br w:val="nil"/>
              <w:tr2bl w:val="nil"/>
            </w:tcBorders>
            <w:shd w:val="clear" w:color="auto" w:fill="auto"/>
            <w:tcMar>
              <w:top w:w="28" w:type="dxa"/>
              <w:left w:w="28" w:type="dxa"/>
              <w:bottom w:w="28" w:type="dxa"/>
              <w:right w:w="28" w:type="dxa"/>
            </w:tcMar>
            <w:vAlign w:val="center"/>
          </w:tcPr>
          <w:p w14:paraId="4D415F23">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D9A53C0">
            <w:pPr>
              <w:pStyle w:val="36"/>
              <w:rPr>
                <w:rFonts w:hint="default" w:ascii="宋体" w:hAnsi="宋体" w:eastAsia="宋体" w:cs="宋体"/>
                <w:b w:val="0"/>
                <w:bCs w:val="0"/>
                <w:snapToGrid w:val="0"/>
                <w:kern w:val="0"/>
                <w:sz w:val="21"/>
                <w:szCs w:val="24"/>
                <w:lang w:val="en-US" w:eastAsia="zh-CN" w:bidi="ar-SA"/>
              </w:rPr>
            </w:pPr>
          </w:p>
        </w:tc>
      </w:tr>
      <w:tr w14:paraId="3552F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5A21593">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8831C59">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05092E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过道、平台、栏杆、踏板</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8BEE16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14:paraId="42DFB045">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AA13754">
            <w:pPr>
              <w:pStyle w:val="36"/>
              <w:rPr>
                <w:rFonts w:hint="default" w:ascii="宋体" w:hAnsi="宋体" w:eastAsia="宋体" w:cs="宋体"/>
                <w:b w:val="0"/>
                <w:bCs w:val="0"/>
                <w:snapToGrid w:val="0"/>
                <w:kern w:val="0"/>
                <w:sz w:val="21"/>
                <w:szCs w:val="24"/>
                <w:lang w:val="en-US" w:eastAsia="zh-CN" w:bidi="ar-SA"/>
              </w:rPr>
            </w:pPr>
          </w:p>
        </w:tc>
      </w:tr>
      <w:tr w14:paraId="24DEA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2BCE34">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9FCB15E">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CC763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梯子、护圈、休息平台</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24C5CA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14:paraId="46B597BC">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342CC0F">
            <w:pPr>
              <w:pStyle w:val="36"/>
              <w:rPr>
                <w:rFonts w:hint="default" w:ascii="宋体" w:hAnsi="宋体" w:eastAsia="宋体" w:cs="宋体"/>
                <w:b w:val="0"/>
                <w:bCs w:val="0"/>
                <w:snapToGrid w:val="0"/>
                <w:kern w:val="0"/>
                <w:sz w:val="21"/>
                <w:szCs w:val="24"/>
                <w:lang w:val="en-US" w:eastAsia="zh-CN" w:bidi="ar-SA"/>
              </w:rPr>
            </w:pPr>
          </w:p>
        </w:tc>
      </w:tr>
      <w:tr w14:paraId="6F683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48643E9">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2D9471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4</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2EAD4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塔身高度</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2CC282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塔身独立状态下的高度符合使用说明书要求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1367F8E1">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8DA6169">
            <w:pPr>
              <w:pStyle w:val="36"/>
              <w:rPr>
                <w:rFonts w:hint="default" w:ascii="宋体" w:hAnsi="宋体" w:eastAsia="宋体" w:cs="宋体"/>
                <w:b w:val="0"/>
                <w:bCs w:val="0"/>
                <w:snapToGrid w:val="0"/>
                <w:kern w:val="0"/>
                <w:sz w:val="21"/>
                <w:szCs w:val="24"/>
                <w:lang w:val="en-US" w:eastAsia="zh-CN" w:bidi="ar-SA"/>
              </w:rPr>
            </w:pPr>
          </w:p>
        </w:tc>
      </w:tr>
      <w:tr w14:paraId="4E2C9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008FFB2">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06FDC7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5</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B28CB0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平衡重、压重</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51659F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平衡重、压重的重量与位置符合使用说明书要求，且安装牢固。</w:t>
            </w:r>
          </w:p>
        </w:tc>
        <w:tc>
          <w:tcPr>
            <w:tcW w:w="963" w:type="dxa"/>
            <w:tcBorders>
              <w:tl2br w:val="nil"/>
              <w:tr2bl w:val="nil"/>
            </w:tcBorders>
            <w:shd w:val="clear" w:color="auto" w:fill="auto"/>
            <w:tcMar>
              <w:top w:w="28" w:type="dxa"/>
              <w:left w:w="28" w:type="dxa"/>
              <w:bottom w:w="28" w:type="dxa"/>
              <w:right w:w="28" w:type="dxa"/>
            </w:tcMar>
            <w:vAlign w:val="center"/>
          </w:tcPr>
          <w:p w14:paraId="4FD3FB5E">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0C6F45A">
            <w:pPr>
              <w:pStyle w:val="36"/>
              <w:rPr>
                <w:rFonts w:hint="default" w:ascii="宋体" w:hAnsi="宋体" w:eastAsia="宋体" w:cs="宋体"/>
                <w:b w:val="0"/>
                <w:bCs w:val="0"/>
                <w:snapToGrid w:val="0"/>
                <w:kern w:val="0"/>
                <w:sz w:val="21"/>
                <w:szCs w:val="24"/>
                <w:lang w:val="en-US" w:eastAsia="zh-CN" w:bidi="ar-SA"/>
              </w:rPr>
            </w:pPr>
          </w:p>
        </w:tc>
      </w:tr>
      <w:tr w14:paraId="3C026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9FD9EB1">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55E3AFE">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EDA3FB2">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塔身垂直度偏差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63F808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在空载、风速不大于3m/s状态下，塔身独立状态的轴心线对支承面的垂直度≤4／1000</w:t>
            </w:r>
          </w:p>
        </w:tc>
        <w:tc>
          <w:tcPr>
            <w:tcW w:w="963" w:type="dxa"/>
            <w:tcBorders>
              <w:tl2br w:val="nil"/>
              <w:tr2bl w:val="nil"/>
            </w:tcBorders>
            <w:shd w:val="clear" w:color="auto" w:fill="auto"/>
            <w:tcMar>
              <w:top w:w="28" w:type="dxa"/>
              <w:left w:w="28" w:type="dxa"/>
              <w:bottom w:w="28" w:type="dxa"/>
              <w:right w:w="28" w:type="dxa"/>
            </w:tcMar>
            <w:vAlign w:val="center"/>
          </w:tcPr>
          <w:p w14:paraId="078E73A2">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92475D3">
            <w:pPr>
              <w:pStyle w:val="36"/>
              <w:rPr>
                <w:rFonts w:hint="default" w:ascii="宋体" w:hAnsi="宋体" w:eastAsia="宋体" w:cs="宋体"/>
                <w:b w:val="0"/>
                <w:bCs w:val="0"/>
                <w:snapToGrid w:val="0"/>
                <w:kern w:val="0"/>
                <w:sz w:val="21"/>
                <w:szCs w:val="24"/>
                <w:lang w:val="en-US" w:eastAsia="zh-CN" w:bidi="ar-SA"/>
              </w:rPr>
            </w:pPr>
          </w:p>
        </w:tc>
      </w:tr>
      <w:tr w14:paraId="7209F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1A7764F">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A541425">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659EEE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塔式起重机的爬升框与支承钢粱、支承钢粱与建筑结构之间的连接</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A81240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连接可靠</w:t>
            </w:r>
          </w:p>
        </w:tc>
        <w:tc>
          <w:tcPr>
            <w:tcW w:w="963" w:type="dxa"/>
            <w:tcBorders>
              <w:tl2br w:val="nil"/>
              <w:tr2bl w:val="nil"/>
            </w:tcBorders>
            <w:shd w:val="clear" w:color="auto" w:fill="auto"/>
            <w:tcMar>
              <w:top w:w="28" w:type="dxa"/>
              <w:left w:w="28" w:type="dxa"/>
              <w:bottom w:w="28" w:type="dxa"/>
              <w:right w:w="28" w:type="dxa"/>
            </w:tcMar>
            <w:vAlign w:val="center"/>
          </w:tcPr>
          <w:p w14:paraId="2A9059C2">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4A1F282">
            <w:pPr>
              <w:pStyle w:val="36"/>
              <w:rPr>
                <w:rFonts w:hint="default" w:ascii="宋体" w:hAnsi="宋体" w:eastAsia="宋体" w:cs="宋体"/>
                <w:b w:val="0"/>
                <w:bCs w:val="0"/>
                <w:snapToGrid w:val="0"/>
                <w:kern w:val="0"/>
                <w:sz w:val="21"/>
                <w:szCs w:val="24"/>
                <w:lang w:val="en-US" w:eastAsia="zh-CN" w:bidi="ar-SA"/>
              </w:rPr>
            </w:pPr>
          </w:p>
        </w:tc>
      </w:tr>
      <w:tr w14:paraId="7760F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55D302A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爬升与回转</w:t>
            </w:r>
          </w:p>
        </w:tc>
        <w:tc>
          <w:tcPr>
            <w:tcW w:w="586" w:type="dxa"/>
            <w:tcBorders>
              <w:tl2br w:val="nil"/>
              <w:tr2bl w:val="nil"/>
            </w:tcBorders>
            <w:shd w:val="clear" w:color="auto" w:fill="auto"/>
            <w:tcMar>
              <w:top w:w="28" w:type="dxa"/>
              <w:left w:w="28" w:type="dxa"/>
              <w:bottom w:w="28" w:type="dxa"/>
              <w:right w:w="28" w:type="dxa"/>
            </w:tcMar>
            <w:vAlign w:val="center"/>
          </w:tcPr>
          <w:p w14:paraId="63445844">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18</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AE98774">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平衡阀或液压锁与油缸间连接</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928B0B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设平衡阀或液压锁，且与油缸用硬管连接</w:t>
            </w:r>
          </w:p>
        </w:tc>
        <w:tc>
          <w:tcPr>
            <w:tcW w:w="963" w:type="dxa"/>
            <w:tcBorders>
              <w:tl2br w:val="nil"/>
              <w:tr2bl w:val="nil"/>
            </w:tcBorders>
            <w:shd w:val="clear" w:color="auto" w:fill="auto"/>
            <w:tcMar>
              <w:top w:w="28" w:type="dxa"/>
              <w:left w:w="28" w:type="dxa"/>
              <w:bottom w:w="28" w:type="dxa"/>
              <w:right w:w="28" w:type="dxa"/>
            </w:tcMar>
            <w:vAlign w:val="center"/>
          </w:tcPr>
          <w:p w14:paraId="32796E32">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6CDBC5A">
            <w:pPr>
              <w:pStyle w:val="36"/>
              <w:rPr>
                <w:rFonts w:hint="default" w:ascii="宋体" w:hAnsi="宋体" w:eastAsia="宋体" w:cs="宋体"/>
                <w:b w:val="0"/>
                <w:bCs w:val="0"/>
                <w:snapToGrid w:val="0"/>
                <w:kern w:val="0"/>
                <w:sz w:val="21"/>
                <w:szCs w:val="24"/>
                <w:lang w:val="en-US" w:eastAsia="zh-CN" w:bidi="ar-SA"/>
              </w:rPr>
            </w:pPr>
          </w:p>
        </w:tc>
      </w:tr>
      <w:tr w14:paraId="150FC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8ABE73B">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FD8F219">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19</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91E821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爬升装置防脱功能</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B4649B5">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自升式塔式起重在正常加节、降节作业时，具有可靠的防止爬升装置在塔身支承中或油缸端头从其连接结构中自行(非人为操作)脱出的功能</w:t>
            </w:r>
          </w:p>
        </w:tc>
        <w:tc>
          <w:tcPr>
            <w:tcW w:w="963" w:type="dxa"/>
            <w:tcBorders>
              <w:tl2br w:val="nil"/>
              <w:tr2bl w:val="nil"/>
            </w:tcBorders>
            <w:shd w:val="clear" w:color="auto" w:fill="auto"/>
            <w:tcMar>
              <w:top w:w="28" w:type="dxa"/>
              <w:left w:w="28" w:type="dxa"/>
              <w:bottom w:w="28" w:type="dxa"/>
              <w:right w:w="28" w:type="dxa"/>
            </w:tcMar>
            <w:vAlign w:val="center"/>
          </w:tcPr>
          <w:p w14:paraId="526B143A">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C1B6F7B">
            <w:pPr>
              <w:pStyle w:val="36"/>
              <w:rPr>
                <w:rFonts w:hint="default" w:ascii="宋体" w:hAnsi="宋体" w:eastAsia="宋体" w:cs="宋体"/>
                <w:b w:val="0"/>
                <w:bCs w:val="0"/>
                <w:snapToGrid w:val="0"/>
                <w:kern w:val="0"/>
                <w:sz w:val="21"/>
                <w:szCs w:val="24"/>
                <w:lang w:val="en-US" w:eastAsia="zh-CN" w:bidi="ar-SA"/>
              </w:rPr>
            </w:pPr>
          </w:p>
        </w:tc>
      </w:tr>
      <w:tr w14:paraId="360D7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05F5793">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AA718F8">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F23364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回转限位器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B6E49D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对回转处不设集电器供电的塔式起重机，设置正反两个方向回转限位开关。开关动作时臂架旋转角度不大于±540°</w:t>
            </w:r>
          </w:p>
        </w:tc>
        <w:tc>
          <w:tcPr>
            <w:tcW w:w="963" w:type="dxa"/>
            <w:tcBorders>
              <w:tl2br w:val="nil"/>
              <w:tr2bl w:val="nil"/>
            </w:tcBorders>
            <w:shd w:val="clear" w:color="auto" w:fill="auto"/>
            <w:tcMar>
              <w:top w:w="28" w:type="dxa"/>
              <w:left w:w="28" w:type="dxa"/>
              <w:bottom w:w="28" w:type="dxa"/>
              <w:right w:w="28" w:type="dxa"/>
            </w:tcMar>
            <w:vAlign w:val="center"/>
          </w:tcPr>
          <w:p w14:paraId="7E042123">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3BCB3BA">
            <w:pPr>
              <w:pStyle w:val="36"/>
              <w:rPr>
                <w:rFonts w:hint="default" w:ascii="宋体" w:hAnsi="宋体" w:eastAsia="宋体" w:cs="宋体"/>
                <w:b w:val="0"/>
                <w:bCs w:val="0"/>
                <w:snapToGrid w:val="0"/>
                <w:kern w:val="0"/>
                <w:sz w:val="21"/>
                <w:szCs w:val="24"/>
                <w:lang w:val="en-US" w:eastAsia="zh-CN" w:bidi="ar-SA"/>
              </w:rPr>
            </w:pPr>
          </w:p>
        </w:tc>
      </w:tr>
      <w:tr w14:paraId="0711C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18C97C03">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起升系统</w:t>
            </w:r>
          </w:p>
        </w:tc>
        <w:tc>
          <w:tcPr>
            <w:tcW w:w="586" w:type="dxa"/>
            <w:tcBorders>
              <w:tl2br w:val="nil"/>
              <w:tr2bl w:val="nil"/>
            </w:tcBorders>
            <w:shd w:val="clear" w:color="auto" w:fill="auto"/>
            <w:tcMar>
              <w:top w:w="28" w:type="dxa"/>
              <w:left w:w="28" w:type="dxa"/>
              <w:bottom w:w="28" w:type="dxa"/>
              <w:right w:w="28" w:type="dxa"/>
            </w:tcMar>
            <w:vAlign w:val="center"/>
          </w:tcPr>
          <w:p w14:paraId="2BAB89D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1</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1697D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起重力矩限制器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CE7895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灵敏可靠，限制值＜额定载荷ll0％，且显示误差≤±5%</w:t>
            </w:r>
          </w:p>
        </w:tc>
        <w:tc>
          <w:tcPr>
            <w:tcW w:w="963" w:type="dxa"/>
            <w:tcBorders>
              <w:tl2br w:val="nil"/>
              <w:tr2bl w:val="nil"/>
            </w:tcBorders>
            <w:shd w:val="clear" w:color="auto" w:fill="auto"/>
            <w:tcMar>
              <w:top w:w="28" w:type="dxa"/>
              <w:left w:w="28" w:type="dxa"/>
              <w:bottom w:w="28" w:type="dxa"/>
              <w:right w:w="28" w:type="dxa"/>
            </w:tcMar>
            <w:vAlign w:val="center"/>
          </w:tcPr>
          <w:p w14:paraId="430271A4">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FCBDF73">
            <w:pPr>
              <w:pStyle w:val="36"/>
              <w:rPr>
                <w:rFonts w:hint="default" w:ascii="宋体" w:hAnsi="宋体" w:eastAsia="宋体" w:cs="宋体"/>
                <w:b w:val="0"/>
                <w:bCs w:val="0"/>
                <w:snapToGrid w:val="0"/>
                <w:kern w:val="0"/>
                <w:sz w:val="21"/>
                <w:szCs w:val="24"/>
                <w:lang w:val="en-US" w:eastAsia="zh-CN" w:bidi="ar-SA"/>
              </w:rPr>
            </w:pPr>
          </w:p>
        </w:tc>
      </w:tr>
      <w:tr w14:paraId="0BF6F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BB827E3">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903E617">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22</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E6F19A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起升高度限位</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E7C21D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对动臂变幅和小车变幅的塔式起重机，当吊钩装置顶部升至起重臂下端的最小矩离为800mm处时，能立即停止起升运动</w:t>
            </w:r>
          </w:p>
        </w:tc>
        <w:tc>
          <w:tcPr>
            <w:tcW w:w="963" w:type="dxa"/>
            <w:tcBorders>
              <w:tl2br w:val="nil"/>
              <w:tr2bl w:val="nil"/>
            </w:tcBorders>
            <w:shd w:val="clear" w:color="auto" w:fill="auto"/>
            <w:tcMar>
              <w:top w:w="28" w:type="dxa"/>
              <w:left w:w="28" w:type="dxa"/>
              <w:bottom w:w="28" w:type="dxa"/>
              <w:right w:w="28" w:type="dxa"/>
            </w:tcMar>
            <w:vAlign w:val="center"/>
          </w:tcPr>
          <w:p w14:paraId="2379314B">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6AE3274">
            <w:pPr>
              <w:pStyle w:val="36"/>
              <w:rPr>
                <w:rFonts w:hint="default" w:ascii="宋体" w:hAnsi="宋体" w:eastAsia="宋体" w:cs="宋体"/>
                <w:b w:val="0"/>
                <w:bCs w:val="0"/>
                <w:snapToGrid w:val="0"/>
                <w:kern w:val="0"/>
                <w:sz w:val="21"/>
                <w:szCs w:val="24"/>
                <w:lang w:val="en-US" w:eastAsia="zh-CN" w:bidi="ar-SA"/>
              </w:rPr>
            </w:pPr>
          </w:p>
        </w:tc>
      </w:tr>
      <w:tr w14:paraId="0E3B5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D9D8F28">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B0BE7E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3</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3C15D6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起重量限制器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AF5EC9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灵敏可靠，限制值＜额定载荷110％，且显示误差≤±5％</w:t>
            </w:r>
          </w:p>
        </w:tc>
        <w:tc>
          <w:tcPr>
            <w:tcW w:w="963" w:type="dxa"/>
            <w:tcBorders>
              <w:tl2br w:val="nil"/>
              <w:tr2bl w:val="nil"/>
            </w:tcBorders>
            <w:shd w:val="clear" w:color="auto" w:fill="auto"/>
            <w:tcMar>
              <w:top w:w="28" w:type="dxa"/>
              <w:left w:w="28" w:type="dxa"/>
              <w:bottom w:w="28" w:type="dxa"/>
              <w:right w:w="28" w:type="dxa"/>
            </w:tcMar>
            <w:vAlign w:val="center"/>
          </w:tcPr>
          <w:p w14:paraId="7E4470E8">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19C2F0F">
            <w:pPr>
              <w:pStyle w:val="36"/>
              <w:rPr>
                <w:rFonts w:hint="default" w:ascii="宋体" w:hAnsi="宋体" w:eastAsia="宋体" w:cs="宋体"/>
                <w:b w:val="0"/>
                <w:bCs w:val="0"/>
                <w:snapToGrid w:val="0"/>
                <w:kern w:val="0"/>
                <w:sz w:val="21"/>
                <w:szCs w:val="24"/>
                <w:lang w:val="en-US" w:eastAsia="zh-CN" w:bidi="ar-SA"/>
              </w:rPr>
            </w:pPr>
          </w:p>
        </w:tc>
      </w:tr>
      <w:tr w14:paraId="78680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1E5525E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变幅系统</w:t>
            </w:r>
          </w:p>
        </w:tc>
        <w:tc>
          <w:tcPr>
            <w:tcW w:w="586" w:type="dxa"/>
            <w:tcBorders>
              <w:tl2br w:val="nil"/>
              <w:tr2bl w:val="nil"/>
            </w:tcBorders>
            <w:shd w:val="clear" w:color="auto" w:fill="auto"/>
            <w:tcMar>
              <w:top w:w="28" w:type="dxa"/>
              <w:left w:w="28" w:type="dxa"/>
              <w:bottom w:w="28" w:type="dxa"/>
              <w:right w:w="28" w:type="dxa"/>
            </w:tcMar>
            <w:vAlign w:val="center"/>
          </w:tcPr>
          <w:p w14:paraId="2E80ED86">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55ADC8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小车断绳保护装置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664C7C5">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双向均设置</w:t>
            </w:r>
          </w:p>
        </w:tc>
        <w:tc>
          <w:tcPr>
            <w:tcW w:w="963" w:type="dxa"/>
            <w:tcBorders>
              <w:tl2br w:val="nil"/>
              <w:tr2bl w:val="nil"/>
            </w:tcBorders>
            <w:shd w:val="clear" w:color="auto" w:fill="auto"/>
            <w:tcMar>
              <w:top w:w="28" w:type="dxa"/>
              <w:left w:w="28" w:type="dxa"/>
              <w:bottom w:w="28" w:type="dxa"/>
              <w:right w:w="28" w:type="dxa"/>
            </w:tcMar>
            <w:vAlign w:val="center"/>
          </w:tcPr>
          <w:p w14:paraId="2913819C">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D7F91B8">
            <w:pPr>
              <w:pStyle w:val="36"/>
              <w:rPr>
                <w:rFonts w:hint="default" w:ascii="宋体" w:hAnsi="宋体" w:eastAsia="宋体" w:cs="宋体"/>
                <w:b w:val="0"/>
                <w:bCs w:val="0"/>
                <w:snapToGrid w:val="0"/>
                <w:kern w:val="0"/>
                <w:sz w:val="21"/>
                <w:szCs w:val="24"/>
                <w:lang w:val="en-US" w:eastAsia="zh-CN" w:bidi="ar-SA"/>
              </w:rPr>
            </w:pPr>
          </w:p>
        </w:tc>
      </w:tr>
      <w:tr w14:paraId="548C9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469ACE2">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D645B04">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8BDFF7E">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小车断轴保护装置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E059A0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齐全，设置位置合理</w:t>
            </w:r>
          </w:p>
        </w:tc>
        <w:tc>
          <w:tcPr>
            <w:tcW w:w="963" w:type="dxa"/>
            <w:tcBorders>
              <w:tl2br w:val="nil"/>
              <w:tr2bl w:val="nil"/>
            </w:tcBorders>
            <w:shd w:val="clear" w:color="auto" w:fill="auto"/>
            <w:tcMar>
              <w:top w:w="28" w:type="dxa"/>
              <w:left w:w="28" w:type="dxa"/>
              <w:bottom w:w="28" w:type="dxa"/>
              <w:right w:w="28" w:type="dxa"/>
            </w:tcMar>
            <w:vAlign w:val="center"/>
          </w:tcPr>
          <w:p w14:paraId="76457914">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C23E6C7">
            <w:pPr>
              <w:pStyle w:val="36"/>
              <w:rPr>
                <w:rFonts w:hint="default" w:ascii="宋体" w:hAnsi="宋体" w:eastAsia="宋体" w:cs="宋体"/>
                <w:b w:val="0"/>
                <w:bCs w:val="0"/>
                <w:snapToGrid w:val="0"/>
                <w:kern w:val="0"/>
                <w:sz w:val="21"/>
                <w:szCs w:val="24"/>
                <w:lang w:val="en-US" w:eastAsia="zh-CN" w:bidi="ar-SA"/>
              </w:rPr>
            </w:pPr>
          </w:p>
        </w:tc>
      </w:tr>
      <w:tr w14:paraId="03BB7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2D1225B">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D6C01D1">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EF3FE6A">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小车变幅检修挂篮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71A1E7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连接可靠</w:t>
            </w:r>
          </w:p>
        </w:tc>
        <w:tc>
          <w:tcPr>
            <w:tcW w:w="963" w:type="dxa"/>
            <w:tcBorders>
              <w:tl2br w:val="nil"/>
              <w:tr2bl w:val="nil"/>
            </w:tcBorders>
            <w:shd w:val="clear" w:color="auto" w:fill="auto"/>
            <w:tcMar>
              <w:top w:w="28" w:type="dxa"/>
              <w:left w:w="28" w:type="dxa"/>
              <w:bottom w:w="28" w:type="dxa"/>
              <w:right w:w="28" w:type="dxa"/>
            </w:tcMar>
            <w:vAlign w:val="center"/>
          </w:tcPr>
          <w:p w14:paraId="71D325B1">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204997B">
            <w:pPr>
              <w:pStyle w:val="36"/>
              <w:rPr>
                <w:rFonts w:hint="default" w:ascii="宋体" w:hAnsi="宋体" w:eastAsia="宋体" w:cs="宋体"/>
                <w:b w:val="0"/>
                <w:bCs w:val="0"/>
                <w:snapToGrid w:val="0"/>
                <w:kern w:val="0"/>
                <w:sz w:val="21"/>
                <w:szCs w:val="24"/>
                <w:lang w:val="en-US" w:eastAsia="zh-CN" w:bidi="ar-SA"/>
              </w:rPr>
            </w:pPr>
          </w:p>
        </w:tc>
      </w:tr>
      <w:tr w14:paraId="776AD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0A3778C">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613356BE">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27</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36856D1">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小车变幅限位和终端止挡装置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F72822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对小车变幅的塔机，设置小车行程限位开关和终端缓冲装置。限位开关动作后应保证小车停车时其端部距缓冲装置最小距离为200mm</w:t>
            </w:r>
          </w:p>
        </w:tc>
        <w:tc>
          <w:tcPr>
            <w:tcW w:w="963" w:type="dxa"/>
            <w:tcBorders>
              <w:tl2br w:val="nil"/>
              <w:tr2bl w:val="nil"/>
            </w:tcBorders>
            <w:shd w:val="clear" w:color="auto" w:fill="auto"/>
            <w:tcMar>
              <w:top w:w="28" w:type="dxa"/>
              <w:left w:w="28" w:type="dxa"/>
              <w:bottom w:w="28" w:type="dxa"/>
              <w:right w:w="28" w:type="dxa"/>
            </w:tcMar>
            <w:vAlign w:val="center"/>
          </w:tcPr>
          <w:p w14:paraId="306C1F6C">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29C22B3">
            <w:pPr>
              <w:pStyle w:val="36"/>
              <w:rPr>
                <w:rFonts w:hint="default" w:ascii="宋体" w:hAnsi="宋体" w:eastAsia="宋体" w:cs="宋体"/>
                <w:b w:val="0"/>
                <w:bCs w:val="0"/>
                <w:snapToGrid w:val="0"/>
                <w:kern w:val="0"/>
                <w:sz w:val="21"/>
                <w:szCs w:val="24"/>
                <w:lang w:val="en-US" w:eastAsia="zh-CN" w:bidi="ar-SA"/>
              </w:rPr>
            </w:pPr>
          </w:p>
        </w:tc>
      </w:tr>
      <w:tr w14:paraId="0609F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8B51CB5">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21C4A4A">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28</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9AA5C5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动臂式变幅限位和防臂架后翻装置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3D380A8">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动臂变幅有最大和最小幅度限位器，限制范围符合使用说明书要求；防止臂架反弹后翻的装置牢固可靠</w:t>
            </w:r>
          </w:p>
        </w:tc>
        <w:tc>
          <w:tcPr>
            <w:tcW w:w="963" w:type="dxa"/>
            <w:tcBorders>
              <w:tl2br w:val="nil"/>
              <w:tr2bl w:val="nil"/>
            </w:tcBorders>
            <w:shd w:val="clear" w:color="auto" w:fill="auto"/>
            <w:tcMar>
              <w:top w:w="28" w:type="dxa"/>
              <w:left w:w="28" w:type="dxa"/>
              <w:bottom w:w="28" w:type="dxa"/>
              <w:right w:w="28" w:type="dxa"/>
            </w:tcMar>
            <w:vAlign w:val="center"/>
          </w:tcPr>
          <w:p w14:paraId="56DF7A66">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A2D9A3C">
            <w:pPr>
              <w:pStyle w:val="36"/>
              <w:rPr>
                <w:rFonts w:hint="default" w:ascii="宋体" w:hAnsi="宋体" w:eastAsia="宋体" w:cs="宋体"/>
                <w:b w:val="0"/>
                <w:bCs w:val="0"/>
                <w:snapToGrid w:val="0"/>
                <w:kern w:val="0"/>
                <w:sz w:val="21"/>
                <w:szCs w:val="24"/>
                <w:lang w:val="en-US" w:eastAsia="zh-CN" w:bidi="ar-SA"/>
              </w:rPr>
            </w:pPr>
          </w:p>
        </w:tc>
      </w:tr>
      <w:tr w14:paraId="4C980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7248A5D7">
            <w:pPr>
              <w:pStyle w:val="36"/>
              <w:rPr>
                <w:rFonts w:hint="default" w:ascii="宋体" w:hAnsi="宋体" w:eastAsia="宋体" w:cs="宋体"/>
                <w:b w:val="0"/>
                <w:bCs w:val="0"/>
                <w:snapToGrid w:val="0"/>
                <w:kern w:val="0"/>
                <w:sz w:val="21"/>
                <w:szCs w:val="24"/>
                <w:lang w:val="en-US" w:eastAsia="zh-CN" w:bidi="ar-SA"/>
              </w:rPr>
            </w:pPr>
          </w:p>
          <w:p w14:paraId="23DA1CDF">
            <w:pPr>
              <w:pStyle w:val="36"/>
              <w:rPr>
                <w:rFonts w:hint="default" w:ascii="宋体" w:hAnsi="宋体" w:eastAsia="宋体" w:cs="宋体"/>
                <w:b w:val="0"/>
                <w:bCs w:val="0"/>
                <w:snapToGrid w:val="0"/>
                <w:kern w:val="0"/>
                <w:sz w:val="21"/>
                <w:szCs w:val="24"/>
                <w:lang w:val="en-US" w:eastAsia="zh-CN" w:bidi="ar-SA"/>
              </w:rPr>
            </w:pPr>
          </w:p>
          <w:p w14:paraId="2EF44ED8">
            <w:pPr>
              <w:pStyle w:val="36"/>
              <w:rPr>
                <w:rFonts w:hint="default" w:ascii="宋体" w:hAnsi="宋体" w:eastAsia="宋体" w:cs="宋体"/>
                <w:b w:val="0"/>
                <w:bCs w:val="0"/>
                <w:snapToGrid w:val="0"/>
                <w:kern w:val="0"/>
                <w:sz w:val="21"/>
                <w:szCs w:val="24"/>
                <w:lang w:val="en-US" w:eastAsia="zh-CN" w:bidi="ar-SA"/>
              </w:rPr>
            </w:pPr>
          </w:p>
          <w:p w14:paraId="4AE223D4">
            <w:pPr>
              <w:pStyle w:val="36"/>
              <w:rPr>
                <w:rFonts w:hint="default" w:ascii="宋体" w:hAnsi="宋体" w:eastAsia="宋体" w:cs="宋体"/>
                <w:b w:val="0"/>
                <w:bCs w:val="0"/>
                <w:snapToGrid w:val="0"/>
                <w:kern w:val="0"/>
                <w:sz w:val="21"/>
                <w:szCs w:val="24"/>
                <w:lang w:val="en-US" w:eastAsia="zh-CN" w:bidi="ar-SA"/>
              </w:rPr>
            </w:pPr>
          </w:p>
          <w:p w14:paraId="3E2C2C90">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机构及</w:t>
            </w:r>
          </w:p>
          <w:p w14:paraId="5BBF9A5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零部件</w:t>
            </w:r>
          </w:p>
          <w:p w14:paraId="7CC79B14">
            <w:pPr>
              <w:pStyle w:val="36"/>
              <w:rPr>
                <w:rFonts w:hint="default" w:ascii="宋体" w:hAnsi="宋体" w:eastAsia="宋体" w:cs="宋体"/>
                <w:b w:val="0"/>
                <w:bCs w:val="0"/>
                <w:snapToGrid w:val="0"/>
                <w:kern w:val="0"/>
                <w:sz w:val="21"/>
                <w:szCs w:val="24"/>
                <w:lang w:val="en-US" w:eastAsia="zh-CN" w:bidi="ar-SA"/>
              </w:rPr>
            </w:pPr>
          </w:p>
          <w:p w14:paraId="25DD602A">
            <w:pPr>
              <w:pStyle w:val="36"/>
              <w:rPr>
                <w:rFonts w:hint="default" w:ascii="宋体" w:hAnsi="宋体" w:eastAsia="宋体" w:cs="宋体"/>
                <w:b w:val="0"/>
                <w:bCs w:val="0"/>
                <w:snapToGrid w:val="0"/>
                <w:kern w:val="0"/>
                <w:sz w:val="21"/>
                <w:szCs w:val="24"/>
                <w:lang w:val="en-US" w:eastAsia="zh-CN" w:bidi="ar-SA"/>
              </w:rPr>
            </w:pPr>
          </w:p>
          <w:p w14:paraId="0AFC0178">
            <w:pPr>
              <w:pStyle w:val="36"/>
              <w:rPr>
                <w:rFonts w:hint="default" w:ascii="宋体" w:hAnsi="宋体" w:eastAsia="宋体" w:cs="宋体"/>
                <w:b w:val="0"/>
                <w:bCs w:val="0"/>
                <w:snapToGrid w:val="0"/>
                <w:kern w:val="0"/>
                <w:sz w:val="21"/>
                <w:szCs w:val="24"/>
                <w:lang w:val="en-US" w:eastAsia="zh-CN" w:bidi="ar-SA"/>
              </w:rPr>
            </w:pPr>
          </w:p>
          <w:p w14:paraId="3662460C">
            <w:pPr>
              <w:pStyle w:val="36"/>
              <w:rPr>
                <w:rFonts w:hint="default" w:ascii="宋体" w:hAnsi="宋体" w:eastAsia="宋体" w:cs="宋体"/>
                <w:b w:val="0"/>
                <w:bCs w:val="0"/>
                <w:snapToGrid w:val="0"/>
                <w:kern w:val="0"/>
                <w:sz w:val="21"/>
                <w:szCs w:val="24"/>
                <w:lang w:val="en-US" w:eastAsia="zh-CN" w:bidi="ar-SA"/>
              </w:rPr>
            </w:pPr>
          </w:p>
          <w:p w14:paraId="07BFB632">
            <w:pPr>
              <w:pStyle w:val="36"/>
              <w:rPr>
                <w:rFonts w:hint="default" w:ascii="宋体" w:hAnsi="宋体" w:eastAsia="宋体" w:cs="宋体"/>
                <w:b w:val="0"/>
                <w:bCs w:val="0"/>
                <w:snapToGrid w:val="0"/>
                <w:kern w:val="0"/>
                <w:sz w:val="21"/>
                <w:szCs w:val="24"/>
                <w:lang w:val="en-US" w:eastAsia="zh-CN" w:bidi="ar-SA"/>
              </w:rPr>
            </w:pPr>
          </w:p>
          <w:p w14:paraId="789CC010">
            <w:pPr>
              <w:pStyle w:val="36"/>
              <w:rPr>
                <w:rFonts w:hint="default" w:ascii="宋体" w:hAnsi="宋体" w:eastAsia="宋体" w:cs="宋体"/>
                <w:b w:val="0"/>
                <w:bCs w:val="0"/>
                <w:snapToGrid w:val="0"/>
                <w:kern w:val="0"/>
                <w:sz w:val="21"/>
                <w:szCs w:val="24"/>
                <w:lang w:val="en-US" w:eastAsia="zh-CN" w:bidi="ar-SA"/>
              </w:rPr>
            </w:pPr>
          </w:p>
          <w:p w14:paraId="75101F2C">
            <w:pPr>
              <w:pStyle w:val="36"/>
              <w:rPr>
                <w:rFonts w:hint="default" w:ascii="宋体" w:hAnsi="宋体" w:eastAsia="宋体" w:cs="宋体"/>
                <w:b w:val="0"/>
                <w:bCs w:val="0"/>
                <w:snapToGrid w:val="0"/>
                <w:kern w:val="0"/>
                <w:sz w:val="21"/>
                <w:szCs w:val="24"/>
                <w:lang w:val="en-US" w:eastAsia="zh-CN" w:bidi="ar-SA"/>
              </w:rPr>
            </w:pPr>
          </w:p>
          <w:p w14:paraId="555EAE77">
            <w:pPr>
              <w:pStyle w:val="36"/>
              <w:rPr>
                <w:rFonts w:hint="default" w:ascii="宋体" w:hAnsi="宋体" w:eastAsia="宋体" w:cs="宋体"/>
                <w:b w:val="0"/>
                <w:bCs w:val="0"/>
                <w:snapToGrid w:val="0"/>
                <w:kern w:val="0"/>
                <w:sz w:val="21"/>
                <w:szCs w:val="24"/>
                <w:lang w:val="en-US" w:eastAsia="zh-CN" w:bidi="ar-SA"/>
              </w:rPr>
            </w:pPr>
          </w:p>
          <w:p w14:paraId="53030346">
            <w:pPr>
              <w:pStyle w:val="36"/>
              <w:rPr>
                <w:rFonts w:hint="default" w:ascii="宋体" w:hAnsi="宋体" w:eastAsia="宋体" w:cs="宋体"/>
                <w:b w:val="0"/>
                <w:bCs w:val="0"/>
                <w:snapToGrid w:val="0"/>
                <w:kern w:val="0"/>
                <w:sz w:val="21"/>
                <w:szCs w:val="24"/>
                <w:lang w:val="en-US" w:eastAsia="zh-CN" w:bidi="ar-SA"/>
              </w:rPr>
            </w:pPr>
          </w:p>
          <w:p w14:paraId="475D5517">
            <w:pPr>
              <w:pStyle w:val="36"/>
              <w:rPr>
                <w:rFonts w:hint="default" w:ascii="宋体" w:hAnsi="宋体" w:eastAsia="宋体" w:cs="宋体"/>
                <w:b w:val="0"/>
                <w:bCs w:val="0"/>
                <w:snapToGrid w:val="0"/>
                <w:kern w:val="0"/>
                <w:sz w:val="21"/>
                <w:szCs w:val="24"/>
                <w:lang w:val="en-US" w:eastAsia="zh-CN" w:bidi="ar-SA"/>
              </w:rPr>
            </w:pPr>
          </w:p>
          <w:p w14:paraId="15CF7D8B">
            <w:pPr>
              <w:pStyle w:val="36"/>
              <w:rPr>
                <w:rFonts w:hint="default" w:ascii="宋体" w:hAnsi="宋体" w:eastAsia="宋体" w:cs="宋体"/>
                <w:b w:val="0"/>
                <w:bCs w:val="0"/>
                <w:snapToGrid w:val="0"/>
                <w:kern w:val="0"/>
                <w:sz w:val="21"/>
                <w:szCs w:val="24"/>
                <w:lang w:val="en-US" w:eastAsia="zh-CN" w:bidi="ar-SA"/>
              </w:rPr>
            </w:pPr>
          </w:p>
          <w:p w14:paraId="35676A21">
            <w:pPr>
              <w:pStyle w:val="36"/>
              <w:rPr>
                <w:rFonts w:hint="default" w:ascii="宋体" w:hAnsi="宋体" w:eastAsia="宋体" w:cs="宋体"/>
                <w:b w:val="0"/>
                <w:bCs w:val="0"/>
                <w:snapToGrid w:val="0"/>
                <w:kern w:val="0"/>
                <w:sz w:val="21"/>
                <w:szCs w:val="24"/>
                <w:lang w:val="en-US" w:eastAsia="zh-CN" w:bidi="ar-SA"/>
              </w:rPr>
            </w:pPr>
          </w:p>
          <w:p w14:paraId="77976104">
            <w:pPr>
              <w:pStyle w:val="36"/>
              <w:rPr>
                <w:rFonts w:hint="default" w:ascii="宋体" w:hAnsi="宋体" w:eastAsia="宋体" w:cs="宋体"/>
                <w:b w:val="0"/>
                <w:bCs w:val="0"/>
                <w:snapToGrid w:val="0"/>
                <w:kern w:val="0"/>
                <w:sz w:val="21"/>
                <w:szCs w:val="24"/>
                <w:lang w:val="en-US" w:eastAsia="zh-CN" w:bidi="ar-SA"/>
              </w:rPr>
            </w:pPr>
          </w:p>
          <w:p w14:paraId="3E86BF58">
            <w:pPr>
              <w:pStyle w:val="36"/>
              <w:rPr>
                <w:rFonts w:hint="default" w:ascii="宋体" w:hAnsi="宋体" w:eastAsia="宋体" w:cs="宋体"/>
                <w:b w:val="0"/>
                <w:bCs w:val="0"/>
                <w:snapToGrid w:val="0"/>
                <w:kern w:val="0"/>
                <w:sz w:val="21"/>
                <w:szCs w:val="24"/>
                <w:lang w:val="en-US" w:eastAsia="zh-CN" w:bidi="ar-SA"/>
              </w:rPr>
            </w:pPr>
          </w:p>
          <w:p w14:paraId="08ACB23D">
            <w:pPr>
              <w:pStyle w:val="36"/>
              <w:rPr>
                <w:rFonts w:hint="default" w:ascii="宋体" w:hAnsi="宋体" w:eastAsia="宋体" w:cs="宋体"/>
                <w:b w:val="0"/>
                <w:bCs w:val="0"/>
                <w:snapToGrid w:val="0"/>
                <w:kern w:val="0"/>
                <w:sz w:val="21"/>
                <w:szCs w:val="24"/>
                <w:lang w:val="en-US" w:eastAsia="zh-CN" w:bidi="ar-SA"/>
              </w:rPr>
            </w:pPr>
          </w:p>
          <w:p w14:paraId="0A8C99A4">
            <w:pPr>
              <w:pStyle w:val="36"/>
              <w:rPr>
                <w:rFonts w:hint="default" w:ascii="宋体" w:hAnsi="宋体" w:eastAsia="宋体" w:cs="宋体"/>
                <w:b w:val="0"/>
                <w:bCs w:val="0"/>
                <w:snapToGrid w:val="0"/>
                <w:kern w:val="0"/>
                <w:sz w:val="21"/>
                <w:szCs w:val="24"/>
                <w:lang w:val="en-US" w:eastAsia="zh-CN" w:bidi="ar-SA"/>
              </w:rPr>
            </w:pPr>
          </w:p>
          <w:p w14:paraId="5774834E">
            <w:pPr>
              <w:pStyle w:val="36"/>
              <w:rPr>
                <w:rFonts w:hint="default" w:ascii="宋体" w:hAnsi="宋体" w:eastAsia="宋体" w:cs="宋体"/>
                <w:b w:val="0"/>
                <w:bCs w:val="0"/>
                <w:snapToGrid w:val="0"/>
                <w:kern w:val="0"/>
                <w:sz w:val="21"/>
                <w:szCs w:val="24"/>
                <w:lang w:val="en-US" w:eastAsia="zh-CN" w:bidi="ar-SA"/>
              </w:rPr>
            </w:pPr>
          </w:p>
          <w:p w14:paraId="59F92A99">
            <w:pPr>
              <w:pStyle w:val="36"/>
              <w:rPr>
                <w:rFonts w:hint="default" w:ascii="宋体" w:hAnsi="宋体" w:eastAsia="宋体" w:cs="宋体"/>
                <w:b w:val="0"/>
                <w:bCs w:val="0"/>
                <w:snapToGrid w:val="0"/>
                <w:kern w:val="0"/>
                <w:sz w:val="21"/>
                <w:szCs w:val="24"/>
                <w:lang w:val="en-US" w:eastAsia="zh-CN" w:bidi="ar-SA"/>
              </w:rPr>
            </w:pPr>
          </w:p>
          <w:p w14:paraId="0BD66B42">
            <w:pPr>
              <w:pStyle w:val="36"/>
              <w:rPr>
                <w:rFonts w:hint="default" w:ascii="宋体" w:hAnsi="宋体" w:eastAsia="宋体" w:cs="宋体"/>
                <w:b w:val="0"/>
                <w:bCs w:val="0"/>
                <w:snapToGrid w:val="0"/>
                <w:kern w:val="0"/>
                <w:sz w:val="21"/>
                <w:szCs w:val="24"/>
                <w:lang w:val="en-US" w:eastAsia="zh-CN" w:bidi="ar-SA"/>
              </w:rPr>
            </w:pPr>
          </w:p>
          <w:p w14:paraId="504238D6">
            <w:pPr>
              <w:pStyle w:val="36"/>
              <w:rPr>
                <w:rFonts w:hint="default" w:ascii="宋体" w:hAnsi="宋体" w:eastAsia="宋体" w:cs="宋体"/>
                <w:b w:val="0"/>
                <w:bCs w:val="0"/>
                <w:snapToGrid w:val="0"/>
                <w:kern w:val="0"/>
                <w:sz w:val="21"/>
                <w:szCs w:val="24"/>
                <w:lang w:val="en-US" w:eastAsia="zh-CN" w:bidi="ar-SA"/>
              </w:rPr>
            </w:pPr>
          </w:p>
          <w:p w14:paraId="79569858">
            <w:pPr>
              <w:pStyle w:val="36"/>
              <w:rPr>
                <w:rFonts w:hint="default" w:ascii="宋体" w:hAnsi="宋体" w:eastAsia="宋体" w:cs="宋体"/>
                <w:b w:val="0"/>
                <w:bCs w:val="0"/>
                <w:snapToGrid w:val="0"/>
                <w:kern w:val="0"/>
                <w:sz w:val="21"/>
                <w:szCs w:val="24"/>
                <w:lang w:val="en-US" w:eastAsia="zh-CN" w:bidi="ar-SA"/>
              </w:rPr>
            </w:pPr>
          </w:p>
          <w:p w14:paraId="2AF98D25">
            <w:pPr>
              <w:pStyle w:val="36"/>
              <w:rPr>
                <w:rFonts w:hint="default" w:ascii="宋体" w:hAnsi="宋体" w:eastAsia="宋体" w:cs="宋体"/>
                <w:b w:val="0"/>
                <w:bCs w:val="0"/>
                <w:snapToGrid w:val="0"/>
                <w:kern w:val="0"/>
                <w:sz w:val="21"/>
                <w:szCs w:val="24"/>
                <w:lang w:val="en-US" w:eastAsia="zh-CN" w:bidi="ar-SA"/>
              </w:rPr>
            </w:pPr>
          </w:p>
          <w:p w14:paraId="3A4A6B5B">
            <w:pPr>
              <w:pStyle w:val="36"/>
              <w:rPr>
                <w:rFonts w:hint="default" w:ascii="宋体" w:hAnsi="宋体" w:eastAsia="宋体" w:cs="宋体"/>
                <w:b w:val="0"/>
                <w:bCs w:val="0"/>
                <w:snapToGrid w:val="0"/>
                <w:kern w:val="0"/>
                <w:sz w:val="21"/>
                <w:szCs w:val="24"/>
                <w:lang w:val="en-US" w:eastAsia="zh-CN" w:bidi="ar-SA"/>
              </w:rPr>
            </w:pPr>
          </w:p>
          <w:p w14:paraId="27A735C4">
            <w:pPr>
              <w:pStyle w:val="36"/>
              <w:rPr>
                <w:rFonts w:hint="default" w:ascii="宋体" w:hAnsi="宋体" w:eastAsia="宋体" w:cs="宋体"/>
                <w:b w:val="0"/>
                <w:bCs w:val="0"/>
                <w:snapToGrid w:val="0"/>
                <w:kern w:val="0"/>
                <w:sz w:val="21"/>
                <w:szCs w:val="24"/>
                <w:lang w:val="en-US" w:eastAsia="zh-CN" w:bidi="ar-SA"/>
              </w:rPr>
            </w:pPr>
          </w:p>
          <w:p w14:paraId="50E49F4F">
            <w:pPr>
              <w:pStyle w:val="36"/>
              <w:rPr>
                <w:rFonts w:hint="default" w:ascii="宋体" w:hAnsi="宋体" w:eastAsia="宋体" w:cs="宋体"/>
                <w:b w:val="0"/>
                <w:bCs w:val="0"/>
                <w:snapToGrid w:val="0"/>
                <w:kern w:val="0"/>
                <w:sz w:val="21"/>
                <w:szCs w:val="24"/>
                <w:lang w:val="en-US" w:eastAsia="zh-CN" w:bidi="ar-SA"/>
              </w:rPr>
            </w:pPr>
          </w:p>
          <w:p w14:paraId="22EDAEDF">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机构及</w:t>
            </w:r>
          </w:p>
          <w:p w14:paraId="452A6067">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零部件</w:t>
            </w:r>
          </w:p>
        </w:tc>
        <w:tc>
          <w:tcPr>
            <w:tcW w:w="586" w:type="dxa"/>
            <w:tcBorders>
              <w:tl2br w:val="nil"/>
              <w:tr2bl w:val="nil"/>
            </w:tcBorders>
            <w:shd w:val="clear" w:color="auto" w:fill="auto"/>
            <w:tcMar>
              <w:top w:w="28" w:type="dxa"/>
              <w:left w:w="28" w:type="dxa"/>
              <w:bottom w:w="28" w:type="dxa"/>
              <w:right w:w="28" w:type="dxa"/>
            </w:tcMar>
            <w:vAlign w:val="center"/>
          </w:tcPr>
          <w:p w14:paraId="2C859085">
            <w:pPr>
              <w:pStyle w:val="36"/>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29</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7E7516B">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吊钩</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2160AAC">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钩体无裂纹、磨损、补焊，危险截面，钩筋无塑性变形</w:t>
            </w:r>
          </w:p>
        </w:tc>
        <w:tc>
          <w:tcPr>
            <w:tcW w:w="963" w:type="dxa"/>
            <w:tcBorders>
              <w:tl2br w:val="nil"/>
              <w:tr2bl w:val="nil"/>
            </w:tcBorders>
            <w:shd w:val="clear" w:color="auto" w:fill="auto"/>
            <w:tcMar>
              <w:top w:w="28" w:type="dxa"/>
              <w:left w:w="28" w:type="dxa"/>
              <w:bottom w:w="28" w:type="dxa"/>
              <w:right w:w="28" w:type="dxa"/>
            </w:tcMar>
            <w:vAlign w:val="center"/>
          </w:tcPr>
          <w:p w14:paraId="77E78D36">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8CED066">
            <w:pPr>
              <w:pStyle w:val="36"/>
              <w:rPr>
                <w:rFonts w:hint="default" w:ascii="宋体" w:hAnsi="宋体" w:eastAsia="宋体" w:cs="宋体"/>
                <w:b w:val="0"/>
                <w:bCs w:val="0"/>
                <w:snapToGrid w:val="0"/>
                <w:kern w:val="0"/>
                <w:sz w:val="21"/>
                <w:szCs w:val="24"/>
                <w:lang w:val="en-US" w:eastAsia="zh-CN" w:bidi="ar-SA"/>
              </w:rPr>
            </w:pPr>
          </w:p>
        </w:tc>
      </w:tr>
      <w:tr w14:paraId="6AFA2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8F8257A">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C6FE6C0">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3</w:t>
            </w:r>
            <w:r>
              <w:rPr>
                <w:rFonts w:hint="eastAsia" w:ascii="宋体" w:hAnsi="宋体" w:eastAsia="宋体" w:cs="宋体"/>
                <w:b w:val="0"/>
                <w:bCs w:val="0"/>
                <w:snapToGrid w:val="0"/>
                <w:kern w:val="0"/>
                <w:sz w:val="21"/>
                <w:szCs w:val="24"/>
                <w:lang w:val="en-US" w:eastAsia="zh-CN" w:bidi="ar-SA"/>
              </w:rPr>
              <w:t>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D0C6A4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吊钩防钢丝绳脱钩装置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55581E6">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完整、可靠</w:t>
            </w:r>
          </w:p>
        </w:tc>
        <w:tc>
          <w:tcPr>
            <w:tcW w:w="963" w:type="dxa"/>
            <w:tcBorders>
              <w:tl2br w:val="nil"/>
              <w:tr2bl w:val="nil"/>
            </w:tcBorders>
            <w:shd w:val="clear" w:color="auto" w:fill="auto"/>
            <w:tcMar>
              <w:top w:w="28" w:type="dxa"/>
              <w:left w:w="28" w:type="dxa"/>
              <w:bottom w:w="28" w:type="dxa"/>
              <w:right w:w="28" w:type="dxa"/>
            </w:tcMar>
            <w:vAlign w:val="center"/>
          </w:tcPr>
          <w:p w14:paraId="38D49FE0">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163BAFF">
            <w:pPr>
              <w:pStyle w:val="36"/>
              <w:rPr>
                <w:rFonts w:hint="default" w:ascii="宋体" w:hAnsi="宋体" w:eastAsia="宋体" w:cs="宋体"/>
                <w:b w:val="0"/>
                <w:bCs w:val="0"/>
                <w:snapToGrid w:val="0"/>
                <w:kern w:val="0"/>
                <w:sz w:val="21"/>
                <w:szCs w:val="24"/>
                <w:lang w:val="en-US" w:eastAsia="zh-CN" w:bidi="ar-SA"/>
              </w:rPr>
            </w:pPr>
          </w:p>
        </w:tc>
      </w:tr>
      <w:tr w14:paraId="14213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1260E51">
            <w:pPr>
              <w:pStyle w:val="36"/>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1656D1E">
            <w:pPr>
              <w:pStyle w:val="36"/>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3</w:t>
            </w:r>
            <w:r>
              <w:rPr>
                <w:rFonts w:hint="eastAsia" w:ascii="宋体" w:hAnsi="宋体" w:eastAsia="宋体" w:cs="宋体"/>
                <w:b w:val="0"/>
                <w:bCs w:val="0"/>
                <w:snapToGrid w:val="0"/>
                <w:kern w:val="0"/>
                <w:sz w:val="21"/>
                <w:szCs w:val="24"/>
                <w:lang w:val="en-US" w:eastAsia="zh-CN" w:bidi="ar-SA"/>
              </w:rP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98A90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滑轮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18CAAF9">
            <w:pPr>
              <w:pStyle w:val="36"/>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滑轮转动良好，出现下列情况应报废：1．裂纹或轮缘破损；2.滑轮绳槽壁厚磨损量达原壁厚的20％；3．滑轮槽底的磨损量超过相应钢丝绳直径的25％</w:t>
            </w:r>
          </w:p>
        </w:tc>
        <w:tc>
          <w:tcPr>
            <w:tcW w:w="963" w:type="dxa"/>
            <w:tcBorders>
              <w:tl2br w:val="nil"/>
              <w:tr2bl w:val="nil"/>
            </w:tcBorders>
            <w:shd w:val="clear" w:color="auto" w:fill="auto"/>
            <w:tcMar>
              <w:top w:w="28" w:type="dxa"/>
              <w:left w:w="28" w:type="dxa"/>
              <w:bottom w:w="28" w:type="dxa"/>
              <w:right w:w="28" w:type="dxa"/>
            </w:tcMar>
            <w:vAlign w:val="center"/>
          </w:tcPr>
          <w:p w14:paraId="467B5777">
            <w:pPr>
              <w:pStyle w:val="36"/>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38DD8F7">
            <w:pPr>
              <w:pStyle w:val="36"/>
              <w:rPr>
                <w:rFonts w:hint="default" w:ascii="宋体" w:hAnsi="宋体" w:eastAsia="宋体" w:cs="宋体"/>
                <w:b w:val="0"/>
                <w:bCs w:val="0"/>
                <w:snapToGrid w:val="0"/>
                <w:kern w:val="0"/>
                <w:sz w:val="21"/>
                <w:szCs w:val="24"/>
                <w:lang w:val="en-US" w:eastAsia="zh-CN" w:bidi="ar-SA"/>
              </w:rPr>
            </w:pPr>
          </w:p>
        </w:tc>
      </w:tr>
      <w:tr w14:paraId="13EE3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87D1DD8">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84538D6">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3A8446B">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滑轮上钢丝绳防脱装置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3058C2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完整、可靠，该装置与滑轮最外缘的间隙不应超过钢丝绳直径的20％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14:paraId="72F378D2">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2197883">
            <w:pPr>
              <w:pStyle w:val="36"/>
              <w:rPr>
                <w:rFonts w:hint="default" w:ascii="宋体" w:hAnsi="宋体" w:eastAsia="宋体" w:cs="宋体"/>
                <w:snapToGrid w:val="0"/>
                <w:kern w:val="0"/>
                <w:sz w:val="21"/>
                <w:szCs w:val="24"/>
                <w:lang w:val="en-US" w:eastAsia="zh-CN" w:bidi="ar-SA"/>
              </w:rPr>
            </w:pPr>
          </w:p>
        </w:tc>
      </w:tr>
      <w:tr w14:paraId="250A1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DE50956">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18C144F">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9D0019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48180E19">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卷筒壁不应有裂纹。筒壁磨损量不应大于原壁厚的10％；多层缠绕的卷筒，端部应有比最外层钢丝绳高出2倍钢丝绳直径的凸缘</w:t>
            </w:r>
          </w:p>
        </w:tc>
        <w:tc>
          <w:tcPr>
            <w:tcW w:w="963" w:type="dxa"/>
            <w:tcBorders>
              <w:tl2br w:val="nil"/>
              <w:tr2bl w:val="nil"/>
            </w:tcBorders>
            <w:shd w:val="clear" w:color="auto" w:fill="auto"/>
            <w:tcMar>
              <w:top w:w="28" w:type="dxa"/>
              <w:left w:w="28" w:type="dxa"/>
              <w:bottom w:w="28" w:type="dxa"/>
              <w:right w:w="28" w:type="dxa"/>
            </w:tcMar>
            <w:vAlign w:val="center"/>
          </w:tcPr>
          <w:p w14:paraId="579A2CEB">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314CCB0">
            <w:pPr>
              <w:pStyle w:val="36"/>
              <w:rPr>
                <w:rFonts w:hint="default" w:ascii="宋体" w:hAnsi="宋体" w:eastAsia="宋体" w:cs="宋体"/>
                <w:snapToGrid w:val="0"/>
                <w:kern w:val="0"/>
                <w:sz w:val="21"/>
                <w:szCs w:val="24"/>
                <w:lang w:val="en-US" w:eastAsia="zh-CN" w:bidi="ar-SA"/>
              </w:rPr>
            </w:pPr>
          </w:p>
        </w:tc>
      </w:tr>
      <w:tr w14:paraId="5B90F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8F6D6E9">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3E188BF">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8625771">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卷筒上钢丝绳防脱装置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41F705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卷筒上钢丝绳，应排列有序，设有防钢丝绳脱槽装置。该装置与卷筒最外缘的间隙不应超过钢丝绳直径的20%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14:paraId="5438E998">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2EC2A38">
            <w:pPr>
              <w:pStyle w:val="36"/>
              <w:rPr>
                <w:rFonts w:hint="default" w:ascii="宋体" w:hAnsi="宋体" w:eastAsia="宋体" w:cs="宋体"/>
                <w:snapToGrid w:val="0"/>
                <w:kern w:val="0"/>
                <w:sz w:val="21"/>
                <w:szCs w:val="24"/>
                <w:lang w:val="en-US" w:eastAsia="zh-CN" w:bidi="ar-SA"/>
              </w:rPr>
            </w:pPr>
          </w:p>
        </w:tc>
      </w:tr>
      <w:tr w14:paraId="6D80A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6BCD0DA">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630215DD">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AB39E4B">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钢丝绳端部固定</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9FF6090">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符合使用说明书规定</w:t>
            </w:r>
          </w:p>
        </w:tc>
        <w:tc>
          <w:tcPr>
            <w:tcW w:w="963" w:type="dxa"/>
            <w:tcBorders>
              <w:tl2br w:val="nil"/>
              <w:tr2bl w:val="nil"/>
            </w:tcBorders>
            <w:shd w:val="clear" w:color="auto" w:fill="auto"/>
            <w:tcMar>
              <w:top w:w="28" w:type="dxa"/>
              <w:left w:w="28" w:type="dxa"/>
              <w:bottom w:w="28" w:type="dxa"/>
              <w:right w:w="28" w:type="dxa"/>
            </w:tcMar>
            <w:vAlign w:val="center"/>
          </w:tcPr>
          <w:p w14:paraId="00057808">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22EB987">
            <w:pPr>
              <w:pStyle w:val="36"/>
              <w:rPr>
                <w:rFonts w:hint="default" w:ascii="宋体" w:hAnsi="宋体" w:eastAsia="宋体" w:cs="宋体"/>
                <w:snapToGrid w:val="0"/>
                <w:kern w:val="0"/>
                <w:sz w:val="21"/>
                <w:szCs w:val="24"/>
                <w:lang w:val="en-US" w:eastAsia="zh-CN" w:bidi="ar-SA"/>
              </w:rPr>
            </w:pPr>
          </w:p>
        </w:tc>
      </w:tr>
      <w:tr w14:paraId="04A47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3AEC3F2">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9394079">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11C466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钢丝绳穿绕方式、润</w:t>
            </w:r>
          </w:p>
          <w:p w14:paraId="0CCA23E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滑与干涉</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7EDBDC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穿绕正确，润滑良好，无干涉</w:t>
            </w:r>
          </w:p>
        </w:tc>
        <w:tc>
          <w:tcPr>
            <w:tcW w:w="963" w:type="dxa"/>
            <w:tcBorders>
              <w:tl2br w:val="nil"/>
              <w:tr2bl w:val="nil"/>
            </w:tcBorders>
            <w:shd w:val="clear" w:color="auto" w:fill="auto"/>
            <w:tcMar>
              <w:top w:w="28" w:type="dxa"/>
              <w:left w:w="28" w:type="dxa"/>
              <w:bottom w:w="28" w:type="dxa"/>
              <w:right w:w="28" w:type="dxa"/>
            </w:tcMar>
            <w:vAlign w:val="center"/>
          </w:tcPr>
          <w:p w14:paraId="21D6C10E">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ED10508">
            <w:pPr>
              <w:pStyle w:val="36"/>
              <w:rPr>
                <w:rFonts w:hint="default" w:ascii="宋体" w:hAnsi="宋体" w:eastAsia="宋体" w:cs="宋体"/>
                <w:snapToGrid w:val="0"/>
                <w:kern w:val="0"/>
                <w:sz w:val="21"/>
                <w:szCs w:val="24"/>
                <w:lang w:val="en-US" w:eastAsia="zh-CN" w:bidi="ar-SA"/>
              </w:rPr>
            </w:pPr>
          </w:p>
        </w:tc>
      </w:tr>
      <w:tr w14:paraId="7C27E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98292A3">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D19C5A6">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37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864EDE8">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钢丝绳磨损量</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30BBD44">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钢丝绳实测直径相对于公称直径减小7％或更多时，应报废</w:t>
            </w:r>
          </w:p>
        </w:tc>
        <w:tc>
          <w:tcPr>
            <w:tcW w:w="963" w:type="dxa"/>
            <w:tcBorders>
              <w:tl2br w:val="nil"/>
              <w:tr2bl w:val="nil"/>
            </w:tcBorders>
            <w:shd w:val="clear" w:color="auto" w:fill="auto"/>
            <w:tcMar>
              <w:top w:w="28" w:type="dxa"/>
              <w:left w:w="28" w:type="dxa"/>
              <w:bottom w:w="28" w:type="dxa"/>
              <w:right w:w="28" w:type="dxa"/>
            </w:tcMar>
            <w:vAlign w:val="center"/>
          </w:tcPr>
          <w:p w14:paraId="337B607B">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13FA564">
            <w:pPr>
              <w:pStyle w:val="36"/>
              <w:rPr>
                <w:rFonts w:hint="default" w:ascii="宋体" w:hAnsi="宋体" w:eastAsia="宋体" w:cs="宋体"/>
                <w:snapToGrid w:val="0"/>
                <w:kern w:val="0"/>
                <w:sz w:val="21"/>
                <w:szCs w:val="24"/>
                <w:lang w:val="en-US" w:eastAsia="zh-CN" w:bidi="ar-SA"/>
              </w:rPr>
            </w:pPr>
          </w:p>
        </w:tc>
      </w:tr>
      <w:tr w14:paraId="6ACEB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3DA51CA">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0DCFBC7">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38</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E4752B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常用规格钢丝绳规定长度内达到报废标准的断丝数</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548C3F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钢制滑轮上工作的圆股钢丝绳、抗扭钢丝绳中断丝根数的控制标准参照《起重机用钢丝绳检验和报废实用规范》GB/T5972，达到报废标准应报废</w:t>
            </w:r>
          </w:p>
        </w:tc>
        <w:tc>
          <w:tcPr>
            <w:tcW w:w="963" w:type="dxa"/>
            <w:tcBorders>
              <w:tl2br w:val="nil"/>
              <w:tr2bl w:val="nil"/>
            </w:tcBorders>
            <w:shd w:val="clear" w:color="auto" w:fill="auto"/>
            <w:tcMar>
              <w:top w:w="28" w:type="dxa"/>
              <w:left w:w="28" w:type="dxa"/>
              <w:bottom w:w="28" w:type="dxa"/>
              <w:right w:w="28" w:type="dxa"/>
            </w:tcMar>
            <w:vAlign w:val="center"/>
          </w:tcPr>
          <w:p w14:paraId="03DCC773">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62150F6">
            <w:pPr>
              <w:pStyle w:val="36"/>
              <w:rPr>
                <w:rFonts w:hint="default" w:ascii="宋体" w:hAnsi="宋体" w:eastAsia="宋体" w:cs="宋体"/>
                <w:snapToGrid w:val="0"/>
                <w:kern w:val="0"/>
                <w:sz w:val="21"/>
                <w:szCs w:val="24"/>
                <w:lang w:val="en-US" w:eastAsia="zh-CN" w:bidi="ar-SA"/>
              </w:rPr>
            </w:pPr>
          </w:p>
        </w:tc>
      </w:tr>
      <w:tr w14:paraId="34218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274F7D4">
            <w:pPr>
              <w:pStyle w:val="36"/>
              <w:rPr>
                <w:rFonts w:hint="default" w:ascii="宋体" w:hAnsi="宋体" w:eastAsia="宋体" w:cs="宋体"/>
                <w:snapToGrid w:val="0"/>
                <w:kern w:val="0"/>
                <w:sz w:val="21"/>
                <w:szCs w:val="24"/>
                <w:lang w:val="en-US" w:eastAsia="zh-CN" w:bidi="ar-SA"/>
              </w:rPr>
            </w:pPr>
          </w:p>
        </w:tc>
        <w:tc>
          <w:tcPr>
            <w:tcW w:w="586" w:type="dxa"/>
            <w:vMerge w:val="restart"/>
            <w:tcBorders>
              <w:tl2br w:val="nil"/>
              <w:tr2bl w:val="nil"/>
            </w:tcBorders>
            <w:shd w:val="clear" w:color="auto" w:fill="auto"/>
            <w:tcMar>
              <w:top w:w="28" w:type="dxa"/>
              <w:left w:w="28" w:type="dxa"/>
              <w:bottom w:w="28" w:type="dxa"/>
              <w:right w:w="28" w:type="dxa"/>
            </w:tcMar>
            <w:vAlign w:val="center"/>
          </w:tcPr>
          <w:p w14:paraId="66EBA4E4">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39</w:t>
            </w:r>
          </w:p>
        </w:tc>
        <w:tc>
          <w:tcPr>
            <w:tcW w:w="1767" w:type="dxa"/>
            <w:gridSpan w:val="2"/>
            <w:vMerge w:val="restart"/>
            <w:tcBorders>
              <w:tl2br w:val="nil"/>
              <w:tr2bl w:val="nil"/>
            </w:tcBorders>
            <w:shd w:val="clear" w:color="auto" w:fill="auto"/>
            <w:tcMar>
              <w:top w:w="28" w:type="dxa"/>
              <w:left w:w="28" w:type="dxa"/>
              <w:bottom w:w="28" w:type="dxa"/>
              <w:right w:w="28" w:type="dxa"/>
            </w:tcMar>
            <w:vAlign w:val="center"/>
          </w:tcPr>
          <w:p w14:paraId="11B1C01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钢丝绳的变形</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790AD4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出现波浪形时，在钢丝绳长度不超过25d范围内，若波形幅度值达到4d／3或以上，则钢丝绳应报废</w:t>
            </w:r>
          </w:p>
        </w:tc>
        <w:tc>
          <w:tcPr>
            <w:tcW w:w="963" w:type="dxa"/>
            <w:tcBorders>
              <w:tl2br w:val="nil"/>
              <w:tr2bl w:val="nil"/>
            </w:tcBorders>
            <w:shd w:val="clear" w:color="auto" w:fill="auto"/>
            <w:tcMar>
              <w:top w:w="28" w:type="dxa"/>
              <w:left w:w="28" w:type="dxa"/>
              <w:bottom w:w="28" w:type="dxa"/>
              <w:right w:w="28" w:type="dxa"/>
            </w:tcMar>
            <w:vAlign w:val="center"/>
          </w:tcPr>
          <w:p w14:paraId="799C8625">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47A75D5">
            <w:pPr>
              <w:pStyle w:val="36"/>
              <w:rPr>
                <w:rFonts w:hint="default" w:ascii="宋体" w:hAnsi="宋体" w:eastAsia="宋体" w:cs="宋体"/>
                <w:snapToGrid w:val="0"/>
                <w:kern w:val="0"/>
                <w:sz w:val="21"/>
                <w:szCs w:val="24"/>
                <w:lang w:val="en-US" w:eastAsia="zh-CN" w:bidi="ar-SA"/>
              </w:rPr>
            </w:pPr>
          </w:p>
        </w:tc>
      </w:tr>
      <w:tr w14:paraId="1FFCE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AE83A2F">
            <w:pPr>
              <w:pStyle w:val="36"/>
              <w:rPr>
                <w:rFonts w:hint="default" w:ascii="宋体" w:hAnsi="宋体" w:eastAsia="宋体" w:cs="宋体"/>
                <w:snapToGrid w:val="0"/>
                <w:kern w:val="0"/>
                <w:sz w:val="21"/>
                <w:szCs w:val="24"/>
                <w:lang w:val="en-US" w:eastAsia="zh-CN" w:bidi="ar-SA"/>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06704A79">
            <w:pPr>
              <w:pStyle w:val="36"/>
              <w:rPr>
                <w:rFonts w:hint="default" w:ascii="宋体" w:hAnsi="宋体" w:eastAsia="宋体" w:cs="宋体"/>
                <w:snapToGrid w:val="0"/>
                <w:kern w:val="0"/>
                <w:sz w:val="21"/>
                <w:szCs w:val="24"/>
                <w:lang w:val="en-US" w:eastAsia="zh-CN" w:bidi="ar-SA"/>
              </w:rPr>
            </w:pP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50626C53">
            <w:pPr>
              <w:pStyle w:val="36"/>
              <w:rPr>
                <w:rFonts w:hint="default" w:ascii="宋体" w:hAnsi="宋体" w:eastAsia="宋体" w:cs="宋体"/>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6EF844D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笼状畸变、绳股挤出或钢丝挤出变形严重的钢丝绳应报废</w:t>
            </w:r>
          </w:p>
        </w:tc>
        <w:tc>
          <w:tcPr>
            <w:tcW w:w="963" w:type="dxa"/>
            <w:tcBorders>
              <w:tl2br w:val="nil"/>
              <w:tr2bl w:val="nil"/>
            </w:tcBorders>
            <w:shd w:val="clear" w:color="auto" w:fill="auto"/>
            <w:tcMar>
              <w:top w:w="28" w:type="dxa"/>
              <w:left w:w="28" w:type="dxa"/>
              <w:bottom w:w="28" w:type="dxa"/>
              <w:right w:w="28" w:type="dxa"/>
            </w:tcMar>
            <w:vAlign w:val="center"/>
          </w:tcPr>
          <w:p w14:paraId="185D78E7">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8573242">
            <w:pPr>
              <w:pStyle w:val="36"/>
              <w:rPr>
                <w:rFonts w:hint="default" w:ascii="宋体" w:hAnsi="宋体" w:eastAsia="宋体" w:cs="宋体"/>
                <w:snapToGrid w:val="0"/>
                <w:kern w:val="0"/>
                <w:sz w:val="21"/>
                <w:szCs w:val="24"/>
                <w:lang w:val="en-US" w:eastAsia="zh-CN" w:bidi="ar-SA"/>
              </w:rPr>
            </w:pPr>
          </w:p>
        </w:tc>
      </w:tr>
      <w:tr w14:paraId="19291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800A9C8">
            <w:pPr>
              <w:pStyle w:val="36"/>
              <w:rPr>
                <w:rFonts w:hint="default" w:ascii="宋体" w:hAnsi="宋体" w:eastAsia="宋体" w:cs="宋体"/>
                <w:snapToGrid w:val="0"/>
                <w:kern w:val="0"/>
                <w:sz w:val="21"/>
                <w:szCs w:val="24"/>
                <w:lang w:val="en-US" w:eastAsia="zh-CN" w:bidi="ar-SA"/>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5CEBF8C7">
            <w:pPr>
              <w:pStyle w:val="36"/>
              <w:rPr>
                <w:rFonts w:hint="default" w:ascii="宋体" w:hAnsi="宋体" w:eastAsia="宋体" w:cs="宋体"/>
                <w:snapToGrid w:val="0"/>
                <w:kern w:val="0"/>
                <w:sz w:val="21"/>
                <w:szCs w:val="24"/>
                <w:lang w:val="en-US" w:eastAsia="zh-CN" w:bidi="ar-SA"/>
              </w:rPr>
            </w:pP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5627B2D2">
            <w:pPr>
              <w:pStyle w:val="36"/>
              <w:rPr>
                <w:rFonts w:hint="default" w:ascii="宋体" w:hAnsi="宋体" w:eastAsia="宋体" w:cs="宋体"/>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1D037CDB">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钢丝绳出现严重的扭结、压扁和弯折现象应报废</w:t>
            </w:r>
          </w:p>
        </w:tc>
        <w:tc>
          <w:tcPr>
            <w:tcW w:w="963" w:type="dxa"/>
            <w:tcBorders>
              <w:tl2br w:val="nil"/>
              <w:tr2bl w:val="nil"/>
            </w:tcBorders>
            <w:shd w:val="clear" w:color="auto" w:fill="auto"/>
            <w:tcMar>
              <w:top w:w="28" w:type="dxa"/>
              <w:left w:w="28" w:type="dxa"/>
              <w:bottom w:w="28" w:type="dxa"/>
              <w:right w:w="28" w:type="dxa"/>
            </w:tcMar>
            <w:vAlign w:val="center"/>
          </w:tcPr>
          <w:p w14:paraId="40F0994F">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B4B14BE">
            <w:pPr>
              <w:pStyle w:val="36"/>
              <w:rPr>
                <w:rFonts w:hint="default" w:ascii="宋体" w:hAnsi="宋体" w:eastAsia="宋体" w:cs="宋体"/>
                <w:snapToGrid w:val="0"/>
                <w:kern w:val="0"/>
                <w:sz w:val="21"/>
                <w:szCs w:val="24"/>
                <w:lang w:val="en-US" w:eastAsia="zh-CN" w:bidi="ar-SA"/>
              </w:rPr>
            </w:pPr>
          </w:p>
        </w:tc>
      </w:tr>
      <w:tr w14:paraId="09F4C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D7129DB">
            <w:pPr>
              <w:pStyle w:val="36"/>
              <w:rPr>
                <w:rFonts w:hint="default" w:ascii="宋体" w:hAnsi="宋体" w:eastAsia="宋体" w:cs="宋体"/>
                <w:snapToGrid w:val="0"/>
                <w:kern w:val="0"/>
                <w:sz w:val="21"/>
                <w:szCs w:val="24"/>
                <w:lang w:val="en-US" w:eastAsia="zh-CN" w:bidi="ar-SA"/>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69821AE4">
            <w:pPr>
              <w:pStyle w:val="36"/>
              <w:rPr>
                <w:rFonts w:hint="default" w:ascii="宋体" w:hAnsi="宋体" w:eastAsia="宋体" w:cs="宋体"/>
                <w:snapToGrid w:val="0"/>
                <w:kern w:val="0"/>
                <w:sz w:val="21"/>
                <w:szCs w:val="24"/>
                <w:lang w:val="en-US" w:eastAsia="zh-CN" w:bidi="ar-SA"/>
              </w:rPr>
            </w:pP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07E379E0">
            <w:pPr>
              <w:pStyle w:val="36"/>
              <w:rPr>
                <w:rFonts w:hint="default" w:ascii="宋体" w:hAnsi="宋体" w:eastAsia="宋体" w:cs="宋体"/>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78CDB78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绳径局部严重增大或减小均应报废</w:t>
            </w:r>
          </w:p>
        </w:tc>
        <w:tc>
          <w:tcPr>
            <w:tcW w:w="963" w:type="dxa"/>
            <w:tcBorders>
              <w:tl2br w:val="nil"/>
              <w:tr2bl w:val="nil"/>
            </w:tcBorders>
            <w:shd w:val="clear" w:color="auto" w:fill="auto"/>
            <w:tcMar>
              <w:top w:w="28" w:type="dxa"/>
              <w:left w:w="28" w:type="dxa"/>
              <w:bottom w:w="28" w:type="dxa"/>
              <w:right w:w="28" w:type="dxa"/>
            </w:tcMar>
            <w:vAlign w:val="center"/>
          </w:tcPr>
          <w:p w14:paraId="76F251C9">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4B14889">
            <w:pPr>
              <w:pStyle w:val="36"/>
              <w:rPr>
                <w:rFonts w:hint="default" w:ascii="宋体" w:hAnsi="宋体" w:eastAsia="宋体" w:cs="宋体"/>
                <w:snapToGrid w:val="0"/>
                <w:kern w:val="0"/>
                <w:sz w:val="21"/>
                <w:szCs w:val="24"/>
                <w:lang w:val="en-US" w:eastAsia="zh-CN" w:bidi="ar-SA"/>
              </w:rPr>
            </w:pPr>
          </w:p>
        </w:tc>
      </w:tr>
      <w:tr w14:paraId="40B91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F5846E9">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0CF6007">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D091ED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制动器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4EA2DFE4">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起升、回转、变幅、行走机构都应配备制动器，制动器不应有裂纹、过度磨损、塑性变形、缺件等缺陷。调整适宜，制动平稳可靠</w:t>
            </w:r>
          </w:p>
        </w:tc>
        <w:tc>
          <w:tcPr>
            <w:tcW w:w="963" w:type="dxa"/>
            <w:tcBorders>
              <w:tl2br w:val="nil"/>
              <w:tr2bl w:val="nil"/>
            </w:tcBorders>
            <w:shd w:val="clear" w:color="auto" w:fill="auto"/>
            <w:tcMar>
              <w:top w:w="28" w:type="dxa"/>
              <w:left w:w="28" w:type="dxa"/>
              <w:bottom w:w="28" w:type="dxa"/>
              <w:right w:w="28" w:type="dxa"/>
            </w:tcMar>
            <w:vAlign w:val="center"/>
          </w:tcPr>
          <w:p w14:paraId="1BFCDFDE">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FBDFA93">
            <w:pPr>
              <w:pStyle w:val="36"/>
              <w:rPr>
                <w:rFonts w:hint="default" w:ascii="宋体" w:hAnsi="宋体" w:eastAsia="宋体" w:cs="宋体"/>
                <w:snapToGrid w:val="0"/>
                <w:kern w:val="0"/>
                <w:sz w:val="21"/>
                <w:szCs w:val="24"/>
                <w:lang w:val="en-US" w:eastAsia="zh-CN" w:bidi="ar-SA"/>
              </w:rPr>
            </w:pPr>
          </w:p>
        </w:tc>
      </w:tr>
      <w:tr w14:paraId="10823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58C397D">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7F86A09">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B0E04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传动装置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C8371A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固定牢固，运行平稳</w:t>
            </w:r>
          </w:p>
        </w:tc>
        <w:tc>
          <w:tcPr>
            <w:tcW w:w="963" w:type="dxa"/>
            <w:tcBorders>
              <w:tl2br w:val="nil"/>
              <w:tr2bl w:val="nil"/>
            </w:tcBorders>
            <w:shd w:val="clear" w:color="auto" w:fill="auto"/>
            <w:tcMar>
              <w:top w:w="28" w:type="dxa"/>
              <w:left w:w="28" w:type="dxa"/>
              <w:bottom w:w="28" w:type="dxa"/>
              <w:right w:w="28" w:type="dxa"/>
            </w:tcMar>
            <w:vAlign w:val="center"/>
          </w:tcPr>
          <w:p w14:paraId="640CA478">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2297958">
            <w:pPr>
              <w:pStyle w:val="36"/>
              <w:rPr>
                <w:rFonts w:hint="default" w:ascii="宋体" w:hAnsi="宋体" w:eastAsia="宋体" w:cs="宋体"/>
                <w:snapToGrid w:val="0"/>
                <w:kern w:val="0"/>
                <w:sz w:val="21"/>
                <w:szCs w:val="24"/>
                <w:lang w:val="en-US" w:eastAsia="zh-CN" w:bidi="ar-SA"/>
              </w:rPr>
            </w:pPr>
          </w:p>
        </w:tc>
      </w:tr>
      <w:tr w14:paraId="79B6F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CD8F0F">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6098C8AB">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0D7CE3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有可能伤人的活动零部件外露部分</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282921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防护罩齐全</w:t>
            </w:r>
          </w:p>
        </w:tc>
        <w:tc>
          <w:tcPr>
            <w:tcW w:w="963" w:type="dxa"/>
            <w:tcBorders>
              <w:tl2br w:val="nil"/>
              <w:tr2bl w:val="nil"/>
            </w:tcBorders>
            <w:shd w:val="clear" w:color="auto" w:fill="auto"/>
            <w:tcMar>
              <w:top w:w="28" w:type="dxa"/>
              <w:left w:w="28" w:type="dxa"/>
              <w:bottom w:w="28" w:type="dxa"/>
              <w:right w:w="28" w:type="dxa"/>
            </w:tcMar>
            <w:vAlign w:val="center"/>
          </w:tcPr>
          <w:p w14:paraId="411E56FE">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3B86529">
            <w:pPr>
              <w:pStyle w:val="36"/>
              <w:rPr>
                <w:rFonts w:hint="default" w:ascii="宋体" w:hAnsi="宋体" w:eastAsia="宋体" w:cs="宋体"/>
                <w:snapToGrid w:val="0"/>
                <w:kern w:val="0"/>
                <w:sz w:val="21"/>
                <w:szCs w:val="24"/>
                <w:lang w:val="en-US" w:eastAsia="zh-CN" w:bidi="ar-SA"/>
              </w:rPr>
            </w:pPr>
          </w:p>
        </w:tc>
      </w:tr>
      <w:tr w14:paraId="5033B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6E4C5D14">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电气及保护</w:t>
            </w:r>
          </w:p>
        </w:tc>
        <w:tc>
          <w:tcPr>
            <w:tcW w:w="586" w:type="dxa"/>
            <w:tcBorders>
              <w:tl2br w:val="nil"/>
              <w:tr2bl w:val="nil"/>
            </w:tcBorders>
            <w:shd w:val="clear" w:color="auto" w:fill="auto"/>
            <w:tcMar>
              <w:top w:w="28" w:type="dxa"/>
              <w:left w:w="28" w:type="dxa"/>
              <w:bottom w:w="28" w:type="dxa"/>
              <w:right w:w="28" w:type="dxa"/>
            </w:tcMar>
            <w:vAlign w:val="center"/>
          </w:tcPr>
          <w:p w14:paraId="1FDD96F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3</w:t>
            </w:r>
            <w:r>
              <w:rPr>
                <w:rFonts w:ascii="宋体" w:hAnsi="宋体" w:eastAsia="宋体" w:cs="宋体"/>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856CAE5">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紧急断电开关</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8BBB84A">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非自动复位，有效，且便于司机操作</w:t>
            </w:r>
          </w:p>
        </w:tc>
        <w:tc>
          <w:tcPr>
            <w:tcW w:w="963" w:type="dxa"/>
            <w:tcBorders>
              <w:tl2br w:val="nil"/>
              <w:tr2bl w:val="nil"/>
            </w:tcBorders>
            <w:shd w:val="clear" w:color="auto" w:fill="auto"/>
            <w:tcMar>
              <w:top w:w="28" w:type="dxa"/>
              <w:left w:w="28" w:type="dxa"/>
              <w:bottom w:w="28" w:type="dxa"/>
              <w:right w:w="28" w:type="dxa"/>
            </w:tcMar>
            <w:vAlign w:val="center"/>
          </w:tcPr>
          <w:p w14:paraId="18FAC9F2">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B1C539D">
            <w:pPr>
              <w:pStyle w:val="36"/>
              <w:rPr>
                <w:rFonts w:hint="default" w:ascii="宋体" w:hAnsi="宋体" w:eastAsia="宋体" w:cs="宋体"/>
                <w:snapToGrid w:val="0"/>
                <w:kern w:val="0"/>
                <w:sz w:val="21"/>
                <w:szCs w:val="24"/>
                <w:lang w:val="en-US" w:eastAsia="zh-CN" w:bidi="ar-SA"/>
              </w:rPr>
            </w:pPr>
          </w:p>
        </w:tc>
      </w:tr>
      <w:tr w14:paraId="764C3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C48F73D">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FE42AE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4</w:t>
            </w:r>
            <w:r>
              <w:rPr>
                <w:rFonts w:ascii="宋体" w:hAnsi="宋体" w:eastAsia="宋体" w:cs="宋体"/>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23B0CD5">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绝缘电阻</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5C200F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主电路和控制电路的对地绝缘电阻不应小于0.5MΩ</w:t>
            </w:r>
          </w:p>
        </w:tc>
        <w:tc>
          <w:tcPr>
            <w:tcW w:w="963" w:type="dxa"/>
            <w:tcBorders>
              <w:tl2br w:val="nil"/>
              <w:tr2bl w:val="nil"/>
            </w:tcBorders>
            <w:shd w:val="clear" w:color="auto" w:fill="auto"/>
            <w:tcMar>
              <w:top w:w="28" w:type="dxa"/>
              <w:left w:w="28" w:type="dxa"/>
              <w:bottom w:w="28" w:type="dxa"/>
              <w:right w:w="28" w:type="dxa"/>
            </w:tcMar>
            <w:vAlign w:val="center"/>
          </w:tcPr>
          <w:p w14:paraId="5C41D0E5">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ADEF210">
            <w:pPr>
              <w:pStyle w:val="36"/>
              <w:rPr>
                <w:rFonts w:hint="default" w:ascii="宋体" w:hAnsi="宋体" w:eastAsia="宋体" w:cs="宋体"/>
                <w:snapToGrid w:val="0"/>
                <w:kern w:val="0"/>
                <w:sz w:val="21"/>
                <w:szCs w:val="24"/>
                <w:lang w:val="en-US" w:eastAsia="zh-CN" w:bidi="ar-SA"/>
              </w:rPr>
            </w:pPr>
          </w:p>
        </w:tc>
      </w:tr>
      <w:tr w14:paraId="37BB2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8ED2FD2">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214E897">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45E925">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接地电阻</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B77303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接地系统应便于复核检查，接地电阻不大于4Ω</w:t>
            </w:r>
          </w:p>
        </w:tc>
        <w:tc>
          <w:tcPr>
            <w:tcW w:w="963" w:type="dxa"/>
            <w:tcBorders>
              <w:tl2br w:val="nil"/>
              <w:tr2bl w:val="nil"/>
            </w:tcBorders>
            <w:shd w:val="clear" w:color="auto" w:fill="auto"/>
            <w:tcMar>
              <w:top w:w="28" w:type="dxa"/>
              <w:left w:w="28" w:type="dxa"/>
              <w:bottom w:w="28" w:type="dxa"/>
              <w:right w:w="28" w:type="dxa"/>
            </w:tcMar>
            <w:vAlign w:val="center"/>
          </w:tcPr>
          <w:p w14:paraId="47C15BCD">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DF725BE">
            <w:pPr>
              <w:pStyle w:val="36"/>
              <w:rPr>
                <w:rFonts w:hint="default" w:ascii="宋体" w:hAnsi="宋体" w:eastAsia="宋体" w:cs="宋体"/>
                <w:snapToGrid w:val="0"/>
                <w:kern w:val="0"/>
                <w:sz w:val="21"/>
                <w:szCs w:val="24"/>
                <w:lang w:val="en-US" w:eastAsia="zh-CN" w:bidi="ar-SA"/>
              </w:rPr>
            </w:pPr>
          </w:p>
        </w:tc>
      </w:tr>
      <w:tr w14:paraId="40D4C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C8AC481">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3F446879">
            <w:pPr>
              <w:pStyle w:val="36"/>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915F9BC">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专用开关箱</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7E15ED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单独设置并有警示标志</w:t>
            </w:r>
          </w:p>
        </w:tc>
        <w:tc>
          <w:tcPr>
            <w:tcW w:w="963" w:type="dxa"/>
            <w:tcBorders>
              <w:tl2br w:val="nil"/>
              <w:tr2bl w:val="nil"/>
            </w:tcBorders>
            <w:shd w:val="clear" w:color="auto" w:fill="auto"/>
            <w:tcMar>
              <w:top w:w="28" w:type="dxa"/>
              <w:left w:w="28" w:type="dxa"/>
              <w:bottom w:w="28" w:type="dxa"/>
              <w:right w:w="28" w:type="dxa"/>
            </w:tcMar>
            <w:vAlign w:val="center"/>
          </w:tcPr>
          <w:p w14:paraId="0D215A20">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B2482FD">
            <w:pPr>
              <w:pStyle w:val="36"/>
              <w:rPr>
                <w:rFonts w:hint="default" w:ascii="宋体" w:hAnsi="宋体" w:eastAsia="宋体" w:cs="宋体"/>
                <w:snapToGrid w:val="0"/>
                <w:kern w:val="0"/>
                <w:sz w:val="21"/>
                <w:szCs w:val="24"/>
                <w:lang w:val="en-US" w:eastAsia="zh-CN" w:bidi="ar-SA"/>
              </w:rPr>
            </w:pPr>
          </w:p>
        </w:tc>
      </w:tr>
      <w:tr w14:paraId="295DA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7BF4067">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3569B4D">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47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34FDD82">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声响信号器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A75643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完好</w:t>
            </w:r>
          </w:p>
        </w:tc>
        <w:tc>
          <w:tcPr>
            <w:tcW w:w="963" w:type="dxa"/>
            <w:tcBorders>
              <w:tl2br w:val="nil"/>
              <w:tr2bl w:val="nil"/>
            </w:tcBorders>
            <w:shd w:val="clear" w:color="auto" w:fill="auto"/>
            <w:tcMar>
              <w:top w:w="28" w:type="dxa"/>
              <w:left w:w="28" w:type="dxa"/>
              <w:bottom w:w="28" w:type="dxa"/>
              <w:right w:w="28" w:type="dxa"/>
            </w:tcMar>
            <w:vAlign w:val="center"/>
          </w:tcPr>
          <w:p w14:paraId="5135070F">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CB71B9E">
            <w:pPr>
              <w:pStyle w:val="36"/>
              <w:rPr>
                <w:rFonts w:hint="default" w:ascii="宋体" w:hAnsi="宋体" w:eastAsia="宋体" w:cs="宋体"/>
                <w:snapToGrid w:val="0"/>
                <w:kern w:val="0"/>
                <w:sz w:val="21"/>
                <w:szCs w:val="24"/>
                <w:lang w:val="en-US" w:eastAsia="zh-CN" w:bidi="ar-SA"/>
              </w:rPr>
            </w:pPr>
          </w:p>
        </w:tc>
      </w:tr>
      <w:tr w14:paraId="743C3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1B0FFAA">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AF57674">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48</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E23020">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保护零线</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75BE567">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绿/黄双色绝缘铜芯线，且不得作为载流回路</w:t>
            </w:r>
          </w:p>
        </w:tc>
        <w:tc>
          <w:tcPr>
            <w:tcW w:w="963" w:type="dxa"/>
            <w:tcBorders>
              <w:tl2br w:val="nil"/>
              <w:tr2bl w:val="nil"/>
            </w:tcBorders>
            <w:shd w:val="clear" w:color="auto" w:fill="auto"/>
            <w:tcMar>
              <w:top w:w="28" w:type="dxa"/>
              <w:left w:w="28" w:type="dxa"/>
              <w:bottom w:w="28" w:type="dxa"/>
              <w:right w:w="28" w:type="dxa"/>
            </w:tcMar>
            <w:vAlign w:val="center"/>
          </w:tcPr>
          <w:p w14:paraId="4EDE04CA">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0CEE819">
            <w:pPr>
              <w:pStyle w:val="36"/>
              <w:rPr>
                <w:rFonts w:hint="default" w:ascii="宋体" w:hAnsi="宋体" w:eastAsia="宋体" w:cs="宋体"/>
                <w:snapToGrid w:val="0"/>
                <w:kern w:val="0"/>
                <w:sz w:val="21"/>
                <w:szCs w:val="24"/>
                <w:lang w:val="en-US" w:eastAsia="zh-CN" w:bidi="ar-SA"/>
              </w:rPr>
            </w:pPr>
          </w:p>
        </w:tc>
      </w:tr>
      <w:tr w14:paraId="6767A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4F00FF1">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F5A5068">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49</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029FE7C">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电源电缆与电缆保护</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82D31B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无破损，老化。与金属接触处有绝缘材料隔离，移动电缆有电缆卷筒或其他防止磨损措施</w:t>
            </w:r>
          </w:p>
        </w:tc>
        <w:tc>
          <w:tcPr>
            <w:tcW w:w="963" w:type="dxa"/>
            <w:tcBorders>
              <w:tl2br w:val="nil"/>
              <w:tr2bl w:val="nil"/>
            </w:tcBorders>
            <w:shd w:val="clear" w:color="auto" w:fill="auto"/>
            <w:tcMar>
              <w:top w:w="28" w:type="dxa"/>
              <w:left w:w="28" w:type="dxa"/>
              <w:bottom w:w="28" w:type="dxa"/>
              <w:right w:w="28" w:type="dxa"/>
            </w:tcMar>
            <w:vAlign w:val="center"/>
          </w:tcPr>
          <w:p w14:paraId="2D89C0F2">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6AAED45">
            <w:pPr>
              <w:pStyle w:val="36"/>
              <w:rPr>
                <w:rFonts w:hint="default" w:ascii="宋体" w:hAnsi="宋体" w:eastAsia="宋体" w:cs="宋体"/>
                <w:snapToGrid w:val="0"/>
                <w:kern w:val="0"/>
                <w:sz w:val="21"/>
                <w:szCs w:val="24"/>
                <w:lang w:val="en-US" w:eastAsia="zh-CN" w:bidi="ar-SA"/>
              </w:rPr>
            </w:pPr>
          </w:p>
        </w:tc>
      </w:tr>
      <w:tr w14:paraId="218CD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C6F6858">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6B4A026">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82CFBE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障碍指示灯</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12711F9">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塔顶高度大于30m且高于周围建筑物时应安装，该指示灯的供电不应受停机的影响</w:t>
            </w:r>
          </w:p>
        </w:tc>
        <w:tc>
          <w:tcPr>
            <w:tcW w:w="963" w:type="dxa"/>
            <w:tcBorders>
              <w:tl2br w:val="nil"/>
              <w:tr2bl w:val="nil"/>
            </w:tcBorders>
            <w:shd w:val="clear" w:color="auto" w:fill="auto"/>
            <w:tcMar>
              <w:top w:w="28" w:type="dxa"/>
              <w:left w:w="28" w:type="dxa"/>
              <w:bottom w:w="28" w:type="dxa"/>
              <w:right w:w="28" w:type="dxa"/>
            </w:tcMar>
            <w:vAlign w:val="center"/>
          </w:tcPr>
          <w:p w14:paraId="5C5DE067">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652ED23">
            <w:pPr>
              <w:pStyle w:val="36"/>
              <w:rPr>
                <w:rFonts w:hint="default" w:ascii="宋体" w:hAnsi="宋体" w:eastAsia="宋体" w:cs="宋体"/>
                <w:snapToGrid w:val="0"/>
                <w:kern w:val="0"/>
                <w:sz w:val="21"/>
                <w:szCs w:val="24"/>
                <w:lang w:val="en-US" w:eastAsia="zh-CN" w:bidi="ar-SA"/>
              </w:rPr>
            </w:pPr>
          </w:p>
        </w:tc>
      </w:tr>
      <w:tr w14:paraId="13FE0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0801269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司机室</w:t>
            </w:r>
          </w:p>
        </w:tc>
        <w:tc>
          <w:tcPr>
            <w:tcW w:w="586" w:type="dxa"/>
            <w:tcBorders>
              <w:tl2br w:val="nil"/>
              <w:tr2bl w:val="nil"/>
            </w:tcBorders>
            <w:shd w:val="clear" w:color="auto" w:fill="auto"/>
            <w:tcMar>
              <w:top w:w="28" w:type="dxa"/>
              <w:left w:w="28" w:type="dxa"/>
              <w:bottom w:w="28" w:type="dxa"/>
              <w:right w:w="28" w:type="dxa"/>
            </w:tcMar>
            <w:vAlign w:val="center"/>
          </w:tcPr>
          <w:p w14:paraId="21289692">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7C2B4F8">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性能标牌(显示屏)</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406D06A">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齐全，清晰</w:t>
            </w:r>
          </w:p>
        </w:tc>
        <w:tc>
          <w:tcPr>
            <w:tcW w:w="963" w:type="dxa"/>
            <w:tcBorders>
              <w:tl2br w:val="nil"/>
              <w:tr2bl w:val="nil"/>
            </w:tcBorders>
            <w:shd w:val="clear" w:color="auto" w:fill="auto"/>
            <w:tcMar>
              <w:top w:w="28" w:type="dxa"/>
              <w:left w:w="28" w:type="dxa"/>
              <w:bottom w:w="28" w:type="dxa"/>
              <w:right w:w="28" w:type="dxa"/>
            </w:tcMar>
            <w:vAlign w:val="center"/>
          </w:tcPr>
          <w:p w14:paraId="6798F07E">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802520E">
            <w:pPr>
              <w:pStyle w:val="36"/>
              <w:rPr>
                <w:rFonts w:hint="default" w:ascii="宋体" w:hAnsi="宋体" w:eastAsia="宋体" w:cs="宋体"/>
                <w:snapToGrid w:val="0"/>
                <w:kern w:val="0"/>
                <w:sz w:val="21"/>
                <w:szCs w:val="24"/>
                <w:lang w:val="en-US" w:eastAsia="zh-CN" w:bidi="ar-SA"/>
              </w:rPr>
            </w:pPr>
          </w:p>
        </w:tc>
      </w:tr>
      <w:tr w14:paraId="1BD02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2C32E4A">
            <w:pPr>
              <w:pStyle w:val="36"/>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9F6E9B2">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DE3B578">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门窗和灭火器、雨刷</w:t>
            </w:r>
          </w:p>
          <w:p w14:paraId="2AECC018">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等附属设施</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F9732C6">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齐全，有效</w:t>
            </w:r>
          </w:p>
        </w:tc>
        <w:tc>
          <w:tcPr>
            <w:tcW w:w="963" w:type="dxa"/>
            <w:tcBorders>
              <w:tl2br w:val="nil"/>
              <w:tr2bl w:val="nil"/>
            </w:tcBorders>
            <w:shd w:val="clear" w:color="auto" w:fill="auto"/>
            <w:tcMar>
              <w:top w:w="28" w:type="dxa"/>
              <w:left w:w="28" w:type="dxa"/>
              <w:bottom w:w="28" w:type="dxa"/>
              <w:right w:w="28" w:type="dxa"/>
            </w:tcMar>
            <w:vAlign w:val="center"/>
          </w:tcPr>
          <w:p w14:paraId="10E14972">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0B5EFA7">
            <w:pPr>
              <w:pStyle w:val="36"/>
              <w:rPr>
                <w:rFonts w:hint="default" w:ascii="宋体" w:hAnsi="宋体" w:eastAsia="宋体" w:cs="宋体"/>
                <w:snapToGrid w:val="0"/>
                <w:kern w:val="0"/>
                <w:sz w:val="21"/>
                <w:szCs w:val="24"/>
                <w:lang w:val="en-US" w:eastAsia="zh-CN" w:bidi="ar-SA"/>
              </w:rPr>
            </w:pPr>
          </w:p>
        </w:tc>
      </w:tr>
      <w:tr w14:paraId="0FA1D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tcBorders>
              <w:tl2br w:val="nil"/>
              <w:tr2bl w:val="nil"/>
            </w:tcBorders>
            <w:shd w:val="clear" w:color="auto" w:fill="auto"/>
            <w:tcMar>
              <w:top w:w="28" w:type="dxa"/>
              <w:left w:w="28" w:type="dxa"/>
              <w:bottom w:w="28" w:type="dxa"/>
              <w:right w:w="28" w:type="dxa"/>
            </w:tcMar>
            <w:vAlign w:val="center"/>
          </w:tcPr>
          <w:p w14:paraId="0134D6E1">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其他</w:t>
            </w:r>
          </w:p>
        </w:tc>
        <w:tc>
          <w:tcPr>
            <w:tcW w:w="586" w:type="dxa"/>
            <w:tcBorders>
              <w:tl2br w:val="nil"/>
              <w:tr2bl w:val="nil"/>
            </w:tcBorders>
            <w:shd w:val="clear" w:color="auto" w:fill="auto"/>
            <w:tcMar>
              <w:top w:w="28" w:type="dxa"/>
              <w:left w:w="28" w:type="dxa"/>
              <w:bottom w:w="28" w:type="dxa"/>
              <w:right w:w="28" w:type="dxa"/>
            </w:tcMar>
            <w:vAlign w:val="center"/>
          </w:tcPr>
          <w:p w14:paraId="70DA972E">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E35D90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风速仪</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39B0F7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臂架根部铰点高于50m时应设置</w:t>
            </w:r>
          </w:p>
        </w:tc>
        <w:tc>
          <w:tcPr>
            <w:tcW w:w="963" w:type="dxa"/>
            <w:tcBorders>
              <w:tl2br w:val="nil"/>
              <w:tr2bl w:val="nil"/>
            </w:tcBorders>
            <w:shd w:val="clear" w:color="auto" w:fill="auto"/>
            <w:tcMar>
              <w:top w:w="28" w:type="dxa"/>
              <w:left w:w="28" w:type="dxa"/>
              <w:bottom w:w="28" w:type="dxa"/>
              <w:right w:w="28" w:type="dxa"/>
            </w:tcMar>
            <w:vAlign w:val="center"/>
          </w:tcPr>
          <w:p w14:paraId="55969FB5">
            <w:pPr>
              <w:pStyle w:val="36"/>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7FE2C57">
            <w:pPr>
              <w:pStyle w:val="36"/>
              <w:rPr>
                <w:rFonts w:hint="default" w:ascii="宋体" w:hAnsi="宋体" w:eastAsia="宋体" w:cs="宋体"/>
                <w:snapToGrid w:val="0"/>
                <w:kern w:val="0"/>
                <w:sz w:val="21"/>
                <w:szCs w:val="24"/>
                <w:lang w:val="en-US" w:eastAsia="zh-CN" w:bidi="ar-SA"/>
              </w:rPr>
            </w:pPr>
          </w:p>
        </w:tc>
      </w:tr>
      <w:tr w14:paraId="35154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8277" w:type="dxa"/>
            <w:gridSpan w:val="9"/>
            <w:tcBorders>
              <w:tl2br w:val="nil"/>
              <w:tr2bl w:val="nil"/>
            </w:tcBorders>
            <w:shd w:val="clear" w:color="auto" w:fill="auto"/>
            <w:tcMar>
              <w:top w:w="28" w:type="dxa"/>
              <w:left w:w="28" w:type="dxa"/>
              <w:bottom w:w="28" w:type="dxa"/>
              <w:right w:w="28" w:type="dxa"/>
            </w:tcMar>
            <w:vAlign w:val="center"/>
          </w:tcPr>
          <w:p w14:paraId="363C75DE">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检查结果</w:t>
            </w:r>
          </w:p>
        </w:tc>
      </w:tr>
      <w:tr w14:paraId="1F656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2137" w:type="dxa"/>
            <w:gridSpan w:val="3"/>
            <w:tcBorders>
              <w:tl2br w:val="nil"/>
              <w:tr2bl w:val="nil"/>
            </w:tcBorders>
            <w:shd w:val="clear" w:color="auto" w:fill="auto"/>
            <w:tcMar>
              <w:top w:w="28" w:type="dxa"/>
              <w:left w:w="28" w:type="dxa"/>
              <w:bottom w:w="28" w:type="dxa"/>
              <w:right w:w="28" w:type="dxa"/>
            </w:tcMar>
            <w:vAlign w:val="center"/>
          </w:tcPr>
          <w:p w14:paraId="0A25C3E0">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保证项目不合格项数</w:t>
            </w:r>
          </w:p>
        </w:tc>
        <w:tc>
          <w:tcPr>
            <w:tcW w:w="2192" w:type="dxa"/>
            <w:gridSpan w:val="2"/>
            <w:tcBorders>
              <w:tl2br w:val="nil"/>
              <w:tr2bl w:val="nil"/>
            </w:tcBorders>
            <w:shd w:val="clear" w:color="auto" w:fill="auto"/>
            <w:tcMar>
              <w:top w:w="28" w:type="dxa"/>
              <w:left w:w="28" w:type="dxa"/>
              <w:bottom w:w="28" w:type="dxa"/>
              <w:right w:w="28" w:type="dxa"/>
            </w:tcMar>
            <w:vAlign w:val="center"/>
          </w:tcPr>
          <w:p w14:paraId="563D8328">
            <w:pPr>
              <w:pStyle w:val="36"/>
              <w:rPr>
                <w:rFonts w:hint="default" w:ascii="宋体" w:hAnsi="宋体" w:eastAsia="宋体" w:cs="宋体"/>
                <w:snapToGrid w:val="0"/>
                <w:kern w:val="0"/>
                <w:sz w:val="21"/>
                <w:szCs w:val="24"/>
                <w:lang w:val="en-US" w:eastAsia="zh-CN" w:bidi="ar-SA"/>
              </w:rPr>
            </w:pPr>
          </w:p>
        </w:tc>
        <w:tc>
          <w:tcPr>
            <w:tcW w:w="2032" w:type="dxa"/>
            <w:gridSpan w:val="2"/>
            <w:tcBorders>
              <w:tl2br w:val="nil"/>
              <w:tr2bl w:val="nil"/>
            </w:tcBorders>
            <w:shd w:val="clear" w:color="auto" w:fill="auto"/>
            <w:tcMar>
              <w:top w:w="28" w:type="dxa"/>
              <w:left w:w="28" w:type="dxa"/>
              <w:bottom w:w="28" w:type="dxa"/>
              <w:right w:w="28" w:type="dxa"/>
            </w:tcMar>
            <w:vAlign w:val="center"/>
          </w:tcPr>
          <w:p w14:paraId="2B60510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一般项目不合格项数</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2DD380B7">
            <w:pPr>
              <w:pStyle w:val="36"/>
              <w:rPr>
                <w:rFonts w:hint="default" w:ascii="宋体" w:hAnsi="宋体" w:eastAsia="宋体" w:cs="宋体"/>
                <w:snapToGrid w:val="0"/>
                <w:kern w:val="0"/>
                <w:sz w:val="21"/>
                <w:szCs w:val="24"/>
                <w:lang w:val="en-US" w:eastAsia="zh-CN" w:bidi="ar-SA"/>
              </w:rPr>
            </w:pPr>
          </w:p>
        </w:tc>
      </w:tr>
      <w:tr w14:paraId="3AE63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4329" w:type="dxa"/>
            <w:gridSpan w:val="5"/>
            <w:tcBorders>
              <w:tl2br w:val="nil"/>
              <w:tr2bl w:val="nil"/>
            </w:tcBorders>
            <w:shd w:val="clear" w:color="auto" w:fill="auto"/>
            <w:tcMar>
              <w:top w:w="28" w:type="dxa"/>
              <w:left w:w="28" w:type="dxa"/>
              <w:bottom w:w="28" w:type="dxa"/>
              <w:right w:w="28" w:type="dxa"/>
            </w:tcMar>
            <w:vAlign w:val="center"/>
          </w:tcPr>
          <w:p w14:paraId="0B9FDE8B">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租赁单位意见：</w:t>
            </w:r>
          </w:p>
          <w:p w14:paraId="2F716A60">
            <w:pPr>
              <w:pStyle w:val="36"/>
              <w:rPr>
                <w:rFonts w:hint="default" w:ascii="宋体" w:hAnsi="宋体" w:eastAsia="宋体" w:cs="宋体"/>
                <w:snapToGrid w:val="0"/>
                <w:kern w:val="0"/>
                <w:sz w:val="21"/>
                <w:szCs w:val="24"/>
                <w:lang w:val="en-US" w:eastAsia="zh-CN" w:bidi="ar-SA"/>
              </w:rPr>
            </w:pPr>
          </w:p>
          <w:p w14:paraId="60B5CA26">
            <w:pPr>
              <w:pStyle w:val="36"/>
              <w:rPr>
                <w:rFonts w:hint="default" w:ascii="宋体" w:hAnsi="宋体" w:eastAsia="宋体" w:cs="宋体"/>
                <w:snapToGrid w:val="0"/>
                <w:kern w:val="0"/>
                <w:sz w:val="21"/>
                <w:szCs w:val="24"/>
                <w:lang w:val="en-US" w:eastAsia="zh-CN" w:bidi="ar-SA"/>
              </w:rPr>
            </w:pPr>
          </w:p>
          <w:p w14:paraId="5381BDDF">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租赁负责人（签字）：（盖章）</w:t>
            </w:r>
          </w:p>
          <w:p w14:paraId="5D707F72">
            <w:pPr>
              <w:pStyle w:val="36"/>
              <w:rPr>
                <w:rFonts w:hint="default" w:ascii="宋体" w:hAnsi="宋体" w:eastAsia="宋体" w:cs="宋体"/>
                <w:snapToGrid w:val="0"/>
                <w:kern w:val="0"/>
                <w:sz w:val="21"/>
                <w:szCs w:val="24"/>
                <w:lang w:val="en-US" w:eastAsia="zh-CN" w:bidi="ar-SA"/>
              </w:rPr>
            </w:pPr>
          </w:p>
          <w:p w14:paraId="59F1705D">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14:paraId="1311A4AA">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使用单位意见：</w:t>
            </w:r>
          </w:p>
          <w:p w14:paraId="57A7EAEC">
            <w:pPr>
              <w:pStyle w:val="36"/>
              <w:rPr>
                <w:rFonts w:hint="default" w:ascii="宋体" w:hAnsi="宋体" w:eastAsia="宋体" w:cs="宋体"/>
                <w:snapToGrid w:val="0"/>
                <w:kern w:val="0"/>
                <w:sz w:val="21"/>
                <w:szCs w:val="24"/>
                <w:lang w:val="en-US" w:eastAsia="zh-CN" w:bidi="ar-SA"/>
              </w:rPr>
            </w:pPr>
          </w:p>
          <w:p w14:paraId="50AAA458">
            <w:pPr>
              <w:pStyle w:val="36"/>
              <w:rPr>
                <w:rFonts w:hint="default" w:ascii="宋体" w:hAnsi="宋体" w:eastAsia="宋体" w:cs="宋体"/>
                <w:snapToGrid w:val="0"/>
                <w:kern w:val="0"/>
                <w:sz w:val="21"/>
                <w:szCs w:val="24"/>
                <w:lang w:val="en-US" w:eastAsia="zh-CN" w:bidi="ar-SA"/>
              </w:rPr>
            </w:pPr>
          </w:p>
          <w:p w14:paraId="58806D32">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项目技术负责人或机械员（签字）（盖章）</w:t>
            </w:r>
          </w:p>
          <w:p w14:paraId="5E4B06B8">
            <w:pPr>
              <w:pStyle w:val="36"/>
              <w:rPr>
                <w:rFonts w:hint="default" w:ascii="宋体" w:hAnsi="宋体" w:eastAsia="宋体" w:cs="宋体"/>
                <w:snapToGrid w:val="0"/>
                <w:kern w:val="0"/>
                <w:sz w:val="21"/>
                <w:szCs w:val="24"/>
                <w:lang w:val="en-US" w:eastAsia="zh-CN" w:bidi="ar-SA"/>
              </w:rPr>
            </w:pPr>
          </w:p>
          <w:p w14:paraId="4ADCCD8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r>
      <w:tr w14:paraId="47E23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4329" w:type="dxa"/>
            <w:gridSpan w:val="5"/>
            <w:tcBorders>
              <w:tl2br w:val="nil"/>
              <w:tr2bl w:val="nil"/>
            </w:tcBorders>
            <w:shd w:val="clear" w:color="auto" w:fill="auto"/>
            <w:tcMar>
              <w:top w:w="28" w:type="dxa"/>
              <w:left w:w="28" w:type="dxa"/>
              <w:bottom w:w="28" w:type="dxa"/>
              <w:right w:w="28" w:type="dxa"/>
            </w:tcMar>
            <w:vAlign w:val="center"/>
          </w:tcPr>
          <w:p w14:paraId="3732322D">
            <w:pPr>
              <w:pStyle w:val="36"/>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拆卸</w:t>
            </w:r>
            <w:r>
              <w:rPr>
                <w:rFonts w:ascii="宋体" w:hAnsi="宋体" w:eastAsia="宋体" w:cs="宋体"/>
                <w:snapToGrid w:val="0"/>
                <w:kern w:val="0"/>
                <w:sz w:val="21"/>
                <w:szCs w:val="24"/>
                <w:lang w:val="en-US" w:eastAsia="zh-CN" w:bidi="ar-SA"/>
              </w:rPr>
              <w:t>单位意见：</w:t>
            </w:r>
          </w:p>
          <w:p w14:paraId="68E0A10C">
            <w:pPr>
              <w:pStyle w:val="36"/>
              <w:rPr>
                <w:rFonts w:hint="default" w:ascii="宋体" w:hAnsi="宋体" w:eastAsia="宋体" w:cs="宋体"/>
                <w:snapToGrid w:val="0"/>
                <w:kern w:val="0"/>
                <w:sz w:val="21"/>
                <w:szCs w:val="24"/>
                <w:lang w:val="en-US" w:eastAsia="zh-CN" w:bidi="ar-SA"/>
              </w:rPr>
            </w:pPr>
          </w:p>
          <w:p w14:paraId="12C8886E">
            <w:pPr>
              <w:pStyle w:val="36"/>
              <w:rPr>
                <w:rFonts w:hint="default" w:ascii="宋体" w:hAnsi="宋体" w:eastAsia="宋体" w:cs="宋体"/>
                <w:snapToGrid w:val="0"/>
                <w:kern w:val="0"/>
                <w:sz w:val="21"/>
                <w:szCs w:val="24"/>
                <w:lang w:val="en-US" w:eastAsia="zh-CN" w:bidi="ar-SA"/>
              </w:rPr>
            </w:pPr>
          </w:p>
          <w:p w14:paraId="40D654F3">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技术负责人（或受委托负责人）（签字）（盖章）</w:t>
            </w:r>
          </w:p>
          <w:p w14:paraId="0AE6784D">
            <w:pPr>
              <w:pStyle w:val="36"/>
              <w:rPr>
                <w:rFonts w:hint="default" w:ascii="宋体" w:hAnsi="宋体" w:eastAsia="宋体" w:cs="宋体"/>
                <w:snapToGrid w:val="0"/>
                <w:kern w:val="0"/>
                <w:sz w:val="21"/>
                <w:szCs w:val="24"/>
                <w:lang w:val="en-US" w:eastAsia="zh-CN" w:bidi="ar-SA"/>
              </w:rPr>
            </w:pPr>
          </w:p>
          <w:p w14:paraId="29BBA429">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14:paraId="6BE5C8B4">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监理单位意见：</w:t>
            </w:r>
          </w:p>
          <w:p w14:paraId="1D41FECA">
            <w:pPr>
              <w:pStyle w:val="36"/>
              <w:rPr>
                <w:rFonts w:hint="default" w:ascii="宋体" w:hAnsi="宋体" w:eastAsia="宋体" w:cs="宋体"/>
                <w:snapToGrid w:val="0"/>
                <w:kern w:val="0"/>
                <w:sz w:val="21"/>
                <w:szCs w:val="24"/>
                <w:lang w:val="en-US" w:eastAsia="zh-CN" w:bidi="ar-SA"/>
              </w:rPr>
            </w:pPr>
          </w:p>
          <w:p w14:paraId="2EEBF1D3">
            <w:pPr>
              <w:pStyle w:val="36"/>
              <w:rPr>
                <w:rFonts w:hint="default" w:ascii="宋体" w:hAnsi="宋体" w:eastAsia="宋体" w:cs="宋体"/>
                <w:snapToGrid w:val="0"/>
                <w:kern w:val="0"/>
                <w:sz w:val="21"/>
                <w:szCs w:val="24"/>
                <w:lang w:val="en-US" w:eastAsia="zh-CN" w:bidi="ar-SA"/>
              </w:rPr>
            </w:pPr>
          </w:p>
          <w:p w14:paraId="47825D75">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总监或专业监理工程师（签字）：（盖章）</w:t>
            </w:r>
          </w:p>
          <w:p w14:paraId="3427A329">
            <w:pPr>
              <w:pStyle w:val="36"/>
              <w:rPr>
                <w:rFonts w:hint="default" w:ascii="宋体" w:hAnsi="宋体" w:eastAsia="宋体" w:cs="宋体"/>
                <w:snapToGrid w:val="0"/>
                <w:kern w:val="0"/>
                <w:sz w:val="21"/>
                <w:szCs w:val="24"/>
                <w:lang w:val="en-US" w:eastAsia="zh-CN" w:bidi="ar-SA"/>
              </w:rPr>
            </w:pPr>
          </w:p>
          <w:p w14:paraId="65B0E2E2">
            <w:pPr>
              <w:pStyle w:val="36"/>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r>
    </w:tbl>
    <w:p w14:paraId="1D02F08A"/>
    <w:p w14:paraId="66DF6921">
      <w:pPr>
        <w:rPr>
          <w:rFonts w:hint="eastAsia"/>
          <w:lang w:val="en-US" w:eastAsia="zh-CN"/>
        </w:rPr>
      </w:pPr>
      <w:r>
        <w:rPr>
          <w:rFonts w:hint="eastAsia"/>
          <w:lang w:val="en-US" w:eastAsia="zh-CN"/>
        </w:rPr>
        <w:br w:type="page"/>
      </w:r>
    </w:p>
    <w:p w14:paraId="105D7FD2">
      <w:pPr>
        <w:pStyle w:val="3"/>
        <w:bidi w:val="0"/>
        <w:rPr>
          <w:rFonts w:hint="eastAsia"/>
          <w:lang w:val="en-US" w:eastAsia="zh-CN"/>
        </w:rPr>
      </w:pPr>
      <w:bookmarkStart w:id="126" w:name="_Toc8448"/>
      <w:r>
        <w:rPr>
          <w:rFonts w:hint="eastAsia"/>
          <w:lang w:val="en-US" w:eastAsia="zh-CN"/>
        </w:rPr>
        <w:t>附件四：工序参考工效</w:t>
      </w:r>
      <w:bookmarkEnd w:id="123"/>
      <w:bookmarkEnd w:id="124"/>
      <w:bookmarkEnd w:id="125"/>
      <w:bookmarkEnd w:id="126"/>
    </w:p>
    <w:p w14:paraId="4AEAC8C9">
      <w:pPr>
        <w:spacing w:line="360" w:lineRule="auto"/>
        <w:ind w:firstLine="560"/>
        <w:rPr>
          <w:rFonts w:hint="eastAsia" w:ascii="仿宋" w:hAnsi="仿宋" w:eastAsia="仿宋" w:cs="仿宋"/>
          <w:color w:val="auto"/>
          <w:lang w:val="en-US" w:eastAsia="zh-CN"/>
        </w:rPr>
      </w:pPr>
      <w:r>
        <w:rPr>
          <w:rFonts w:hint="eastAsia" w:ascii="仿宋" w:hAnsi="仿宋" w:eastAsia="仿宋" w:cs="仿宋"/>
          <w:b/>
          <w:bCs/>
          <w:color w:val="auto"/>
          <w:sz w:val="28"/>
          <w:szCs w:val="28"/>
          <w:lang w:val="en-US" w:eastAsia="zh-CN"/>
        </w:rPr>
        <w:t>内容说明：</w:t>
      </w:r>
      <w:r>
        <w:rPr>
          <w:rFonts w:hint="eastAsia" w:ascii="仿宋" w:hAnsi="仿宋" w:eastAsia="仿宋" w:cs="仿宋"/>
          <w:color w:val="auto"/>
          <w:sz w:val="28"/>
          <w:szCs w:val="28"/>
          <w:lang w:val="en-US" w:eastAsia="zh-CN"/>
        </w:rPr>
        <w:t>每</w:t>
      </w:r>
      <w:r>
        <w:rPr>
          <w:rFonts w:hint="default" w:ascii="仿宋" w:hAnsi="仿宋" w:eastAsia="仿宋" w:cs="仿宋"/>
          <w:color w:val="auto"/>
          <w:sz w:val="28"/>
          <w:szCs w:val="28"/>
          <w:lang w:val="en-US" w:eastAsia="zh-CN"/>
        </w:rPr>
        <w:t>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33682F6D">
      <w:pPr>
        <w:pStyle w:val="16"/>
        <w:rPr>
          <w:rFonts w:hint="default" w:eastAsia="黑体"/>
          <w:lang w:val="en-US" w:eastAsia="zh-CN"/>
        </w:rPr>
      </w:pPr>
      <w:r>
        <w:rPr>
          <w:rFonts w:hint="eastAsia"/>
          <w:lang w:val="en-US" w:eastAsia="zh-CN"/>
        </w:rPr>
        <w:t>塔吊拆除施工计划</w:t>
      </w:r>
    </w:p>
    <w:tbl>
      <w:tblPr>
        <w:tblStyle w:val="25"/>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800"/>
        <w:gridCol w:w="5783"/>
        <w:gridCol w:w="1877"/>
      </w:tblGrid>
      <w:tr w14:paraId="30E277A9">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4F4F1" w:themeFill="accent5" w:themeFillTint="32"/>
            <w:noWrap w:val="0"/>
            <w:vAlign w:val="center"/>
          </w:tcPr>
          <w:p w14:paraId="5CA1CD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4F4F1" w:themeFill="accent5" w:themeFillTint="32"/>
            <w:noWrap w:val="0"/>
            <w:vAlign w:val="center"/>
          </w:tcPr>
          <w:p w14:paraId="603025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 期（天）</w:t>
            </w:r>
          </w:p>
        </w:tc>
      </w:tr>
      <w:tr w14:paraId="74104814">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5B7595E7">
            <w:pPr>
              <w:pStyle w:val="29"/>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拆除</w:t>
            </w:r>
          </w:p>
        </w:tc>
        <w:tc>
          <w:tcPr>
            <w:tcW w:w="3056" w:type="pct"/>
            <w:shd w:val="clear" w:color="auto" w:fill="auto"/>
            <w:noWrap w:val="0"/>
            <w:vAlign w:val="center"/>
          </w:tcPr>
          <w:p w14:paraId="4618A6D0">
            <w:pPr>
              <w:pStyle w:val="29"/>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b w:val="0"/>
                <w:bCs w:val="0"/>
                <w:color w:val="000000" w:themeColor="text1"/>
                <w:kern w:val="2"/>
                <w:sz w:val="21"/>
                <w:szCs w:val="21"/>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1"/>
                <w:szCs w:val="21"/>
                <w:lang w:val="en-US" w:eastAsia="zh-CN" w:bidi="ar-SA"/>
                <w14:textFill>
                  <w14:solidFill>
                    <w14:schemeClr w14:val="tx1"/>
                  </w14:solidFill>
                </w14:textFill>
              </w:rPr>
              <w:t>降节、附着</w:t>
            </w:r>
          </w:p>
        </w:tc>
        <w:tc>
          <w:tcPr>
            <w:tcW w:w="992" w:type="pct"/>
            <w:shd w:val="clear" w:color="auto" w:fill="auto"/>
            <w:noWrap w:val="0"/>
            <w:vAlign w:val="center"/>
          </w:tcPr>
          <w:p w14:paraId="34403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w:t>
            </w:r>
          </w:p>
        </w:tc>
      </w:tr>
      <w:tr w14:paraId="51D00896">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880D209">
            <w:pPr>
              <w:pStyle w:val="29"/>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41926707">
            <w:pPr>
              <w:pStyle w:val="29"/>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平衡重、起重臂、平衡臂、臂根节</w:t>
            </w:r>
          </w:p>
        </w:tc>
        <w:tc>
          <w:tcPr>
            <w:tcW w:w="992" w:type="pct"/>
            <w:noWrap w:val="0"/>
            <w:vAlign w:val="center"/>
          </w:tcPr>
          <w:p w14:paraId="4A5F39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5B44354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74E29C15">
            <w:pPr>
              <w:pStyle w:val="29"/>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5C6638D">
            <w:pPr>
              <w:pStyle w:val="29"/>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回转总成、爬升架、标准节、基础节</w:t>
            </w:r>
          </w:p>
        </w:tc>
        <w:tc>
          <w:tcPr>
            <w:tcW w:w="992" w:type="pct"/>
            <w:noWrap w:val="0"/>
            <w:vAlign w:val="center"/>
          </w:tcPr>
          <w:p w14:paraId="26C282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6F422A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2CC0CF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lang w:val="en-US" w:eastAsia="zh-CN"/>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工期</w:t>
            </w:r>
          </w:p>
        </w:tc>
        <w:tc>
          <w:tcPr>
            <w:tcW w:w="992" w:type="pct"/>
            <w:noWrap w:val="0"/>
            <w:vAlign w:val="center"/>
          </w:tcPr>
          <w:p w14:paraId="5CA6D2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r>
    </w:tbl>
    <w:p w14:paraId="39B80B7F">
      <w:pPr>
        <w:pStyle w:val="18"/>
        <w:spacing w:line="360" w:lineRule="auto"/>
        <w:ind w:left="0" w:leftChars="0" w:firstLine="0" w:firstLineChars="0"/>
        <w:rPr>
          <w:rFonts w:hint="default" w:ascii="仿宋" w:hAnsi="仿宋" w:eastAsia="仿宋" w:cs="仿宋"/>
          <w:color w:val="auto"/>
          <w:lang w:val="en-US" w:eastAsia="zh-CN"/>
        </w:rPr>
      </w:pPr>
    </w:p>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ISOCT">
    <w:panose1 w:val="00000400000000000000"/>
    <w:charset w:val="00"/>
    <w:family w:val="auto"/>
    <w:pitch w:val="default"/>
    <w:sig w:usb0="00000007" w:usb1="00000000" w:usb2="00000000" w:usb3="00000000" w:csb0="0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B1F5">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ACE4">
    <w:pPr>
      <w:pStyle w:val="1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46C7F">
                          <w:pPr>
                            <w:pStyle w:val="1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1D46C7F">
                    <w:pPr>
                      <w:pStyle w:val="1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C536">
    <w:pPr>
      <w:pStyle w:val="20"/>
      <w:pBdr>
        <w:top w:val="none" w:color="auto" w:sz="0" w:space="0"/>
        <w:left w:val="none" w:color="auto" w:sz="0" w:space="0"/>
        <w:bottom w:val="none" w:color="auto" w:sz="0" w:space="1"/>
        <w:right w:val="none" w:color="auto" w:sz="0" w:space="0"/>
        <w:between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20"/>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20"/>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5B2565"/>
    <w:multiLevelType w:val="multilevel"/>
    <w:tmpl w:val="B05B256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81672AC"/>
    <w:multiLevelType w:val="multilevel"/>
    <w:tmpl w:val="B81672A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E4487062"/>
    <w:multiLevelType w:val="multilevel"/>
    <w:tmpl w:val="E4487062"/>
    <w:lvl w:ilvl="0" w:tentative="0">
      <w:start w:val="1"/>
      <w:numFmt w:val="decimal"/>
      <w:lvlText w:val="%1."/>
      <w:lvlJc w:val="left"/>
      <w:pPr>
        <w:ind w:left="425" w:hanging="425"/>
      </w:pPr>
      <w:rPr>
        <w:rFonts w:hint="default" w:ascii="微软雅黑" w:hAnsi="微软雅黑" w:eastAsia="微软雅黑"/>
      </w:rPr>
    </w:lvl>
    <w:lvl w:ilvl="1" w:tentative="0">
      <w:start w:val="1"/>
      <w:numFmt w:val="decimal"/>
      <w:lvlText w:val="%1.%2."/>
      <w:lvlJc w:val="left"/>
      <w:pPr>
        <w:ind w:left="567" w:hanging="567"/>
      </w:pPr>
      <w:rPr>
        <w:rFonts w:hint="default" w:ascii="微软雅黑" w:hAnsi="微软雅黑" w:eastAsia="微软雅黑"/>
      </w:rPr>
    </w:lvl>
    <w:lvl w:ilvl="2" w:tentative="0">
      <w:start w:val="1"/>
      <w:numFmt w:val="decimal"/>
      <w:lvlText w:val="%1.%2.%3."/>
      <w:lvlJc w:val="left"/>
      <w:pPr>
        <w:ind w:left="709" w:hanging="709"/>
      </w:pPr>
      <w:rPr>
        <w:rFonts w:hint="default" w:ascii="微软雅黑" w:hAnsi="微软雅黑" w:eastAsia="微软雅黑"/>
      </w:rPr>
    </w:lvl>
    <w:lvl w:ilvl="3" w:tentative="0">
      <w:start w:val="1"/>
      <w:numFmt w:val="decimal"/>
      <w:lvlText w:val="%1.%2.%3.%4."/>
      <w:lvlJc w:val="left"/>
      <w:pPr>
        <w:ind w:left="850" w:hanging="850"/>
      </w:pPr>
      <w:rPr>
        <w:rFonts w:hint="default" w:ascii="微软雅黑" w:hAnsi="微软雅黑" w:eastAsia="微软雅黑"/>
      </w:rPr>
    </w:lvl>
    <w:lvl w:ilvl="4" w:tentative="0">
      <w:start w:val="1"/>
      <w:numFmt w:val="decimal"/>
      <w:pStyle w:val="6"/>
      <w:lvlText w:val="%1.%2.%3.%4.%5."/>
      <w:lvlJc w:val="left"/>
      <w:pPr>
        <w:ind w:left="991" w:hanging="991"/>
      </w:pPr>
      <w:rPr>
        <w:rFonts w:hint="default" w:ascii="微软雅黑" w:hAnsi="微软雅黑" w:eastAsia="微软雅黑"/>
      </w:rPr>
    </w:lvl>
    <w:lvl w:ilvl="5" w:tentative="0">
      <w:start w:val="1"/>
      <w:numFmt w:val="decimal"/>
      <w:pStyle w:val="7"/>
      <w:lvlText w:val="%1.%2.%3.%4.%5.%6."/>
      <w:lvlJc w:val="left"/>
      <w:pPr>
        <w:ind w:left="1134" w:hanging="1134"/>
      </w:pPr>
      <w:rPr>
        <w:rFonts w:hint="default"/>
      </w:rPr>
    </w:lvl>
    <w:lvl w:ilvl="6" w:tentative="0">
      <w:start w:val="1"/>
      <w:numFmt w:val="decimal"/>
      <w:pStyle w:val="8"/>
      <w:lvlText w:val="%1.%2.%3.%4.%5.%6.%7."/>
      <w:lvlJc w:val="left"/>
      <w:pPr>
        <w:ind w:left="1275" w:hanging="1275"/>
      </w:pPr>
      <w:rPr>
        <w:rFonts w:hint="default"/>
      </w:rPr>
    </w:lvl>
    <w:lvl w:ilvl="7" w:tentative="0">
      <w:start w:val="1"/>
      <w:numFmt w:val="decimal"/>
      <w:pStyle w:val="9"/>
      <w:lvlText w:val="%1.%2.%3.%4.%5.%6.%7.%8."/>
      <w:lvlJc w:val="left"/>
      <w:pPr>
        <w:ind w:left="1418" w:hanging="1418"/>
      </w:pPr>
      <w:rPr>
        <w:rFonts w:hint="default"/>
      </w:rPr>
    </w:lvl>
    <w:lvl w:ilvl="8" w:tentative="0">
      <w:start w:val="1"/>
      <w:numFmt w:val="decimal"/>
      <w:pStyle w:val="10"/>
      <w:lvlText w:val="%1.%2.%3.%4.%5.%6.%7.%8.%9."/>
      <w:lvlJc w:val="left"/>
      <w:pPr>
        <w:ind w:left="1558" w:hanging="1558"/>
      </w:pPr>
      <w:rPr>
        <w:rFonts w:hint="default"/>
      </w:rPr>
    </w:lvl>
  </w:abstractNum>
  <w:abstractNum w:abstractNumId="3">
    <w:nsid w:val="1F044A81"/>
    <w:multiLevelType w:val="multilevel"/>
    <w:tmpl w:val="1F044A8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810B639"/>
    <w:multiLevelType w:val="multilevel"/>
    <w:tmpl w:val="3810B63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F5AB57F"/>
    <w:multiLevelType w:val="multilevel"/>
    <w:tmpl w:val="5F5AB57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269C6"/>
    <w:rsid w:val="02BA49FA"/>
    <w:rsid w:val="02EB4148"/>
    <w:rsid w:val="07006FA3"/>
    <w:rsid w:val="076D6CFC"/>
    <w:rsid w:val="097B73B5"/>
    <w:rsid w:val="0AEC3153"/>
    <w:rsid w:val="0AF112FD"/>
    <w:rsid w:val="0B477137"/>
    <w:rsid w:val="0E9C6845"/>
    <w:rsid w:val="0F7A756B"/>
    <w:rsid w:val="11D72E87"/>
    <w:rsid w:val="12D93FBD"/>
    <w:rsid w:val="14B101D2"/>
    <w:rsid w:val="155B5152"/>
    <w:rsid w:val="16D734AA"/>
    <w:rsid w:val="16FA468B"/>
    <w:rsid w:val="17E717E0"/>
    <w:rsid w:val="185C1918"/>
    <w:rsid w:val="18BE612E"/>
    <w:rsid w:val="19503165"/>
    <w:rsid w:val="19A37470"/>
    <w:rsid w:val="1A7A165A"/>
    <w:rsid w:val="1B495A57"/>
    <w:rsid w:val="1B724934"/>
    <w:rsid w:val="1B8448F8"/>
    <w:rsid w:val="1D097256"/>
    <w:rsid w:val="1D1125BF"/>
    <w:rsid w:val="1D7D4BC6"/>
    <w:rsid w:val="1E1B2B3C"/>
    <w:rsid w:val="1EFB52BB"/>
    <w:rsid w:val="1F521A61"/>
    <w:rsid w:val="1FB25809"/>
    <w:rsid w:val="204F4FBC"/>
    <w:rsid w:val="207112C2"/>
    <w:rsid w:val="213539EE"/>
    <w:rsid w:val="232C0BAA"/>
    <w:rsid w:val="23C369FD"/>
    <w:rsid w:val="24151124"/>
    <w:rsid w:val="283D7E81"/>
    <w:rsid w:val="29766DCC"/>
    <w:rsid w:val="2A077678"/>
    <w:rsid w:val="2B567E47"/>
    <w:rsid w:val="2DAF74A3"/>
    <w:rsid w:val="2EBD27EC"/>
    <w:rsid w:val="30240B15"/>
    <w:rsid w:val="317F1A54"/>
    <w:rsid w:val="31EC573B"/>
    <w:rsid w:val="3248046E"/>
    <w:rsid w:val="33245CBD"/>
    <w:rsid w:val="357A03C4"/>
    <w:rsid w:val="35EF127D"/>
    <w:rsid w:val="371B2122"/>
    <w:rsid w:val="371B361D"/>
    <w:rsid w:val="39C11B7F"/>
    <w:rsid w:val="39D32C64"/>
    <w:rsid w:val="3A2E0011"/>
    <w:rsid w:val="3B9E2D5F"/>
    <w:rsid w:val="3E4A6821"/>
    <w:rsid w:val="3F634A8A"/>
    <w:rsid w:val="3F743FC9"/>
    <w:rsid w:val="3F830EED"/>
    <w:rsid w:val="414C5861"/>
    <w:rsid w:val="42613D77"/>
    <w:rsid w:val="429B22B8"/>
    <w:rsid w:val="4541761C"/>
    <w:rsid w:val="46AE329E"/>
    <w:rsid w:val="481E56FF"/>
    <w:rsid w:val="489803A9"/>
    <w:rsid w:val="49F807DC"/>
    <w:rsid w:val="4A45370A"/>
    <w:rsid w:val="4ACB00B3"/>
    <w:rsid w:val="4B0B5835"/>
    <w:rsid w:val="4B9B2D83"/>
    <w:rsid w:val="4C6A664B"/>
    <w:rsid w:val="4FA75F30"/>
    <w:rsid w:val="50020B50"/>
    <w:rsid w:val="54DD7D86"/>
    <w:rsid w:val="55CA2106"/>
    <w:rsid w:val="58A66068"/>
    <w:rsid w:val="59366D77"/>
    <w:rsid w:val="59510EDC"/>
    <w:rsid w:val="59E01002"/>
    <w:rsid w:val="5FD2383A"/>
    <w:rsid w:val="610C4AD9"/>
    <w:rsid w:val="63690431"/>
    <w:rsid w:val="63BA4CBD"/>
    <w:rsid w:val="63D357B4"/>
    <w:rsid w:val="646269C6"/>
    <w:rsid w:val="69740693"/>
    <w:rsid w:val="6A8B7E5B"/>
    <w:rsid w:val="6AE218D7"/>
    <w:rsid w:val="6C5C14B3"/>
    <w:rsid w:val="70241EE0"/>
    <w:rsid w:val="70DA7C66"/>
    <w:rsid w:val="743C5BB1"/>
    <w:rsid w:val="76107D30"/>
    <w:rsid w:val="765B20CA"/>
    <w:rsid w:val="77181912"/>
    <w:rsid w:val="77F933B9"/>
    <w:rsid w:val="7C395C9C"/>
    <w:rsid w:val="7EA6095E"/>
    <w:rsid w:val="7FB71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0"/>
    <w:pPr>
      <w:keepNext/>
      <w:keepLines/>
      <w:tabs>
        <w:tab w:val="left" w:pos="0"/>
      </w:tabs>
      <w:spacing w:line="288" w:lineRule="auto"/>
      <w:jc w:val="left"/>
      <w:outlineLvl w:val="0"/>
    </w:pPr>
    <w:rPr>
      <w:rFonts w:ascii="宋体" w:hAnsi="宋体" w:eastAsia="宋体" w:cs="宋体"/>
      <w:b/>
      <w:bCs/>
      <w:color w:val="0000D9"/>
      <w:kern w:val="44"/>
      <w:sz w:val="28"/>
    </w:rPr>
  </w:style>
  <w:style w:type="paragraph" w:styleId="3">
    <w:name w:val="heading 2"/>
    <w:basedOn w:val="1"/>
    <w:next w:val="1"/>
    <w:link w:val="31"/>
    <w:unhideWhenUsed/>
    <w:qFormat/>
    <w:uiPriority w:val="0"/>
    <w:pPr>
      <w:tabs>
        <w:tab w:val="left" w:pos="240"/>
      </w:tabs>
      <w:spacing w:before="30" w:beforeLines="30"/>
      <w:ind w:leftChars="0" w:firstLine="0" w:firstLineChars="0"/>
      <w:jc w:val="left"/>
      <w:outlineLvl w:val="1"/>
    </w:pPr>
    <w:rPr>
      <w:rFonts w:ascii="宋体" w:hAnsi="宋体" w:eastAsia="宋体" w:cs="宋体"/>
      <w:b/>
      <w:color w:val="0000D9"/>
    </w:rPr>
  </w:style>
  <w:style w:type="paragraph" w:styleId="4">
    <w:name w:val="heading 3"/>
    <w:basedOn w:val="1"/>
    <w:next w:val="1"/>
    <w:unhideWhenUsed/>
    <w:qFormat/>
    <w:uiPriority w:val="0"/>
    <w:pPr>
      <w:tabs>
        <w:tab w:val="left" w:pos="312"/>
      </w:tabs>
      <w:spacing w:line="360" w:lineRule="auto"/>
      <w:ind w:left="709" w:hanging="709"/>
      <w:outlineLvl w:val="2"/>
    </w:pPr>
    <w:rPr>
      <w:rFonts w:ascii="宋体" w:hAnsi="宋体" w:eastAsia="宋体" w:cs="宋体"/>
      <w:color w:val="0000D9"/>
      <w:szCs w:val="30"/>
    </w:rPr>
  </w:style>
  <w:style w:type="paragraph" w:styleId="5">
    <w:name w:val="heading 4"/>
    <w:basedOn w:val="1"/>
    <w:next w:val="1"/>
    <w:unhideWhenUsed/>
    <w:qFormat/>
    <w:uiPriority w:val="0"/>
    <w:pPr>
      <w:spacing w:line="360" w:lineRule="auto"/>
      <w:ind w:left="850" w:hanging="850"/>
      <w:outlineLvl w:val="3"/>
    </w:pPr>
    <w:rPr>
      <w:rFonts w:ascii="宋体" w:hAnsi="宋体" w:eastAsia="宋体" w:cs="宋体"/>
      <w:b/>
      <w:color w:val="0000D9"/>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991" w:hanging="991"/>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75" w:hanging="1275"/>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27">
    <w:name w:val="Default Paragraph Font"/>
    <w:unhideWhenUsed/>
    <w:qFormat/>
    <w:uiPriority w:val="1"/>
  </w:style>
  <w:style w:type="table" w:default="1" w:styleId="25">
    <w:name w:val="Normal Table"/>
    <w:semiHidden/>
    <w:qFormat/>
    <w:uiPriority w:val="0"/>
    <w:tblPr>
      <w:tblCellMar>
        <w:top w:w="0" w:type="dxa"/>
        <w:left w:w="108" w:type="dxa"/>
        <w:bottom w:w="0" w:type="dxa"/>
        <w:right w:w="108" w:type="dxa"/>
      </w:tblCellMar>
    </w:tblPr>
  </w:style>
  <w:style w:type="paragraph" w:styleId="11">
    <w:name w:val="Normal Indent"/>
    <w:basedOn w:val="1"/>
    <w:next w:val="12"/>
    <w:qFormat/>
    <w:uiPriority w:val="0"/>
    <w:pPr>
      <w:ind w:firstLine="420" w:firstLineChars="200"/>
    </w:pPr>
  </w:style>
  <w:style w:type="paragraph" w:styleId="12">
    <w:name w:val="Body Text First Indent 2"/>
    <w:basedOn w:val="13"/>
    <w:next w:val="15"/>
    <w:qFormat/>
    <w:uiPriority w:val="99"/>
    <w:pPr>
      <w:ind w:firstLine="420" w:firstLineChars="200"/>
    </w:pPr>
  </w:style>
  <w:style w:type="paragraph" w:styleId="13">
    <w:name w:val="Body Text Indent"/>
    <w:basedOn w:val="1"/>
    <w:next w:val="14"/>
    <w:qFormat/>
    <w:uiPriority w:val="99"/>
    <w:pPr>
      <w:spacing w:after="120"/>
      <w:ind w:left="420" w:leftChars="200"/>
    </w:pPr>
    <w:rPr>
      <w:rFonts w:ascii="Times New Roman" w:hAnsi="Times New Roman"/>
      <w:kern w:val="0"/>
    </w:rPr>
  </w:style>
  <w:style w:type="paragraph" w:customStyle="1" w:styleId="14">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15">
    <w:name w:val="Plain Text"/>
    <w:basedOn w:val="1"/>
    <w:qFormat/>
    <w:uiPriority w:val="0"/>
    <w:rPr>
      <w:rFonts w:ascii="宋体" w:hAnsi="ISOCT"/>
      <w:szCs w:val="20"/>
    </w:rPr>
  </w:style>
  <w:style w:type="paragraph" w:styleId="16">
    <w:name w:val="caption"/>
    <w:basedOn w:val="1"/>
    <w:next w:val="17"/>
    <w:link w:val="35"/>
    <w:unhideWhenUsed/>
    <w:qFormat/>
    <w:uiPriority w:val="0"/>
    <w:pPr>
      <w:ind w:firstLine="0" w:firstLineChars="0"/>
      <w:jc w:val="center"/>
    </w:pPr>
    <w:rPr>
      <w:rFonts w:eastAsia="黑体"/>
      <w:sz w:val="21"/>
      <w:szCs w:val="21"/>
    </w:rPr>
  </w:style>
  <w:style w:type="paragraph" w:customStyle="1" w:styleId="17">
    <w:name w:val="贵阳项目-标书正文"/>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18">
    <w:name w:val="Body Text"/>
    <w:basedOn w:val="1"/>
    <w:next w:val="1"/>
    <w:qFormat/>
    <w:uiPriority w:val="1"/>
    <w:pPr>
      <w:ind w:firstLine="562" w:firstLineChars="200"/>
    </w:pPr>
    <w:rPr>
      <w:rFonts w:ascii="宋体" w:hAnsi="宋体" w:eastAsia="仿宋"/>
      <w:kern w:val="0"/>
      <w:sz w:val="28"/>
      <w:szCs w:val="28"/>
      <w:lang w:eastAsia="en-US"/>
    </w:rPr>
  </w:style>
  <w:style w:type="paragraph" w:styleId="19">
    <w:name w:val="footer"/>
    <w:basedOn w:val="1"/>
    <w:next w:val="1"/>
    <w:unhideWhenUsed/>
    <w:qFormat/>
    <w:uiPriority w:val="99"/>
    <w:pPr>
      <w:tabs>
        <w:tab w:val="center" w:pos="4153"/>
        <w:tab w:val="right" w:pos="8306"/>
      </w:tabs>
      <w:snapToGrid w:val="0"/>
      <w:jc w:val="left"/>
    </w:pPr>
    <w:rPr>
      <w:sz w:val="18"/>
      <w:szCs w:val="18"/>
    </w:rPr>
  </w:style>
  <w:style w:type="paragraph" w:styleId="2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after="100" w:line="259" w:lineRule="auto"/>
    </w:pPr>
    <w:rPr>
      <w:rFonts w:cs="Times New Roman" w:asciiTheme="minorHAnsi" w:hAnsiTheme="minorHAnsi" w:eastAsiaTheme="minorEastAsia"/>
      <w:kern w:val="0"/>
      <w:sz w:val="22"/>
    </w:rPr>
  </w:style>
  <w:style w:type="paragraph" w:styleId="22">
    <w:name w:val="toc 2"/>
    <w:basedOn w:val="1"/>
    <w:next w:val="1"/>
    <w:unhideWhenUsed/>
    <w:qFormat/>
    <w:uiPriority w:val="39"/>
    <w:pPr>
      <w:spacing w:after="100" w:line="259" w:lineRule="auto"/>
      <w:ind w:left="220"/>
    </w:pPr>
    <w:rPr>
      <w:rFonts w:cs="Times New Roman" w:asciiTheme="minorHAnsi" w:hAnsiTheme="minorHAnsi" w:eastAsiaTheme="minorEastAsia"/>
      <w:kern w:val="0"/>
      <w:sz w:val="22"/>
    </w:rPr>
  </w:style>
  <w:style w:type="paragraph" w:styleId="2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4">
    <w:name w:val="Body Text First Indent"/>
    <w:basedOn w:val="18"/>
    <w:next w:val="1"/>
    <w:unhideWhenUsed/>
    <w:qFormat/>
    <w:uiPriority w:val="99"/>
    <w:pPr>
      <w:widowControl w:val="0"/>
      <w:spacing w:before="154"/>
      <w:ind w:left="121" w:firstLine="420" w:firstLineChars="100"/>
      <w:jc w:val="both"/>
    </w:pPr>
    <w:rPr>
      <w:rFonts w:hint="eastAsia" w:eastAsia="仿宋" w:asciiTheme="minorHAnsi" w:hAnsiTheme="minorHAnsi" w:cstheme="minorBidi"/>
      <w:kern w:val="2"/>
      <w:sz w:val="28"/>
      <w:szCs w:val="21"/>
      <w:lang w:val="en-US" w:eastAsia="zh-CN" w:bidi="ar-SA"/>
    </w:rPr>
  </w:style>
  <w:style w:type="table" w:styleId="26">
    <w:name w:val="Table Grid"/>
    <w:basedOn w:val="25"/>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paragraph" w:customStyle="1" w:styleId="29">
    <w:name w:val="表内文字"/>
    <w:basedOn w:val="30"/>
    <w:next w:val="1"/>
    <w:qFormat/>
    <w:uiPriority w:val="0"/>
    <w:pPr>
      <w:spacing w:line="240" w:lineRule="auto"/>
      <w:ind w:firstLine="0" w:firstLineChars="0"/>
      <w:jc w:val="center"/>
    </w:pPr>
    <w:rPr>
      <w:sz w:val="21"/>
    </w:rPr>
  </w:style>
  <w:style w:type="paragraph" w:customStyle="1" w:styleId="30">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character" w:customStyle="1" w:styleId="31">
    <w:name w:val="标题 2 字符"/>
    <w:basedOn w:val="27"/>
    <w:link w:val="3"/>
    <w:qFormat/>
    <w:uiPriority w:val="9"/>
    <w:rPr>
      <w:rFonts w:ascii="宋体" w:hAnsi="宋体" w:eastAsia="宋体" w:cs="宋体"/>
      <w:b/>
      <w:color w:val="0000D9"/>
      <w:kern w:val="44"/>
      <w:sz w:val="24"/>
      <w:szCs w:val="24"/>
    </w:rPr>
  </w:style>
  <w:style w:type="paragraph" w:customStyle="1" w:styleId="32">
    <w:name w:val="图名"/>
    <w:basedOn w:val="33"/>
    <w:qFormat/>
    <w:uiPriority w:val="0"/>
    <w:rPr>
      <w:rFonts w:ascii="仿宋" w:hAnsi="仿宋" w:eastAsia="仿宋" w:cs="仿宋"/>
      <w:color w:val="C00000"/>
      <w:szCs w:val="24"/>
    </w:rPr>
  </w:style>
  <w:style w:type="paragraph" w:customStyle="1" w:styleId="33">
    <w:name w:val="表头"/>
    <w:next w:val="1"/>
    <w:qFormat/>
    <w:uiPriority w:val="0"/>
    <w:pPr>
      <w:jc w:val="center"/>
    </w:pPr>
    <w:rPr>
      <w:rFonts w:ascii="仿宋" w:hAnsi="仿宋" w:eastAsia="仿宋" w:cs="仿宋"/>
      <w:b/>
      <w:bCs/>
      <w:color w:val="C00000"/>
      <w:kern w:val="2"/>
      <w:sz w:val="24"/>
      <w:szCs w:val="24"/>
      <w:lang w:val="en-US" w:eastAsia="zh-CN" w:bidi="ar-SA"/>
    </w:rPr>
  </w:style>
  <w:style w:type="character" w:customStyle="1" w:styleId="34">
    <w:name w:val="题注 Char"/>
    <w:qFormat/>
    <w:uiPriority w:val="0"/>
    <w:rPr>
      <w:rFonts w:ascii="黑体" w:hAnsi="黑体" w:eastAsia="黑体" w:cs="黑体"/>
      <w:kern w:val="2"/>
      <w:sz w:val="21"/>
      <w:szCs w:val="21"/>
      <w:lang w:val="en-US" w:eastAsia="zh-CN" w:bidi="ar-SA"/>
    </w:rPr>
  </w:style>
  <w:style w:type="character" w:customStyle="1" w:styleId="35">
    <w:name w:val="题注 字符"/>
    <w:link w:val="16"/>
    <w:qFormat/>
    <w:uiPriority w:val="0"/>
    <w:rPr>
      <w:rFonts w:eastAsia="黑体"/>
      <w:sz w:val="21"/>
      <w:szCs w:val="21"/>
    </w:rPr>
  </w:style>
  <w:style w:type="paragraph" w:customStyle="1" w:styleId="36">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37">
    <w:name w:val="表格内容"/>
    <w:basedOn w:val="38"/>
    <w:qFormat/>
    <w:uiPriority w:val="0"/>
    <w:rPr>
      <w:b w:val="0"/>
      <w:sz w:val="20"/>
    </w:rPr>
  </w:style>
  <w:style w:type="paragraph" w:customStyle="1" w:styleId="38">
    <w:name w:val="表格标题"/>
    <w:basedOn w:val="1"/>
    <w:qFormat/>
    <w:uiPriority w:val="0"/>
    <w:pPr>
      <w:jc w:val="center"/>
    </w:pPr>
    <w:rPr>
      <w:b/>
      <w:sz w:val="21"/>
    </w:rPr>
  </w:style>
  <w:style w:type="table" w:customStyle="1" w:styleId="39">
    <w:name w:val="K表格"/>
    <w:basedOn w:val="25"/>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8775</Words>
  <Characters>9711</Characters>
  <Lines>0</Lines>
  <Paragraphs>0</Paragraphs>
  <TotalTime>0</TotalTime>
  <ScaleCrop>false</ScaleCrop>
  <LinksUpToDate>false</LinksUpToDate>
  <CharactersWithSpaces>9950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2025-07-22T11:56:00Z</dcterms:created>
  <dc:creator>噜啦嘞</dc:creator>
  <cp:lastModifiedBy>杭州渝港机械施工有限公司</cp:lastModifiedBy>
  <cp:lastPrinted>2025-07-23T08:09:00Z</cp:lastPrinted>
  <dcterms:modified xsi:type="dcterms:W3CDTF">2025-12-25T06:42:29Z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8D190B2FC76140D2AEAB90B168EC72A7_13</vt:lpwstr>
  </property>
  <property fmtid="{D5CDD505-2E9C-101B-9397-08002B2CF9AE}" pid="4" name="KSOTemplateDocerSaveRecord">
    <vt:lpwstr>eyJoZGlkIjoiYjMyYjBlMGJhZjI3ZDdiYzUzOWVmOGZjYTMwOWZhYzEiLCJ1c2VySWQiOiIyMDEyMTQ5OSJ9</vt:lpwstr>
  </property>
</Properties>
</file>