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28A74">
      <w:pPr>
        <w:numPr>
          <w:ilvl w:val="0"/>
          <w:numId w:val="0"/>
        </w:numPr>
        <w:rPr>
          <w:rFonts w:hint="eastAsia" w:eastAsia="宋体"/>
          <w:color w:val="0000FF"/>
          <w:lang w:val="en-US" w:eastAsia="zh-CN"/>
        </w:rPr>
      </w:pPr>
      <w:r>
        <w:rPr>
          <w:rFonts w:hint="eastAsia"/>
          <w:color w:val="0000FF"/>
          <w:lang w:val="en-US" w:eastAsia="zh-CN"/>
        </w:rPr>
        <w:t xml:space="preserve"> </w:t>
      </w:r>
    </w:p>
    <w:p w14:paraId="02CAE9FC">
      <w:pPr>
        <w:ind w:firstLine="560"/>
        <w:jc w:val="right"/>
        <w:rPr>
          <w:bCs/>
          <w:color w:val="0000FF"/>
          <w:sz w:val="28"/>
          <w:szCs w:val="28"/>
        </w:rPr>
      </w:pPr>
      <w:r>
        <w:rPr>
          <w:rFonts w:ascii="黑体" w:hAnsi="黑体" w:eastAsia="黑体"/>
          <w:color w:val="0000FF"/>
          <w:sz w:val="28"/>
          <w:szCs w:val="28"/>
        </w:rPr>
        <w:t>方案编号</w:t>
      </w:r>
    </w:p>
    <w:p w14:paraId="004E32F5">
      <w:pPr>
        <w:ind w:firstLine="562" w:firstLineChars="201"/>
        <w:jc w:val="left"/>
        <w:rPr>
          <w:bCs/>
          <w:color w:val="auto"/>
          <w:sz w:val="28"/>
          <w:szCs w:val="28"/>
        </w:rPr>
      </w:pPr>
    </w:p>
    <w:p w14:paraId="2842B1FE">
      <w:pPr>
        <w:pStyle w:val="43"/>
        <w:rPr>
          <w:rFonts w:hint="eastAsia" w:ascii="宋体" w:hAnsi="宋体" w:eastAsia="宋体" w:cs="宋体"/>
          <w:b/>
          <w:bCs/>
          <w:color w:val="auto"/>
          <w:sz w:val="44"/>
          <w:szCs w:val="44"/>
          <w:lang w:val="en-US" w:eastAsia="zh-CN"/>
        </w:rPr>
      </w:pPr>
      <w:bookmarkStart w:id="0" w:name="_Toc13281"/>
      <w:bookmarkStart w:id="1" w:name="_Toc40273440"/>
      <w:bookmarkStart w:id="2" w:name="_Toc40446029"/>
      <w:bookmarkStart w:id="3" w:name="_Toc40778419"/>
      <w:bookmarkStart w:id="4" w:name="_Toc40445698"/>
      <w:r>
        <w:rPr>
          <w:rFonts w:hint="eastAsia" w:ascii="宋体" w:hAnsi="宋体" w:eastAsia="宋体" w:cs="宋体"/>
          <w:b/>
          <w:bCs/>
          <w:color w:val="auto"/>
          <w:sz w:val="44"/>
          <w:szCs w:val="44"/>
          <w:lang w:val="en-US" w:eastAsia="zh-CN"/>
        </w:rPr>
        <w:t>　</w:t>
      </w:r>
      <w:r>
        <w:rPr>
          <w:rFonts w:hint="eastAsia" w:ascii="宋体" w:hAnsi="宋体" w:eastAsia="宋体" w:cs="宋体"/>
          <w:b/>
          <w:bCs/>
          <w:color w:val="auto"/>
          <w:sz w:val="40"/>
          <w:szCs w:val="40"/>
          <w:lang w:val="en-US" w:eastAsia="zh-CN"/>
        </w:rPr>
        <w:t>彭州市PZ2024-16地块住宅项目</w:t>
      </w:r>
    </w:p>
    <w:p w14:paraId="38F2A638">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rPr>
        <w:t>塔吊</w:t>
      </w:r>
      <w:r>
        <w:rPr>
          <w:rFonts w:hint="eastAsia" w:ascii="宋体" w:hAnsi="宋体"/>
          <w:b/>
          <w:color w:val="auto"/>
          <w:sz w:val="40"/>
          <w:szCs w:val="40"/>
          <w:lang w:val="en-US" w:eastAsia="zh-CN"/>
        </w:rPr>
        <w:t>拆除</w:t>
      </w:r>
      <w:r>
        <w:rPr>
          <w:rFonts w:hint="eastAsia" w:ascii="宋体" w:hAnsi="宋体"/>
          <w:b/>
          <w:color w:val="auto"/>
          <w:sz w:val="40"/>
          <w:szCs w:val="40"/>
        </w:rPr>
        <w:t>专项施工方案</w:t>
      </w:r>
      <w:bookmarkEnd w:id="5"/>
    </w:p>
    <w:bookmarkEnd w:id="0"/>
    <w:bookmarkEnd w:id="1"/>
    <w:bookmarkEnd w:id="2"/>
    <w:bookmarkEnd w:id="3"/>
    <w:bookmarkEnd w:id="4"/>
    <w:p w14:paraId="4CB90CD0">
      <w:pPr>
        <w:ind w:firstLine="562" w:firstLineChars="201"/>
        <w:jc w:val="left"/>
        <w:rPr>
          <w:bCs/>
          <w:color w:val="auto"/>
          <w:sz w:val="28"/>
          <w:szCs w:val="28"/>
        </w:rPr>
      </w:pPr>
    </w:p>
    <w:p w14:paraId="751944FE">
      <w:pPr>
        <w:ind w:firstLine="562" w:firstLineChars="201"/>
        <w:jc w:val="left"/>
        <w:rPr>
          <w:bCs/>
          <w:color w:val="auto"/>
          <w:sz w:val="28"/>
          <w:szCs w:val="28"/>
        </w:rPr>
      </w:pPr>
    </w:p>
    <w:p w14:paraId="57C56830">
      <w:pPr>
        <w:ind w:firstLine="0" w:firstLineChars="0"/>
        <w:jc w:val="center"/>
        <w:rPr>
          <w:color w:val="auto"/>
          <w:sz w:val="28"/>
          <w:szCs w:val="28"/>
        </w:rPr>
      </w:pPr>
      <w:r>
        <w:rPr>
          <w:color w:val="auto"/>
          <w:sz w:val="28"/>
          <w:szCs w:val="28"/>
        </w:rPr>
        <w:drawing>
          <wp:inline distT="0" distB="0" distL="0" distR="0">
            <wp:extent cx="2247900" cy="2647950"/>
            <wp:effectExtent l="0" t="0" r="0" b="0"/>
            <wp:docPr id="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
                    <pic:cNvPicPr>
                      <a:picLocks noChangeAspect="1" noChangeArrowheads="1"/>
                    </pic:cNvPicPr>
                  </pic:nvPicPr>
                  <pic:blipFill>
                    <a:blip r:embed="rId21" cstate="print"/>
                    <a:srcRect/>
                    <a:stretch>
                      <a:fillRect/>
                    </a:stretch>
                  </pic:blipFill>
                  <pic:spPr>
                    <a:xfrm>
                      <a:off x="0" y="0"/>
                      <a:ext cx="2247900" cy="2647950"/>
                    </a:xfrm>
                    <a:prstGeom prst="rect">
                      <a:avLst/>
                    </a:prstGeom>
                    <a:noFill/>
                    <a:ln w="9525">
                      <a:noFill/>
                      <a:miter lim="800000"/>
                      <a:headEnd/>
                      <a:tailEnd/>
                    </a:ln>
                  </pic:spPr>
                </pic:pic>
              </a:graphicData>
            </a:graphic>
          </wp:inline>
        </w:drawing>
      </w:r>
    </w:p>
    <w:p w14:paraId="38949DD4">
      <w:pPr>
        <w:ind w:firstLine="565" w:firstLineChars="201"/>
        <w:jc w:val="left"/>
        <w:rPr>
          <w:b/>
          <w:color w:val="auto"/>
          <w:sz w:val="28"/>
          <w:szCs w:val="28"/>
        </w:rPr>
      </w:pPr>
      <w:r>
        <w:rPr>
          <w:rFonts w:hint="eastAsia"/>
          <w:b/>
          <w:color w:val="auto"/>
          <w:sz w:val="28"/>
          <w:szCs w:val="28"/>
        </w:rPr>
        <w:t xml:space="preserve">                                </w:t>
      </w:r>
    </w:p>
    <w:p w14:paraId="4250733A">
      <w:pPr>
        <w:ind w:firstLine="562" w:firstLineChars="201"/>
        <w:jc w:val="left"/>
        <w:rPr>
          <w:bCs/>
          <w:color w:val="auto"/>
          <w:sz w:val="28"/>
          <w:szCs w:val="28"/>
        </w:rPr>
      </w:pPr>
    </w:p>
    <w:p w14:paraId="1088683C">
      <w:pPr>
        <w:ind w:firstLine="562" w:firstLineChars="201"/>
        <w:jc w:val="left"/>
        <w:rPr>
          <w:bCs/>
          <w:color w:val="auto"/>
          <w:sz w:val="28"/>
          <w:szCs w:val="28"/>
        </w:rPr>
      </w:pPr>
    </w:p>
    <w:p w14:paraId="0D9E7F8C">
      <w:pPr>
        <w:ind w:left="0" w:leftChars="0" w:firstLine="0" w:firstLineChars="0"/>
        <w:jc w:val="left"/>
        <w:rPr>
          <w:bCs/>
          <w:color w:val="auto"/>
          <w:sz w:val="28"/>
          <w:szCs w:val="28"/>
        </w:rPr>
      </w:pPr>
    </w:p>
    <w:p w14:paraId="6607BE15">
      <w:pPr>
        <w:ind w:firstLine="562" w:firstLineChars="201"/>
        <w:jc w:val="left"/>
        <w:rPr>
          <w:bCs/>
          <w:color w:val="auto"/>
          <w:sz w:val="28"/>
          <w:szCs w:val="28"/>
        </w:rPr>
      </w:pPr>
    </w:p>
    <w:p w14:paraId="0E6B585D">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5D616B4F">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1CE9956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default" w:ascii="宋体" w:hAnsi="宋体" w:cs="宋体"/>
          <w:b/>
          <w:color w:val="auto"/>
          <w:sz w:val="32"/>
          <w:szCs w:val="32"/>
          <w:highlight w:val="none"/>
          <w:lang w:val="en-US"/>
        </w:rPr>
        <w:t>0</w:t>
      </w:r>
      <w:r>
        <w:rPr>
          <w:rFonts w:hint="eastAsia" w:ascii="宋体" w:hAnsi="宋体" w:cs="宋体"/>
          <w:b/>
          <w:color w:val="auto"/>
          <w:sz w:val="32"/>
          <w:szCs w:val="32"/>
          <w:highlight w:val="none"/>
          <w:lang w:val="en-US" w:eastAsia="zh-CN"/>
        </w:rPr>
        <w:t>2</w:t>
      </w:r>
      <w:r>
        <w:rPr>
          <w:rFonts w:hint="eastAsia" w:ascii="宋体" w:hAnsi="宋体" w:eastAsia="宋体" w:cs="宋体"/>
          <w:b/>
          <w:color w:val="auto"/>
          <w:sz w:val="32"/>
          <w:szCs w:val="32"/>
          <w:highlight w:val="none"/>
        </w:rPr>
        <w:t>月</w:t>
      </w:r>
      <w:bookmarkStart w:id="6" w:name="_Toc276521510"/>
      <w:bookmarkEnd w:id="6"/>
      <w:bookmarkStart w:id="7" w:name="_Toc277275498"/>
      <w:bookmarkEnd w:id="7"/>
      <w:bookmarkStart w:id="8" w:name="_Toc271909489"/>
      <w:bookmarkEnd w:id="8"/>
    </w:p>
    <w:p w14:paraId="72F01838">
      <w:pPr>
        <w:ind w:firstLine="562" w:firstLineChars="201"/>
        <w:jc w:val="left"/>
        <w:rPr>
          <w:bCs/>
          <w:color w:val="auto"/>
          <w:sz w:val="28"/>
          <w:szCs w:val="28"/>
        </w:rPr>
      </w:pPr>
      <w:r>
        <w:rPr>
          <w:bCs/>
          <w:color w:val="auto"/>
          <w:sz w:val="28"/>
          <w:szCs w:val="28"/>
        </w:rPr>
        <w:br w:type="page"/>
      </w:r>
    </w:p>
    <w:p w14:paraId="7AE29C24">
      <w:pPr>
        <w:ind w:firstLine="562" w:firstLineChars="201"/>
        <w:jc w:val="left"/>
        <w:rPr>
          <w:bCs/>
          <w:color w:val="auto"/>
          <w:sz w:val="28"/>
          <w:szCs w:val="28"/>
        </w:rPr>
      </w:pPr>
    </w:p>
    <w:p w14:paraId="4075E45A">
      <w:pPr>
        <w:ind w:firstLine="562" w:firstLineChars="201"/>
        <w:jc w:val="left"/>
        <w:rPr>
          <w:bCs/>
          <w:color w:val="auto"/>
          <w:sz w:val="28"/>
          <w:szCs w:val="28"/>
        </w:rPr>
      </w:pPr>
    </w:p>
    <w:p w14:paraId="0382A080">
      <w:pPr>
        <w:pStyle w:val="43"/>
        <w:rPr>
          <w:rFonts w:hint="default" w:ascii="宋体" w:hAnsi="宋体" w:eastAsia="宋体" w:cs="宋体"/>
          <w:b/>
          <w:bCs/>
          <w:color w:val="auto"/>
          <w:sz w:val="48"/>
          <w:szCs w:val="48"/>
          <w:lang w:val="en-US" w:eastAsia="zh-CN"/>
        </w:rPr>
      </w:pPr>
      <w:r>
        <w:rPr>
          <w:rFonts w:hint="eastAsia" w:ascii="宋体" w:hAnsi="宋体" w:eastAsia="宋体" w:cs="宋体"/>
          <w:b/>
          <w:bCs/>
          <w:color w:val="auto"/>
          <w:sz w:val="40"/>
          <w:szCs w:val="40"/>
          <w:lang w:val="en-US" w:eastAsia="zh-CN"/>
        </w:rPr>
        <w:t>彭州市PZ2024-16地块住宅项目</w:t>
      </w:r>
      <w:bookmarkStart w:id="324" w:name="_GoBack"/>
      <w:bookmarkEnd w:id="324"/>
    </w:p>
    <w:p w14:paraId="59DD8BC1">
      <w:pPr>
        <w:ind w:firstLine="0" w:firstLineChars="0"/>
        <w:jc w:val="center"/>
        <w:outlineLvl w:val="9"/>
        <w:rPr>
          <w:rFonts w:hint="eastAsia" w:ascii="宋体" w:hAnsi="宋体"/>
          <w:b/>
          <w:color w:val="auto"/>
          <w:sz w:val="36"/>
          <w:szCs w:val="36"/>
        </w:rPr>
      </w:pPr>
      <w:r>
        <w:rPr>
          <w:rFonts w:hint="eastAsia" w:ascii="宋体" w:hAnsi="宋体"/>
          <w:b/>
          <w:color w:val="auto"/>
          <w:sz w:val="36"/>
          <w:szCs w:val="36"/>
          <w:lang w:eastAsia="zh-CN"/>
        </w:rPr>
        <w:t>　</w:t>
      </w:r>
      <w:r>
        <w:rPr>
          <w:rFonts w:hint="eastAsia" w:ascii="宋体" w:hAnsi="宋体"/>
          <w:b/>
          <w:color w:val="auto"/>
          <w:sz w:val="36"/>
          <w:szCs w:val="36"/>
        </w:rPr>
        <w:t>塔吊</w:t>
      </w:r>
      <w:r>
        <w:rPr>
          <w:rFonts w:hint="eastAsia" w:ascii="宋体" w:hAnsi="宋体"/>
          <w:b/>
          <w:color w:val="auto"/>
          <w:sz w:val="36"/>
          <w:szCs w:val="36"/>
          <w:lang w:val="en-US" w:eastAsia="zh-CN"/>
        </w:rPr>
        <w:t>拆除</w:t>
      </w:r>
      <w:r>
        <w:rPr>
          <w:rFonts w:hint="eastAsia" w:ascii="宋体" w:hAnsi="宋体"/>
          <w:b/>
          <w:color w:val="auto"/>
          <w:sz w:val="36"/>
          <w:szCs w:val="36"/>
        </w:rPr>
        <w:t>专项施工方案</w:t>
      </w:r>
    </w:p>
    <w:p w14:paraId="159B7E0B">
      <w:pPr>
        <w:pStyle w:val="32"/>
        <w:rPr>
          <w:rFonts w:hint="eastAsia" w:ascii="宋体" w:hAnsi="宋体"/>
          <w:b/>
          <w:color w:val="auto"/>
          <w:sz w:val="40"/>
          <w:szCs w:val="40"/>
        </w:rPr>
      </w:pPr>
    </w:p>
    <w:p w14:paraId="2F6ECAFE">
      <w:pPr>
        <w:pStyle w:val="32"/>
        <w:rPr>
          <w:rFonts w:hint="eastAsia" w:ascii="宋体" w:hAnsi="宋体"/>
          <w:b/>
          <w:color w:val="auto"/>
          <w:sz w:val="10"/>
          <w:szCs w:val="10"/>
        </w:rPr>
      </w:pPr>
    </w:p>
    <w:p w14:paraId="06C6C6DA">
      <w:pPr>
        <w:ind w:firstLine="482" w:firstLineChars="201"/>
        <w:jc w:val="center"/>
        <w:rPr>
          <w:bCs/>
          <w:color w:val="auto"/>
          <w:sz w:val="28"/>
          <w:szCs w:val="28"/>
        </w:rPr>
      </w:pPr>
      <w:r>
        <w:rPr>
          <w:color w:val="auto"/>
        </w:rPr>
        <w:drawing>
          <wp:inline distT="0" distB="0" distL="0" distR="0">
            <wp:extent cx="4093210" cy="2509520"/>
            <wp:effectExtent l="0" t="0" r="2540" b="508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2"/>
                    <a:stretch>
                      <a:fillRect/>
                    </a:stretch>
                  </pic:blipFill>
                  <pic:spPr>
                    <a:xfrm>
                      <a:off x="0" y="0"/>
                      <a:ext cx="4093210" cy="2509520"/>
                    </a:xfrm>
                    <a:prstGeom prst="rect">
                      <a:avLst/>
                    </a:prstGeom>
                  </pic:spPr>
                </pic:pic>
              </a:graphicData>
            </a:graphic>
          </wp:inline>
        </w:drawing>
      </w:r>
    </w:p>
    <w:p w14:paraId="5755931D">
      <w:pPr>
        <w:ind w:firstLine="562" w:firstLineChars="201"/>
        <w:jc w:val="left"/>
        <w:rPr>
          <w:bCs/>
          <w:color w:val="auto"/>
          <w:sz w:val="28"/>
          <w:szCs w:val="28"/>
        </w:rPr>
      </w:pPr>
    </w:p>
    <w:p w14:paraId="4C966ABD">
      <w:pPr>
        <w:ind w:left="0" w:leftChars="0" w:firstLine="0" w:firstLineChars="0"/>
        <w:jc w:val="left"/>
        <w:rPr>
          <w:bCs/>
          <w:color w:val="auto"/>
          <w:sz w:val="28"/>
          <w:szCs w:val="28"/>
        </w:rPr>
      </w:pPr>
    </w:p>
    <w:p w14:paraId="788603B6">
      <w:pPr>
        <w:pStyle w:val="32"/>
        <w:rPr>
          <w:color w:val="auto"/>
        </w:rPr>
      </w:pPr>
    </w:p>
    <w:p w14:paraId="77F529D6">
      <w:pPr>
        <w:keepNext w:val="0"/>
        <w:keepLines w:val="0"/>
        <w:pageBreakBefore w:val="0"/>
        <w:widowControl w:val="0"/>
        <w:kinsoku/>
        <w:wordWrap/>
        <w:overflowPunct/>
        <w:topLinePunct w:val="0"/>
        <w:autoSpaceDE/>
        <w:autoSpaceDN/>
        <w:bidi w:val="0"/>
        <w:adjustRightInd/>
        <w:snapToGrid/>
        <w:spacing w:line="480" w:lineRule="auto"/>
        <w:ind w:firstLine="2800" w:firstLineChars="1000"/>
        <w:jc w:val="left"/>
        <w:textAlignment w:val="auto"/>
        <w:rPr>
          <w:bCs/>
          <w:color w:val="auto"/>
          <w:sz w:val="28"/>
          <w:szCs w:val="28"/>
        </w:rPr>
      </w:pPr>
      <w:r>
        <w:rPr>
          <w:rFonts w:hint="eastAsia"/>
          <w:bCs/>
          <w:color w:val="auto"/>
          <w:sz w:val="28"/>
          <w:szCs w:val="28"/>
        </w:rPr>
        <w:t xml:space="preserve">编 制：  </w:t>
      </w:r>
      <w:r>
        <w:rPr>
          <w:rFonts w:hint="eastAsia"/>
          <w:bCs/>
          <w:color w:val="auto"/>
          <w:sz w:val="28"/>
          <w:szCs w:val="28"/>
          <w:u w:val="single"/>
        </w:rPr>
        <w:t xml:space="preserve">                    </w:t>
      </w:r>
    </w:p>
    <w:p w14:paraId="17BEA36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w:t>
      </w:r>
      <w:r>
        <w:rPr>
          <w:rFonts w:hint="eastAsia"/>
          <w:bCs/>
          <w:color w:val="auto"/>
          <w:sz w:val="28"/>
          <w:szCs w:val="28"/>
        </w:rPr>
        <w:t xml:space="preserve">审 核：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6A19F6C3">
      <w:pPr>
        <w:keepNext w:val="0"/>
        <w:keepLines w:val="0"/>
        <w:pageBreakBefore w:val="0"/>
        <w:widowControl w:val="0"/>
        <w:kinsoku/>
        <w:wordWrap/>
        <w:overflowPunct/>
        <w:topLinePunct w:val="0"/>
        <w:autoSpaceDE/>
        <w:autoSpaceDN/>
        <w:bidi w:val="0"/>
        <w:adjustRightInd/>
        <w:snapToGrid/>
        <w:spacing w:line="480" w:lineRule="auto"/>
        <w:ind w:firstLine="562" w:firstLineChars="201"/>
        <w:jc w:val="left"/>
        <w:textAlignment w:val="auto"/>
        <w:rPr>
          <w:bCs/>
          <w:color w:val="auto"/>
          <w:sz w:val="28"/>
          <w:szCs w:val="28"/>
        </w:rPr>
      </w:pPr>
      <w:r>
        <w:rPr>
          <w:rFonts w:hint="eastAsia"/>
          <w:bCs/>
          <w:color w:val="auto"/>
          <w:sz w:val="28"/>
          <w:szCs w:val="28"/>
        </w:rPr>
        <w:t xml:space="preserve">          </w:t>
      </w:r>
      <w:r>
        <w:rPr>
          <w:rFonts w:hint="eastAsia"/>
          <w:bCs/>
          <w:color w:val="auto"/>
          <w:sz w:val="28"/>
          <w:szCs w:val="28"/>
          <w:lang w:val="en-US" w:eastAsia="zh-CN"/>
        </w:rPr>
        <w:t xml:space="preserve">      审 批</w:t>
      </w:r>
      <w:r>
        <w:rPr>
          <w:rFonts w:hint="eastAsia"/>
          <w:bCs/>
          <w:color w:val="auto"/>
          <w:sz w:val="28"/>
          <w:szCs w:val="28"/>
        </w:rPr>
        <w:t xml:space="preserve">：  </w:t>
      </w:r>
      <w:r>
        <w:rPr>
          <w:rFonts w:hint="eastAsia"/>
          <w:bCs/>
          <w:color w:val="auto"/>
          <w:sz w:val="28"/>
          <w:szCs w:val="28"/>
          <w:u w:val="single"/>
        </w:rPr>
        <w:t xml:space="preserve">      </w:t>
      </w:r>
      <w:r>
        <w:rPr>
          <w:rFonts w:hint="eastAsia"/>
          <w:bCs/>
          <w:color w:val="auto"/>
          <w:sz w:val="28"/>
          <w:szCs w:val="28"/>
          <w:u w:val="single"/>
          <w:lang w:val="en-US" w:eastAsia="zh-CN"/>
        </w:rPr>
        <w:t xml:space="preserve">        </w:t>
      </w:r>
      <w:r>
        <w:rPr>
          <w:rFonts w:hint="eastAsia"/>
          <w:bCs/>
          <w:color w:val="auto"/>
          <w:sz w:val="28"/>
          <w:szCs w:val="28"/>
          <w:u w:val="single"/>
        </w:rPr>
        <w:t xml:space="preserve">      </w:t>
      </w:r>
    </w:p>
    <w:p w14:paraId="54A737DC">
      <w:pPr>
        <w:ind w:firstLine="0" w:firstLineChars="0"/>
        <w:jc w:val="both"/>
        <w:rPr>
          <w:b/>
          <w:color w:val="auto"/>
          <w:sz w:val="48"/>
          <w:szCs w:val="32"/>
        </w:rPr>
      </w:pPr>
    </w:p>
    <w:p w14:paraId="7E6E0EA2">
      <w:pPr>
        <w:pStyle w:val="32"/>
        <w:rPr>
          <w:b/>
          <w:color w:val="auto"/>
          <w:sz w:val="48"/>
          <w:szCs w:val="32"/>
        </w:rPr>
      </w:pPr>
    </w:p>
    <w:p w14:paraId="29867964">
      <w:pPr>
        <w:pStyle w:val="32"/>
        <w:keepNext w:val="0"/>
        <w:keepLines w:val="0"/>
        <w:pageBreakBefore w:val="0"/>
        <w:widowControl w:val="0"/>
        <w:kinsoku/>
        <w:wordWrap/>
        <w:overflowPunct/>
        <w:topLinePunct w:val="0"/>
        <w:bidi w:val="0"/>
        <w:snapToGrid/>
        <w:spacing w:line="360" w:lineRule="auto"/>
        <w:jc w:val="center"/>
        <w:textAlignment w:val="auto"/>
        <w:rPr>
          <w:rFonts w:hint="eastAsia"/>
          <w:b/>
          <w:color w:val="auto"/>
          <w:sz w:val="36"/>
          <w:szCs w:val="36"/>
          <w:lang w:eastAsia="zh-CN"/>
        </w:rPr>
      </w:pPr>
      <w:r>
        <w:rPr>
          <w:rFonts w:hint="eastAsia"/>
          <w:b/>
          <w:color w:val="auto"/>
          <w:sz w:val="32"/>
          <w:szCs w:val="32"/>
          <w:lang w:val="en-US" w:eastAsia="zh-CN"/>
        </w:rPr>
        <w:t xml:space="preserve">     </w:t>
      </w:r>
      <w:r>
        <w:rPr>
          <w:rFonts w:hint="eastAsia"/>
          <w:b/>
          <w:color w:val="auto"/>
          <w:sz w:val="28"/>
          <w:szCs w:val="28"/>
          <w:lang w:val="en-US" w:eastAsia="zh-CN"/>
        </w:rPr>
        <w:t xml:space="preserve"> </w:t>
      </w:r>
      <w:r>
        <w:rPr>
          <w:rFonts w:hint="eastAsia"/>
          <w:b/>
          <w:color w:val="auto"/>
          <w:sz w:val="36"/>
          <w:szCs w:val="36"/>
          <w:lang w:val="en-US" w:eastAsia="zh-CN"/>
        </w:rPr>
        <w:t>四川科斗文智能装备有限公司</w:t>
      </w:r>
    </w:p>
    <w:p w14:paraId="6533E860">
      <w:pPr>
        <w:pStyle w:val="32"/>
        <w:keepNext w:val="0"/>
        <w:keepLines w:val="0"/>
        <w:pageBreakBefore w:val="0"/>
        <w:widowControl w:val="0"/>
        <w:kinsoku/>
        <w:wordWrap/>
        <w:overflowPunct/>
        <w:topLinePunct w:val="0"/>
        <w:bidi w:val="0"/>
        <w:snapToGrid/>
        <w:spacing w:line="360" w:lineRule="auto"/>
        <w:jc w:val="center"/>
        <w:textAlignment w:val="auto"/>
        <w:rPr>
          <w:rFonts w:hint="default"/>
          <w:b/>
          <w:color w:val="auto"/>
          <w:sz w:val="36"/>
          <w:szCs w:val="36"/>
          <w:lang w:val="en-US" w:eastAsia="zh-CN"/>
        </w:rPr>
      </w:pPr>
      <w:r>
        <w:rPr>
          <w:rFonts w:hint="eastAsia"/>
          <w:b/>
          <w:color w:val="auto"/>
          <w:sz w:val="36"/>
          <w:szCs w:val="36"/>
          <w:lang w:val="en-US" w:eastAsia="zh-CN"/>
        </w:rPr>
        <w:t xml:space="preserve">      </w:t>
      </w:r>
      <w:r>
        <w:rPr>
          <w:rFonts w:hint="default"/>
          <w:b/>
          <w:color w:val="auto"/>
          <w:sz w:val="36"/>
          <w:szCs w:val="36"/>
          <w:lang w:val="en-US" w:eastAsia="zh-CN"/>
        </w:rPr>
        <w:t>202</w:t>
      </w:r>
      <w:r>
        <w:rPr>
          <w:rFonts w:hint="eastAsia"/>
          <w:b/>
          <w:color w:val="auto"/>
          <w:sz w:val="36"/>
          <w:szCs w:val="36"/>
          <w:lang w:val="en-US" w:eastAsia="zh-CN"/>
        </w:rPr>
        <w:t>5年</w:t>
      </w:r>
      <w:r>
        <w:rPr>
          <w:rFonts w:hint="default"/>
          <w:b/>
          <w:color w:val="auto"/>
          <w:sz w:val="36"/>
          <w:szCs w:val="36"/>
          <w:lang w:val="en-US" w:eastAsia="zh-CN"/>
        </w:rPr>
        <w:t>0</w:t>
      </w:r>
      <w:r>
        <w:rPr>
          <w:rFonts w:hint="eastAsia"/>
          <w:b/>
          <w:color w:val="auto"/>
          <w:sz w:val="36"/>
          <w:szCs w:val="36"/>
          <w:lang w:val="en-US" w:eastAsia="zh-CN"/>
        </w:rPr>
        <w:t>2月</w:t>
      </w:r>
    </w:p>
    <w:p w14:paraId="4CE6F15F">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425" w:num="1"/>
          <w:docGrid w:linePitch="498" w:charSpace="17788"/>
        </w:sectPr>
      </w:pPr>
    </w:p>
    <w:sdt>
      <w:sdtPr>
        <w:rPr>
          <w:rFonts w:ascii="宋体" w:hAnsi="宋体" w:eastAsia="宋体" w:cs="Times New Roman"/>
          <w:color w:val="auto"/>
          <w:kern w:val="2"/>
          <w:sz w:val="32"/>
          <w:szCs w:val="32"/>
          <w:lang w:val="en-US" w:eastAsia="zh-CN" w:bidi="ar-SA"/>
        </w:rPr>
        <w:id w:val="147462089"/>
        <w15:color w:val="DBDBDB"/>
        <w:docPartObj>
          <w:docPartGallery w:val="Table of Contents"/>
          <w:docPartUnique/>
        </w:docPartObj>
      </w:sdtPr>
      <w:sdtEndPr>
        <w:rPr>
          <w:rFonts w:ascii="Times New Roman" w:hAnsi="Times New Roman" w:eastAsia="宋体" w:cs="Times New Roman"/>
          <w:b/>
          <w:color w:val="auto"/>
          <w:kern w:val="2"/>
          <w:sz w:val="28"/>
          <w:szCs w:val="32"/>
          <w:lang w:val="en-US" w:eastAsia="zh-CN" w:bidi="ar-SA"/>
        </w:rPr>
      </w:sdtEndPr>
      <w:sdtContent>
        <w:p w14:paraId="744EEAE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6D09820A">
          <w:pPr>
            <w:pStyle w:val="22"/>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_Toc22993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_Toc22993 \h </w:instrText>
          </w:r>
          <w:r>
            <w:fldChar w:fldCharType="separate"/>
          </w:r>
          <w:r>
            <w:t>1</w:t>
          </w:r>
          <w:r>
            <w:fldChar w:fldCharType="end"/>
          </w:r>
          <w:r>
            <w:rPr>
              <w:rFonts w:hint="eastAsia" w:ascii="宋体" w:hAnsi="宋体" w:eastAsia="宋体" w:cs="宋体"/>
              <w:color w:val="auto"/>
              <w:szCs w:val="24"/>
            </w:rPr>
            <w:fldChar w:fldCharType="end"/>
          </w:r>
        </w:p>
        <w:p w14:paraId="275C3CD1">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_Toc11045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_Toc11045 \h </w:instrText>
          </w:r>
          <w:r>
            <w:fldChar w:fldCharType="separate"/>
          </w:r>
          <w:r>
            <w:t>1</w:t>
          </w:r>
          <w:r>
            <w:fldChar w:fldCharType="end"/>
          </w:r>
          <w:r>
            <w:rPr>
              <w:rFonts w:hint="eastAsia" w:ascii="宋体" w:hAnsi="宋体" w:eastAsia="宋体" w:cs="宋体"/>
              <w:color w:val="auto"/>
              <w:szCs w:val="24"/>
            </w:rPr>
            <w:fldChar w:fldCharType="end"/>
          </w:r>
        </w:p>
        <w:p w14:paraId="178E91A5">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_Toc640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_Toc640 \h </w:instrText>
          </w:r>
          <w:r>
            <w:fldChar w:fldCharType="separate"/>
          </w:r>
          <w:r>
            <w:t>1</w:t>
          </w:r>
          <w:r>
            <w:fldChar w:fldCharType="end"/>
          </w:r>
          <w:r>
            <w:rPr>
              <w:rFonts w:hint="eastAsia" w:ascii="宋体" w:hAnsi="宋体" w:eastAsia="宋体" w:cs="宋体"/>
              <w:color w:val="auto"/>
              <w:szCs w:val="24"/>
            </w:rPr>
            <w:fldChar w:fldCharType="end"/>
          </w:r>
        </w:p>
        <w:p w14:paraId="5B4D2E6A">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_Toc2526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_Toc2526 \h </w:instrText>
          </w:r>
          <w:r>
            <w:fldChar w:fldCharType="separate"/>
          </w:r>
          <w:r>
            <w:t>2</w:t>
          </w:r>
          <w:r>
            <w:fldChar w:fldCharType="end"/>
          </w:r>
          <w:r>
            <w:rPr>
              <w:rFonts w:hint="eastAsia" w:ascii="宋体" w:hAnsi="宋体" w:eastAsia="宋体" w:cs="宋体"/>
              <w:color w:val="auto"/>
              <w:szCs w:val="24"/>
            </w:rPr>
            <w:fldChar w:fldCharType="end"/>
          </w:r>
        </w:p>
        <w:p w14:paraId="5C17F5F2">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_Toc15649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_Toc15649 \h </w:instrText>
          </w:r>
          <w:r>
            <w:fldChar w:fldCharType="separate"/>
          </w:r>
          <w:r>
            <w:t>2</w:t>
          </w:r>
          <w:r>
            <w:fldChar w:fldCharType="end"/>
          </w:r>
          <w:r>
            <w:rPr>
              <w:rFonts w:hint="eastAsia" w:ascii="宋体" w:hAnsi="宋体" w:eastAsia="宋体" w:cs="宋体"/>
              <w:color w:val="auto"/>
              <w:szCs w:val="24"/>
            </w:rPr>
            <w:fldChar w:fldCharType="end"/>
          </w:r>
        </w:p>
        <w:p w14:paraId="369C75A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_Toc12847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_Toc12847 \h </w:instrText>
          </w:r>
          <w:r>
            <w:fldChar w:fldCharType="separate"/>
          </w:r>
          <w:r>
            <w:t>3</w:t>
          </w:r>
          <w:r>
            <w:fldChar w:fldCharType="end"/>
          </w:r>
          <w:r>
            <w:rPr>
              <w:rFonts w:hint="eastAsia" w:ascii="宋体" w:hAnsi="宋体" w:eastAsia="宋体" w:cs="宋体"/>
              <w:color w:val="auto"/>
              <w:szCs w:val="24"/>
            </w:rPr>
            <w:fldChar w:fldCharType="end"/>
          </w:r>
        </w:p>
        <w:p w14:paraId="5BF25529">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_Toc9652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_Toc9652 \h </w:instrText>
          </w:r>
          <w:r>
            <w:fldChar w:fldCharType="separate"/>
          </w:r>
          <w:r>
            <w:t>3</w:t>
          </w:r>
          <w:r>
            <w:fldChar w:fldCharType="end"/>
          </w:r>
          <w:r>
            <w:rPr>
              <w:rFonts w:hint="eastAsia" w:ascii="宋体" w:hAnsi="宋体" w:eastAsia="宋体" w:cs="宋体"/>
              <w:color w:val="auto"/>
              <w:szCs w:val="24"/>
            </w:rPr>
            <w:fldChar w:fldCharType="end"/>
          </w:r>
        </w:p>
        <w:p w14:paraId="4E428704">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_Toc5516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_Toc5516 \h </w:instrText>
          </w:r>
          <w:r>
            <w:fldChar w:fldCharType="separate"/>
          </w:r>
          <w:r>
            <w:t>3</w:t>
          </w:r>
          <w:r>
            <w:fldChar w:fldCharType="end"/>
          </w:r>
          <w:r>
            <w:rPr>
              <w:rFonts w:hint="eastAsia" w:ascii="宋体" w:hAnsi="宋体" w:eastAsia="宋体" w:cs="宋体"/>
              <w:color w:val="auto"/>
              <w:szCs w:val="24"/>
            </w:rPr>
            <w:fldChar w:fldCharType="end"/>
          </w:r>
        </w:p>
        <w:p w14:paraId="0001A829">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_Toc24448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施工平面布置</w:t>
          </w:r>
          <w:r>
            <w:tab/>
          </w:r>
          <w:r>
            <w:fldChar w:fldCharType="begin"/>
          </w:r>
          <w:r>
            <w:instrText xml:space="preserve"> PAGEREF _Toc24448 \h </w:instrText>
          </w:r>
          <w:r>
            <w:fldChar w:fldCharType="separate"/>
          </w:r>
          <w:r>
            <w:t>4</w:t>
          </w:r>
          <w:r>
            <w:fldChar w:fldCharType="end"/>
          </w:r>
          <w:r>
            <w:rPr>
              <w:rFonts w:hint="eastAsia" w:ascii="宋体" w:hAnsi="宋体" w:eastAsia="宋体" w:cs="宋体"/>
              <w:color w:val="auto"/>
              <w:szCs w:val="24"/>
            </w:rPr>
            <w:fldChar w:fldCharType="end"/>
          </w:r>
        </w:p>
        <w:p w14:paraId="1FCE8743">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_Toc2847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_Toc2847 \h </w:instrText>
          </w:r>
          <w:r>
            <w:fldChar w:fldCharType="separate"/>
          </w:r>
          <w:r>
            <w:t>4</w:t>
          </w:r>
          <w:r>
            <w:fldChar w:fldCharType="end"/>
          </w:r>
          <w:r>
            <w:rPr>
              <w:rFonts w:hint="eastAsia" w:ascii="宋体" w:hAnsi="宋体" w:eastAsia="宋体" w:cs="宋体"/>
              <w:color w:val="auto"/>
              <w:szCs w:val="24"/>
            </w:rPr>
            <w:fldChar w:fldCharType="end"/>
          </w:r>
        </w:p>
        <w:p w14:paraId="7B603710">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_Toc10756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_Toc10756 \h </w:instrText>
          </w:r>
          <w:r>
            <w:fldChar w:fldCharType="separate"/>
          </w:r>
          <w:r>
            <w:t>4</w:t>
          </w:r>
          <w:r>
            <w:fldChar w:fldCharType="end"/>
          </w:r>
          <w:r>
            <w:rPr>
              <w:rFonts w:hint="eastAsia" w:ascii="宋体" w:hAnsi="宋体" w:eastAsia="宋体" w:cs="宋体"/>
              <w:color w:val="auto"/>
              <w:szCs w:val="24"/>
            </w:rPr>
            <w:fldChar w:fldCharType="end"/>
          </w:r>
        </w:p>
        <w:p w14:paraId="34A6CA5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_Toc28027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_Toc28027 \h </w:instrText>
          </w:r>
          <w:r>
            <w:fldChar w:fldCharType="separate"/>
          </w:r>
          <w:r>
            <w:t>6</w:t>
          </w:r>
          <w:r>
            <w:fldChar w:fldCharType="end"/>
          </w:r>
          <w:r>
            <w:rPr>
              <w:rFonts w:hint="eastAsia" w:ascii="宋体" w:hAnsi="宋体" w:eastAsia="宋体" w:cs="宋体"/>
              <w:color w:val="auto"/>
              <w:szCs w:val="24"/>
            </w:rPr>
            <w:fldChar w:fldCharType="end"/>
          </w:r>
        </w:p>
        <w:p w14:paraId="25687C67">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_Toc29262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_Toc29262 \h </w:instrText>
          </w:r>
          <w:r>
            <w:fldChar w:fldCharType="separate"/>
          </w:r>
          <w:r>
            <w:t>6</w:t>
          </w:r>
          <w:r>
            <w:fldChar w:fldCharType="end"/>
          </w:r>
          <w:r>
            <w:rPr>
              <w:rFonts w:hint="eastAsia" w:ascii="宋体" w:hAnsi="宋体" w:eastAsia="宋体" w:cs="宋体"/>
              <w:color w:val="auto"/>
              <w:szCs w:val="24"/>
            </w:rPr>
            <w:fldChar w:fldCharType="end"/>
          </w:r>
        </w:p>
        <w:p w14:paraId="3F573626">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_Toc10016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_Toc10016 \h </w:instrText>
          </w:r>
          <w:r>
            <w:fldChar w:fldCharType="separate"/>
          </w:r>
          <w:r>
            <w:t>6</w:t>
          </w:r>
          <w:r>
            <w:fldChar w:fldCharType="end"/>
          </w:r>
          <w:r>
            <w:rPr>
              <w:rFonts w:hint="eastAsia" w:ascii="宋体" w:hAnsi="宋体" w:eastAsia="宋体" w:cs="宋体"/>
              <w:color w:val="auto"/>
              <w:szCs w:val="24"/>
            </w:rPr>
            <w:fldChar w:fldCharType="end"/>
          </w:r>
        </w:p>
        <w:p w14:paraId="494CE94C">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_Toc27644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_Toc27644 \h </w:instrText>
          </w:r>
          <w:r>
            <w:fldChar w:fldCharType="separate"/>
          </w:r>
          <w:r>
            <w:t>7</w:t>
          </w:r>
          <w:r>
            <w:fldChar w:fldCharType="end"/>
          </w:r>
          <w:r>
            <w:rPr>
              <w:rFonts w:hint="eastAsia" w:ascii="宋体" w:hAnsi="宋体" w:eastAsia="宋体" w:cs="宋体"/>
              <w:color w:val="auto"/>
              <w:szCs w:val="24"/>
            </w:rPr>
            <w:fldChar w:fldCharType="end"/>
          </w:r>
        </w:p>
        <w:p w14:paraId="0165DE6C">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_Toc11231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_Toc11231 \h </w:instrText>
          </w:r>
          <w:r>
            <w:fldChar w:fldCharType="separate"/>
          </w:r>
          <w:r>
            <w:t>8</w:t>
          </w:r>
          <w:r>
            <w:fldChar w:fldCharType="end"/>
          </w:r>
          <w:r>
            <w:rPr>
              <w:rFonts w:hint="eastAsia" w:ascii="宋体" w:hAnsi="宋体" w:eastAsia="宋体" w:cs="宋体"/>
              <w:color w:val="auto"/>
              <w:szCs w:val="24"/>
            </w:rPr>
            <w:fldChar w:fldCharType="end"/>
          </w:r>
        </w:p>
        <w:p w14:paraId="758CF5F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_Toc22403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_Toc22403 \h </w:instrText>
          </w:r>
          <w:r>
            <w:fldChar w:fldCharType="separate"/>
          </w:r>
          <w:r>
            <w:t>9</w:t>
          </w:r>
          <w:r>
            <w:fldChar w:fldCharType="end"/>
          </w:r>
          <w:r>
            <w:rPr>
              <w:rFonts w:hint="eastAsia" w:ascii="宋体" w:hAnsi="宋体" w:eastAsia="宋体" w:cs="宋体"/>
              <w:color w:val="auto"/>
              <w:szCs w:val="24"/>
            </w:rPr>
            <w:fldChar w:fldCharType="end"/>
          </w:r>
        </w:p>
        <w:p w14:paraId="39136E1B">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_Toc3742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_Toc3742 \h </w:instrText>
          </w:r>
          <w:r>
            <w:fldChar w:fldCharType="separate"/>
          </w:r>
          <w:r>
            <w:t>9</w:t>
          </w:r>
          <w:r>
            <w:fldChar w:fldCharType="end"/>
          </w:r>
          <w:r>
            <w:rPr>
              <w:rFonts w:hint="eastAsia" w:ascii="宋体" w:hAnsi="宋体" w:eastAsia="宋体" w:cs="宋体"/>
              <w:color w:val="auto"/>
              <w:szCs w:val="24"/>
            </w:rPr>
            <w:fldChar w:fldCharType="end"/>
          </w:r>
        </w:p>
        <w:p w14:paraId="343AFF80">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_Toc1900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_Toc1900 \h </w:instrText>
          </w:r>
          <w:r>
            <w:fldChar w:fldCharType="separate"/>
          </w:r>
          <w:r>
            <w:t>9</w:t>
          </w:r>
          <w:r>
            <w:fldChar w:fldCharType="end"/>
          </w:r>
          <w:r>
            <w:rPr>
              <w:rFonts w:hint="eastAsia" w:ascii="宋体" w:hAnsi="宋体" w:eastAsia="宋体" w:cs="宋体"/>
              <w:color w:val="auto"/>
              <w:szCs w:val="24"/>
            </w:rPr>
            <w:fldChar w:fldCharType="end"/>
          </w:r>
        </w:p>
        <w:p w14:paraId="3C5B06FD">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_Toc7698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_Toc7698 \h </w:instrText>
          </w:r>
          <w:r>
            <w:fldChar w:fldCharType="separate"/>
          </w:r>
          <w:r>
            <w:t>11</w:t>
          </w:r>
          <w:r>
            <w:fldChar w:fldCharType="end"/>
          </w:r>
          <w:r>
            <w:rPr>
              <w:rFonts w:hint="eastAsia" w:ascii="宋体" w:hAnsi="宋体" w:eastAsia="宋体" w:cs="宋体"/>
              <w:color w:val="auto"/>
              <w:szCs w:val="24"/>
            </w:rPr>
            <w:fldChar w:fldCharType="end"/>
          </w:r>
        </w:p>
        <w:p w14:paraId="531D1028">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_Toc1184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eastAsia="宋体"/>
            </w:rPr>
            <w:t>工艺流程</w:t>
          </w:r>
          <w:r>
            <w:tab/>
          </w:r>
          <w:r>
            <w:fldChar w:fldCharType="begin"/>
          </w:r>
          <w:r>
            <w:instrText xml:space="preserve"> PAGEREF _Toc1184 \h </w:instrText>
          </w:r>
          <w:r>
            <w:fldChar w:fldCharType="separate"/>
          </w:r>
          <w:r>
            <w:t>12</w:t>
          </w:r>
          <w:r>
            <w:fldChar w:fldCharType="end"/>
          </w:r>
          <w:r>
            <w:rPr>
              <w:rFonts w:hint="eastAsia" w:ascii="宋体" w:hAnsi="宋体" w:eastAsia="宋体" w:cs="宋体"/>
              <w:color w:val="auto"/>
              <w:szCs w:val="24"/>
            </w:rPr>
            <w:fldChar w:fldCharType="end"/>
          </w:r>
        </w:p>
        <w:p w14:paraId="0A339521">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_Toc2147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eastAsia="宋体"/>
            </w:rPr>
            <w:t>施工方法</w:t>
          </w:r>
          <w:r>
            <w:tab/>
          </w:r>
          <w:r>
            <w:fldChar w:fldCharType="begin"/>
          </w:r>
          <w:r>
            <w:instrText xml:space="preserve"> PAGEREF _Toc2147 \h </w:instrText>
          </w:r>
          <w:r>
            <w:fldChar w:fldCharType="separate"/>
          </w:r>
          <w:r>
            <w:t>13</w:t>
          </w:r>
          <w:r>
            <w:fldChar w:fldCharType="end"/>
          </w:r>
          <w:r>
            <w:rPr>
              <w:rFonts w:hint="eastAsia" w:ascii="宋体" w:hAnsi="宋体" w:eastAsia="宋体" w:cs="宋体"/>
              <w:color w:val="auto"/>
              <w:szCs w:val="24"/>
            </w:rPr>
            <w:fldChar w:fldCharType="end"/>
          </w:r>
        </w:p>
        <w:p w14:paraId="6C97C652">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_Toc29187 </w:instrText>
          </w:r>
          <w:r>
            <w:rPr>
              <w:rFonts w:hint="eastAsia" w:ascii="宋体" w:hAnsi="宋体" w:eastAsia="宋体" w:cs="宋体"/>
              <w:szCs w:val="24"/>
            </w:rPr>
            <w:fldChar w:fldCharType="separate"/>
          </w:r>
          <w:r>
            <w:rPr>
              <w:rFonts w:hint="eastAsia" w:asciiTheme="majorHAnsi" w:hAnsiTheme="majorHAnsi" w:eastAsiaTheme="majorEastAsia" w:cstheme="majorBidi"/>
              <w:bCs/>
              <w:kern w:val="2"/>
              <w:szCs w:val="28"/>
              <w:lang w:val="en-US" w:eastAsia="zh-CN" w:bidi="ar-SA"/>
            </w:rPr>
            <w:t>4.</w:t>
          </w:r>
          <w:r>
            <w:rPr>
              <w:rFonts w:hint="eastAsia" w:eastAsiaTheme="majorEastAsia" w:cstheme="majorBidi"/>
              <w:bCs/>
              <w:kern w:val="2"/>
              <w:szCs w:val="28"/>
              <w:lang w:val="en-US" w:eastAsia="zh-CN" w:bidi="ar-SA"/>
            </w:rPr>
            <w:t>6</w:t>
          </w:r>
          <w:r>
            <w:rPr>
              <w:rFonts w:hint="eastAsia" w:asciiTheme="majorHAnsi" w:hAnsiTheme="majorHAnsi" w:eastAsiaTheme="majorEastAsia" w:cstheme="majorBidi"/>
              <w:bCs/>
              <w:kern w:val="2"/>
              <w:szCs w:val="28"/>
              <w:lang w:val="en-US" w:eastAsia="zh-CN" w:bidi="ar-SA"/>
            </w:rPr>
            <w:t>检塔机拆散后的注意事项</w:t>
          </w:r>
          <w:r>
            <w:tab/>
          </w:r>
          <w:r>
            <w:fldChar w:fldCharType="begin"/>
          </w:r>
          <w:r>
            <w:instrText xml:space="preserve"> PAGEREF _Toc29187 \h </w:instrText>
          </w:r>
          <w:r>
            <w:fldChar w:fldCharType="separate"/>
          </w:r>
          <w:r>
            <w:t>24</w:t>
          </w:r>
          <w:r>
            <w:fldChar w:fldCharType="end"/>
          </w:r>
          <w:r>
            <w:rPr>
              <w:rFonts w:hint="eastAsia" w:ascii="宋体" w:hAnsi="宋体" w:eastAsia="宋体" w:cs="宋体"/>
              <w:color w:val="auto"/>
              <w:szCs w:val="24"/>
            </w:rPr>
            <w:fldChar w:fldCharType="end"/>
          </w:r>
        </w:p>
        <w:p w14:paraId="7E7763D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_Toc17625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_Toc17625 \h </w:instrText>
          </w:r>
          <w:r>
            <w:fldChar w:fldCharType="separate"/>
          </w:r>
          <w:r>
            <w:t>25</w:t>
          </w:r>
          <w:r>
            <w:fldChar w:fldCharType="end"/>
          </w:r>
          <w:r>
            <w:rPr>
              <w:rFonts w:hint="eastAsia" w:ascii="宋体" w:hAnsi="宋体" w:eastAsia="宋体" w:cs="宋体"/>
              <w:color w:val="auto"/>
              <w:szCs w:val="24"/>
            </w:rPr>
            <w:fldChar w:fldCharType="end"/>
          </w:r>
        </w:p>
        <w:p w14:paraId="13A2657A">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_Toc4582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_Toc4582 \h </w:instrText>
          </w:r>
          <w:r>
            <w:fldChar w:fldCharType="separate"/>
          </w:r>
          <w:r>
            <w:t>25</w:t>
          </w:r>
          <w:r>
            <w:fldChar w:fldCharType="end"/>
          </w:r>
          <w:r>
            <w:rPr>
              <w:rFonts w:hint="eastAsia" w:ascii="宋体" w:hAnsi="宋体" w:eastAsia="宋体" w:cs="宋体"/>
              <w:color w:val="auto"/>
              <w:szCs w:val="24"/>
            </w:rPr>
            <w:fldChar w:fldCharType="end"/>
          </w:r>
        </w:p>
        <w:p w14:paraId="3331090C">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_Toc15360 </w:instrText>
          </w:r>
          <w:r>
            <w:rPr>
              <w:rFonts w:hint="eastAsia" w:ascii="宋体" w:hAnsi="宋体" w:eastAsia="宋体" w:cs="宋体"/>
              <w:szCs w:val="24"/>
            </w:rPr>
            <w:fldChar w:fldCharType="separate"/>
          </w:r>
          <w:r>
            <w:rPr>
              <w:rFonts w:hint="default" w:ascii="宋体" w:hAnsi="宋体" w:eastAsia="宋体" w:cs="宋体"/>
            </w:rPr>
            <w:t xml:space="preserve">5.2 </w:t>
          </w:r>
          <w:r>
            <w:rPr>
              <w:rFonts w:hint="eastAsia"/>
              <w:highlight w:val="none"/>
            </w:rPr>
            <w:t>质量保证措施</w:t>
          </w:r>
          <w:r>
            <w:tab/>
          </w:r>
          <w:r>
            <w:fldChar w:fldCharType="begin"/>
          </w:r>
          <w:r>
            <w:instrText xml:space="preserve"> PAGEREF _Toc15360 \h </w:instrText>
          </w:r>
          <w:r>
            <w:fldChar w:fldCharType="separate"/>
          </w:r>
          <w:r>
            <w:t>25</w:t>
          </w:r>
          <w:r>
            <w:fldChar w:fldCharType="end"/>
          </w:r>
          <w:r>
            <w:rPr>
              <w:rFonts w:hint="eastAsia" w:ascii="宋体" w:hAnsi="宋体" w:eastAsia="宋体" w:cs="宋体"/>
              <w:color w:val="auto"/>
              <w:szCs w:val="24"/>
            </w:rPr>
            <w:fldChar w:fldCharType="end"/>
          </w:r>
        </w:p>
        <w:p w14:paraId="5DFC8D46">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_Toc9247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作业过程中控制点的设置</w:t>
          </w:r>
          <w:r>
            <w:tab/>
          </w:r>
          <w:r>
            <w:fldChar w:fldCharType="begin"/>
          </w:r>
          <w:r>
            <w:instrText xml:space="preserve"> PAGEREF _Toc9247 \h </w:instrText>
          </w:r>
          <w:r>
            <w:fldChar w:fldCharType="separate"/>
          </w:r>
          <w:r>
            <w:t>26</w:t>
          </w:r>
          <w:r>
            <w:fldChar w:fldCharType="end"/>
          </w:r>
          <w:r>
            <w:rPr>
              <w:rFonts w:hint="eastAsia" w:ascii="宋体" w:hAnsi="宋体" w:eastAsia="宋体" w:cs="宋体"/>
              <w:color w:val="auto"/>
              <w:szCs w:val="24"/>
            </w:rPr>
            <w:fldChar w:fldCharType="end"/>
          </w:r>
        </w:p>
        <w:p w14:paraId="4B486BA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_Toc10729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_Toc10729 \h </w:instrText>
          </w:r>
          <w:r>
            <w:fldChar w:fldCharType="separate"/>
          </w:r>
          <w:r>
            <w:t>29</w:t>
          </w:r>
          <w:r>
            <w:fldChar w:fldCharType="end"/>
          </w:r>
          <w:r>
            <w:rPr>
              <w:rFonts w:hint="eastAsia" w:ascii="宋体" w:hAnsi="宋体" w:eastAsia="宋体" w:cs="宋体"/>
              <w:color w:val="auto"/>
              <w:szCs w:val="24"/>
            </w:rPr>
            <w:fldChar w:fldCharType="end"/>
          </w:r>
        </w:p>
        <w:p w14:paraId="7DD6AE5E">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_Toc18886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_Toc18886 \h </w:instrText>
          </w:r>
          <w:r>
            <w:fldChar w:fldCharType="separate"/>
          </w:r>
          <w:r>
            <w:t>29</w:t>
          </w:r>
          <w:r>
            <w:fldChar w:fldCharType="end"/>
          </w:r>
          <w:r>
            <w:rPr>
              <w:rFonts w:hint="eastAsia" w:ascii="宋体" w:hAnsi="宋体" w:eastAsia="宋体" w:cs="宋体"/>
              <w:color w:val="auto"/>
              <w:szCs w:val="24"/>
            </w:rPr>
            <w:fldChar w:fldCharType="end"/>
          </w:r>
        </w:p>
        <w:p w14:paraId="6D06001C">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_Toc21359 </w:instrText>
          </w:r>
          <w:r>
            <w:rPr>
              <w:rFonts w:hint="eastAsia" w:ascii="宋体" w:hAnsi="宋体" w:eastAsia="宋体" w:cs="宋体"/>
              <w:szCs w:val="24"/>
            </w:rPr>
            <w:fldChar w:fldCharType="separate"/>
          </w:r>
          <w:r>
            <w:rPr>
              <w:rFonts w:hint="default" w:ascii="宋体" w:hAnsi="宋体" w:eastAsia="宋体" w:cs="宋体"/>
              <w:kern w:val="0"/>
              <w:szCs w:val="28"/>
            </w:rPr>
            <w:t xml:space="preserve">6.2 </w:t>
          </w:r>
          <w:r>
            <w:rPr>
              <w:rFonts w:hint="eastAsia" w:ascii="宋体" w:hAnsi="宋体" w:eastAsia="宋体" w:cs="宋体"/>
              <w:kern w:val="0"/>
              <w:szCs w:val="28"/>
            </w:rPr>
            <w:t>组织保障措施</w:t>
          </w:r>
          <w:r>
            <w:tab/>
          </w:r>
          <w:r>
            <w:fldChar w:fldCharType="begin"/>
          </w:r>
          <w:r>
            <w:instrText xml:space="preserve"> PAGEREF _Toc21359 \h </w:instrText>
          </w:r>
          <w:r>
            <w:fldChar w:fldCharType="separate"/>
          </w:r>
          <w:r>
            <w:t>43</w:t>
          </w:r>
          <w:r>
            <w:fldChar w:fldCharType="end"/>
          </w:r>
          <w:r>
            <w:rPr>
              <w:rFonts w:hint="eastAsia" w:ascii="宋体" w:hAnsi="宋体" w:eastAsia="宋体" w:cs="宋体"/>
              <w:color w:val="auto"/>
              <w:szCs w:val="24"/>
            </w:rPr>
            <w:fldChar w:fldCharType="end"/>
          </w:r>
        </w:p>
        <w:p w14:paraId="0FF69C66">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_Toc17380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监管措施</w:t>
          </w:r>
          <w:r>
            <w:tab/>
          </w:r>
          <w:r>
            <w:fldChar w:fldCharType="begin"/>
          </w:r>
          <w:r>
            <w:instrText xml:space="preserve"> PAGEREF _Toc17380 \h </w:instrText>
          </w:r>
          <w:r>
            <w:fldChar w:fldCharType="separate"/>
          </w:r>
          <w:r>
            <w:t>53</w:t>
          </w:r>
          <w:r>
            <w:fldChar w:fldCharType="end"/>
          </w:r>
          <w:r>
            <w:rPr>
              <w:rFonts w:hint="eastAsia" w:ascii="宋体" w:hAnsi="宋体" w:eastAsia="宋体" w:cs="宋体"/>
              <w:color w:val="auto"/>
              <w:szCs w:val="24"/>
            </w:rPr>
            <w:fldChar w:fldCharType="end"/>
          </w:r>
        </w:p>
        <w:p w14:paraId="3ACA9081">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_Toc11946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lang w:val="en-US" w:eastAsia="zh-CN"/>
            </w:rPr>
            <w:t>施工安全控制</w:t>
          </w:r>
          <w:r>
            <w:rPr>
              <w:rFonts w:hint="eastAsia"/>
            </w:rPr>
            <w:t>措施</w:t>
          </w:r>
          <w:r>
            <w:tab/>
          </w:r>
          <w:r>
            <w:fldChar w:fldCharType="begin"/>
          </w:r>
          <w:r>
            <w:instrText xml:space="preserve"> PAGEREF _Toc11946 \h </w:instrText>
          </w:r>
          <w:r>
            <w:fldChar w:fldCharType="separate"/>
          </w:r>
          <w:r>
            <w:t>53</w:t>
          </w:r>
          <w:r>
            <w:fldChar w:fldCharType="end"/>
          </w:r>
          <w:r>
            <w:rPr>
              <w:rFonts w:hint="eastAsia" w:ascii="宋体" w:hAnsi="宋体" w:eastAsia="宋体" w:cs="宋体"/>
              <w:color w:val="auto"/>
              <w:szCs w:val="24"/>
            </w:rPr>
            <w:fldChar w:fldCharType="end"/>
          </w:r>
        </w:p>
        <w:p w14:paraId="110C4F45">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_Toc19610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6.5 </w:t>
          </w:r>
          <w:r>
            <w:rPr>
              <w:rFonts w:hint="eastAsia" w:eastAsia="宋体"/>
              <w:lang w:val="en-US" w:eastAsia="zh-CN"/>
            </w:rPr>
            <w:t>监测监控措施</w:t>
          </w:r>
          <w:r>
            <w:tab/>
          </w:r>
          <w:r>
            <w:fldChar w:fldCharType="begin"/>
          </w:r>
          <w:r>
            <w:instrText xml:space="preserve"> PAGEREF _Toc19610 \h </w:instrText>
          </w:r>
          <w:r>
            <w:fldChar w:fldCharType="separate"/>
          </w:r>
          <w:r>
            <w:t>63</w:t>
          </w:r>
          <w:r>
            <w:fldChar w:fldCharType="end"/>
          </w:r>
          <w:r>
            <w:rPr>
              <w:rFonts w:hint="eastAsia" w:ascii="宋体" w:hAnsi="宋体" w:eastAsia="宋体" w:cs="宋体"/>
              <w:color w:val="auto"/>
              <w:szCs w:val="24"/>
            </w:rPr>
            <w:fldChar w:fldCharType="end"/>
          </w:r>
        </w:p>
        <w:p w14:paraId="1DB4F45D">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_Toc24566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电气设备</w:t>
          </w:r>
          <w:r>
            <w:tab/>
          </w:r>
          <w:r>
            <w:fldChar w:fldCharType="begin"/>
          </w:r>
          <w:r>
            <w:instrText xml:space="preserve"> PAGEREF _Toc24566 \h </w:instrText>
          </w:r>
          <w:r>
            <w:fldChar w:fldCharType="separate"/>
          </w:r>
          <w:r>
            <w:t>64</w:t>
          </w:r>
          <w:r>
            <w:fldChar w:fldCharType="end"/>
          </w:r>
          <w:r>
            <w:rPr>
              <w:rFonts w:hint="eastAsia" w:ascii="宋体" w:hAnsi="宋体" w:eastAsia="宋体" w:cs="宋体"/>
              <w:color w:val="auto"/>
              <w:szCs w:val="24"/>
            </w:rPr>
            <w:fldChar w:fldCharType="end"/>
          </w:r>
        </w:p>
        <w:p w14:paraId="670665E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_Toc1676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_Toc1676 \h </w:instrText>
          </w:r>
          <w:r>
            <w:fldChar w:fldCharType="separate"/>
          </w:r>
          <w:r>
            <w:t>66</w:t>
          </w:r>
          <w:r>
            <w:fldChar w:fldCharType="end"/>
          </w:r>
          <w:r>
            <w:rPr>
              <w:rFonts w:hint="eastAsia" w:ascii="宋体" w:hAnsi="宋体" w:eastAsia="宋体" w:cs="宋体"/>
              <w:color w:val="auto"/>
              <w:szCs w:val="24"/>
            </w:rPr>
            <w:fldChar w:fldCharType="end"/>
          </w:r>
        </w:p>
        <w:p w14:paraId="1767CE89">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_Toc14394 </w:instrText>
          </w:r>
          <w:r>
            <w:rPr>
              <w:rFonts w:hint="eastAsia" w:ascii="宋体" w:hAnsi="宋体" w:eastAsia="宋体" w:cs="宋体"/>
              <w:szCs w:val="24"/>
            </w:rPr>
            <w:fldChar w:fldCharType="separate"/>
          </w:r>
          <w:r>
            <w:rPr>
              <w:rFonts w:hint="eastAsia"/>
              <w:lang w:val="en-US" w:eastAsia="zh-CN"/>
            </w:rPr>
            <w:t>7.1</w:t>
          </w:r>
          <w:r>
            <w:rPr>
              <w:rFonts w:hint="eastAsia"/>
            </w:rPr>
            <w:t>施工组织机构</w:t>
          </w:r>
          <w:r>
            <w:tab/>
          </w:r>
          <w:r>
            <w:fldChar w:fldCharType="begin"/>
          </w:r>
          <w:r>
            <w:instrText xml:space="preserve"> PAGEREF _Toc14394 \h </w:instrText>
          </w:r>
          <w:r>
            <w:fldChar w:fldCharType="separate"/>
          </w:r>
          <w:r>
            <w:t>66</w:t>
          </w:r>
          <w:r>
            <w:fldChar w:fldCharType="end"/>
          </w:r>
          <w:r>
            <w:rPr>
              <w:rFonts w:hint="eastAsia" w:ascii="宋体" w:hAnsi="宋体" w:eastAsia="宋体" w:cs="宋体"/>
              <w:color w:val="auto"/>
              <w:szCs w:val="24"/>
            </w:rPr>
            <w:fldChar w:fldCharType="end"/>
          </w:r>
        </w:p>
        <w:p w14:paraId="15B940C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_Toc7314 </w:instrText>
          </w:r>
          <w:r>
            <w:rPr>
              <w:rFonts w:hint="eastAsia" w:ascii="宋体" w:hAnsi="宋体" w:eastAsia="宋体" w:cs="宋体"/>
              <w:szCs w:val="24"/>
            </w:rPr>
            <w:fldChar w:fldCharType="separate"/>
          </w:r>
          <w:r>
            <w:rPr>
              <w:rFonts w:hint="eastAsia"/>
              <w:lang w:val="en-US" w:eastAsia="zh-CN"/>
            </w:rPr>
            <w:t>8</w:t>
          </w:r>
          <w:r>
            <w:rPr>
              <w:rFonts w:hint="eastAsia"/>
            </w:rPr>
            <w:t>应急处置</w:t>
          </w:r>
          <w:r>
            <w:rPr>
              <w:rFonts w:hint="eastAsia"/>
              <w:lang w:eastAsia="zh-CN"/>
            </w:rPr>
            <w:t>措施</w:t>
          </w:r>
          <w:r>
            <w:tab/>
          </w:r>
          <w:r>
            <w:fldChar w:fldCharType="begin"/>
          </w:r>
          <w:r>
            <w:instrText xml:space="preserve"> PAGEREF _Toc7314 \h </w:instrText>
          </w:r>
          <w:r>
            <w:fldChar w:fldCharType="separate"/>
          </w:r>
          <w:r>
            <w:t>67</w:t>
          </w:r>
          <w:r>
            <w:fldChar w:fldCharType="end"/>
          </w:r>
          <w:r>
            <w:rPr>
              <w:rFonts w:hint="eastAsia" w:ascii="宋体" w:hAnsi="宋体" w:eastAsia="宋体" w:cs="宋体"/>
              <w:color w:val="auto"/>
              <w:szCs w:val="24"/>
            </w:rPr>
            <w:fldChar w:fldCharType="end"/>
          </w:r>
        </w:p>
        <w:p w14:paraId="1A561B5A">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_Toc1614 </w:instrText>
          </w:r>
          <w:r>
            <w:rPr>
              <w:rFonts w:hint="eastAsia" w:ascii="宋体" w:hAnsi="宋体" w:eastAsia="宋体" w:cs="宋体"/>
              <w:szCs w:val="24"/>
            </w:rPr>
            <w:fldChar w:fldCharType="separate"/>
          </w:r>
          <w:r>
            <w:rPr>
              <w:rFonts w:hint="eastAsia"/>
              <w:lang w:val="en-US" w:eastAsia="zh-CN"/>
            </w:rPr>
            <w:t>8.1</w:t>
          </w:r>
          <w:r>
            <w:rPr>
              <w:rFonts w:hint="eastAsia"/>
            </w:rPr>
            <w:t>人员配置</w:t>
          </w:r>
          <w:r>
            <w:tab/>
          </w:r>
          <w:r>
            <w:fldChar w:fldCharType="begin"/>
          </w:r>
          <w:r>
            <w:instrText xml:space="preserve"> PAGEREF _Toc1614 \h </w:instrText>
          </w:r>
          <w:r>
            <w:fldChar w:fldCharType="separate"/>
          </w:r>
          <w:r>
            <w:t>67</w:t>
          </w:r>
          <w:r>
            <w:fldChar w:fldCharType="end"/>
          </w:r>
          <w:r>
            <w:rPr>
              <w:rFonts w:hint="eastAsia" w:ascii="宋体" w:hAnsi="宋体" w:eastAsia="宋体" w:cs="宋体"/>
              <w:color w:val="auto"/>
              <w:szCs w:val="24"/>
            </w:rPr>
            <w:fldChar w:fldCharType="end"/>
          </w:r>
        </w:p>
        <w:p w14:paraId="433BC2CB">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_Toc15357 </w:instrText>
          </w:r>
          <w:r>
            <w:rPr>
              <w:rFonts w:hint="eastAsia" w:ascii="宋体" w:hAnsi="宋体" w:eastAsia="宋体" w:cs="宋体"/>
              <w:szCs w:val="24"/>
            </w:rPr>
            <w:fldChar w:fldCharType="separate"/>
          </w:r>
          <w:r>
            <w:rPr>
              <w:rFonts w:hint="eastAsia"/>
              <w:lang w:val="en-US" w:eastAsia="zh-CN"/>
            </w:rPr>
            <w:t xml:space="preserve">8.1 </w:t>
          </w:r>
          <w:r>
            <w:rPr>
              <w:rFonts w:hint="eastAsia"/>
            </w:rPr>
            <w:t>危险源辨识</w:t>
          </w:r>
          <w:r>
            <w:tab/>
          </w:r>
          <w:r>
            <w:fldChar w:fldCharType="begin"/>
          </w:r>
          <w:r>
            <w:instrText xml:space="preserve"> PAGEREF _Toc15357 \h </w:instrText>
          </w:r>
          <w:r>
            <w:fldChar w:fldCharType="separate"/>
          </w:r>
          <w:r>
            <w:t>69</w:t>
          </w:r>
          <w:r>
            <w:fldChar w:fldCharType="end"/>
          </w:r>
          <w:r>
            <w:rPr>
              <w:rFonts w:hint="eastAsia" w:ascii="宋体" w:hAnsi="宋体" w:eastAsia="宋体" w:cs="宋体"/>
              <w:color w:val="auto"/>
              <w:szCs w:val="24"/>
            </w:rPr>
            <w:fldChar w:fldCharType="end"/>
          </w:r>
        </w:p>
        <w:p w14:paraId="048EFF48">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_Toc23733 </w:instrText>
          </w:r>
          <w:r>
            <w:rPr>
              <w:rFonts w:hint="eastAsia" w:ascii="宋体" w:hAnsi="宋体" w:eastAsia="宋体" w:cs="宋体"/>
              <w:szCs w:val="24"/>
            </w:rPr>
            <w:fldChar w:fldCharType="separate"/>
          </w:r>
          <w:r>
            <w:rPr>
              <w:rFonts w:hint="eastAsia"/>
              <w:lang w:val="en-US" w:eastAsia="zh-CN"/>
            </w:rPr>
            <w:t>8.2</w:t>
          </w:r>
          <w:r>
            <w:rPr>
              <w:rFonts w:hint="eastAsia"/>
            </w:rPr>
            <w:t>组织</w:t>
          </w:r>
          <w:r>
            <w:rPr>
              <w:rFonts w:hint="eastAsia"/>
              <w:lang w:val="en-US" w:eastAsia="zh-CN"/>
            </w:rPr>
            <w:t>机</w:t>
          </w:r>
          <w:r>
            <w:rPr>
              <w:rFonts w:hint="eastAsia"/>
            </w:rPr>
            <w:t>构及职责</w:t>
          </w:r>
          <w:r>
            <w:tab/>
          </w:r>
          <w:r>
            <w:fldChar w:fldCharType="begin"/>
          </w:r>
          <w:r>
            <w:instrText xml:space="preserve"> PAGEREF _Toc23733 \h </w:instrText>
          </w:r>
          <w:r>
            <w:fldChar w:fldCharType="separate"/>
          </w:r>
          <w:r>
            <w:t>85</w:t>
          </w:r>
          <w:r>
            <w:fldChar w:fldCharType="end"/>
          </w:r>
          <w:r>
            <w:rPr>
              <w:rFonts w:hint="eastAsia" w:ascii="宋体" w:hAnsi="宋体" w:eastAsia="宋体" w:cs="宋体"/>
              <w:color w:val="auto"/>
              <w:szCs w:val="24"/>
            </w:rPr>
            <w:fldChar w:fldCharType="end"/>
          </w:r>
        </w:p>
        <w:p w14:paraId="3FC94C8D">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_Toc9713 </w:instrText>
          </w:r>
          <w:r>
            <w:rPr>
              <w:rFonts w:hint="eastAsia" w:ascii="宋体" w:hAnsi="宋体" w:eastAsia="宋体" w:cs="宋体"/>
              <w:szCs w:val="24"/>
            </w:rPr>
            <w:fldChar w:fldCharType="separate"/>
          </w:r>
          <w:r>
            <w:rPr>
              <w:rFonts w:hint="eastAsia"/>
              <w:lang w:val="en-US" w:eastAsia="zh-CN"/>
            </w:rPr>
            <w:t>8.3</w:t>
          </w:r>
          <w:r>
            <w:rPr>
              <w:rFonts w:hint="eastAsia"/>
            </w:rPr>
            <w:t>预防与预警</w:t>
          </w:r>
          <w:r>
            <w:tab/>
          </w:r>
          <w:r>
            <w:fldChar w:fldCharType="begin"/>
          </w:r>
          <w:r>
            <w:instrText xml:space="preserve"> PAGEREF _Toc9713 \h </w:instrText>
          </w:r>
          <w:r>
            <w:fldChar w:fldCharType="separate"/>
          </w:r>
          <w:r>
            <w:t>86</w:t>
          </w:r>
          <w:r>
            <w:fldChar w:fldCharType="end"/>
          </w:r>
          <w:r>
            <w:rPr>
              <w:rFonts w:hint="eastAsia" w:ascii="宋体" w:hAnsi="宋体" w:eastAsia="宋体" w:cs="宋体"/>
              <w:color w:val="auto"/>
              <w:szCs w:val="24"/>
            </w:rPr>
            <w:fldChar w:fldCharType="end"/>
          </w:r>
        </w:p>
        <w:p w14:paraId="55202205">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_Toc13829 </w:instrText>
          </w:r>
          <w:r>
            <w:rPr>
              <w:rFonts w:hint="eastAsia" w:ascii="宋体" w:hAnsi="宋体" w:eastAsia="宋体" w:cs="宋体"/>
              <w:szCs w:val="24"/>
            </w:rPr>
            <w:fldChar w:fldCharType="separate"/>
          </w:r>
          <w:r>
            <w:rPr>
              <w:rFonts w:hint="eastAsia"/>
              <w:lang w:val="en-US" w:eastAsia="zh-CN"/>
            </w:rPr>
            <w:t>8</w:t>
          </w:r>
          <w:r>
            <w:rPr>
              <w:rFonts w:hint="eastAsia" w:eastAsia="宋体"/>
              <w:lang w:val="en-US" w:eastAsia="zh-CN"/>
            </w:rPr>
            <w:t>.4应急响应程序</w:t>
          </w:r>
          <w:r>
            <w:tab/>
          </w:r>
          <w:r>
            <w:fldChar w:fldCharType="begin"/>
          </w:r>
          <w:r>
            <w:instrText xml:space="preserve"> PAGEREF _Toc13829 \h </w:instrText>
          </w:r>
          <w:r>
            <w:fldChar w:fldCharType="separate"/>
          </w:r>
          <w:r>
            <w:t>86</w:t>
          </w:r>
          <w:r>
            <w:fldChar w:fldCharType="end"/>
          </w:r>
          <w:r>
            <w:rPr>
              <w:rFonts w:hint="eastAsia" w:ascii="宋体" w:hAnsi="宋体" w:eastAsia="宋体" w:cs="宋体"/>
              <w:color w:val="auto"/>
              <w:szCs w:val="24"/>
            </w:rPr>
            <w:fldChar w:fldCharType="end"/>
          </w:r>
        </w:p>
        <w:p w14:paraId="2E6ABA09">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_Toc14497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8.5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_Toc14497 \h </w:instrText>
          </w:r>
          <w:r>
            <w:fldChar w:fldCharType="separate"/>
          </w:r>
          <w:r>
            <w:t>88</w:t>
          </w:r>
          <w:r>
            <w:fldChar w:fldCharType="end"/>
          </w:r>
          <w:r>
            <w:rPr>
              <w:rFonts w:hint="eastAsia" w:ascii="宋体" w:hAnsi="宋体" w:eastAsia="宋体" w:cs="宋体"/>
              <w:color w:val="auto"/>
              <w:szCs w:val="24"/>
            </w:rPr>
            <w:fldChar w:fldCharType="end"/>
          </w:r>
        </w:p>
        <w:p w14:paraId="44C6D583">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_Toc30132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8.6 </w:t>
          </w:r>
          <w:r>
            <w:rPr>
              <w:rFonts w:hint="eastAsia"/>
            </w:rPr>
            <w:t>施工现场的急救步骤</w:t>
          </w:r>
          <w:r>
            <w:tab/>
          </w:r>
          <w:r>
            <w:fldChar w:fldCharType="begin"/>
          </w:r>
          <w:r>
            <w:instrText xml:space="preserve"> PAGEREF _Toc30132 \h </w:instrText>
          </w:r>
          <w:r>
            <w:fldChar w:fldCharType="separate"/>
          </w:r>
          <w:r>
            <w:t>93</w:t>
          </w:r>
          <w:r>
            <w:fldChar w:fldCharType="end"/>
          </w:r>
          <w:r>
            <w:rPr>
              <w:rFonts w:hint="eastAsia" w:ascii="宋体" w:hAnsi="宋体" w:eastAsia="宋体" w:cs="宋体"/>
              <w:color w:val="auto"/>
              <w:szCs w:val="24"/>
            </w:rPr>
            <w:fldChar w:fldCharType="end"/>
          </w:r>
        </w:p>
        <w:p w14:paraId="51D48E83">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_Toc6009 </w:instrText>
          </w:r>
          <w:r>
            <w:rPr>
              <w:rFonts w:hint="eastAsia" w:ascii="宋体" w:hAnsi="宋体" w:eastAsia="宋体" w:cs="宋体"/>
              <w:szCs w:val="24"/>
            </w:rPr>
            <w:fldChar w:fldCharType="separate"/>
          </w:r>
          <w:r>
            <w:rPr>
              <w:rFonts w:hint="eastAsia"/>
              <w:lang w:val="en-US" w:eastAsia="zh-CN"/>
            </w:rPr>
            <w:t xml:space="preserve">8.7 </w:t>
          </w:r>
          <w:r>
            <w:rPr>
              <w:rFonts w:hint="eastAsia"/>
            </w:rPr>
            <w:t>应急保障</w:t>
          </w:r>
          <w:r>
            <w:tab/>
          </w:r>
          <w:r>
            <w:fldChar w:fldCharType="begin"/>
          </w:r>
          <w:r>
            <w:instrText xml:space="preserve"> PAGEREF _Toc6009 \h </w:instrText>
          </w:r>
          <w:r>
            <w:fldChar w:fldCharType="separate"/>
          </w:r>
          <w:r>
            <w:t>94</w:t>
          </w:r>
          <w:r>
            <w:fldChar w:fldCharType="end"/>
          </w:r>
          <w:r>
            <w:rPr>
              <w:rFonts w:hint="eastAsia" w:ascii="宋体" w:hAnsi="宋体" w:eastAsia="宋体" w:cs="宋体"/>
              <w:color w:val="auto"/>
              <w:szCs w:val="24"/>
            </w:rPr>
            <w:fldChar w:fldCharType="end"/>
          </w:r>
        </w:p>
        <w:p w14:paraId="2984BD4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_Toc28705 </w:instrText>
          </w:r>
          <w:r>
            <w:rPr>
              <w:rFonts w:hint="eastAsia" w:ascii="宋体" w:hAnsi="宋体" w:eastAsia="宋体" w:cs="宋体"/>
              <w:szCs w:val="24"/>
            </w:rPr>
            <w:fldChar w:fldCharType="separate"/>
          </w:r>
          <w:r>
            <w:rPr>
              <w:rFonts w:hint="eastAsia"/>
              <w:lang w:val="en-US" w:eastAsia="zh-CN"/>
            </w:rPr>
            <w:t>9</w:t>
          </w:r>
          <w:r>
            <w:rPr>
              <w:rFonts w:hint="eastAsia"/>
            </w:rPr>
            <w:t>绿色及文明施工</w:t>
          </w:r>
          <w:r>
            <w:tab/>
          </w:r>
          <w:r>
            <w:fldChar w:fldCharType="begin"/>
          </w:r>
          <w:r>
            <w:instrText xml:space="preserve"> PAGEREF _Toc28705 \h </w:instrText>
          </w:r>
          <w:r>
            <w:fldChar w:fldCharType="separate"/>
          </w:r>
          <w:r>
            <w:t>97</w:t>
          </w:r>
          <w:r>
            <w:fldChar w:fldCharType="end"/>
          </w:r>
          <w:r>
            <w:rPr>
              <w:rFonts w:hint="eastAsia" w:ascii="宋体" w:hAnsi="宋体" w:eastAsia="宋体" w:cs="宋体"/>
              <w:color w:val="auto"/>
              <w:szCs w:val="24"/>
            </w:rPr>
            <w:fldChar w:fldCharType="end"/>
          </w:r>
        </w:p>
        <w:p w14:paraId="309A5B39">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_Toc4466 </w:instrText>
          </w:r>
          <w:r>
            <w:rPr>
              <w:rFonts w:hint="eastAsia" w:ascii="宋体" w:hAnsi="宋体" w:eastAsia="宋体" w:cs="宋体"/>
              <w:szCs w:val="24"/>
            </w:rPr>
            <w:fldChar w:fldCharType="separate"/>
          </w:r>
          <w:r>
            <w:rPr>
              <w:rFonts w:hint="eastAsia"/>
              <w:lang w:val="en-US" w:eastAsia="zh-CN"/>
            </w:rPr>
            <w:t>9</w:t>
          </w:r>
          <w:r>
            <w:rPr>
              <w:rFonts w:hint="eastAsia"/>
            </w:rPr>
            <w:t>.1</w:t>
          </w:r>
          <w:r>
            <w:t>绿色及文明施工组织机构</w:t>
          </w:r>
          <w:r>
            <w:tab/>
          </w:r>
          <w:r>
            <w:fldChar w:fldCharType="begin"/>
          </w:r>
          <w:r>
            <w:instrText xml:space="preserve"> PAGEREF _Toc4466 \h </w:instrText>
          </w:r>
          <w:r>
            <w:fldChar w:fldCharType="separate"/>
          </w:r>
          <w:r>
            <w:t>97</w:t>
          </w:r>
          <w:r>
            <w:fldChar w:fldCharType="end"/>
          </w:r>
          <w:r>
            <w:rPr>
              <w:rFonts w:hint="eastAsia" w:ascii="宋体" w:hAnsi="宋体" w:eastAsia="宋体" w:cs="宋体"/>
              <w:color w:val="auto"/>
              <w:szCs w:val="24"/>
            </w:rPr>
            <w:fldChar w:fldCharType="end"/>
          </w:r>
        </w:p>
        <w:p w14:paraId="63B8E85B">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_Toc15379 </w:instrText>
          </w:r>
          <w:r>
            <w:rPr>
              <w:rFonts w:hint="eastAsia" w:ascii="宋体" w:hAnsi="宋体" w:eastAsia="宋体" w:cs="宋体"/>
              <w:szCs w:val="24"/>
            </w:rPr>
            <w:fldChar w:fldCharType="separate"/>
          </w:r>
          <w:r>
            <w:rPr>
              <w:rFonts w:hint="eastAsia"/>
              <w:lang w:val="en-US" w:eastAsia="zh-CN"/>
            </w:rPr>
            <w:t>9</w:t>
          </w:r>
          <w:r>
            <w:rPr>
              <w:rFonts w:hint="eastAsia"/>
            </w:rPr>
            <w:t>.2</w:t>
          </w:r>
          <w:r>
            <w:t>绿色及文明施工保证体系</w:t>
          </w:r>
          <w:r>
            <w:tab/>
          </w:r>
          <w:r>
            <w:fldChar w:fldCharType="begin"/>
          </w:r>
          <w:r>
            <w:instrText xml:space="preserve"> PAGEREF _Toc15379 \h </w:instrText>
          </w:r>
          <w:r>
            <w:fldChar w:fldCharType="separate"/>
          </w:r>
          <w:r>
            <w:t>97</w:t>
          </w:r>
          <w:r>
            <w:fldChar w:fldCharType="end"/>
          </w:r>
          <w:r>
            <w:rPr>
              <w:rFonts w:hint="eastAsia" w:ascii="宋体" w:hAnsi="宋体" w:eastAsia="宋体" w:cs="宋体"/>
              <w:color w:val="auto"/>
              <w:szCs w:val="24"/>
            </w:rPr>
            <w:fldChar w:fldCharType="end"/>
          </w:r>
        </w:p>
        <w:p w14:paraId="06B1529C">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_Toc7971 </w:instrText>
          </w:r>
          <w:r>
            <w:rPr>
              <w:rFonts w:hint="eastAsia" w:ascii="宋体" w:hAnsi="宋体" w:eastAsia="宋体" w:cs="宋体"/>
              <w:szCs w:val="24"/>
            </w:rPr>
            <w:fldChar w:fldCharType="separate"/>
          </w:r>
          <w:r>
            <w:rPr>
              <w:rFonts w:hint="eastAsia"/>
              <w:lang w:val="en-US" w:eastAsia="zh-CN"/>
            </w:rPr>
            <w:t>9</w:t>
          </w:r>
          <w:r>
            <w:rPr>
              <w:rFonts w:hint="eastAsia"/>
            </w:rPr>
            <w:t>.3</w:t>
          </w:r>
          <w:r>
            <w:t>绿色施工保证措施</w:t>
          </w:r>
          <w:r>
            <w:tab/>
          </w:r>
          <w:r>
            <w:fldChar w:fldCharType="begin"/>
          </w:r>
          <w:r>
            <w:instrText xml:space="preserve"> PAGEREF _Toc7971 \h </w:instrText>
          </w:r>
          <w:r>
            <w:fldChar w:fldCharType="separate"/>
          </w:r>
          <w:r>
            <w:t>98</w:t>
          </w:r>
          <w:r>
            <w:fldChar w:fldCharType="end"/>
          </w:r>
          <w:r>
            <w:rPr>
              <w:rFonts w:hint="eastAsia" w:ascii="宋体" w:hAnsi="宋体" w:eastAsia="宋体" w:cs="宋体"/>
              <w:color w:val="auto"/>
              <w:szCs w:val="24"/>
            </w:rPr>
            <w:fldChar w:fldCharType="end"/>
          </w:r>
        </w:p>
        <w:p w14:paraId="71305056">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_Toc24838 </w:instrText>
          </w:r>
          <w:r>
            <w:rPr>
              <w:rFonts w:hint="eastAsia" w:ascii="宋体" w:hAnsi="宋体" w:eastAsia="宋体" w:cs="宋体"/>
              <w:szCs w:val="24"/>
            </w:rPr>
            <w:fldChar w:fldCharType="separate"/>
          </w:r>
          <w:r>
            <w:rPr>
              <w:rFonts w:hint="eastAsia"/>
              <w:lang w:val="en-US" w:eastAsia="zh-CN"/>
            </w:rPr>
            <w:t>9</w:t>
          </w:r>
          <w:r>
            <w:rPr>
              <w:rFonts w:hint="eastAsia"/>
            </w:rPr>
            <w:t>.4</w:t>
          </w:r>
          <w:r>
            <w:t>文明施工保证措施</w:t>
          </w:r>
          <w:r>
            <w:tab/>
          </w:r>
          <w:r>
            <w:fldChar w:fldCharType="begin"/>
          </w:r>
          <w:r>
            <w:instrText xml:space="preserve"> PAGEREF _Toc24838 \h </w:instrText>
          </w:r>
          <w:r>
            <w:fldChar w:fldCharType="separate"/>
          </w:r>
          <w:r>
            <w:t>99</w:t>
          </w:r>
          <w:r>
            <w:fldChar w:fldCharType="end"/>
          </w:r>
          <w:r>
            <w:rPr>
              <w:rFonts w:hint="eastAsia" w:ascii="宋体" w:hAnsi="宋体" w:eastAsia="宋体" w:cs="宋体"/>
              <w:color w:val="auto"/>
              <w:szCs w:val="24"/>
            </w:rPr>
            <w:fldChar w:fldCharType="end"/>
          </w:r>
        </w:p>
        <w:p w14:paraId="562ACD3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_Toc24148 </w:instrText>
          </w:r>
          <w:r>
            <w:rPr>
              <w:rFonts w:hint="eastAsia" w:ascii="宋体" w:hAnsi="宋体" w:eastAsia="宋体" w:cs="宋体"/>
              <w:szCs w:val="24"/>
            </w:rPr>
            <w:fldChar w:fldCharType="separate"/>
          </w:r>
          <w:r>
            <w:rPr>
              <w:rFonts w:hint="eastAsia"/>
              <w:lang w:val="en-US" w:eastAsia="zh-CN"/>
            </w:rPr>
            <w:t>10</w:t>
          </w:r>
          <w:r>
            <w:rPr>
              <w:rFonts w:hint="eastAsia"/>
            </w:rPr>
            <w:t>计算书及相关施工图纸</w:t>
          </w:r>
          <w:r>
            <w:tab/>
          </w:r>
          <w:r>
            <w:fldChar w:fldCharType="begin"/>
          </w:r>
          <w:r>
            <w:instrText xml:space="preserve"> PAGEREF _Toc24148 \h </w:instrText>
          </w:r>
          <w:r>
            <w:fldChar w:fldCharType="separate"/>
          </w:r>
          <w:r>
            <w:t>101</w:t>
          </w:r>
          <w:r>
            <w:fldChar w:fldCharType="end"/>
          </w:r>
          <w:r>
            <w:rPr>
              <w:rFonts w:hint="eastAsia" w:ascii="宋体" w:hAnsi="宋体" w:eastAsia="宋体" w:cs="宋体"/>
              <w:color w:val="auto"/>
              <w:szCs w:val="24"/>
            </w:rPr>
            <w:fldChar w:fldCharType="end"/>
          </w:r>
        </w:p>
        <w:p w14:paraId="0898A3EF">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_Toc20728 </w:instrText>
          </w:r>
          <w:r>
            <w:rPr>
              <w:rFonts w:hint="eastAsia" w:ascii="宋体" w:hAnsi="宋体" w:eastAsia="宋体" w:cs="宋体"/>
              <w:szCs w:val="24"/>
            </w:rPr>
            <w:fldChar w:fldCharType="separate"/>
          </w:r>
          <w:r>
            <w:rPr>
              <w:rFonts w:hint="eastAsia"/>
              <w:szCs w:val="24"/>
              <w:lang w:val="en-US" w:eastAsia="zh-CN"/>
            </w:rPr>
            <w:t>10.1吊装分析</w:t>
          </w:r>
          <w:r>
            <w:tab/>
          </w:r>
          <w:r>
            <w:fldChar w:fldCharType="begin"/>
          </w:r>
          <w:r>
            <w:instrText xml:space="preserve"> PAGEREF _Toc20728 \h </w:instrText>
          </w:r>
          <w:r>
            <w:fldChar w:fldCharType="separate"/>
          </w:r>
          <w:r>
            <w:t>101</w:t>
          </w:r>
          <w:r>
            <w:fldChar w:fldCharType="end"/>
          </w:r>
          <w:r>
            <w:rPr>
              <w:rFonts w:hint="eastAsia" w:ascii="宋体" w:hAnsi="宋体" w:eastAsia="宋体" w:cs="宋体"/>
              <w:color w:val="auto"/>
              <w:szCs w:val="24"/>
            </w:rPr>
            <w:fldChar w:fldCharType="end"/>
          </w:r>
        </w:p>
        <w:p w14:paraId="6F81C72F">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_Toc24340 </w:instrText>
          </w:r>
          <w:r>
            <w:rPr>
              <w:rFonts w:hint="eastAsia" w:ascii="宋体" w:hAnsi="宋体" w:eastAsia="宋体" w:cs="宋体"/>
              <w:szCs w:val="24"/>
            </w:rPr>
            <w:fldChar w:fldCharType="separate"/>
          </w:r>
          <w:r>
            <w:rPr>
              <w:rFonts w:hint="eastAsia"/>
              <w:szCs w:val="24"/>
              <w:lang w:val="en-US" w:eastAsia="zh-CN"/>
            </w:rPr>
            <w:t>10.3 各塔施工平面布置</w:t>
          </w:r>
          <w:r>
            <w:tab/>
          </w:r>
          <w:r>
            <w:fldChar w:fldCharType="begin"/>
          </w:r>
          <w:r>
            <w:instrText xml:space="preserve"> PAGEREF _Toc24340 \h </w:instrText>
          </w:r>
          <w:r>
            <w:fldChar w:fldCharType="separate"/>
          </w:r>
          <w:r>
            <w:t>106</w:t>
          </w:r>
          <w:r>
            <w:fldChar w:fldCharType="end"/>
          </w:r>
          <w:r>
            <w:rPr>
              <w:rFonts w:hint="eastAsia" w:ascii="宋体" w:hAnsi="宋体" w:eastAsia="宋体" w:cs="宋体"/>
              <w:color w:val="auto"/>
              <w:szCs w:val="24"/>
            </w:rPr>
            <w:fldChar w:fldCharType="end"/>
          </w:r>
        </w:p>
        <w:p w14:paraId="01E3AC30">
          <w:pPr>
            <w:pStyle w:val="24"/>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_Toc20890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w:t>
          </w:r>
          <w:r>
            <w:rPr>
              <w:rFonts w:hint="eastAsia" w:cs="Times New Roman"/>
              <w:szCs w:val="24"/>
              <w:lang w:val="en-US" w:eastAsia="zh-CN"/>
            </w:rPr>
            <w:t>0</w:t>
          </w:r>
          <w:r>
            <w:rPr>
              <w:rFonts w:hint="eastAsia" w:ascii="Times New Roman" w:hAnsi="Times New Roman" w:eastAsia="宋体" w:cs="Times New Roman"/>
              <w:szCs w:val="24"/>
              <w:lang w:val="en-US" w:eastAsia="zh-CN"/>
            </w:rPr>
            <w:t>.</w:t>
          </w:r>
          <w:r>
            <w:rPr>
              <w:rFonts w:hint="eastAsia" w:cs="Times New Roman"/>
              <w:szCs w:val="24"/>
              <w:lang w:val="en-US" w:eastAsia="zh-CN"/>
            </w:rPr>
            <w:t>4</w:t>
          </w:r>
          <w:r>
            <w:rPr>
              <w:rFonts w:hint="eastAsia" w:ascii="Times New Roman" w:hAnsi="Times New Roman" w:eastAsia="宋体" w:cs="Times New Roman"/>
              <w:szCs w:val="24"/>
              <w:lang w:val="en-US" w:eastAsia="zh-CN"/>
            </w:rPr>
            <w:t xml:space="preserve"> 设备及人员相关证件</w:t>
          </w:r>
          <w:r>
            <w:tab/>
          </w:r>
          <w:r>
            <w:fldChar w:fldCharType="begin"/>
          </w:r>
          <w:r>
            <w:instrText xml:space="preserve"> PAGEREF _Toc20890 \h </w:instrText>
          </w:r>
          <w:r>
            <w:fldChar w:fldCharType="separate"/>
          </w:r>
          <w:r>
            <w:t>107</w:t>
          </w:r>
          <w:r>
            <w:fldChar w:fldCharType="end"/>
          </w:r>
          <w:r>
            <w:rPr>
              <w:rFonts w:hint="eastAsia" w:ascii="宋体" w:hAnsi="宋体" w:eastAsia="宋体" w:cs="宋体"/>
              <w:color w:val="auto"/>
              <w:szCs w:val="24"/>
            </w:rPr>
            <w:fldChar w:fldCharType="end"/>
          </w:r>
        </w:p>
        <w:p w14:paraId="6C5F60F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footerReference r:id="rId11" w:type="default"/>
              <w:pgSz w:w="11906" w:h="16838"/>
              <w:pgMar w:top="1418" w:right="1418" w:bottom="1418" w:left="1418" w:header="851" w:footer="992" w:gutter="0"/>
              <w:pgNumType w:fmt="decimal" w:start="1"/>
              <w:cols w:space="425" w:num="1"/>
              <w:docGrid w:linePitch="498" w:charSpace="17788"/>
            </w:sectPr>
          </w:pPr>
          <w:r>
            <w:rPr>
              <w:rFonts w:hint="eastAsia" w:ascii="宋体" w:hAnsi="宋体" w:eastAsia="宋体" w:cs="宋体"/>
              <w:color w:val="auto"/>
              <w:szCs w:val="24"/>
            </w:rPr>
            <w:fldChar w:fldCharType="end"/>
          </w:r>
        </w:p>
      </w:sdtContent>
    </w:sdt>
    <w:p w14:paraId="2388F2B0">
      <w:pPr>
        <w:pStyle w:val="2"/>
        <w:spacing w:before="156" w:after="156"/>
        <w:rPr>
          <w:color w:val="auto"/>
        </w:rPr>
      </w:pPr>
      <w:bookmarkStart w:id="9" w:name="_Toc26437"/>
      <w:bookmarkStart w:id="10" w:name="_Toc40778426"/>
      <w:bookmarkStart w:id="11" w:name="_Toc10938"/>
      <w:bookmarkStart w:id="12" w:name="_Toc22993"/>
      <w:r>
        <w:rPr>
          <w:rFonts w:hint="eastAsia"/>
          <w:color w:val="auto"/>
        </w:rPr>
        <w:t>编制</w:t>
      </w:r>
      <w:bookmarkEnd w:id="9"/>
      <w:bookmarkEnd w:id="10"/>
      <w:r>
        <w:rPr>
          <w:rFonts w:hint="eastAsia"/>
          <w:color w:val="auto"/>
        </w:rPr>
        <w:t>说明、依据及适用范围</w:t>
      </w:r>
      <w:bookmarkEnd w:id="11"/>
      <w:bookmarkEnd w:id="12"/>
    </w:p>
    <w:p w14:paraId="23F6088F">
      <w:pPr>
        <w:pStyle w:val="3"/>
        <w:spacing w:before="156" w:after="156"/>
        <w:ind w:left="480" w:leftChars="0" w:firstLineChars="0"/>
        <w:rPr>
          <w:color w:val="auto"/>
        </w:rPr>
      </w:pPr>
      <w:bookmarkStart w:id="13" w:name="_Toc2002"/>
      <w:bookmarkStart w:id="14" w:name="_Toc15521"/>
      <w:bookmarkStart w:id="15" w:name="_Toc21803"/>
      <w:bookmarkStart w:id="16" w:name="_Toc40778430"/>
      <w:bookmarkStart w:id="17" w:name="_Toc9657"/>
      <w:bookmarkStart w:id="18" w:name="_Toc11045"/>
      <w:r>
        <w:rPr>
          <w:rFonts w:hint="eastAsia"/>
          <w:color w:val="auto"/>
        </w:rPr>
        <w:t>编制</w:t>
      </w:r>
      <w:bookmarkEnd w:id="13"/>
      <w:bookmarkEnd w:id="14"/>
      <w:bookmarkEnd w:id="15"/>
      <w:bookmarkEnd w:id="16"/>
      <w:r>
        <w:rPr>
          <w:rFonts w:hint="eastAsia"/>
          <w:color w:val="auto"/>
        </w:rPr>
        <w:t>说明</w:t>
      </w:r>
      <w:bookmarkEnd w:id="17"/>
      <w:bookmarkEnd w:id="18"/>
    </w:p>
    <w:p w14:paraId="337E1DD2">
      <w:pPr>
        <w:pStyle w:val="48"/>
        <w:ind w:firstLine="480"/>
        <w:rPr>
          <w:rFonts w:hint="eastAsia" w:ascii="Times New Roman" w:hAnsi="Times New Roman" w:cs="Times New Roman"/>
          <w:color w:val="auto"/>
          <w:kern w:val="2"/>
        </w:rPr>
      </w:pPr>
      <w:bookmarkStart w:id="19" w:name="_Toc20553"/>
      <w:bookmarkStart w:id="20" w:name="_Hlk109141016"/>
      <w:bookmarkStart w:id="21" w:name="_Toc31747"/>
      <w:bookmarkStart w:id="22" w:name="_Toc40778428"/>
      <w:bookmarkStart w:id="23" w:name="_Toc18637"/>
      <w:bookmarkStart w:id="24" w:name="_Toc10843"/>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color w:val="auto"/>
          <w:sz w:val="24"/>
          <w:szCs w:val="24"/>
          <w:lang w:eastAsia="zh-CN"/>
        </w:rPr>
        <w:t>XGT6015-8S1</w:t>
      </w:r>
      <w:r>
        <w:rPr>
          <w:rFonts w:hint="eastAsia" w:ascii="Times New Roman" w:hAnsi="Times New Roman" w:cs="Times New Roman"/>
          <w:color w:val="auto"/>
          <w:kern w:val="2"/>
          <w:sz w:val="24"/>
          <w:szCs w:val="24"/>
        </w:rPr>
        <w:t>型塔式起重机</w:t>
      </w:r>
      <w:r>
        <w:rPr>
          <w:rFonts w:hint="eastAsia" w:ascii="Times New Roman" w:hAnsi="Times New Roman" w:cs="Times New Roman"/>
          <w:color w:val="auto"/>
          <w:kern w:val="2"/>
          <w:sz w:val="24"/>
          <w:szCs w:val="24"/>
          <w:lang w:val="en-US" w:eastAsia="zh-CN"/>
        </w:rPr>
        <w:t>拆除</w:t>
      </w:r>
      <w:r>
        <w:rPr>
          <w:rFonts w:hint="eastAsia" w:ascii="Times New Roman" w:hAnsi="Times New Roman" w:cs="Times New Roman"/>
          <w:color w:val="auto"/>
          <w:kern w:val="2"/>
        </w:rPr>
        <w:t>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1B0BE573">
      <w:pPr>
        <w:pStyle w:val="3"/>
        <w:outlineLvl w:val="1"/>
        <w:rPr>
          <w:rFonts w:hint="default" w:eastAsia="宋体"/>
          <w:color w:val="auto"/>
          <w:lang w:val="en-US" w:eastAsia="zh-CN"/>
        </w:rPr>
      </w:pPr>
      <w:bookmarkStart w:id="25" w:name="_Toc640"/>
      <w:bookmarkStart w:id="26" w:name="_Toc1215"/>
      <w:r>
        <w:rPr>
          <w:rFonts w:hint="eastAsia"/>
          <w:color w:val="auto"/>
          <w:lang w:val="en-US" w:eastAsia="zh-CN"/>
        </w:rPr>
        <w:t>编制依据</w:t>
      </w:r>
      <w:bookmarkEnd w:id="25"/>
    </w:p>
    <w:p w14:paraId="2F84CB06">
      <w:pPr>
        <w:pStyle w:val="67"/>
        <w:ind w:firstLine="241"/>
        <w:outlineLvl w:val="2"/>
        <w:rPr>
          <w:color w:val="auto"/>
        </w:rPr>
      </w:pPr>
      <w:bookmarkStart w:id="27" w:name="_Toc6806"/>
      <w:bookmarkStart w:id="28" w:name="_Hlk42526096"/>
      <w:r>
        <w:rPr>
          <w:rFonts w:hint="eastAsia"/>
          <w:color w:val="auto"/>
          <w:lang w:val="en-US" w:eastAsia="zh-CN"/>
        </w:rPr>
        <w:t>1</w:t>
      </w:r>
      <w:r>
        <w:rPr>
          <w:color w:val="auto"/>
        </w:rPr>
        <w:t>.2.1</w:t>
      </w:r>
      <w:r>
        <w:rPr>
          <w:rFonts w:hint="eastAsia"/>
          <w:color w:val="auto"/>
        </w:rPr>
        <w:t>主要法律法规</w:t>
      </w:r>
    </w:p>
    <w:p w14:paraId="5127F2CB">
      <w:pPr>
        <w:pStyle w:val="48"/>
        <w:numPr>
          <w:ilvl w:val="0"/>
          <w:numId w:val="4"/>
        </w:numPr>
        <w:ind w:firstLineChars="0"/>
        <w:rPr>
          <w:rFonts w:hint="eastAsia"/>
          <w:color w:val="auto"/>
        </w:rPr>
      </w:pPr>
      <w:r>
        <w:rPr>
          <w:rFonts w:hint="eastAsia"/>
          <w:color w:val="auto"/>
        </w:rPr>
        <w:t>《特种设备安全监察条例》（国务院第549号令）</w:t>
      </w:r>
    </w:p>
    <w:p w14:paraId="33845536">
      <w:pPr>
        <w:pStyle w:val="48"/>
        <w:numPr>
          <w:ilvl w:val="0"/>
          <w:numId w:val="4"/>
        </w:numPr>
        <w:ind w:firstLineChars="0"/>
        <w:rPr>
          <w:rFonts w:hint="eastAsia"/>
          <w:color w:val="auto"/>
        </w:rPr>
      </w:pPr>
      <w:r>
        <w:rPr>
          <w:rFonts w:hint="eastAsia"/>
          <w:color w:val="auto"/>
        </w:rPr>
        <w:t>《起重机械监督检验规程》（国质检锅（2003）296号）</w:t>
      </w:r>
    </w:p>
    <w:p w14:paraId="76510B92">
      <w:pPr>
        <w:pStyle w:val="48"/>
        <w:numPr>
          <w:ilvl w:val="0"/>
          <w:numId w:val="4"/>
        </w:numPr>
        <w:ind w:firstLineChars="0"/>
        <w:rPr>
          <w:rFonts w:hint="eastAsia"/>
          <w:color w:val="auto"/>
        </w:rPr>
      </w:pPr>
      <w:r>
        <w:rPr>
          <w:rFonts w:hint="eastAsia"/>
          <w:color w:val="auto"/>
        </w:rPr>
        <w:t>《起重设备常用数据手册》（人民交通出版社）</w:t>
      </w:r>
    </w:p>
    <w:p w14:paraId="1184F050">
      <w:pPr>
        <w:pStyle w:val="48"/>
        <w:numPr>
          <w:ilvl w:val="0"/>
          <w:numId w:val="4"/>
        </w:numPr>
        <w:ind w:firstLineChars="0"/>
        <w:rPr>
          <w:rFonts w:hint="eastAsia"/>
          <w:color w:val="auto"/>
        </w:rPr>
      </w:pPr>
      <w:r>
        <w:rPr>
          <w:rFonts w:hint="eastAsia"/>
          <w:color w:val="auto"/>
        </w:rPr>
        <w:t>《重型设备吊装手册》（冶金工业出版社）</w:t>
      </w:r>
    </w:p>
    <w:p w14:paraId="7471921C">
      <w:pPr>
        <w:pStyle w:val="48"/>
        <w:numPr>
          <w:ilvl w:val="0"/>
          <w:numId w:val="4"/>
        </w:numPr>
        <w:ind w:firstLineChars="0"/>
        <w:rPr>
          <w:rFonts w:hint="eastAsia"/>
          <w:color w:val="auto"/>
        </w:rPr>
      </w:pPr>
      <w:r>
        <w:rPr>
          <w:rFonts w:hint="eastAsia"/>
          <w:color w:val="auto"/>
        </w:rPr>
        <w:t>《建设工程安全生产条例》（国务院第393号令）</w:t>
      </w:r>
    </w:p>
    <w:p w14:paraId="5ABF98C4">
      <w:pPr>
        <w:pStyle w:val="48"/>
        <w:numPr>
          <w:ilvl w:val="0"/>
          <w:numId w:val="4"/>
        </w:numPr>
        <w:ind w:firstLineChars="0"/>
        <w:rPr>
          <w:rFonts w:hint="eastAsia"/>
          <w:color w:val="auto"/>
        </w:rPr>
      </w:pPr>
      <w:r>
        <w:rPr>
          <w:rFonts w:hint="eastAsia"/>
          <w:color w:val="auto"/>
        </w:rPr>
        <w:t>《建筑起重机械安全监督管理规定》（建设部第166号令）</w:t>
      </w:r>
    </w:p>
    <w:p w14:paraId="208C16CA">
      <w:pPr>
        <w:pStyle w:val="67"/>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5B2F8A02">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2DA7697B">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4FA1BFAC">
      <w:pPr>
        <w:pStyle w:val="48"/>
        <w:numPr>
          <w:ilvl w:val="0"/>
          <w:numId w:val="5"/>
        </w:numPr>
        <w:ind w:firstLineChars="0"/>
        <w:rPr>
          <w:rFonts w:hint="eastAsia"/>
          <w:color w:val="auto"/>
        </w:rPr>
      </w:pPr>
      <w:r>
        <w:rPr>
          <w:rFonts w:hint="eastAsia"/>
          <w:color w:val="auto"/>
        </w:rPr>
        <w:t>《建筑施工高处作业安全技术规范》（JGJ80-2016）</w:t>
      </w:r>
    </w:p>
    <w:p w14:paraId="550B9BF2">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7E54F1F2">
      <w:pPr>
        <w:pStyle w:val="48"/>
        <w:numPr>
          <w:ilvl w:val="0"/>
          <w:numId w:val="5"/>
        </w:numPr>
        <w:ind w:firstLineChars="0"/>
        <w:rPr>
          <w:rFonts w:hint="eastAsia"/>
          <w:color w:val="auto"/>
        </w:rPr>
      </w:pPr>
      <w:r>
        <w:rPr>
          <w:rFonts w:hint="eastAsia"/>
          <w:color w:val="auto"/>
        </w:rPr>
        <w:t>《施工现场临时用电安全技术规范(附条文说明)》（JGJ46-2005）</w:t>
      </w:r>
      <w:bookmarkEnd w:id="29"/>
    </w:p>
    <w:p w14:paraId="0E26B770">
      <w:pPr>
        <w:pStyle w:val="48"/>
        <w:numPr>
          <w:ilvl w:val="0"/>
          <w:numId w:val="5"/>
        </w:numPr>
        <w:ind w:firstLineChars="0"/>
        <w:rPr>
          <w:rFonts w:hint="eastAsia"/>
          <w:color w:val="auto"/>
        </w:rPr>
      </w:pPr>
      <w:r>
        <w:rPr>
          <w:rFonts w:hint="eastAsia"/>
          <w:color w:val="auto"/>
        </w:rPr>
        <w:t>《起重机钢丝绳保养、维护、检验和报废》（GB/T5972-2016）</w:t>
      </w:r>
    </w:p>
    <w:p w14:paraId="21047BD6">
      <w:pPr>
        <w:pStyle w:val="48"/>
        <w:numPr>
          <w:ilvl w:val="0"/>
          <w:numId w:val="5"/>
        </w:numPr>
        <w:ind w:firstLineChars="0"/>
        <w:rPr>
          <w:rFonts w:hint="eastAsia"/>
          <w:color w:val="auto"/>
        </w:rPr>
      </w:pPr>
      <w:r>
        <w:rPr>
          <w:rFonts w:hint="eastAsia"/>
          <w:color w:val="auto"/>
        </w:rPr>
        <w:t>《起重机设计规范》（GB3811-2008）</w:t>
      </w:r>
    </w:p>
    <w:p w14:paraId="0B16C389">
      <w:pPr>
        <w:pStyle w:val="48"/>
        <w:numPr>
          <w:ilvl w:val="0"/>
          <w:numId w:val="5"/>
        </w:numPr>
        <w:ind w:firstLineChars="0"/>
        <w:rPr>
          <w:rFonts w:hint="eastAsia"/>
          <w:color w:val="auto"/>
        </w:rPr>
      </w:pPr>
      <w:r>
        <w:rPr>
          <w:rFonts w:hint="eastAsia"/>
          <w:color w:val="auto"/>
        </w:rPr>
        <w:t>《塔式起重机设计规范》（GB/T 13752-2017）</w:t>
      </w:r>
    </w:p>
    <w:p w14:paraId="16354D67">
      <w:pPr>
        <w:pStyle w:val="48"/>
        <w:numPr>
          <w:ilvl w:val="0"/>
          <w:numId w:val="5"/>
        </w:numPr>
        <w:ind w:firstLineChars="0"/>
        <w:rPr>
          <w:rFonts w:hint="eastAsia"/>
          <w:color w:val="auto"/>
        </w:rPr>
      </w:pPr>
      <w:r>
        <w:rPr>
          <w:rFonts w:hint="eastAsia"/>
          <w:color w:val="auto"/>
        </w:rPr>
        <w:t>《建设工程施工现场消防安全技术规范》（GB50720-2011）</w:t>
      </w:r>
    </w:p>
    <w:p w14:paraId="42F454C1">
      <w:pPr>
        <w:pStyle w:val="48"/>
        <w:numPr>
          <w:ilvl w:val="0"/>
          <w:numId w:val="5"/>
        </w:numPr>
        <w:ind w:firstLineChars="0"/>
        <w:rPr>
          <w:rFonts w:hint="eastAsia"/>
          <w:color w:val="auto"/>
        </w:rPr>
      </w:pPr>
      <w:r>
        <w:rPr>
          <w:rFonts w:hint="eastAsia"/>
          <w:color w:val="auto"/>
        </w:rPr>
        <w:t>《施工现场塔式起重机检验技术规程》（DB11/T 611-2023）</w:t>
      </w:r>
    </w:p>
    <w:p w14:paraId="489FDA01">
      <w:pPr>
        <w:pStyle w:val="48"/>
        <w:numPr>
          <w:ilvl w:val="0"/>
          <w:numId w:val="5"/>
        </w:numPr>
        <w:ind w:firstLineChars="0"/>
        <w:rPr>
          <w:rFonts w:hint="eastAsia"/>
          <w:color w:val="auto"/>
        </w:rPr>
      </w:pPr>
      <w:r>
        <w:rPr>
          <w:rFonts w:hint="eastAsia"/>
          <w:color w:val="auto"/>
        </w:rPr>
        <w:t>《塔式起重机安全规程》（GB5144-2006）</w:t>
      </w:r>
    </w:p>
    <w:p w14:paraId="6D5DA36D">
      <w:pPr>
        <w:pStyle w:val="48"/>
        <w:numPr>
          <w:ilvl w:val="0"/>
          <w:numId w:val="5"/>
        </w:numPr>
        <w:ind w:firstLineChars="0"/>
        <w:rPr>
          <w:rFonts w:hint="eastAsia"/>
          <w:color w:val="auto"/>
        </w:rPr>
      </w:pPr>
      <w:r>
        <w:rPr>
          <w:rFonts w:hint="eastAsia"/>
          <w:color w:val="auto"/>
        </w:rPr>
        <w:t>《建筑起重机械安全评估技术规程》（JGJ/T 189-2009）</w:t>
      </w:r>
    </w:p>
    <w:p w14:paraId="095CA5B2">
      <w:pPr>
        <w:pStyle w:val="48"/>
        <w:numPr>
          <w:ilvl w:val="0"/>
          <w:numId w:val="5"/>
        </w:numPr>
        <w:ind w:firstLineChars="0"/>
        <w:rPr>
          <w:rFonts w:hint="eastAsia"/>
          <w:color w:val="auto"/>
        </w:rPr>
      </w:pPr>
      <w:r>
        <w:rPr>
          <w:rFonts w:hint="eastAsia"/>
          <w:color w:val="auto"/>
        </w:rPr>
        <w:t>《建筑施工塔式起重机安装、使用、拆卸安全技术规程》（JGJ 196-2010）</w:t>
      </w:r>
    </w:p>
    <w:p w14:paraId="24D0B6A0">
      <w:pPr>
        <w:pStyle w:val="48"/>
        <w:numPr>
          <w:ilvl w:val="0"/>
          <w:numId w:val="5"/>
        </w:numPr>
        <w:ind w:firstLineChars="0"/>
        <w:rPr>
          <w:rFonts w:hint="eastAsia"/>
          <w:color w:val="auto"/>
        </w:rPr>
      </w:pPr>
      <w:r>
        <w:rPr>
          <w:rFonts w:hint="eastAsia"/>
          <w:color w:val="auto"/>
        </w:rPr>
        <w:t>《建筑施工安全检查标准》（JGJ59-2011）</w:t>
      </w:r>
    </w:p>
    <w:p w14:paraId="4F935D70">
      <w:pPr>
        <w:pStyle w:val="48"/>
        <w:numPr>
          <w:ilvl w:val="0"/>
          <w:numId w:val="5"/>
        </w:numPr>
        <w:ind w:firstLineChars="0"/>
        <w:rPr>
          <w:rFonts w:hint="eastAsia"/>
          <w:color w:val="auto"/>
        </w:rPr>
      </w:pPr>
      <w:r>
        <w:rPr>
          <w:rFonts w:hint="eastAsia"/>
          <w:color w:val="auto"/>
        </w:rPr>
        <w:t>《建筑施工起重吊装工程安全技术规范》（JGJ276-2012）</w:t>
      </w:r>
    </w:p>
    <w:p w14:paraId="4486012E">
      <w:pPr>
        <w:pStyle w:val="67"/>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70A7E276">
      <w:pPr>
        <w:pStyle w:val="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公司相关管理文件</w:t>
      </w:r>
    </w:p>
    <w:p w14:paraId="2CA823C2">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XGT6015-8S1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5196D09C">
      <w:pPr>
        <w:pStyle w:val="3"/>
        <w:outlineLvl w:val="1"/>
        <w:rPr>
          <w:color w:val="auto"/>
        </w:rPr>
      </w:pPr>
      <w:bookmarkStart w:id="30" w:name="_Toc26675"/>
      <w:bookmarkStart w:id="31" w:name="_Toc17061"/>
      <w:bookmarkStart w:id="32" w:name="_Toc17429"/>
      <w:bookmarkStart w:id="33" w:name="_Toc10409766"/>
      <w:bookmarkStart w:id="34" w:name="_Toc2526"/>
      <w:r>
        <w:rPr>
          <w:rFonts w:hint="eastAsia"/>
          <w:color w:val="auto"/>
        </w:rPr>
        <w:t>编制原则</w:t>
      </w:r>
      <w:bookmarkEnd w:id="30"/>
      <w:bookmarkEnd w:id="31"/>
      <w:bookmarkEnd w:id="32"/>
      <w:bookmarkEnd w:id="33"/>
      <w:bookmarkEnd w:id="34"/>
    </w:p>
    <w:p w14:paraId="41368381">
      <w:pPr>
        <w:pStyle w:val="48"/>
        <w:ind w:firstLine="480"/>
        <w:rPr>
          <w:color w:val="auto"/>
        </w:rPr>
      </w:pPr>
      <w:r>
        <w:rPr>
          <w:color w:val="auto"/>
        </w:rPr>
        <w:t>1）严格贯彻“安全第一”的原则，针对风险细化安全技术措施，预防和杜绝安全事故的发生；</w:t>
      </w:r>
    </w:p>
    <w:p w14:paraId="7C52613A">
      <w:pPr>
        <w:pStyle w:val="48"/>
        <w:ind w:firstLine="480"/>
        <w:rPr>
          <w:color w:val="auto"/>
        </w:rPr>
      </w:pPr>
      <w:r>
        <w:rPr>
          <w:color w:val="auto"/>
        </w:rPr>
        <w:t>2）严格按照ISO9001标准质量体系质量程序控制原则，实施</w:t>
      </w:r>
      <w:r>
        <w:rPr>
          <w:rFonts w:hint="eastAsia"/>
          <w:color w:val="auto"/>
          <w:lang w:val="en-US" w:eastAsia="zh-CN"/>
        </w:rPr>
        <w:t>拆除</w:t>
      </w:r>
      <w:r>
        <w:rPr>
          <w:color w:val="auto"/>
        </w:rPr>
        <w:t>过程动态管理；</w:t>
      </w:r>
    </w:p>
    <w:p w14:paraId="34CF86BC">
      <w:pPr>
        <w:pStyle w:val="48"/>
        <w:ind w:firstLine="480"/>
        <w:rPr>
          <w:color w:val="auto"/>
        </w:rPr>
      </w:pPr>
      <w:r>
        <w:rPr>
          <w:color w:val="auto"/>
        </w:rPr>
        <w:t>3）科学合理制定</w:t>
      </w:r>
      <w:r>
        <w:rPr>
          <w:rFonts w:hint="eastAsia"/>
          <w:color w:val="auto"/>
          <w:lang w:val="en-US" w:eastAsia="zh-CN"/>
        </w:rPr>
        <w:t>拆除</w:t>
      </w:r>
      <w:r>
        <w:rPr>
          <w:color w:val="auto"/>
        </w:rPr>
        <w:t>计划，提高</w:t>
      </w:r>
      <w:r>
        <w:rPr>
          <w:rFonts w:hint="eastAsia"/>
          <w:color w:val="auto"/>
          <w:lang w:val="en-US" w:eastAsia="zh-CN"/>
        </w:rPr>
        <w:t>拆除</w:t>
      </w:r>
      <w:r>
        <w:rPr>
          <w:color w:val="auto"/>
        </w:rPr>
        <w:t>功效；</w:t>
      </w:r>
    </w:p>
    <w:p w14:paraId="0E76F9E4">
      <w:pPr>
        <w:pStyle w:val="48"/>
        <w:ind w:firstLine="480"/>
        <w:rPr>
          <w:color w:val="auto"/>
        </w:rPr>
      </w:pPr>
      <w:r>
        <w:rPr>
          <w:color w:val="auto"/>
        </w:rPr>
        <w:t>4）加强过程管控，合理配置</w:t>
      </w:r>
      <w:r>
        <w:rPr>
          <w:rFonts w:hint="eastAsia"/>
          <w:color w:val="auto"/>
          <w:lang w:val="en-US" w:eastAsia="zh-CN"/>
        </w:rPr>
        <w:t>拆除</w:t>
      </w:r>
      <w:r>
        <w:rPr>
          <w:color w:val="auto"/>
        </w:rPr>
        <w:t>资源，合理降低</w:t>
      </w:r>
      <w:r>
        <w:rPr>
          <w:rFonts w:hint="eastAsia"/>
          <w:color w:val="auto"/>
          <w:lang w:val="en-US" w:eastAsia="zh-CN"/>
        </w:rPr>
        <w:t>拆除</w:t>
      </w:r>
      <w:r>
        <w:rPr>
          <w:color w:val="auto"/>
        </w:rPr>
        <w:t>成本。</w:t>
      </w:r>
    </w:p>
    <w:p w14:paraId="5924F048">
      <w:pPr>
        <w:pStyle w:val="3"/>
        <w:outlineLvl w:val="1"/>
        <w:rPr>
          <w:color w:val="auto"/>
        </w:rPr>
      </w:pPr>
      <w:bookmarkStart w:id="35" w:name="_Toc10409768"/>
      <w:bookmarkStart w:id="36" w:name="_Toc13684"/>
      <w:bookmarkStart w:id="37" w:name="_Toc15649"/>
      <w:bookmarkStart w:id="38" w:name="_Toc4818"/>
      <w:bookmarkStart w:id="39" w:name="_Toc24520"/>
      <w:r>
        <w:rPr>
          <w:rFonts w:hint="eastAsia"/>
          <w:color w:val="auto"/>
        </w:rPr>
        <w:t>适用范围</w:t>
      </w:r>
      <w:bookmarkEnd w:id="35"/>
      <w:bookmarkEnd w:id="36"/>
      <w:bookmarkEnd w:id="37"/>
      <w:bookmarkEnd w:id="38"/>
      <w:bookmarkEnd w:id="39"/>
    </w:p>
    <w:p w14:paraId="745B08E9">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w:t>
      </w:r>
      <w:r>
        <w:rPr>
          <w:color w:val="auto"/>
        </w:rPr>
        <w:t>台</w:t>
      </w:r>
      <w:r>
        <w:rPr>
          <w:rFonts w:hint="eastAsia"/>
          <w:color w:val="auto"/>
          <w:sz w:val="24"/>
          <w:szCs w:val="24"/>
          <w:lang w:eastAsia="zh-CN"/>
        </w:rPr>
        <w:t>XGT6015-8S1</w:t>
      </w:r>
      <w:r>
        <w:rPr>
          <w:color w:val="auto"/>
        </w:rPr>
        <w:t>塔式起重机拆除安全施工作业</w:t>
      </w:r>
      <w:r>
        <w:rPr>
          <w:rFonts w:hint="eastAsia" w:ascii="Times New Roman" w:hAnsi="Times New Roman"/>
          <w:color w:val="auto"/>
          <w:szCs w:val="24"/>
        </w:rPr>
        <w:t>指导</w:t>
      </w:r>
      <w:r>
        <w:rPr>
          <w:color w:val="auto"/>
        </w:rPr>
        <w:t>。</w:t>
      </w:r>
    </w:p>
    <w:bookmarkEnd w:id="26"/>
    <w:p w14:paraId="5C89ADA9">
      <w:pPr>
        <w:ind w:firstLine="480"/>
        <w:rPr>
          <w:color w:val="auto"/>
        </w:rPr>
      </w:pPr>
      <w:bookmarkStart w:id="40" w:name="_Toc12304"/>
    </w:p>
    <w:bookmarkEnd w:id="40"/>
    <w:p w14:paraId="01FE4193">
      <w:pPr>
        <w:pStyle w:val="2"/>
        <w:spacing w:before="156" w:after="156"/>
        <w:jc w:val="both"/>
        <w:rPr>
          <w:color w:val="auto"/>
        </w:rPr>
      </w:pPr>
      <w:bookmarkStart w:id="41" w:name="_Toc40778431"/>
      <w:bookmarkStart w:id="42" w:name="_Toc17866"/>
      <w:r>
        <w:rPr>
          <w:rFonts w:hint="eastAsia"/>
          <w:color w:val="auto"/>
        </w:rPr>
        <w:br w:type="page"/>
      </w:r>
      <w:bookmarkStart w:id="43" w:name="_Toc20658"/>
      <w:bookmarkStart w:id="44" w:name="_Toc40778420"/>
      <w:bookmarkStart w:id="45" w:name="_Toc3812"/>
      <w:bookmarkStart w:id="46" w:name="_Toc12847"/>
      <w:r>
        <w:rPr>
          <w:rFonts w:hint="eastAsia"/>
          <w:color w:val="auto"/>
        </w:rPr>
        <w:t>工程概况</w:t>
      </w:r>
      <w:bookmarkEnd w:id="43"/>
      <w:bookmarkEnd w:id="44"/>
      <w:bookmarkEnd w:id="45"/>
      <w:bookmarkEnd w:id="46"/>
    </w:p>
    <w:p w14:paraId="26D78CD5">
      <w:pPr>
        <w:pStyle w:val="3"/>
        <w:spacing w:before="156" w:after="156"/>
        <w:ind w:left="480" w:leftChars="0" w:firstLineChars="0"/>
        <w:rPr>
          <w:rFonts w:hint="default" w:eastAsia="宋体"/>
          <w:color w:val="auto"/>
          <w:lang w:val="en-US" w:eastAsia="zh-CN"/>
        </w:rPr>
      </w:pPr>
      <w:bookmarkStart w:id="47" w:name="_Toc9652"/>
      <w:r>
        <w:rPr>
          <w:rFonts w:hint="eastAsia" w:eastAsia="宋体"/>
          <w:color w:val="auto"/>
          <w:lang w:eastAsia="zh-CN"/>
        </w:rPr>
        <w:t>项目概况</w:t>
      </w:r>
      <w:bookmarkEnd w:id="47"/>
    </w:p>
    <w:p w14:paraId="586B7CB3">
      <w:pPr>
        <w:pStyle w:val="27"/>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E325B1">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36A2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0B1307B">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0E16E886">
            <w:pPr>
              <w:tabs>
                <w:tab w:val="left" w:pos="2100"/>
              </w:tabs>
              <w:adjustRightInd w:val="0"/>
              <w:snapToGrid w:val="0"/>
              <w:spacing w:line="460" w:lineRule="exact"/>
              <w:ind w:firstLine="480" w:firstLineChars="200"/>
              <w:jc w:val="left"/>
              <w:rPr>
                <w:rFonts w:hint="default" w:eastAsia="仿宋"/>
                <w:b w:val="0"/>
                <w:bCs/>
                <w:sz w:val="24"/>
                <w:szCs w:val="24"/>
                <w:lang w:val="en-US" w:eastAsia="zh-CN"/>
              </w:rPr>
            </w:pPr>
            <w:r>
              <w:rPr>
                <w:rFonts w:hint="eastAsia" w:ascii="仿宋" w:hAnsi="仿宋" w:eastAsia="仿宋" w:cs="宋体"/>
                <w:lang w:val="en-US" w:eastAsia="zh-CN"/>
              </w:rPr>
              <w:t>彭州市龙兴寺片区 PZ2024-16 地块商住建设项目</w:t>
            </w:r>
          </w:p>
        </w:tc>
      </w:tr>
      <w:tr w14:paraId="6931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1BF68D2">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2B855319">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成都市彭州区</w:t>
            </w:r>
          </w:p>
        </w:tc>
      </w:tr>
      <w:tr w14:paraId="3EB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C45BB4E">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4454CE67">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成都中宜蓉彭置业有限公司</w:t>
            </w:r>
          </w:p>
        </w:tc>
      </w:tr>
      <w:tr w14:paraId="550B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5C561BD">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07F04F5E">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四川省川建勘察设计院有限公司</w:t>
            </w:r>
          </w:p>
        </w:tc>
      </w:tr>
      <w:tr w14:paraId="39CA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4A2ECA7F">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60C7F2B8">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中交第二航务工程局有限公司</w:t>
            </w:r>
          </w:p>
        </w:tc>
      </w:tr>
      <w:tr w14:paraId="318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E8C04E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4069FF97">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282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84554F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71F46365">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29D01352">
      <w:pPr>
        <w:pStyle w:val="3"/>
        <w:spacing w:before="156" w:after="156"/>
        <w:ind w:left="480" w:leftChars="0" w:firstLineChars="0"/>
        <w:rPr>
          <w:rFonts w:hint="eastAsia"/>
          <w:color w:val="auto"/>
          <w:lang w:eastAsia="zh-CN"/>
        </w:rPr>
      </w:pPr>
      <w:bookmarkStart w:id="49" w:name="_Toc5516"/>
      <w:bookmarkStart w:id="50" w:name="_Toc24090"/>
      <w:bookmarkStart w:id="51" w:name="_Toc40778423"/>
      <w:bookmarkStart w:id="52" w:name="_Toc18239"/>
      <w:r>
        <w:rPr>
          <w:rFonts w:hint="eastAsia"/>
          <w:color w:val="auto"/>
          <w:lang w:eastAsia="zh-CN"/>
        </w:rPr>
        <w:t>工程特点</w:t>
      </w:r>
      <w:bookmarkEnd w:id="49"/>
    </w:p>
    <w:p w14:paraId="321626B6">
      <w:pPr>
        <w:numPr>
          <w:ilvl w:val="0"/>
          <w:numId w:val="6"/>
        </w:numPr>
        <w:ind w:left="240" w:leftChars="0" w:firstLine="480" w:firstLineChars="0"/>
        <w:rPr>
          <w:color w:val="auto"/>
        </w:rPr>
      </w:pPr>
      <w:r>
        <w:rPr>
          <w:rFonts w:hint="eastAsia"/>
          <w:color w:val="auto"/>
        </w:rPr>
        <w:t>施工周边环境影响：</w:t>
      </w:r>
      <w:r>
        <w:rPr>
          <w:rFonts w:hint="eastAsia"/>
          <w:color w:val="auto"/>
          <w:lang w:eastAsia="zh-CN"/>
        </w:rPr>
        <w:t>施工环境</w:t>
      </w:r>
      <w:r>
        <w:rPr>
          <w:rFonts w:hint="eastAsia"/>
          <w:color w:val="auto"/>
          <w:lang w:val="en-US" w:eastAsia="zh-CN"/>
        </w:rPr>
        <w:t>复杂</w:t>
      </w:r>
      <w:r>
        <w:rPr>
          <w:rFonts w:hint="eastAsia"/>
          <w:color w:val="auto"/>
          <w:lang w:eastAsia="zh-CN"/>
        </w:rPr>
        <w:t>，</w:t>
      </w:r>
      <w:r>
        <w:rPr>
          <w:rFonts w:hint="eastAsia"/>
          <w:color w:val="auto"/>
          <w:lang w:val="en-US" w:eastAsia="zh-CN"/>
        </w:rPr>
        <w:t>塔机两侧</w:t>
      </w:r>
      <w:r>
        <w:rPr>
          <w:rFonts w:hint="eastAsia"/>
          <w:color w:val="auto"/>
          <w:lang w:eastAsia="zh-CN"/>
        </w:rPr>
        <w:t>建筑物</w:t>
      </w:r>
      <w:r>
        <w:rPr>
          <w:rFonts w:hint="eastAsia"/>
          <w:color w:val="auto"/>
          <w:lang w:val="en-US" w:eastAsia="zh-CN"/>
        </w:rPr>
        <w:t>众多</w:t>
      </w:r>
      <w:r>
        <w:rPr>
          <w:rFonts w:hint="eastAsia"/>
          <w:color w:val="auto"/>
          <w:lang w:eastAsia="zh-CN"/>
        </w:rPr>
        <w:t>，</w:t>
      </w:r>
      <w:r>
        <w:rPr>
          <w:rFonts w:ascii="Segoe UI" w:hAnsi="Segoe UI" w:eastAsia="Segoe UI" w:cs="Segoe UI"/>
          <w:i w:val="0"/>
          <w:iCs w:val="0"/>
          <w:caps w:val="0"/>
          <w:spacing w:val="0"/>
          <w:sz w:val="24"/>
          <w:szCs w:val="24"/>
          <w:shd w:val="clear" w:fill="FFFFFF"/>
        </w:rPr>
        <w:t>需采取专项措施确保塔机</w:t>
      </w:r>
      <w:r>
        <w:rPr>
          <w:rFonts w:hint="eastAsia" w:ascii="Segoe UI" w:hAnsi="Segoe UI" w:eastAsia="宋体" w:cs="Segoe UI"/>
          <w:i w:val="0"/>
          <w:iCs w:val="0"/>
          <w:caps w:val="0"/>
          <w:spacing w:val="0"/>
          <w:sz w:val="24"/>
          <w:szCs w:val="24"/>
          <w:shd w:val="clear" w:fill="FFFFFF"/>
          <w:lang w:val="en-US" w:eastAsia="zh-CN"/>
        </w:rPr>
        <w:t>拆除</w:t>
      </w:r>
      <w:r>
        <w:rPr>
          <w:rFonts w:ascii="Segoe UI" w:hAnsi="Segoe UI" w:eastAsia="Segoe UI" w:cs="Segoe UI"/>
          <w:i w:val="0"/>
          <w:iCs w:val="0"/>
          <w:caps w:val="0"/>
          <w:spacing w:val="0"/>
          <w:sz w:val="24"/>
          <w:szCs w:val="24"/>
          <w:shd w:val="clear" w:fill="FFFFFF"/>
        </w:rPr>
        <w:t>能够顺利进行</w:t>
      </w:r>
      <w:r>
        <w:rPr>
          <w:rFonts w:hint="eastAsia"/>
          <w:color w:val="auto"/>
          <w:lang w:eastAsia="zh-CN"/>
        </w:rPr>
        <w:t>；</w:t>
      </w:r>
    </w:p>
    <w:p w14:paraId="0C5177CE">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工程主要风险点：</w:t>
      </w:r>
      <w:r>
        <w:rPr>
          <w:rFonts w:hint="eastAsia" w:ascii="Times New Roman" w:hAnsi="Times New Roman" w:eastAsia="宋体" w:cs="Times New Roman"/>
          <w:color w:val="auto"/>
          <w:lang w:val="en-US" w:eastAsia="zh-CN"/>
        </w:rPr>
        <w:t>塔机两侧建筑之间距离较窄</w:t>
      </w:r>
      <w:r>
        <w:rPr>
          <w:rFonts w:hint="eastAsia" w:ascii="Times New Roman" w:hAnsi="Times New Roman" w:eastAsia="宋体" w:cs="Times New Roman"/>
          <w:color w:val="auto"/>
        </w:rPr>
        <w:t>；</w:t>
      </w:r>
    </w:p>
    <w:p w14:paraId="3A0DCAD1">
      <w:pPr>
        <w:numPr>
          <w:ilvl w:val="0"/>
          <w:numId w:val="6"/>
        </w:numPr>
        <w:ind w:left="240" w:leftChars="0" w:firstLine="48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重难点：</w:t>
      </w:r>
      <w:r>
        <w:rPr>
          <w:rFonts w:hint="eastAsia" w:ascii="Times New Roman" w:hAnsi="Times New Roman" w:eastAsia="宋体" w:cs="Times New Roman"/>
          <w:color w:val="auto"/>
          <w:lang w:eastAsia="zh-CN"/>
        </w:rPr>
        <w:t>由于塔机安装密集，属多塔作业，所以在塔机的使用及附着的</w:t>
      </w:r>
      <w:r>
        <w:rPr>
          <w:rFonts w:hint="eastAsia" w:ascii="Times New Roman" w:hAnsi="Times New Roman" w:eastAsia="宋体" w:cs="Times New Roman"/>
          <w:color w:val="auto"/>
          <w:lang w:val="en-US" w:eastAsia="zh-CN"/>
        </w:rPr>
        <w:t>拆除</w:t>
      </w:r>
      <w:r>
        <w:rPr>
          <w:rFonts w:hint="eastAsia" w:ascii="Times New Roman" w:hAnsi="Times New Roman" w:eastAsia="宋体" w:cs="Times New Roman"/>
          <w:color w:val="auto"/>
          <w:lang w:eastAsia="zh-CN"/>
        </w:rPr>
        <w:t>过程中必须根据现场的实际情况作调整，严格按照多塔作业的要求进行施工。</w:t>
      </w:r>
    </w:p>
    <w:p w14:paraId="38C46CDA">
      <w:pPr>
        <w:numPr>
          <w:ilvl w:val="0"/>
          <w:numId w:val="6"/>
        </w:numPr>
        <w:ind w:left="240" w:leftChars="0" w:firstLine="48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拆除</w:t>
      </w:r>
      <w:r>
        <w:rPr>
          <w:rFonts w:hint="eastAsia" w:ascii="Times New Roman" w:hAnsi="Times New Roman" w:eastAsia="宋体" w:cs="Times New Roman"/>
          <w:color w:val="auto"/>
        </w:rPr>
        <w:t>场地位置，由于塔式起重机部件比较重，</w:t>
      </w:r>
      <w:r>
        <w:rPr>
          <w:rFonts w:hint="eastAsia" w:ascii="Times New Roman" w:hAnsi="Times New Roman" w:eastAsia="宋体" w:cs="Times New Roman"/>
          <w:color w:val="auto"/>
          <w:lang w:val="en-US" w:eastAsia="zh-CN"/>
        </w:rPr>
        <w:t>拆除</w:t>
      </w:r>
      <w:r>
        <w:rPr>
          <w:rFonts w:hint="eastAsia" w:ascii="Times New Roman" w:hAnsi="Times New Roman" w:eastAsia="宋体" w:cs="Times New Roman"/>
          <w:color w:val="auto"/>
        </w:rPr>
        <w:t>时需选用25吨位汽车吊拼装吊装作业，在起重臂</w:t>
      </w:r>
      <w:r>
        <w:rPr>
          <w:rFonts w:hint="eastAsia" w:ascii="Times New Roman" w:hAnsi="Times New Roman" w:eastAsia="宋体" w:cs="Times New Roman"/>
          <w:color w:val="auto"/>
          <w:lang w:val="en-US" w:eastAsia="zh-CN"/>
        </w:rPr>
        <w:t>拆除</w:t>
      </w:r>
      <w:r>
        <w:rPr>
          <w:rFonts w:hint="eastAsia" w:ascii="Times New Roman" w:hAnsi="Times New Roman" w:eastAsia="宋体" w:cs="Times New Roman"/>
          <w:color w:val="auto"/>
        </w:rPr>
        <w:t>就位时难度较大，安全风险</w:t>
      </w:r>
      <w:r>
        <w:rPr>
          <w:rFonts w:hint="eastAsia" w:ascii="Times New Roman" w:hAnsi="Times New Roman" w:eastAsia="宋体" w:cs="Times New Roman"/>
          <w:color w:val="auto"/>
          <w:lang w:val="en-US" w:eastAsia="zh-CN"/>
        </w:rPr>
        <w:t>较</w:t>
      </w:r>
      <w:r>
        <w:rPr>
          <w:rFonts w:hint="eastAsia" w:ascii="Times New Roman" w:hAnsi="Times New Roman" w:eastAsia="宋体" w:cs="Times New Roman"/>
          <w:color w:val="auto"/>
        </w:rPr>
        <w:t>高，所以在</w:t>
      </w:r>
      <w:r>
        <w:rPr>
          <w:rFonts w:hint="eastAsia" w:ascii="Times New Roman" w:hAnsi="Times New Roman" w:eastAsia="宋体" w:cs="Times New Roman"/>
          <w:color w:val="auto"/>
          <w:lang w:eastAsia="zh-CN"/>
        </w:rPr>
        <w:t>拆</w:t>
      </w:r>
      <w:r>
        <w:rPr>
          <w:rFonts w:hint="eastAsia" w:ascii="Times New Roman" w:hAnsi="Times New Roman" w:eastAsia="宋体" w:cs="Times New Roman"/>
          <w:color w:val="auto"/>
          <w:lang w:val="en-US" w:eastAsia="zh-CN"/>
        </w:rPr>
        <w:t>除</w:t>
      </w:r>
      <w:r>
        <w:rPr>
          <w:rFonts w:hint="eastAsia" w:ascii="Times New Roman" w:hAnsi="Times New Roman" w:eastAsia="宋体" w:cs="Times New Roman"/>
          <w:color w:val="auto"/>
        </w:rPr>
        <w:t>起重</w:t>
      </w:r>
      <w:r>
        <w:rPr>
          <w:rFonts w:hint="eastAsia" w:ascii="Times New Roman" w:hAnsi="Times New Roman" w:eastAsia="宋体" w:cs="Times New Roman"/>
          <w:color w:val="auto"/>
          <w:lang w:val="en-US" w:eastAsia="zh-CN"/>
        </w:rPr>
        <w:t>臂或平衡臂时必须系上揽风绳。</w:t>
      </w:r>
    </w:p>
    <w:p w14:paraId="24D3069B">
      <w:pPr>
        <w:numPr>
          <w:ilvl w:val="0"/>
          <w:numId w:val="6"/>
        </w:numPr>
        <w:ind w:left="240" w:leftChars="0" w:firstLine="48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设备拆除时一些部件比较重，所以要注意吊装前先进行试吊作业。</w:t>
      </w:r>
    </w:p>
    <w:p w14:paraId="6F4BAB76">
      <w:pPr>
        <w:pStyle w:val="3"/>
        <w:spacing w:before="156" w:after="156"/>
        <w:ind w:left="480" w:leftChars="0" w:firstLineChars="0"/>
        <w:rPr>
          <w:color w:val="auto"/>
        </w:rPr>
      </w:pPr>
      <w:bookmarkStart w:id="53" w:name="_Toc24448"/>
      <w:r>
        <w:rPr>
          <w:rFonts w:hint="eastAsia"/>
          <w:color w:val="auto"/>
        </w:rPr>
        <w:t>施工平面布置</w:t>
      </w:r>
      <w:bookmarkEnd w:id="50"/>
      <w:bookmarkEnd w:id="51"/>
      <w:bookmarkEnd w:id="52"/>
      <w:bookmarkEnd w:id="53"/>
    </w:p>
    <w:p w14:paraId="6A4F1A9E">
      <w:pPr>
        <w:ind w:firstLine="480"/>
        <w:rPr>
          <w:rFonts w:hint="eastAsia"/>
          <w:color w:val="auto"/>
          <w:lang w:val="en-US" w:eastAsia="zh-CN"/>
        </w:rPr>
      </w:pPr>
      <w:r>
        <w:rPr>
          <w:rFonts w:hint="eastAsia"/>
          <w:color w:val="auto"/>
          <w:lang w:eastAsia="zh-CN"/>
        </w:rPr>
        <w:t>根据该工程施工组织设计要求，各塔吊平面布置</w:t>
      </w:r>
      <w:r>
        <w:rPr>
          <w:rFonts w:hint="eastAsia"/>
          <w:color w:val="auto"/>
          <w:lang w:val="en-US" w:eastAsia="zh-CN"/>
        </w:rPr>
        <w:t>如下图。</w:t>
      </w:r>
    </w:p>
    <w:p w14:paraId="25BA4E4F">
      <w:pPr>
        <w:pStyle w:val="32"/>
        <w:rPr>
          <w:rFonts w:hint="eastAsia"/>
          <w:color w:val="auto"/>
          <w:lang w:val="en-US" w:eastAsia="zh-CN"/>
        </w:rPr>
      </w:pPr>
    </w:p>
    <w:p w14:paraId="14067896">
      <w:pPr>
        <w:pStyle w:val="32"/>
        <w:jc w:val="center"/>
        <w:rPr>
          <w:rFonts w:hint="eastAsia"/>
          <w:color w:val="auto"/>
          <w:lang w:val="en-US" w:eastAsia="zh-CN"/>
        </w:rPr>
      </w:pPr>
      <w:r>
        <w:drawing>
          <wp:inline distT="0" distB="0" distL="114300" distR="114300">
            <wp:extent cx="5246370" cy="3429000"/>
            <wp:effectExtent l="0" t="0" r="1143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5246370" cy="3429000"/>
                    </a:xfrm>
                    <a:prstGeom prst="rect">
                      <a:avLst/>
                    </a:prstGeom>
                    <a:noFill/>
                    <a:ln>
                      <a:noFill/>
                    </a:ln>
                  </pic:spPr>
                </pic:pic>
              </a:graphicData>
            </a:graphic>
          </wp:inline>
        </w:drawing>
      </w:r>
    </w:p>
    <w:p w14:paraId="633202ED">
      <w:pPr>
        <w:ind w:firstLine="422"/>
        <w:jc w:val="center"/>
        <w:rPr>
          <w:rFonts w:hint="eastAsia"/>
          <w:color w:val="auto"/>
          <w:lang w:val="en-US" w:eastAsia="zh-CN"/>
        </w:rPr>
      </w:pPr>
      <w:r>
        <w:rPr>
          <w:rFonts w:hint="eastAsia" w:ascii="宋体" w:hAnsi="宋体" w:cs="宋体"/>
          <w:b/>
          <w:bCs/>
          <w:color w:val="auto"/>
          <w:sz w:val="21"/>
        </w:rPr>
        <w:t>图2.3-1塔吊施工平面布置图</w:t>
      </w:r>
    </w:p>
    <w:p w14:paraId="22CA54D1">
      <w:pPr>
        <w:pStyle w:val="3"/>
        <w:spacing w:before="156" w:after="156"/>
        <w:ind w:left="480" w:leftChars="0" w:firstLineChars="0"/>
        <w:rPr>
          <w:color w:val="auto"/>
        </w:rPr>
      </w:pPr>
      <w:bookmarkStart w:id="54" w:name="_Toc2847"/>
      <w:bookmarkStart w:id="55" w:name="_Toc29202"/>
      <w:bookmarkStart w:id="56" w:name="_Toc933"/>
      <w:bookmarkStart w:id="57" w:name="_Toc40778424"/>
      <w:r>
        <w:rPr>
          <w:rFonts w:hint="eastAsia"/>
          <w:color w:val="auto"/>
        </w:rPr>
        <w:t>施工要求</w:t>
      </w:r>
      <w:bookmarkEnd w:id="54"/>
      <w:bookmarkEnd w:id="55"/>
      <w:bookmarkEnd w:id="56"/>
      <w:bookmarkEnd w:id="57"/>
    </w:p>
    <w:p w14:paraId="124C2B0E">
      <w:pPr>
        <w:pStyle w:val="48"/>
        <w:ind w:firstLine="480"/>
        <w:rPr>
          <w:rFonts w:hint="eastAsia" w:ascii="Times New Roman" w:hAnsi="Times New Roman" w:eastAsia="宋体" w:cs="Times New Roman"/>
          <w:color w:val="auto"/>
          <w:kern w:val="2"/>
          <w:lang w:eastAsia="zh-CN"/>
        </w:rPr>
      </w:pPr>
      <w:bookmarkStart w:id="58" w:name="_Hlk109141060"/>
      <w:bookmarkStart w:id="59" w:name="_Toc3182"/>
      <w:bookmarkStart w:id="60" w:name="_Toc40778425"/>
      <w:r>
        <w:rPr>
          <w:rFonts w:hint="eastAsia" w:ascii="Times New Roman" w:hAnsi="Times New Roman" w:cs="Times New Roman"/>
          <w:color w:val="auto"/>
          <w:kern w:val="2"/>
          <w:lang w:eastAsia="zh-CN"/>
        </w:rPr>
        <w:t>（</w:t>
      </w:r>
      <w:r>
        <w:rPr>
          <w:rFonts w:hint="eastAsia" w:ascii="Times New Roman" w:hAnsi="Times New Roman" w:cs="Times New Roman"/>
          <w:color w:val="auto"/>
          <w:kern w:val="2"/>
          <w:lang w:val="en-US" w:eastAsia="zh-CN"/>
        </w:rPr>
        <w:t>1</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rPr>
        <w:t>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58F239B5">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23DC84B4">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243083AD">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拆除</w:t>
      </w:r>
      <w:r>
        <w:rPr>
          <w:rFonts w:hint="eastAsia" w:ascii="Times New Roman" w:hAnsi="Times New Roman" w:cs="Times New Roman"/>
          <w:color w:val="auto"/>
          <w:kern w:val="2"/>
        </w:rPr>
        <w:t>成本。</w:t>
      </w:r>
    </w:p>
    <w:bookmarkEnd w:id="58"/>
    <w:p w14:paraId="2E38A780">
      <w:pPr>
        <w:pStyle w:val="3"/>
        <w:spacing w:before="156" w:after="156"/>
        <w:ind w:left="480" w:leftChars="0" w:firstLineChars="0"/>
        <w:rPr>
          <w:color w:val="auto"/>
        </w:rPr>
      </w:pPr>
      <w:bookmarkStart w:id="61" w:name="_Toc15863"/>
      <w:bookmarkStart w:id="62" w:name="_Toc10756"/>
      <w:r>
        <w:rPr>
          <w:rFonts w:hint="eastAsia"/>
          <w:color w:val="auto"/>
        </w:rPr>
        <w:t>技术保证条件</w:t>
      </w:r>
      <w:bookmarkEnd w:id="59"/>
      <w:bookmarkEnd w:id="60"/>
      <w:bookmarkEnd w:id="61"/>
      <w:bookmarkEnd w:id="62"/>
    </w:p>
    <w:p w14:paraId="361A7736">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59BF847F">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作业之前，组织学习塔机</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安全专项施工方案，对班组作业人员进行技术方案交底，对分项工作内容、技术要求、安全措施以及注意事项等进行单独交底。</w:t>
      </w:r>
    </w:p>
    <w:p w14:paraId="292DC69A">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01C07D34">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以及顶升操作时塔机最大</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高度处的风速≤1</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m/s（6级风内）。</w:t>
      </w:r>
    </w:p>
    <w:p w14:paraId="1CB65C0D">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人员持证上岗；进入作业现场必须戴安全帽，施工人员均穿戴好安全防护用品，高空作业时系好安全带，穿防滑鞋，安全带要系牢固构件上并高挂低用，应采取防滑措施。</w:t>
      </w:r>
    </w:p>
    <w:p w14:paraId="1519EB6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12D5150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（7）塔机标节顶升前以及起重臂吊装前，现场必须确认安全可靠方能继续作业。</w:t>
      </w:r>
    </w:p>
    <w:p w14:paraId="4E89618C">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（8）对长大物件吊点位置选择应准确，保证被吊物件平衡，起吊前应先用缆风绳把两端系牢，防止旋转、摆动和碰撞。施工人员应听从起重指挥，吊装构件应缓慢。</w:t>
      </w:r>
    </w:p>
    <w:p w14:paraId="6767F3D7">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p>
    <w:p w14:paraId="2CC6B94F">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2" w:type="default"/>
          <w:footerReference r:id="rId13"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lang w:val="en-US" w:eastAsia="zh-CN"/>
        </w:rPr>
        <w:t>（10）接地。塔机塔身必须有专用的接地线接至塔机专用接地体。注意：塔机接地线不得串接保险丝或开关。</w:t>
      </w:r>
    </w:p>
    <w:p w14:paraId="0F428D15">
      <w:pPr>
        <w:pStyle w:val="2"/>
        <w:spacing w:before="156" w:after="156"/>
        <w:rPr>
          <w:color w:val="auto"/>
        </w:rPr>
      </w:pPr>
      <w:bookmarkStart w:id="63" w:name="_Toc27935"/>
      <w:bookmarkStart w:id="64" w:name="_Toc28027"/>
      <w:r>
        <w:rPr>
          <w:rFonts w:hint="eastAsia"/>
          <w:color w:val="auto"/>
        </w:rPr>
        <w:t>施工计划</w:t>
      </w:r>
      <w:bookmarkEnd w:id="41"/>
      <w:bookmarkEnd w:id="42"/>
      <w:bookmarkEnd w:id="63"/>
      <w:bookmarkEnd w:id="64"/>
    </w:p>
    <w:p w14:paraId="22B2F233">
      <w:pPr>
        <w:pStyle w:val="3"/>
        <w:spacing w:before="156" w:after="156"/>
        <w:ind w:left="480" w:leftChars="0" w:firstLineChars="0"/>
        <w:rPr>
          <w:color w:val="auto"/>
        </w:rPr>
      </w:pPr>
      <w:bookmarkStart w:id="65" w:name="_Toc40778432"/>
      <w:bookmarkStart w:id="66" w:name="_Toc16967"/>
      <w:bookmarkStart w:id="67" w:name="_Toc32590"/>
      <w:bookmarkStart w:id="68" w:name="_Toc29262"/>
      <w:bookmarkStart w:id="69" w:name="_Toc8508"/>
      <w:bookmarkStart w:id="70" w:name="_Toc40778433"/>
      <w:bookmarkStart w:id="71" w:name="_Toc14838"/>
      <w:r>
        <w:rPr>
          <w:rFonts w:hint="eastAsia"/>
          <w:color w:val="auto"/>
        </w:rPr>
        <w:t>总体施工</w:t>
      </w:r>
      <w:bookmarkEnd w:id="65"/>
      <w:bookmarkEnd w:id="66"/>
      <w:r>
        <w:rPr>
          <w:rFonts w:hint="eastAsia"/>
          <w:color w:val="auto"/>
        </w:rPr>
        <w:t>部署</w:t>
      </w:r>
      <w:bookmarkEnd w:id="67"/>
      <w:bookmarkEnd w:id="68"/>
    </w:p>
    <w:p w14:paraId="67C2100F">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w:t>
      </w:r>
      <w:r>
        <w:rPr>
          <w:rFonts w:hint="eastAsia"/>
          <w:color w:val="auto"/>
          <w:lang w:val="en-US" w:eastAsia="zh-CN"/>
        </w:rPr>
        <w:t>拆除</w:t>
      </w:r>
      <w:r>
        <w:rPr>
          <w:rFonts w:hint="eastAsia"/>
          <w:color w:val="auto"/>
          <w:lang w:eastAsia="zh-CN"/>
        </w:rPr>
        <w:t>前必须到当地安监站进行</w:t>
      </w:r>
      <w:r>
        <w:rPr>
          <w:rFonts w:hint="eastAsia"/>
          <w:color w:val="auto"/>
          <w:lang w:val="en-US" w:eastAsia="zh-CN"/>
        </w:rPr>
        <w:t>拆除</w:t>
      </w:r>
      <w:r>
        <w:rPr>
          <w:rFonts w:hint="eastAsia"/>
          <w:color w:val="auto"/>
          <w:lang w:eastAsia="zh-CN"/>
        </w:rPr>
        <w:t>告知工作。</w:t>
      </w:r>
    </w:p>
    <w:p w14:paraId="4981CFDD">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）首先在塔机基础施工完成后，</w:t>
      </w:r>
      <w:r>
        <w:rPr>
          <w:rFonts w:hint="eastAsia"/>
          <w:color w:val="auto"/>
          <w:lang w:val="en-US" w:eastAsia="zh-CN"/>
        </w:rPr>
        <w:t>拆除</w:t>
      </w:r>
      <w:r>
        <w:rPr>
          <w:rFonts w:hint="eastAsia"/>
          <w:color w:val="auto"/>
          <w:lang w:eastAsia="zh-CN"/>
        </w:rPr>
        <w:t>单位组织</w:t>
      </w:r>
      <w:r>
        <w:rPr>
          <w:rFonts w:hint="eastAsia"/>
          <w:color w:val="auto"/>
          <w:lang w:val="en-US" w:eastAsia="zh-CN"/>
        </w:rPr>
        <w:t>拆除</w:t>
      </w:r>
      <w:r>
        <w:rPr>
          <w:rFonts w:hint="eastAsia"/>
          <w:color w:val="auto"/>
          <w:lang w:eastAsia="zh-CN"/>
        </w:rPr>
        <w:t>班组提前一天到现场作好</w:t>
      </w:r>
      <w:r>
        <w:rPr>
          <w:rFonts w:hint="eastAsia"/>
          <w:color w:val="auto"/>
          <w:lang w:val="en-US" w:eastAsia="zh-CN"/>
        </w:rPr>
        <w:t>拆除</w:t>
      </w:r>
      <w:r>
        <w:rPr>
          <w:rFonts w:hint="eastAsia"/>
          <w:color w:val="auto"/>
          <w:lang w:eastAsia="zh-CN"/>
        </w:rPr>
        <w:t>前的准备工作。</w:t>
      </w:r>
    </w:p>
    <w:p w14:paraId="66269012">
      <w:pPr>
        <w:ind w:firstLine="48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）在</w:t>
      </w:r>
      <w:r>
        <w:rPr>
          <w:rFonts w:hint="eastAsia"/>
          <w:color w:val="auto"/>
          <w:lang w:val="en-US" w:eastAsia="zh-CN"/>
        </w:rPr>
        <w:t>拆除</w:t>
      </w:r>
      <w:r>
        <w:rPr>
          <w:rFonts w:hint="eastAsia"/>
          <w:color w:val="auto"/>
          <w:lang w:eastAsia="zh-CN"/>
        </w:rPr>
        <w:t>前进行安全交底：由项目部牵头组织</w:t>
      </w:r>
      <w:r>
        <w:rPr>
          <w:rFonts w:hint="eastAsia"/>
          <w:color w:val="auto"/>
          <w:lang w:val="en-US" w:eastAsia="zh-CN"/>
        </w:rPr>
        <w:t>拆除</w:t>
      </w:r>
      <w:r>
        <w:rPr>
          <w:rFonts w:hint="eastAsia"/>
          <w:color w:val="auto"/>
          <w:lang w:eastAsia="zh-CN"/>
        </w:rPr>
        <w:t>班组及项目部的相关人员一起进行</w:t>
      </w:r>
      <w:r>
        <w:rPr>
          <w:rFonts w:hint="eastAsia"/>
          <w:color w:val="auto"/>
          <w:lang w:val="en-US" w:eastAsia="zh-CN"/>
        </w:rPr>
        <w:t>拆除</w:t>
      </w:r>
      <w:r>
        <w:rPr>
          <w:rFonts w:hint="eastAsia"/>
          <w:color w:val="auto"/>
          <w:lang w:eastAsia="zh-CN"/>
        </w:rPr>
        <w:t>前的技术交底工作。</w:t>
      </w:r>
    </w:p>
    <w:p w14:paraId="743C4848">
      <w:pPr>
        <w:ind w:firstLine="480"/>
        <w:jc w:val="center"/>
      </w:pPr>
      <w:r>
        <w:drawing>
          <wp:inline distT="0" distB="0" distL="114300" distR="114300">
            <wp:extent cx="5167630" cy="3004185"/>
            <wp:effectExtent l="0" t="0" r="1397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5167630" cy="3004185"/>
                    </a:xfrm>
                    <a:prstGeom prst="rect">
                      <a:avLst/>
                    </a:prstGeom>
                    <a:noFill/>
                    <a:ln>
                      <a:noFill/>
                    </a:ln>
                  </pic:spPr>
                </pic:pic>
              </a:graphicData>
            </a:graphic>
          </wp:inline>
        </w:drawing>
      </w:r>
    </w:p>
    <w:p w14:paraId="4662DB69">
      <w:pPr>
        <w:ind w:firstLine="422"/>
        <w:jc w:val="center"/>
        <w:rPr>
          <w:rFonts w:hint="eastAsia"/>
          <w:color w:val="auto"/>
          <w:lang w:val="en-US" w:eastAsia="zh-CN"/>
        </w:rPr>
      </w:pPr>
      <w:r>
        <w:rPr>
          <w:rFonts w:hint="eastAsia" w:ascii="宋体" w:hAnsi="宋体" w:cs="宋体"/>
          <w:b/>
          <w:bCs/>
          <w:color w:val="auto"/>
          <w:sz w:val="21"/>
        </w:rPr>
        <w:t>图</w:t>
      </w:r>
      <w:r>
        <w:rPr>
          <w:rFonts w:hint="eastAsia" w:ascii="宋体" w:hAnsi="宋体" w:cs="宋体"/>
          <w:b/>
          <w:bCs/>
          <w:color w:val="auto"/>
          <w:sz w:val="21"/>
          <w:lang w:val="en-US" w:eastAsia="zh-CN"/>
        </w:rPr>
        <w:t>3.1 塔吊拆除施工平面布置图</w:t>
      </w:r>
    </w:p>
    <w:p w14:paraId="5F52860E">
      <w:pPr>
        <w:pStyle w:val="3"/>
        <w:spacing w:before="156" w:after="156"/>
        <w:ind w:left="480" w:leftChars="0" w:firstLineChars="0"/>
        <w:rPr>
          <w:color w:val="auto"/>
        </w:rPr>
      </w:pPr>
      <w:bookmarkStart w:id="72" w:name="_Toc10016"/>
      <w:r>
        <w:rPr>
          <w:rFonts w:hint="eastAsia"/>
          <w:color w:val="auto"/>
        </w:rPr>
        <w:t>施工进度计划</w:t>
      </w:r>
      <w:bookmarkEnd w:id="69"/>
      <w:bookmarkEnd w:id="70"/>
      <w:bookmarkEnd w:id="71"/>
      <w:bookmarkEnd w:id="72"/>
    </w:p>
    <w:p w14:paraId="00B5063E">
      <w:pPr>
        <w:pStyle w:val="49"/>
        <w:rPr>
          <w:color w:val="auto"/>
          <w:szCs w:val="22"/>
        </w:rPr>
      </w:pPr>
      <w:r>
        <w:rPr>
          <w:rFonts w:hint="eastAsia"/>
          <w:color w:val="auto"/>
        </w:rPr>
        <w:t>表 3.</w:t>
      </w:r>
      <w:r>
        <w:rPr>
          <w:rFonts w:hint="eastAsia"/>
          <w:color w:val="auto"/>
          <w:lang w:val="en-US" w:eastAsia="zh-CN"/>
        </w:rPr>
        <w:t>2</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拆除</w:t>
      </w:r>
      <w:r>
        <w:rPr>
          <w:rFonts w:hint="eastAsia"/>
          <w:color w:val="auto"/>
          <w:szCs w:val="22"/>
        </w:rPr>
        <w:t>进度计划表</w:t>
      </w:r>
    </w:p>
    <w:tbl>
      <w:tblPr>
        <w:tblStyle w:val="2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2DADAD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3E7D67CE">
            <w:pPr>
              <w:pStyle w:val="44"/>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7C640A7B">
            <w:pPr>
              <w:pStyle w:val="44"/>
              <w:spacing w:before="60"/>
              <w:rPr>
                <w:rFonts w:hint="eastAsia"/>
                <w:color w:val="auto"/>
                <w:sz w:val="21"/>
                <w:szCs w:val="21"/>
              </w:rPr>
            </w:pPr>
            <w:r>
              <w:rPr>
                <w:rFonts w:hint="eastAsia"/>
                <w:color w:val="auto"/>
                <w:sz w:val="21"/>
                <w:szCs w:val="21"/>
                <w:lang w:val="en-US" w:eastAsia="zh-CN"/>
              </w:rPr>
              <w:t>拆除</w:t>
            </w:r>
            <w:r>
              <w:rPr>
                <w:rFonts w:hint="eastAsia"/>
                <w:color w:val="auto"/>
                <w:sz w:val="21"/>
                <w:szCs w:val="21"/>
              </w:rPr>
              <w:t>内容</w:t>
            </w:r>
          </w:p>
        </w:tc>
        <w:tc>
          <w:tcPr>
            <w:tcW w:w="1463" w:type="dxa"/>
            <w:shd w:val="clear" w:color="auto" w:fill="DEEBF6"/>
            <w:noWrap w:val="0"/>
            <w:vAlign w:val="center"/>
          </w:tcPr>
          <w:p w14:paraId="517D3E43">
            <w:pPr>
              <w:pStyle w:val="44"/>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78F27044">
            <w:pPr>
              <w:pStyle w:val="44"/>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13D2FDF2">
            <w:pPr>
              <w:pStyle w:val="44"/>
              <w:spacing w:before="60"/>
              <w:rPr>
                <w:rFonts w:hint="eastAsia"/>
                <w:color w:val="auto"/>
                <w:sz w:val="21"/>
                <w:szCs w:val="21"/>
              </w:rPr>
            </w:pPr>
            <w:r>
              <w:rPr>
                <w:rFonts w:hint="eastAsia"/>
                <w:color w:val="auto"/>
                <w:sz w:val="21"/>
                <w:szCs w:val="21"/>
              </w:rPr>
              <w:t>备注</w:t>
            </w:r>
          </w:p>
        </w:tc>
      </w:tr>
      <w:tr w14:paraId="67F3B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6C28181A">
            <w:pPr>
              <w:pStyle w:val="44"/>
              <w:spacing w:before="60"/>
              <w:rPr>
                <w:rFonts w:hint="default" w:eastAsia="宋体"/>
                <w:color w:val="auto"/>
                <w:sz w:val="21"/>
                <w:szCs w:val="21"/>
                <w:lang w:val="en-US" w:eastAsia="zh-CN"/>
              </w:rPr>
            </w:pPr>
            <w:r>
              <w:rPr>
                <w:rFonts w:hint="eastAsia"/>
                <w:color w:val="auto"/>
                <w:sz w:val="21"/>
                <w:szCs w:val="21"/>
                <w:lang w:val="en-US" w:eastAsia="zh-CN"/>
              </w:rPr>
              <w:t>1</w:t>
            </w:r>
          </w:p>
        </w:tc>
        <w:tc>
          <w:tcPr>
            <w:tcW w:w="3364" w:type="dxa"/>
            <w:noWrap w:val="0"/>
            <w:vAlign w:val="center"/>
          </w:tcPr>
          <w:p w14:paraId="172384BF">
            <w:pPr>
              <w:pStyle w:val="44"/>
              <w:spacing w:before="60"/>
              <w:rPr>
                <w:rFonts w:hint="default" w:eastAsia="宋体"/>
                <w:color w:val="auto"/>
                <w:sz w:val="21"/>
                <w:szCs w:val="21"/>
                <w:lang w:val="en-US" w:eastAsia="zh-CN"/>
              </w:rPr>
            </w:pPr>
            <w:r>
              <w:rPr>
                <w:rFonts w:hint="eastAsia"/>
                <w:color w:val="auto"/>
                <w:sz w:val="21"/>
                <w:szCs w:val="21"/>
                <w:lang w:val="en-US" w:eastAsia="zh-CN"/>
              </w:rPr>
              <w:t>降节</w:t>
            </w:r>
          </w:p>
        </w:tc>
        <w:tc>
          <w:tcPr>
            <w:tcW w:w="1463" w:type="dxa"/>
            <w:noWrap w:val="0"/>
            <w:vAlign w:val="center"/>
          </w:tcPr>
          <w:p w14:paraId="5604057C">
            <w:pPr>
              <w:pStyle w:val="44"/>
              <w:spacing w:before="60"/>
              <w:jc w:val="center"/>
              <w:rPr>
                <w:rFonts w:hint="eastAsia"/>
                <w:color w:val="auto"/>
                <w:sz w:val="21"/>
                <w:szCs w:val="21"/>
              </w:rPr>
            </w:pPr>
          </w:p>
        </w:tc>
        <w:tc>
          <w:tcPr>
            <w:tcW w:w="1170" w:type="dxa"/>
            <w:noWrap w:val="0"/>
            <w:vAlign w:val="center"/>
          </w:tcPr>
          <w:p w14:paraId="2C05841A">
            <w:pPr>
              <w:pStyle w:val="44"/>
              <w:spacing w:before="60"/>
              <w:rPr>
                <w:rFonts w:hint="eastAsia"/>
                <w:color w:val="auto"/>
                <w:sz w:val="21"/>
                <w:szCs w:val="21"/>
              </w:rPr>
            </w:pPr>
            <w:r>
              <w:rPr>
                <w:color w:val="auto"/>
                <w:sz w:val="21"/>
                <w:szCs w:val="21"/>
              </w:rPr>
              <w:t>1</w:t>
            </w:r>
          </w:p>
        </w:tc>
        <w:tc>
          <w:tcPr>
            <w:tcW w:w="1456" w:type="dxa"/>
            <w:noWrap w:val="0"/>
            <w:vAlign w:val="center"/>
          </w:tcPr>
          <w:p w14:paraId="2122F7F6">
            <w:pPr>
              <w:pStyle w:val="44"/>
              <w:spacing w:before="60"/>
              <w:rPr>
                <w:rFonts w:hint="default" w:eastAsia="宋体"/>
                <w:color w:val="auto"/>
                <w:sz w:val="21"/>
                <w:szCs w:val="21"/>
                <w:lang w:val="en-US" w:eastAsia="zh-CN"/>
              </w:rPr>
            </w:pPr>
            <w:r>
              <w:rPr>
                <w:rFonts w:hint="eastAsia"/>
                <w:color w:val="auto"/>
                <w:sz w:val="21"/>
                <w:szCs w:val="21"/>
                <w:lang w:val="en-US" w:eastAsia="zh-CN"/>
              </w:rPr>
              <w:t>降至地面以上2个标准节</w:t>
            </w:r>
          </w:p>
        </w:tc>
      </w:tr>
      <w:tr w14:paraId="09B359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1" w:hRule="atLeast"/>
          <w:jc w:val="center"/>
        </w:trPr>
        <w:tc>
          <w:tcPr>
            <w:tcW w:w="726" w:type="dxa"/>
            <w:noWrap w:val="0"/>
            <w:vAlign w:val="center"/>
          </w:tcPr>
          <w:p w14:paraId="73497938">
            <w:pPr>
              <w:pStyle w:val="44"/>
              <w:spacing w:before="60"/>
              <w:rPr>
                <w:rFonts w:hint="eastAsia"/>
                <w:color w:val="auto"/>
                <w:sz w:val="21"/>
                <w:szCs w:val="21"/>
                <w:lang w:val="en-US" w:eastAsia="zh-CN"/>
              </w:rPr>
            </w:pPr>
          </w:p>
          <w:p w14:paraId="5C718453">
            <w:pPr>
              <w:pStyle w:val="44"/>
              <w:spacing w:before="60"/>
              <w:rPr>
                <w:rFonts w:hint="default" w:eastAsia="宋体"/>
                <w:color w:val="auto"/>
                <w:sz w:val="21"/>
                <w:szCs w:val="21"/>
                <w:lang w:val="en-US" w:eastAsia="zh-CN"/>
              </w:rPr>
            </w:pPr>
            <w:r>
              <w:rPr>
                <w:rFonts w:hint="eastAsia"/>
                <w:color w:val="auto"/>
                <w:sz w:val="21"/>
                <w:szCs w:val="21"/>
                <w:lang w:val="en-US" w:eastAsia="zh-CN"/>
              </w:rPr>
              <w:t>2</w:t>
            </w:r>
          </w:p>
        </w:tc>
        <w:tc>
          <w:tcPr>
            <w:tcW w:w="3364" w:type="dxa"/>
            <w:noWrap w:val="0"/>
            <w:vAlign w:val="center"/>
          </w:tcPr>
          <w:p w14:paraId="2593EEBF">
            <w:pPr>
              <w:pStyle w:val="44"/>
              <w:spacing w:before="60"/>
              <w:rPr>
                <w:rFonts w:hint="eastAsia"/>
                <w:color w:val="auto"/>
                <w:sz w:val="21"/>
                <w:szCs w:val="21"/>
              </w:rPr>
            </w:pPr>
            <w:r>
              <w:rPr>
                <w:rFonts w:hint="eastAsia"/>
                <w:color w:val="auto"/>
                <w:sz w:val="21"/>
                <w:szCs w:val="21"/>
                <w:lang w:val="en-US" w:eastAsia="zh-CN"/>
              </w:rPr>
              <w:t>5块配重及</w:t>
            </w:r>
            <w:r>
              <w:rPr>
                <w:rFonts w:hint="eastAsia"/>
                <w:color w:val="auto"/>
                <w:sz w:val="21"/>
                <w:szCs w:val="21"/>
              </w:rPr>
              <w:t>起重臂</w:t>
            </w:r>
          </w:p>
        </w:tc>
        <w:tc>
          <w:tcPr>
            <w:tcW w:w="1463" w:type="dxa"/>
            <w:noWrap w:val="0"/>
            <w:vAlign w:val="center"/>
          </w:tcPr>
          <w:p w14:paraId="2C12F068">
            <w:pPr>
              <w:pStyle w:val="44"/>
              <w:spacing w:before="60"/>
              <w:jc w:val="center"/>
              <w:rPr>
                <w:rFonts w:hint="eastAsia"/>
                <w:color w:val="auto"/>
                <w:sz w:val="21"/>
                <w:szCs w:val="21"/>
              </w:rPr>
            </w:pPr>
            <w:r>
              <w:rPr>
                <w:rFonts w:hint="eastAsia"/>
                <w:color w:val="auto"/>
                <w:sz w:val="21"/>
                <w:szCs w:val="21"/>
              </w:rPr>
              <w:t>25t汽车吊</w:t>
            </w:r>
          </w:p>
        </w:tc>
        <w:tc>
          <w:tcPr>
            <w:tcW w:w="1170" w:type="dxa"/>
            <w:vMerge w:val="restart"/>
            <w:noWrap w:val="0"/>
            <w:vAlign w:val="center"/>
          </w:tcPr>
          <w:p w14:paraId="4A847B94">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528BE842">
            <w:pPr>
              <w:pStyle w:val="44"/>
              <w:spacing w:before="60"/>
              <w:rPr>
                <w:rFonts w:hint="default" w:eastAsia="宋体"/>
                <w:color w:val="auto"/>
                <w:sz w:val="21"/>
                <w:szCs w:val="21"/>
                <w:lang w:val="en-US" w:eastAsia="zh-CN"/>
              </w:rPr>
            </w:pPr>
            <w:r>
              <w:rPr>
                <w:rFonts w:hint="eastAsia"/>
                <w:color w:val="auto"/>
                <w:sz w:val="21"/>
                <w:szCs w:val="21"/>
                <w:lang w:val="en-US" w:eastAsia="zh-CN"/>
              </w:rPr>
              <w:t>仅留2.73t×2 的配重块</w:t>
            </w:r>
          </w:p>
        </w:tc>
      </w:tr>
      <w:tr w14:paraId="7FB4CE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40A5AACF">
            <w:pPr>
              <w:pStyle w:val="44"/>
              <w:spacing w:before="60"/>
              <w:rPr>
                <w:rFonts w:hint="default" w:eastAsia="宋体"/>
                <w:color w:val="auto"/>
                <w:sz w:val="21"/>
                <w:szCs w:val="21"/>
                <w:lang w:val="en-US" w:eastAsia="zh-CN"/>
              </w:rPr>
            </w:pPr>
            <w:r>
              <w:rPr>
                <w:rFonts w:hint="eastAsia"/>
                <w:color w:val="auto"/>
                <w:sz w:val="21"/>
                <w:szCs w:val="21"/>
                <w:lang w:val="en-US" w:eastAsia="zh-CN"/>
              </w:rPr>
              <w:t>3</w:t>
            </w:r>
          </w:p>
        </w:tc>
        <w:tc>
          <w:tcPr>
            <w:tcW w:w="3364" w:type="dxa"/>
            <w:noWrap w:val="0"/>
            <w:vAlign w:val="center"/>
          </w:tcPr>
          <w:p w14:paraId="2BAD150F">
            <w:pPr>
              <w:pStyle w:val="44"/>
              <w:spacing w:before="60"/>
              <w:rPr>
                <w:rFonts w:hint="default" w:eastAsia="宋体"/>
                <w:color w:val="auto"/>
                <w:sz w:val="21"/>
                <w:szCs w:val="21"/>
                <w:lang w:val="en-US" w:eastAsia="zh-CN"/>
              </w:rPr>
            </w:pPr>
            <w:r>
              <w:rPr>
                <w:rFonts w:hint="eastAsia"/>
                <w:color w:val="auto"/>
                <w:sz w:val="21"/>
                <w:szCs w:val="21"/>
                <w:lang w:val="en-US" w:eastAsia="zh-CN"/>
              </w:rPr>
              <w:t>2块配重、平衡臂</w:t>
            </w:r>
          </w:p>
        </w:tc>
        <w:tc>
          <w:tcPr>
            <w:tcW w:w="1463" w:type="dxa"/>
            <w:noWrap w:val="0"/>
            <w:vAlign w:val="center"/>
          </w:tcPr>
          <w:p w14:paraId="400925F6">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restart"/>
            <w:noWrap w:val="0"/>
            <w:vAlign w:val="center"/>
          </w:tcPr>
          <w:p w14:paraId="4F6FBA92">
            <w:pPr>
              <w:pStyle w:val="44"/>
              <w:spacing w:before="60"/>
              <w:rPr>
                <w:rFonts w:hint="default" w:eastAsia="宋体"/>
                <w:color w:val="auto"/>
                <w:sz w:val="21"/>
                <w:szCs w:val="21"/>
                <w:lang w:val="en-US" w:eastAsia="zh-CN"/>
              </w:rPr>
            </w:pPr>
            <w:r>
              <w:rPr>
                <w:rFonts w:hint="eastAsia"/>
                <w:color w:val="auto"/>
                <w:sz w:val="21"/>
                <w:szCs w:val="21"/>
                <w:lang w:val="en-US" w:eastAsia="zh-CN"/>
              </w:rPr>
              <w:t>1</w:t>
            </w:r>
          </w:p>
        </w:tc>
        <w:tc>
          <w:tcPr>
            <w:tcW w:w="1456" w:type="dxa"/>
            <w:noWrap w:val="0"/>
            <w:vAlign w:val="center"/>
          </w:tcPr>
          <w:p w14:paraId="334F27A9">
            <w:pPr>
              <w:pStyle w:val="44"/>
              <w:spacing w:before="60"/>
              <w:rPr>
                <w:rFonts w:hint="eastAsia"/>
                <w:color w:val="auto"/>
                <w:sz w:val="21"/>
                <w:szCs w:val="21"/>
              </w:rPr>
            </w:pPr>
          </w:p>
        </w:tc>
      </w:tr>
      <w:tr w14:paraId="1BAABA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3422CBB2">
            <w:pPr>
              <w:pStyle w:val="44"/>
              <w:spacing w:before="60"/>
              <w:rPr>
                <w:rFonts w:hint="default" w:eastAsia="宋体"/>
                <w:color w:val="auto"/>
                <w:sz w:val="21"/>
                <w:szCs w:val="21"/>
                <w:lang w:val="en-US" w:eastAsia="zh-CN"/>
              </w:rPr>
            </w:pPr>
            <w:r>
              <w:rPr>
                <w:rFonts w:hint="eastAsia"/>
                <w:color w:val="auto"/>
                <w:sz w:val="21"/>
                <w:szCs w:val="21"/>
                <w:lang w:val="en-US" w:eastAsia="zh-CN"/>
              </w:rPr>
              <w:t>4</w:t>
            </w:r>
          </w:p>
        </w:tc>
        <w:tc>
          <w:tcPr>
            <w:tcW w:w="3364" w:type="dxa"/>
            <w:noWrap w:val="0"/>
            <w:vAlign w:val="center"/>
          </w:tcPr>
          <w:p w14:paraId="621E115E">
            <w:pPr>
              <w:pStyle w:val="44"/>
              <w:spacing w:before="60"/>
              <w:rPr>
                <w:rFonts w:hint="default"/>
                <w:lang w:val="en-US" w:eastAsia="zh-CN"/>
              </w:rPr>
            </w:pPr>
            <w:r>
              <w:rPr>
                <w:rFonts w:hint="eastAsia"/>
                <w:color w:val="auto"/>
                <w:sz w:val="21"/>
                <w:szCs w:val="21"/>
                <w:lang w:val="en-US" w:eastAsia="zh-CN"/>
              </w:rPr>
              <w:t>司机室、塔顶、回转、特殊节、爬升架拆除</w:t>
            </w:r>
          </w:p>
        </w:tc>
        <w:tc>
          <w:tcPr>
            <w:tcW w:w="1463" w:type="dxa"/>
            <w:noWrap w:val="0"/>
            <w:vAlign w:val="center"/>
          </w:tcPr>
          <w:p w14:paraId="122825AD">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continue"/>
            <w:noWrap w:val="0"/>
            <w:vAlign w:val="center"/>
          </w:tcPr>
          <w:p w14:paraId="0EA49261">
            <w:pPr>
              <w:pStyle w:val="44"/>
              <w:spacing w:before="60"/>
              <w:rPr>
                <w:rFonts w:hint="eastAsia"/>
                <w:color w:val="auto"/>
                <w:sz w:val="21"/>
                <w:szCs w:val="21"/>
              </w:rPr>
            </w:pPr>
          </w:p>
        </w:tc>
        <w:tc>
          <w:tcPr>
            <w:tcW w:w="1456" w:type="dxa"/>
            <w:noWrap w:val="0"/>
            <w:vAlign w:val="center"/>
          </w:tcPr>
          <w:p w14:paraId="294379BC">
            <w:pPr>
              <w:pStyle w:val="44"/>
              <w:spacing w:before="60"/>
              <w:rPr>
                <w:rFonts w:hint="default" w:eastAsia="宋体"/>
                <w:color w:val="auto"/>
                <w:sz w:val="21"/>
                <w:szCs w:val="21"/>
                <w:lang w:val="en-US" w:eastAsia="zh-CN"/>
              </w:rPr>
            </w:pPr>
          </w:p>
        </w:tc>
      </w:tr>
      <w:tr w14:paraId="655BE1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2AD82E67">
            <w:pPr>
              <w:pStyle w:val="44"/>
              <w:spacing w:before="60"/>
              <w:rPr>
                <w:rFonts w:hint="eastAsia" w:eastAsia="宋体"/>
                <w:color w:val="auto"/>
                <w:sz w:val="21"/>
                <w:szCs w:val="21"/>
                <w:lang w:val="en-US" w:eastAsia="zh-CN"/>
              </w:rPr>
            </w:pPr>
            <w:r>
              <w:rPr>
                <w:rFonts w:hint="eastAsia"/>
                <w:color w:val="auto"/>
                <w:sz w:val="21"/>
                <w:szCs w:val="21"/>
                <w:lang w:val="en-US" w:eastAsia="zh-CN"/>
              </w:rPr>
              <w:t>5</w:t>
            </w:r>
          </w:p>
        </w:tc>
        <w:tc>
          <w:tcPr>
            <w:tcW w:w="3364" w:type="dxa"/>
            <w:noWrap w:val="0"/>
            <w:vAlign w:val="center"/>
          </w:tcPr>
          <w:p w14:paraId="35D3802E">
            <w:pPr>
              <w:keepNext w:val="0"/>
              <w:keepLines w:val="0"/>
              <w:widowControl/>
              <w:suppressLineNumbers w:val="0"/>
              <w:jc w:val="left"/>
              <w:rPr>
                <w:rFonts w:hint="default" w:eastAsia="宋体"/>
                <w:color w:val="auto"/>
                <w:sz w:val="21"/>
                <w:szCs w:val="21"/>
                <w:lang w:val="en-US" w:eastAsia="zh-CN"/>
              </w:rPr>
            </w:pPr>
            <w:r>
              <w:rPr>
                <w:rFonts w:hint="eastAsia" w:ascii="宋体" w:hAnsi="宋体" w:eastAsia="宋体" w:cs="宋体"/>
                <w:color w:val="000000"/>
                <w:kern w:val="0"/>
                <w:sz w:val="24"/>
                <w:szCs w:val="24"/>
                <w:lang w:val="en-US" w:eastAsia="zh-CN" w:bidi="ar"/>
              </w:rPr>
              <w:t>依次拆除加强节及基础节</w:t>
            </w:r>
          </w:p>
        </w:tc>
        <w:tc>
          <w:tcPr>
            <w:tcW w:w="1463" w:type="dxa"/>
            <w:noWrap w:val="0"/>
            <w:vAlign w:val="center"/>
          </w:tcPr>
          <w:p w14:paraId="3B6D0B59">
            <w:pPr>
              <w:pStyle w:val="44"/>
              <w:spacing w:before="60"/>
              <w:rPr>
                <w:rFonts w:hint="eastAsia"/>
                <w:color w:val="auto"/>
                <w:sz w:val="21"/>
                <w:szCs w:val="21"/>
              </w:rPr>
            </w:pPr>
            <w:r>
              <w:rPr>
                <w:rFonts w:hint="eastAsia" w:ascii="宋体" w:hAnsi="宋体"/>
                <w:color w:val="auto"/>
                <w:sz w:val="21"/>
                <w:szCs w:val="21"/>
              </w:rPr>
              <w:t>25t汽车吊</w:t>
            </w:r>
          </w:p>
        </w:tc>
        <w:tc>
          <w:tcPr>
            <w:tcW w:w="1170" w:type="dxa"/>
            <w:noWrap w:val="0"/>
            <w:vAlign w:val="center"/>
          </w:tcPr>
          <w:p w14:paraId="5EB39AC5">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04B290E8">
            <w:pPr>
              <w:pStyle w:val="44"/>
              <w:spacing w:before="60"/>
              <w:rPr>
                <w:rFonts w:hint="eastAsia"/>
                <w:color w:val="auto"/>
                <w:sz w:val="21"/>
                <w:szCs w:val="21"/>
              </w:rPr>
            </w:pPr>
          </w:p>
        </w:tc>
      </w:tr>
      <w:tr w14:paraId="40C88E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16A6F0CC">
            <w:pPr>
              <w:pStyle w:val="44"/>
              <w:spacing w:before="60"/>
              <w:rPr>
                <w:rFonts w:hint="eastAsia"/>
                <w:color w:val="auto"/>
                <w:sz w:val="21"/>
                <w:szCs w:val="21"/>
              </w:rPr>
            </w:pPr>
            <w:r>
              <w:rPr>
                <w:rFonts w:hint="eastAsia"/>
                <w:color w:val="auto"/>
                <w:sz w:val="21"/>
                <w:szCs w:val="21"/>
              </w:rPr>
              <w:t>合计</w:t>
            </w:r>
          </w:p>
        </w:tc>
        <w:tc>
          <w:tcPr>
            <w:tcW w:w="1170" w:type="dxa"/>
            <w:noWrap w:val="0"/>
            <w:vAlign w:val="center"/>
          </w:tcPr>
          <w:p w14:paraId="3FE70D7D">
            <w:pPr>
              <w:pStyle w:val="44"/>
              <w:spacing w:before="60"/>
              <w:rPr>
                <w:color w:val="auto"/>
                <w:sz w:val="21"/>
                <w:szCs w:val="21"/>
              </w:rPr>
            </w:pPr>
            <w:r>
              <w:rPr>
                <w:rFonts w:hint="eastAsia"/>
                <w:color w:val="auto"/>
                <w:sz w:val="21"/>
                <w:szCs w:val="21"/>
                <w:lang w:val="en-US" w:eastAsia="zh-CN"/>
              </w:rPr>
              <w:t>4</w:t>
            </w:r>
          </w:p>
        </w:tc>
        <w:tc>
          <w:tcPr>
            <w:tcW w:w="1456" w:type="dxa"/>
            <w:noWrap w:val="0"/>
            <w:vAlign w:val="center"/>
          </w:tcPr>
          <w:p w14:paraId="719F5F8B">
            <w:pPr>
              <w:pStyle w:val="44"/>
              <w:spacing w:before="60"/>
              <w:rPr>
                <w:rFonts w:hint="eastAsia"/>
                <w:color w:val="auto"/>
                <w:sz w:val="21"/>
                <w:szCs w:val="21"/>
              </w:rPr>
            </w:pPr>
          </w:p>
        </w:tc>
      </w:tr>
    </w:tbl>
    <w:p w14:paraId="585EE0F9">
      <w:pPr>
        <w:pStyle w:val="3"/>
        <w:spacing w:before="156" w:after="156"/>
        <w:ind w:left="480" w:leftChars="0" w:firstLineChars="0"/>
        <w:rPr>
          <w:color w:val="auto"/>
        </w:rPr>
      </w:pPr>
      <w:bookmarkStart w:id="73" w:name="_Toc17125"/>
      <w:bookmarkStart w:id="74" w:name="_Toc19376"/>
      <w:bookmarkStart w:id="75" w:name="_Toc27644"/>
      <w:bookmarkStart w:id="76" w:name="_Toc40778434"/>
      <w:r>
        <w:rPr>
          <w:rFonts w:hint="eastAsia"/>
          <w:color w:val="auto"/>
        </w:rPr>
        <w:t>材料计划</w:t>
      </w:r>
      <w:bookmarkEnd w:id="73"/>
      <w:bookmarkEnd w:id="74"/>
      <w:bookmarkEnd w:id="75"/>
      <w:bookmarkEnd w:id="76"/>
    </w:p>
    <w:p w14:paraId="4EA0F7F5">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现场所使用的</w:t>
      </w:r>
      <w:r>
        <w:rPr>
          <w:rFonts w:hint="eastAsia" w:ascii="Times New Roman" w:hAnsi="Times New Roman" w:cs="Times New Roman"/>
          <w:color w:val="auto"/>
          <w:kern w:val="2"/>
          <w:lang w:eastAsia="zh-CN"/>
        </w:rPr>
        <w:t>汽车吊</w:t>
      </w:r>
      <w:r>
        <w:rPr>
          <w:rFonts w:hint="eastAsia" w:ascii="Times New Roman" w:hAnsi="Times New Roman" w:cs="Times New Roman"/>
          <w:color w:val="auto"/>
          <w:kern w:val="2"/>
        </w:rPr>
        <w:t>必须处于有效的检测检定有效期内，各类检测仪器应处于有效的检定期内，以保持其检定和校准状态的可信度，达到仪器在使用过程中性能保证的目的。</w:t>
      </w:r>
    </w:p>
    <w:p w14:paraId="75A64DAE">
      <w:pPr>
        <w:pStyle w:val="48"/>
        <w:numPr>
          <w:ilvl w:val="0"/>
          <w:numId w:val="7"/>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23F9BB07">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-1</w:t>
      </w:r>
      <w:r>
        <w:rPr>
          <w:rFonts w:hint="eastAsia" w:ascii="宋体" w:hAnsi="宋体" w:cs="黑体"/>
          <w:b/>
          <w:color w:val="auto"/>
          <w:sz w:val="21"/>
          <w:szCs w:val="21"/>
        </w:rPr>
        <w:t xml:space="preserve"> 测量仪器、仪表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455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B691ABC">
            <w:pPr>
              <w:pStyle w:val="44"/>
              <w:spacing w:before="60"/>
              <w:rPr>
                <w:color w:val="auto"/>
                <w:sz w:val="21"/>
                <w:szCs w:val="21"/>
              </w:rPr>
            </w:pPr>
            <w:r>
              <w:rPr>
                <w:rFonts w:hint="eastAsia"/>
                <w:color w:val="auto"/>
                <w:sz w:val="21"/>
                <w:szCs w:val="21"/>
              </w:rPr>
              <w:t>序号</w:t>
            </w:r>
          </w:p>
        </w:tc>
        <w:tc>
          <w:tcPr>
            <w:tcW w:w="1355" w:type="dxa"/>
            <w:noWrap w:val="0"/>
            <w:vAlign w:val="center"/>
          </w:tcPr>
          <w:p w14:paraId="3A0F4446">
            <w:pPr>
              <w:pStyle w:val="44"/>
              <w:spacing w:before="60"/>
              <w:rPr>
                <w:color w:val="auto"/>
                <w:sz w:val="21"/>
                <w:szCs w:val="21"/>
              </w:rPr>
            </w:pPr>
            <w:r>
              <w:rPr>
                <w:rFonts w:hint="eastAsia"/>
                <w:color w:val="auto"/>
                <w:sz w:val="21"/>
                <w:szCs w:val="21"/>
              </w:rPr>
              <w:t>名称</w:t>
            </w:r>
          </w:p>
        </w:tc>
        <w:tc>
          <w:tcPr>
            <w:tcW w:w="992" w:type="dxa"/>
            <w:noWrap w:val="0"/>
            <w:vAlign w:val="center"/>
          </w:tcPr>
          <w:p w14:paraId="485210C6">
            <w:pPr>
              <w:pStyle w:val="44"/>
              <w:spacing w:before="60"/>
              <w:rPr>
                <w:color w:val="auto"/>
                <w:sz w:val="21"/>
                <w:szCs w:val="21"/>
              </w:rPr>
            </w:pPr>
            <w:r>
              <w:rPr>
                <w:rFonts w:hint="eastAsia"/>
                <w:color w:val="auto"/>
                <w:sz w:val="21"/>
                <w:szCs w:val="21"/>
              </w:rPr>
              <w:t>规格</w:t>
            </w:r>
          </w:p>
        </w:tc>
        <w:tc>
          <w:tcPr>
            <w:tcW w:w="1276" w:type="dxa"/>
            <w:noWrap w:val="0"/>
            <w:vAlign w:val="center"/>
          </w:tcPr>
          <w:p w14:paraId="2213DD28">
            <w:pPr>
              <w:pStyle w:val="44"/>
              <w:spacing w:before="60"/>
              <w:rPr>
                <w:color w:val="auto"/>
                <w:sz w:val="21"/>
                <w:szCs w:val="21"/>
              </w:rPr>
            </w:pPr>
            <w:r>
              <w:rPr>
                <w:rFonts w:hint="eastAsia"/>
                <w:color w:val="auto"/>
                <w:sz w:val="21"/>
                <w:szCs w:val="21"/>
              </w:rPr>
              <w:t>精度等级</w:t>
            </w:r>
          </w:p>
        </w:tc>
        <w:tc>
          <w:tcPr>
            <w:tcW w:w="850" w:type="dxa"/>
            <w:noWrap w:val="0"/>
            <w:vAlign w:val="center"/>
          </w:tcPr>
          <w:p w14:paraId="04D04A0C">
            <w:pPr>
              <w:pStyle w:val="44"/>
              <w:spacing w:before="60"/>
              <w:rPr>
                <w:color w:val="auto"/>
                <w:sz w:val="21"/>
                <w:szCs w:val="21"/>
              </w:rPr>
            </w:pPr>
            <w:r>
              <w:rPr>
                <w:rFonts w:hint="eastAsia"/>
                <w:color w:val="auto"/>
                <w:sz w:val="21"/>
                <w:szCs w:val="21"/>
              </w:rPr>
              <w:t>单位</w:t>
            </w:r>
          </w:p>
        </w:tc>
        <w:tc>
          <w:tcPr>
            <w:tcW w:w="709" w:type="dxa"/>
            <w:noWrap w:val="0"/>
            <w:vAlign w:val="center"/>
          </w:tcPr>
          <w:p w14:paraId="125D3611">
            <w:pPr>
              <w:pStyle w:val="44"/>
              <w:spacing w:before="60"/>
              <w:rPr>
                <w:color w:val="auto"/>
                <w:sz w:val="21"/>
                <w:szCs w:val="21"/>
              </w:rPr>
            </w:pPr>
            <w:r>
              <w:rPr>
                <w:rFonts w:hint="eastAsia"/>
                <w:color w:val="auto"/>
                <w:sz w:val="21"/>
                <w:szCs w:val="21"/>
              </w:rPr>
              <w:t>数量</w:t>
            </w:r>
          </w:p>
        </w:tc>
        <w:tc>
          <w:tcPr>
            <w:tcW w:w="2693" w:type="dxa"/>
            <w:noWrap w:val="0"/>
            <w:vAlign w:val="center"/>
          </w:tcPr>
          <w:p w14:paraId="3435F57D">
            <w:pPr>
              <w:pStyle w:val="44"/>
              <w:spacing w:before="60"/>
              <w:rPr>
                <w:color w:val="auto"/>
                <w:sz w:val="21"/>
                <w:szCs w:val="21"/>
              </w:rPr>
            </w:pPr>
            <w:r>
              <w:rPr>
                <w:rFonts w:hint="eastAsia"/>
                <w:color w:val="auto"/>
                <w:sz w:val="21"/>
                <w:szCs w:val="21"/>
              </w:rPr>
              <w:t>备注</w:t>
            </w:r>
          </w:p>
        </w:tc>
      </w:tr>
      <w:tr w14:paraId="697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3D4FA570">
            <w:pPr>
              <w:pStyle w:val="44"/>
              <w:spacing w:before="60"/>
              <w:rPr>
                <w:color w:val="auto"/>
                <w:sz w:val="21"/>
                <w:szCs w:val="21"/>
              </w:rPr>
            </w:pPr>
            <w:r>
              <w:rPr>
                <w:rFonts w:hint="eastAsia"/>
                <w:color w:val="auto"/>
                <w:sz w:val="21"/>
                <w:szCs w:val="21"/>
              </w:rPr>
              <w:t>1</w:t>
            </w:r>
          </w:p>
        </w:tc>
        <w:tc>
          <w:tcPr>
            <w:tcW w:w="1355" w:type="dxa"/>
            <w:noWrap w:val="0"/>
            <w:vAlign w:val="center"/>
          </w:tcPr>
          <w:p w14:paraId="0C59994C">
            <w:pPr>
              <w:pStyle w:val="44"/>
              <w:spacing w:before="60"/>
              <w:rPr>
                <w:color w:val="auto"/>
                <w:sz w:val="21"/>
                <w:szCs w:val="21"/>
              </w:rPr>
            </w:pPr>
            <w:r>
              <w:rPr>
                <w:rFonts w:hint="eastAsia"/>
                <w:color w:val="auto"/>
                <w:sz w:val="21"/>
                <w:szCs w:val="21"/>
              </w:rPr>
              <w:t>水准仪</w:t>
            </w:r>
          </w:p>
        </w:tc>
        <w:tc>
          <w:tcPr>
            <w:tcW w:w="992" w:type="dxa"/>
            <w:noWrap w:val="0"/>
            <w:vAlign w:val="center"/>
          </w:tcPr>
          <w:p w14:paraId="76DF34DB">
            <w:pPr>
              <w:pStyle w:val="44"/>
              <w:spacing w:before="60"/>
              <w:rPr>
                <w:color w:val="auto"/>
                <w:sz w:val="21"/>
                <w:szCs w:val="21"/>
              </w:rPr>
            </w:pPr>
            <w:r>
              <w:rPr>
                <w:rFonts w:hint="eastAsia"/>
                <w:color w:val="auto"/>
                <w:sz w:val="21"/>
                <w:szCs w:val="21"/>
              </w:rPr>
              <w:t>NA2</w:t>
            </w:r>
          </w:p>
        </w:tc>
        <w:tc>
          <w:tcPr>
            <w:tcW w:w="1276" w:type="dxa"/>
            <w:noWrap w:val="0"/>
            <w:vAlign w:val="center"/>
          </w:tcPr>
          <w:p w14:paraId="1407C204">
            <w:pPr>
              <w:pStyle w:val="44"/>
              <w:spacing w:before="60"/>
              <w:rPr>
                <w:color w:val="auto"/>
                <w:sz w:val="21"/>
                <w:szCs w:val="21"/>
              </w:rPr>
            </w:pPr>
            <w:r>
              <w:rPr>
                <w:rFonts w:hint="eastAsia"/>
                <w:color w:val="auto"/>
                <w:sz w:val="21"/>
                <w:szCs w:val="21"/>
              </w:rPr>
              <w:t>0.5mm</w:t>
            </w:r>
          </w:p>
        </w:tc>
        <w:tc>
          <w:tcPr>
            <w:tcW w:w="850" w:type="dxa"/>
            <w:noWrap w:val="0"/>
            <w:vAlign w:val="center"/>
          </w:tcPr>
          <w:p w14:paraId="5D793CD0">
            <w:pPr>
              <w:pStyle w:val="44"/>
              <w:spacing w:before="60"/>
              <w:rPr>
                <w:color w:val="auto"/>
                <w:sz w:val="21"/>
                <w:szCs w:val="21"/>
              </w:rPr>
            </w:pPr>
            <w:r>
              <w:rPr>
                <w:rFonts w:hint="eastAsia"/>
                <w:color w:val="auto"/>
                <w:sz w:val="21"/>
                <w:szCs w:val="21"/>
              </w:rPr>
              <w:t>台</w:t>
            </w:r>
          </w:p>
        </w:tc>
        <w:tc>
          <w:tcPr>
            <w:tcW w:w="709" w:type="dxa"/>
            <w:noWrap w:val="0"/>
            <w:vAlign w:val="center"/>
          </w:tcPr>
          <w:p w14:paraId="5CEE40EB">
            <w:pPr>
              <w:pStyle w:val="44"/>
              <w:spacing w:before="60"/>
              <w:rPr>
                <w:color w:val="auto"/>
                <w:sz w:val="21"/>
                <w:szCs w:val="21"/>
              </w:rPr>
            </w:pPr>
            <w:r>
              <w:rPr>
                <w:rFonts w:hint="eastAsia"/>
                <w:color w:val="auto"/>
                <w:sz w:val="21"/>
                <w:szCs w:val="21"/>
              </w:rPr>
              <w:t>1</w:t>
            </w:r>
          </w:p>
        </w:tc>
        <w:tc>
          <w:tcPr>
            <w:tcW w:w="2693" w:type="dxa"/>
            <w:noWrap w:val="0"/>
            <w:vAlign w:val="center"/>
          </w:tcPr>
          <w:p w14:paraId="115698AC">
            <w:pPr>
              <w:pStyle w:val="44"/>
              <w:spacing w:before="60"/>
              <w:rPr>
                <w:color w:val="auto"/>
                <w:sz w:val="21"/>
                <w:szCs w:val="21"/>
              </w:rPr>
            </w:pPr>
            <w:r>
              <w:rPr>
                <w:rFonts w:hint="eastAsia"/>
                <w:color w:val="auto"/>
                <w:sz w:val="21"/>
                <w:szCs w:val="21"/>
              </w:rPr>
              <w:t>检验合格并在有效期内</w:t>
            </w:r>
          </w:p>
        </w:tc>
      </w:tr>
      <w:tr w14:paraId="6FF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6ECBB6C">
            <w:pPr>
              <w:pStyle w:val="44"/>
              <w:spacing w:before="60"/>
              <w:rPr>
                <w:color w:val="auto"/>
                <w:sz w:val="21"/>
                <w:szCs w:val="21"/>
              </w:rPr>
            </w:pPr>
            <w:r>
              <w:rPr>
                <w:rFonts w:hint="eastAsia"/>
                <w:color w:val="auto"/>
                <w:sz w:val="21"/>
                <w:szCs w:val="21"/>
              </w:rPr>
              <w:t>2</w:t>
            </w:r>
          </w:p>
        </w:tc>
        <w:tc>
          <w:tcPr>
            <w:tcW w:w="1355" w:type="dxa"/>
            <w:noWrap w:val="0"/>
            <w:vAlign w:val="center"/>
          </w:tcPr>
          <w:p w14:paraId="3AF748D0">
            <w:pPr>
              <w:pStyle w:val="44"/>
              <w:spacing w:before="60"/>
              <w:rPr>
                <w:color w:val="auto"/>
                <w:sz w:val="21"/>
                <w:szCs w:val="21"/>
              </w:rPr>
            </w:pPr>
            <w:r>
              <w:rPr>
                <w:rFonts w:hint="eastAsia"/>
                <w:color w:val="auto"/>
                <w:sz w:val="21"/>
                <w:szCs w:val="21"/>
              </w:rPr>
              <w:t>经纬仪</w:t>
            </w:r>
          </w:p>
        </w:tc>
        <w:tc>
          <w:tcPr>
            <w:tcW w:w="992" w:type="dxa"/>
            <w:noWrap w:val="0"/>
            <w:vAlign w:val="center"/>
          </w:tcPr>
          <w:p w14:paraId="0DB8245F">
            <w:pPr>
              <w:pStyle w:val="44"/>
              <w:spacing w:before="60"/>
              <w:rPr>
                <w:color w:val="auto"/>
                <w:sz w:val="21"/>
                <w:szCs w:val="21"/>
              </w:rPr>
            </w:pPr>
            <w:r>
              <w:rPr>
                <w:rFonts w:hint="eastAsia"/>
                <w:color w:val="auto"/>
                <w:sz w:val="21"/>
                <w:szCs w:val="21"/>
              </w:rPr>
              <w:t>TDJ2E</w:t>
            </w:r>
          </w:p>
        </w:tc>
        <w:tc>
          <w:tcPr>
            <w:tcW w:w="1276" w:type="dxa"/>
            <w:noWrap w:val="0"/>
            <w:vAlign w:val="center"/>
          </w:tcPr>
          <w:p w14:paraId="4AC840BC">
            <w:pPr>
              <w:pStyle w:val="44"/>
              <w:spacing w:before="60"/>
              <w:rPr>
                <w:color w:val="auto"/>
                <w:sz w:val="21"/>
                <w:szCs w:val="21"/>
              </w:rPr>
            </w:pPr>
            <w:r>
              <w:rPr>
                <w:rFonts w:hint="eastAsia"/>
                <w:color w:val="auto"/>
                <w:sz w:val="21"/>
                <w:szCs w:val="21"/>
              </w:rPr>
              <w:t>6″</w:t>
            </w:r>
          </w:p>
        </w:tc>
        <w:tc>
          <w:tcPr>
            <w:tcW w:w="850" w:type="dxa"/>
            <w:noWrap w:val="0"/>
            <w:vAlign w:val="center"/>
          </w:tcPr>
          <w:p w14:paraId="69955BEF">
            <w:pPr>
              <w:pStyle w:val="44"/>
              <w:spacing w:before="60"/>
              <w:rPr>
                <w:color w:val="auto"/>
                <w:sz w:val="21"/>
                <w:szCs w:val="21"/>
              </w:rPr>
            </w:pPr>
            <w:r>
              <w:rPr>
                <w:rFonts w:hint="eastAsia"/>
                <w:color w:val="auto"/>
                <w:sz w:val="21"/>
                <w:szCs w:val="21"/>
              </w:rPr>
              <w:t>台</w:t>
            </w:r>
          </w:p>
        </w:tc>
        <w:tc>
          <w:tcPr>
            <w:tcW w:w="709" w:type="dxa"/>
            <w:noWrap w:val="0"/>
            <w:vAlign w:val="center"/>
          </w:tcPr>
          <w:p w14:paraId="209F505F">
            <w:pPr>
              <w:pStyle w:val="44"/>
              <w:spacing w:before="60"/>
              <w:rPr>
                <w:color w:val="auto"/>
                <w:sz w:val="21"/>
                <w:szCs w:val="21"/>
              </w:rPr>
            </w:pPr>
            <w:r>
              <w:rPr>
                <w:rFonts w:hint="eastAsia"/>
                <w:color w:val="auto"/>
                <w:sz w:val="21"/>
                <w:szCs w:val="21"/>
              </w:rPr>
              <w:t>1</w:t>
            </w:r>
          </w:p>
        </w:tc>
        <w:tc>
          <w:tcPr>
            <w:tcW w:w="2693" w:type="dxa"/>
            <w:noWrap w:val="0"/>
            <w:vAlign w:val="center"/>
          </w:tcPr>
          <w:p w14:paraId="71A10384">
            <w:pPr>
              <w:pStyle w:val="44"/>
              <w:spacing w:before="60"/>
              <w:rPr>
                <w:color w:val="auto"/>
                <w:sz w:val="21"/>
                <w:szCs w:val="21"/>
              </w:rPr>
            </w:pPr>
            <w:r>
              <w:rPr>
                <w:rFonts w:hint="eastAsia"/>
                <w:color w:val="auto"/>
                <w:sz w:val="21"/>
                <w:szCs w:val="21"/>
              </w:rPr>
              <w:t>检验合格并在有效期内</w:t>
            </w:r>
          </w:p>
        </w:tc>
      </w:tr>
    </w:tbl>
    <w:p w14:paraId="7215FD92">
      <w:pPr>
        <w:ind w:firstLine="480"/>
        <w:rPr>
          <w:color w:val="auto"/>
        </w:rPr>
      </w:pPr>
      <w:r>
        <w:rPr>
          <w:rFonts w:hint="eastAsia"/>
          <w:color w:val="auto"/>
        </w:rPr>
        <w:t>（2）作业工机具统计表：</w:t>
      </w:r>
    </w:p>
    <w:p w14:paraId="62884BEC">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-2</w:t>
      </w:r>
      <w:r>
        <w:rPr>
          <w:rFonts w:hint="eastAsia" w:ascii="宋体" w:hAnsi="宋体" w:cs="黑体"/>
          <w:b/>
          <w:color w:val="auto"/>
          <w:sz w:val="21"/>
          <w:szCs w:val="21"/>
        </w:rPr>
        <w:t xml:space="preserve"> 作业工机具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5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1698761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66AD8A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0439C46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45F7F9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252FE98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78F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2D3CC6CC">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9BB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69C55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1F15B7C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216A587">
            <w:pPr>
              <w:pStyle w:val="44"/>
              <w:spacing w:before="60"/>
              <w:rPr>
                <w:rFonts w:hint="default" w:ascii="宋体" w:hAnsi="宋体" w:eastAsia="宋体" w:cs="宋体"/>
                <w:color w:val="auto"/>
                <w:sz w:val="21"/>
                <w:szCs w:val="21"/>
                <w:lang w:val="en-US" w:eastAsia="zh-CN"/>
              </w:rPr>
            </w:pPr>
            <w:r>
              <w:rPr>
                <w:rFonts w:hint="eastAsia" w:cs="宋体"/>
                <w:color w:val="auto"/>
                <w:sz w:val="21"/>
                <w:szCs w:val="21"/>
                <w:lang w:val="en-US" w:eastAsia="zh-CN"/>
              </w:rPr>
              <w:t>1</w:t>
            </w:r>
            <w:r>
              <w:rPr>
                <w:rFonts w:hint="default" w:ascii="宋体" w:hAnsi="宋体" w:eastAsia="宋体" w:cs="宋体"/>
                <w:color w:val="auto"/>
                <w:sz w:val="21"/>
                <w:szCs w:val="21"/>
                <w:lang w:val="en-US" w:eastAsia="zh-CN"/>
              </w:rPr>
              <w:t>4mm6×19S+FC1870Mpa</w:t>
            </w:r>
          </w:p>
        </w:tc>
        <w:tc>
          <w:tcPr>
            <w:tcW w:w="770" w:type="dxa"/>
            <w:noWrap w:val="0"/>
            <w:vAlign w:val="center"/>
          </w:tcPr>
          <w:p w14:paraId="26D5CFAE">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76B64E6C">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较轻</w:t>
            </w:r>
            <w:r>
              <w:rPr>
                <w:rFonts w:hint="eastAsia" w:ascii="宋体" w:hAnsi="宋体" w:eastAsia="宋体" w:cs="宋体"/>
                <w:color w:val="auto"/>
                <w:sz w:val="21"/>
                <w:szCs w:val="21"/>
              </w:rPr>
              <w:t>构件吊装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79AA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5218C5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667F3E8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07C5904">
            <w:pPr>
              <w:pStyle w:val="44"/>
              <w:spacing w:before="60"/>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18mm6×19S+FC1870Mpa</w:t>
            </w:r>
          </w:p>
        </w:tc>
        <w:tc>
          <w:tcPr>
            <w:tcW w:w="770" w:type="dxa"/>
            <w:noWrap w:val="0"/>
            <w:vAlign w:val="center"/>
          </w:tcPr>
          <w:p w14:paraId="2002612F">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5783D834">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较重</w:t>
            </w:r>
            <w:r>
              <w:rPr>
                <w:rFonts w:hint="eastAsia" w:ascii="宋体" w:hAnsi="宋体" w:eastAsia="宋体" w:cs="宋体"/>
                <w:color w:val="auto"/>
                <w:sz w:val="21"/>
                <w:szCs w:val="21"/>
                <w:lang w:val="en-US" w:eastAsia="zh-CN"/>
              </w:rPr>
              <w:t>构件</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F6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1C7B59E">
            <w:pPr>
              <w:pStyle w:val="44"/>
              <w:spacing w:before="60"/>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5740EDB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463CD3A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6C60D14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9859F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6F5C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47081512">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755C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3290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5F49EA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7EF7950A">
            <w:pPr>
              <w:pStyle w:val="44"/>
              <w:spacing w:before="60"/>
              <w:rPr>
                <w:rFonts w:hint="eastAsia" w:ascii="宋体" w:hAnsi="宋体" w:eastAsia="宋体" w:cs="宋体"/>
                <w:color w:val="auto"/>
                <w:sz w:val="21"/>
                <w:szCs w:val="21"/>
              </w:rPr>
            </w:pPr>
          </w:p>
        </w:tc>
        <w:tc>
          <w:tcPr>
            <w:tcW w:w="770" w:type="dxa"/>
            <w:noWrap w:val="0"/>
            <w:vAlign w:val="center"/>
          </w:tcPr>
          <w:p w14:paraId="2E08302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6AC6537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拼装、</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2B6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C2A1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51E5D74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78E7199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40DEE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114FD995">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080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BE4BCD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D05136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2348ED4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0B5FAAB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41B95A3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5C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63ECE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310D29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3993144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2B72AC7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4624E3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0A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5C4B30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027BC6C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89A8A7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1C460F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66EA80C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0D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D0FC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049391D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63B10C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427E04A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022F5F3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74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A4E9D53">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3AF9605">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2EAB6C2B">
            <w:pPr>
              <w:pStyle w:val="44"/>
              <w:spacing w:before="60"/>
              <w:rPr>
                <w:rFonts w:hint="eastAsia" w:ascii="宋体" w:hAnsi="宋体" w:eastAsia="宋体" w:cs="宋体"/>
                <w:color w:val="auto"/>
                <w:sz w:val="21"/>
                <w:szCs w:val="21"/>
              </w:rPr>
            </w:pPr>
          </w:p>
        </w:tc>
        <w:tc>
          <w:tcPr>
            <w:tcW w:w="770" w:type="dxa"/>
            <w:noWrap w:val="0"/>
            <w:vAlign w:val="center"/>
          </w:tcPr>
          <w:p w14:paraId="6EC382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9F8965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FB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DAD6DE">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6F120234">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3927EA5D">
            <w:pPr>
              <w:pStyle w:val="44"/>
              <w:spacing w:before="60"/>
              <w:rPr>
                <w:rFonts w:hint="eastAsia" w:ascii="宋体" w:hAnsi="宋体" w:eastAsia="宋体" w:cs="宋体"/>
                <w:color w:val="auto"/>
                <w:sz w:val="21"/>
                <w:szCs w:val="21"/>
              </w:rPr>
            </w:pPr>
          </w:p>
        </w:tc>
        <w:tc>
          <w:tcPr>
            <w:tcW w:w="770" w:type="dxa"/>
            <w:noWrap w:val="0"/>
            <w:vAlign w:val="center"/>
          </w:tcPr>
          <w:p w14:paraId="4521C55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3A209E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C42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0B5EE0BE">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47E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AD136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2E99320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264E7BE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35E1652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403866F4">
            <w:pPr>
              <w:pStyle w:val="44"/>
              <w:spacing w:before="60"/>
              <w:rPr>
                <w:rFonts w:hint="eastAsia" w:ascii="宋体" w:hAnsi="宋体" w:eastAsia="宋体" w:cs="宋体"/>
                <w:color w:val="auto"/>
                <w:sz w:val="21"/>
                <w:szCs w:val="21"/>
              </w:rPr>
            </w:pPr>
          </w:p>
        </w:tc>
      </w:tr>
      <w:tr w14:paraId="360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CC00E2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47E9D39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7D8286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012821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08C5BF7E">
            <w:pPr>
              <w:pStyle w:val="44"/>
              <w:spacing w:before="60"/>
              <w:rPr>
                <w:rFonts w:hint="eastAsia" w:ascii="宋体" w:hAnsi="宋体" w:eastAsia="宋体" w:cs="宋体"/>
                <w:color w:val="auto"/>
                <w:sz w:val="21"/>
                <w:szCs w:val="21"/>
              </w:rPr>
            </w:pPr>
          </w:p>
        </w:tc>
      </w:tr>
      <w:tr w14:paraId="593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0E8D3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06929C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14FE2B0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6011C7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31FB508F">
            <w:pPr>
              <w:pStyle w:val="44"/>
              <w:spacing w:before="60"/>
              <w:rPr>
                <w:rFonts w:hint="eastAsia" w:ascii="宋体" w:hAnsi="宋体" w:eastAsia="宋体" w:cs="宋体"/>
                <w:color w:val="auto"/>
                <w:sz w:val="21"/>
                <w:szCs w:val="21"/>
              </w:rPr>
            </w:pPr>
          </w:p>
        </w:tc>
      </w:tr>
      <w:tr w14:paraId="42E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58D9E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1583F5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559CCE5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422FC26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4B08B14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5BB7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4158A7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230BE4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50914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782E41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774018B9">
            <w:pPr>
              <w:pStyle w:val="44"/>
              <w:spacing w:before="60"/>
              <w:rPr>
                <w:rFonts w:hint="eastAsia" w:ascii="宋体" w:hAnsi="宋体" w:eastAsia="宋体" w:cs="宋体"/>
                <w:color w:val="auto"/>
                <w:sz w:val="21"/>
                <w:szCs w:val="21"/>
              </w:rPr>
            </w:pPr>
          </w:p>
        </w:tc>
      </w:tr>
      <w:tr w14:paraId="57B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806C6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23E37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4F236BD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1D780F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05C1B18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配重处用</w:t>
            </w:r>
          </w:p>
        </w:tc>
      </w:tr>
      <w:tr w14:paraId="036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2DDF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2131D3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581D1BE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707A1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037F76DB">
            <w:pPr>
              <w:pStyle w:val="44"/>
              <w:spacing w:before="60"/>
              <w:rPr>
                <w:rFonts w:hint="eastAsia" w:ascii="宋体" w:hAnsi="宋体" w:eastAsia="宋体" w:cs="宋体"/>
                <w:color w:val="auto"/>
                <w:sz w:val="21"/>
                <w:szCs w:val="21"/>
              </w:rPr>
            </w:pPr>
          </w:p>
        </w:tc>
      </w:tr>
    </w:tbl>
    <w:p w14:paraId="30A420F7">
      <w:pPr>
        <w:pStyle w:val="3"/>
        <w:spacing w:before="156" w:after="156"/>
        <w:ind w:left="480" w:leftChars="0" w:firstLineChars="0"/>
        <w:rPr>
          <w:color w:val="auto"/>
        </w:rPr>
      </w:pPr>
      <w:bookmarkStart w:id="77" w:name="_Toc40778435"/>
      <w:bookmarkStart w:id="78" w:name="_Toc29143"/>
      <w:bookmarkStart w:id="79" w:name="_Toc3717"/>
      <w:bookmarkStart w:id="80" w:name="_Toc11231"/>
      <w:bookmarkStart w:id="81" w:name="_Toc28613961"/>
      <w:r>
        <w:rPr>
          <w:rFonts w:hint="eastAsia"/>
          <w:color w:val="auto"/>
        </w:rPr>
        <w:t>设备计划</w:t>
      </w:r>
      <w:bookmarkEnd w:id="77"/>
      <w:bookmarkEnd w:id="78"/>
      <w:bookmarkEnd w:id="79"/>
      <w:bookmarkEnd w:id="80"/>
      <w:bookmarkEnd w:id="81"/>
    </w:p>
    <w:p w14:paraId="3905C362">
      <w:pPr>
        <w:ind w:firstLine="422"/>
        <w:jc w:val="center"/>
        <w:rPr>
          <w:rFonts w:ascii="宋体" w:hAnsi="宋体" w:cs="黑体"/>
          <w:b/>
          <w:color w:val="auto"/>
          <w:sz w:val="21"/>
          <w:szCs w:val="21"/>
        </w:rPr>
      </w:pPr>
      <w:bookmarkStart w:id="82" w:name="_Toc31407"/>
      <w:bookmarkStart w:id="83" w:name="_Toc40778436"/>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CD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F15A446">
            <w:pPr>
              <w:pStyle w:val="44"/>
              <w:spacing w:before="60"/>
              <w:rPr>
                <w:rFonts w:hint="eastAsia"/>
                <w:color w:val="auto"/>
                <w:sz w:val="21"/>
                <w:szCs w:val="21"/>
              </w:rPr>
            </w:pPr>
            <w:r>
              <w:rPr>
                <w:rFonts w:hint="eastAsia"/>
                <w:color w:val="auto"/>
                <w:sz w:val="21"/>
                <w:szCs w:val="21"/>
              </w:rPr>
              <w:t>序号</w:t>
            </w:r>
          </w:p>
        </w:tc>
        <w:tc>
          <w:tcPr>
            <w:tcW w:w="1077" w:type="dxa"/>
            <w:tcBorders>
              <w:top w:val="double" w:color="auto" w:sz="4" w:space="0"/>
            </w:tcBorders>
            <w:shd w:val="clear" w:color="auto" w:fill="DEEBF6"/>
            <w:noWrap w:val="0"/>
            <w:vAlign w:val="center"/>
          </w:tcPr>
          <w:p w14:paraId="2D7CC33A">
            <w:pPr>
              <w:pStyle w:val="44"/>
              <w:spacing w:before="60"/>
              <w:rPr>
                <w:rFonts w:hint="eastAsia"/>
                <w:color w:val="auto"/>
                <w:sz w:val="21"/>
                <w:szCs w:val="21"/>
              </w:rPr>
            </w:pPr>
            <w:r>
              <w:rPr>
                <w:rFonts w:hint="eastAsia"/>
                <w:color w:val="auto"/>
                <w:sz w:val="21"/>
                <w:szCs w:val="21"/>
              </w:rPr>
              <w:t>名称</w:t>
            </w:r>
          </w:p>
        </w:tc>
        <w:tc>
          <w:tcPr>
            <w:tcW w:w="2777" w:type="dxa"/>
            <w:tcBorders>
              <w:top w:val="double" w:color="auto" w:sz="4" w:space="0"/>
            </w:tcBorders>
            <w:shd w:val="clear" w:color="auto" w:fill="DEEBF6"/>
            <w:noWrap w:val="0"/>
            <w:vAlign w:val="center"/>
          </w:tcPr>
          <w:p w14:paraId="6C4AE46E">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F15471C">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7514EBCB">
            <w:pPr>
              <w:pStyle w:val="44"/>
              <w:spacing w:before="60"/>
              <w:rPr>
                <w:rFonts w:hint="eastAsia"/>
                <w:color w:val="auto"/>
                <w:sz w:val="21"/>
                <w:szCs w:val="21"/>
              </w:rPr>
            </w:pPr>
            <w:r>
              <w:rPr>
                <w:rFonts w:hint="eastAsia"/>
                <w:color w:val="auto"/>
                <w:sz w:val="21"/>
                <w:szCs w:val="21"/>
              </w:rPr>
              <w:t>备注</w:t>
            </w:r>
          </w:p>
        </w:tc>
      </w:tr>
      <w:tr w14:paraId="5CD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14:paraId="6408E02D">
            <w:pPr>
              <w:pStyle w:val="44"/>
              <w:spacing w:before="60"/>
              <w:rPr>
                <w:rFonts w:hint="eastAsia"/>
                <w:color w:val="auto"/>
                <w:sz w:val="21"/>
                <w:szCs w:val="21"/>
              </w:rPr>
            </w:pPr>
            <w:r>
              <w:rPr>
                <w:rFonts w:hint="eastAsia"/>
                <w:color w:val="auto"/>
                <w:sz w:val="21"/>
                <w:szCs w:val="21"/>
              </w:rPr>
              <w:t>1</w:t>
            </w:r>
          </w:p>
        </w:tc>
        <w:tc>
          <w:tcPr>
            <w:tcW w:w="1077" w:type="dxa"/>
            <w:noWrap w:val="0"/>
            <w:vAlign w:val="center"/>
          </w:tcPr>
          <w:p w14:paraId="4989707B">
            <w:pPr>
              <w:pStyle w:val="44"/>
              <w:spacing w:before="60"/>
              <w:rPr>
                <w:rFonts w:hint="eastAsia"/>
                <w:color w:val="auto"/>
                <w:sz w:val="21"/>
                <w:szCs w:val="21"/>
              </w:rPr>
            </w:pPr>
            <w:r>
              <w:rPr>
                <w:rFonts w:hint="eastAsia"/>
                <w:color w:val="auto"/>
                <w:sz w:val="21"/>
                <w:szCs w:val="21"/>
              </w:rPr>
              <w:t>汽车吊</w:t>
            </w:r>
          </w:p>
        </w:tc>
        <w:tc>
          <w:tcPr>
            <w:tcW w:w="2777" w:type="dxa"/>
            <w:noWrap w:val="0"/>
            <w:vAlign w:val="center"/>
          </w:tcPr>
          <w:p w14:paraId="27833989">
            <w:pPr>
              <w:pStyle w:val="44"/>
              <w:spacing w:before="60"/>
              <w:rPr>
                <w:rFonts w:hint="eastAsia"/>
                <w:color w:val="auto"/>
                <w:sz w:val="21"/>
                <w:szCs w:val="21"/>
              </w:rPr>
            </w:pPr>
            <w:r>
              <w:rPr>
                <w:rFonts w:hint="eastAsia"/>
                <w:color w:val="auto"/>
                <w:sz w:val="21"/>
                <w:szCs w:val="21"/>
                <w:lang w:val="en-US" w:eastAsia="zh-CN"/>
              </w:rPr>
              <w:t>25</w:t>
            </w:r>
            <w:r>
              <w:rPr>
                <w:rFonts w:hint="eastAsia"/>
                <w:color w:val="auto"/>
                <w:sz w:val="21"/>
                <w:szCs w:val="21"/>
              </w:rPr>
              <w:t>t（以</w:t>
            </w:r>
            <w:r>
              <w:rPr>
                <w:rFonts w:hint="eastAsia"/>
                <w:color w:val="auto"/>
                <w:sz w:val="21"/>
                <w:szCs w:val="21"/>
                <w:lang w:eastAsia="zh-CN"/>
              </w:rPr>
              <w:t>施工</w:t>
            </w:r>
            <w:r>
              <w:rPr>
                <w:rFonts w:hint="eastAsia"/>
                <w:color w:val="auto"/>
                <w:sz w:val="21"/>
                <w:szCs w:val="21"/>
              </w:rPr>
              <w:t>现场为准，选择合适的起重设备）</w:t>
            </w:r>
          </w:p>
        </w:tc>
        <w:tc>
          <w:tcPr>
            <w:tcW w:w="770" w:type="dxa"/>
            <w:noWrap w:val="0"/>
            <w:vAlign w:val="center"/>
          </w:tcPr>
          <w:p w14:paraId="118726CB">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7F789153">
            <w:pPr>
              <w:pStyle w:val="44"/>
              <w:spacing w:before="60"/>
              <w:rPr>
                <w:rFonts w:hint="default" w:eastAsia="宋体"/>
                <w:color w:val="auto"/>
                <w:sz w:val="21"/>
                <w:szCs w:val="21"/>
                <w:lang w:val="en-US" w:eastAsia="zh-CN"/>
              </w:rPr>
            </w:pPr>
            <w:r>
              <w:rPr>
                <w:rFonts w:hint="eastAsia"/>
                <w:color w:val="auto"/>
                <w:sz w:val="21"/>
                <w:szCs w:val="21"/>
                <w:lang w:val="en-US" w:eastAsia="zh-CN"/>
              </w:rPr>
              <w:t>拆除</w:t>
            </w:r>
          </w:p>
        </w:tc>
      </w:tr>
    </w:tbl>
    <w:p w14:paraId="2DD5D198">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p>
    <w:p w14:paraId="7EE8E5FC">
      <w:pPr>
        <w:pStyle w:val="2"/>
        <w:spacing w:before="156" w:after="156"/>
        <w:rPr>
          <w:color w:val="auto"/>
        </w:rPr>
      </w:pPr>
      <w:bookmarkStart w:id="84" w:name="_Toc26279"/>
      <w:bookmarkStart w:id="85" w:name="_Toc22403"/>
      <w:r>
        <w:rPr>
          <w:rFonts w:hint="eastAsia"/>
          <w:color w:val="auto"/>
        </w:rPr>
        <w:t>施工工艺技术</w:t>
      </w:r>
      <w:bookmarkEnd w:id="82"/>
      <w:bookmarkEnd w:id="83"/>
      <w:bookmarkEnd w:id="84"/>
      <w:bookmarkEnd w:id="85"/>
    </w:p>
    <w:p w14:paraId="0BC59B8C">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6" w:name="_Toc1745"/>
      <w:bookmarkStart w:id="87" w:name="_Toc3742"/>
      <w:bookmarkStart w:id="88" w:name="_Toc40778437"/>
      <w:bookmarkStart w:id="89" w:name="_Toc11075"/>
      <w:bookmarkStart w:id="90" w:name="_Toc2911"/>
      <w:bookmarkStart w:id="91" w:name="_Toc26392"/>
      <w:bookmarkStart w:id="92" w:name="_Toc1607"/>
      <w:bookmarkStart w:id="93" w:name="_Toc29597"/>
      <w:r>
        <w:rPr>
          <w:rFonts w:hint="eastAsia"/>
          <w:color w:val="auto"/>
        </w:rPr>
        <w:t>总体施工方案</w:t>
      </w:r>
      <w:bookmarkEnd w:id="86"/>
      <w:bookmarkEnd w:id="87"/>
    </w:p>
    <w:p w14:paraId="0FAF5F40">
      <w:pPr>
        <w:rPr>
          <w:rFonts w:hint="eastAsia"/>
          <w:color w:val="auto"/>
          <w:lang w:val="en-US" w:eastAsia="zh-CN"/>
        </w:rPr>
      </w:pPr>
      <w:r>
        <w:rPr>
          <w:rFonts w:hint="eastAsia"/>
          <w:color w:val="auto"/>
          <w:lang w:val="en-US" w:eastAsia="zh-CN"/>
        </w:rPr>
        <w:t>4.1.1在拆除前项目部相关人员及拆除单位相关人员进行拆除前的技术交底；</w:t>
      </w:r>
    </w:p>
    <w:p w14:paraId="70DA3B68">
      <w:pPr>
        <w:pStyle w:val="11"/>
        <w:rPr>
          <w:rFonts w:hint="eastAsia"/>
          <w:color w:val="auto"/>
          <w:lang w:val="en-US" w:eastAsia="zh-CN"/>
        </w:rPr>
      </w:pPr>
      <w:r>
        <w:rPr>
          <w:rFonts w:hint="eastAsia"/>
          <w:color w:val="auto"/>
          <w:lang w:val="en-US" w:eastAsia="zh-CN"/>
        </w:rPr>
        <w:t>4.1.2在塔机的拆除过程中必须以说明书及拆除方案进行施工；</w:t>
      </w:r>
    </w:p>
    <w:p w14:paraId="6A2E54C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4" w:name="_Toc1900"/>
      <w:bookmarkStart w:id="95" w:name="_Toc19794"/>
      <w:r>
        <w:rPr>
          <w:rFonts w:hint="eastAsia" w:eastAsia="宋体"/>
          <w:color w:val="auto"/>
        </w:rPr>
        <w:t>主要设备选型</w:t>
      </w:r>
      <w:bookmarkEnd w:id="94"/>
      <w:bookmarkEnd w:id="95"/>
    </w:p>
    <w:p w14:paraId="7395E5BC">
      <w:pPr>
        <w:ind w:firstLine="480"/>
        <w:rPr>
          <w:rFonts w:hint="default" w:eastAsia="宋体"/>
          <w:color w:val="auto"/>
          <w:lang w:val="en-US" w:eastAsia="zh-CN"/>
        </w:rPr>
      </w:pPr>
      <w:r>
        <w:rPr>
          <w:rFonts w:hint="eastAsia"/>
          <w:color w:val="auto"/>
          <w:lang w:val="en-US" w:eastAsia="zh-CN"/>
        </w:rPr>
        <w:t>4.2.1塔机各部件吊重重量明细表</w:t>
      </w:r>
    </w:p>
    <w:p w14:paraId="5AFD54CD">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4.2</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8"/>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6"/>
        <w:gridCol w:w="1989"/>
        <w:gridCol w:w="1116"/>
        <w:gridCol w:w="881"/>
        <w:gridCol w:w="3388"/>
      </w:tblGrid>
      <w:tr w14:paraId="42CA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F96AA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6BD25F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111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4189A2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881"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574183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338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65A17B7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73097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D74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397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C9BA">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1771</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236E">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FDE1">
            <w:pPr>
              <w:jc w:val="center"/>
              <w:rPr>
                <w:rFonts w:hint="eastAsia" w:ascii="宋体" w:hAnsi="宋体" w:eastAsia="宋体" w:cs="宋体"/>
                <w:i w:val="0"/>
                <w:iCs w:val="0"/>
                <w:color w:val="auto"/>
                <w:sz w:val="21"/>
                <w:szCs w:val="21"/>
                <w:u w:val="none"/>
              </w:rPr>
            </w:pPr>
          </w:p>
        </w:tc>
      </w:tr>
      <w:tr w14:paraId="2474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25D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1A5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17D8">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3550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B46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5F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4DAD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F67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DCA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C865">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20</w:t>
            </w:r>
            <w:r>
              <w:rPr>
                <w:rFonts w:hint="eastAsia" w:ascii="宋体" w:hAnsi="宋体" w:cs="宋体"/>
                <w:i w:val="0"/>
                <w:iCs w:val="0"/>
                <w:color w:val="auto"/>
                <w:kern w:val="0"/>
                <w:sz w:val="21"/>
                <w:szCs w:val="21"/>
                <w:u w:val="none"/>
                <w:lang w:val="en-US" w:eastAsia="zh-CN" w:bidi="ar"/>
              </w:rPr>
              <w:t>34</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825">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DC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0B31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6A4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F2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平衡臂总成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628D">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2548</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B03D">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C1EF">
            <w:pPr>
              <w:ind w:left="0" w:leftChars="0" w:firstLine="0" w:firstLineChars="0"/>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含</w:t>
            </w:r>
            <w:r>
              <w:rPr>
                <w:rFonts w:hint="eastAsia" w:ascii="宋体" w:hAnsi="宋体" w:eastAsia="宋体" w:cs="宋体"/>
                <w:i w:val="0"/>
                <w:iCs w:val="0"/>
                <w:color w:val="auto"/>
                <w:sz w:val="21"/>
                <w:szCs w:val="21"/>
                <w:u w:val="none"/>
                <w:lang w:val="en-US" w:eastAsia="zh-CN"/>
              </w:rPr>
              <w:t>平衡臂、起升机构、配电柜</w:t>
            </w:r>
          </w:p>
        </w:tc>
      </w:tr>
      <w:tr w14:paraId="41FE1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3D0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9B4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60</w:t>
            </w:r>
            <w:r>
              <w:rPr>
                <w:rFonts w:hint="eastAsia" w:ascii="宋体" w:hAnsi="宋体" w:eastAsia="宋体" w:cs="宋体"/>
                <w:i w:val="0"/>
                <w:iCs w:val="0"/>
                <w:color w:val="auto"/>
                <w:kern w:val="0"/>
                <w:sz w:val="21"/>
                <w:szCs w:val="21"/>
                <w:u w:val="none"/>
                <w:lang w:val="en-US" w:eastAsia="zh-CN" w:bidi="ar"/>
              </w:rPr>
              <w:t>米起重臂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2CAF">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4234</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A6B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D30B">
            <w:pPr>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含</w:t>
            </w:r>
            <w:r>
              <w:rPr>
                <w:rFonts w:hint="eastAsia" w:ascii="宋体" w:hAnsi="宋体" w:eastAsia="宋体" w:cs="宋体"/>
                <w:i w:val="0"/>
                <w:iCs w:val="0"/>
                <w:color w:val="auto"/>
                <w:sz w:val="21"/>
                <w:szCs w:val="21"/>
                <w:u w:val="none"/>
                <w:lang w:val="en-US" w:eastAsia="zh-CN"/>
              </w:rPr>
              <w:t xml:space="preserve">力矩限制器，部分起重臂拉 </w:t>
            </w:r>
          </w:p>
          <w:p w14:paraId="7238C5C8">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杆、部分平衡臂拉杆</w:t>
            </w:r>
          </w:p>
        </w:tc>
      </w:tr>
      <w:tr w14:paraId="6310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DBE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CB18">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塔顶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58E">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1425</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395C">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A197">
            <w:pPr>
              <w:jc w:val="center"/>
              <w:rPr>
                <w:rFonts w:hint="eastAsia" w:ascii="宋体" w:hAnsi="宋体" w:eastAsia="宋体" w:cs="宋体"/>
                <w:i w:val="0"/>
                <w:iCs w:val="0"/>
                <w:color w:val="auto"/>
                <w:sz w:val="21"/>
                <w:szCs w:val="21"/>
                <w:u w:val="none"/>
              </w:rPr>
            </w:pPr>
          </w:p>
        </w:tc>
      </w:tr>
      <w:tr w14:paraId="3871D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F04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AA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0453">
            <w:pPr>
              <w:keepNext w:val="0"/>
              <w:keepLines w:val="0"/>
              <w:widowControl/>
              <w:suppressLineNumbers w:val="0"/>
              <w:jc w:val="left"/>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8</w:t>
            </w:r>
            <w:r>
              <w:rPr>
                <w:rFonts w:hint="eastAsia" w:ascii="宋体" w:hAnsi="宋体" w:cs="宋体"/>
                <w:i w:val="0"/>
                <w:iCs w:val="0"/>
                <w:color w:val="auto"/>
                <w:kern w:val="0"/>
                <w:sz w:val="21"/>
                <w:szCs w:val="21"/>
                <w:u w:val="none"/>
                <w:lang w:val="en-US" w:eastAsia="zh-CN" w:bidi="ar"/>
              </w:rPr>
              <w:t>47</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1375">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69D6">
            <w:pPr>
              <w:jc w:val="center"/>
              <w:rPr>
                <w:rFonts w:hint="eastAsia" w:ascii="宋体" w:hAnsi="宋体" w:eastAsia="宋体" w:cs="宋体"/>
                <w:i w:val="0"/>
                <w:iCs w:val="0"/>
                <w:color w:val="auto"/>
                <w:sz w:val="21"/>
                <w:szCs w:val="21"/>
                <w:u w:val="none"/>
              </w:rPr>
            </w:pPr>
          </w:p>
        </w:tc>
      </w:tr>
      <w:tr w14:paraId="28BE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32DE">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9996">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平衡重C</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4F6F">
            <w:pPr>
              <w:keepNext w:val="0"/>
              <w:keepLines w:val="0"/>
              <w:widowControl/>
              <w:suppressLineNumbers w:val="0"/>
              <w:jc w:val="left"/>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2730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05EA">
            <w:pPr>
              <w:keepNext w:val="0"/>
              <w:keepLines w:val="0"/>
              <w:widowControl/>
              <w:suppressLineNumbers w:val="0"/>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BB0B">
            <w:pPr>
              <w:jc w:val="center"/>
              <w:rPr>
                <w:rFonts w:hint="eastAsia" w:ascii="宋体" w:hAnsi="宋体" w:eastAsia="宋体" w:cs="宋体"/>
                <w:i w:val="0"/>
                <w:iCs w:val="0"/>
                <w:color w:val="auto"/>
                <w:sz w:val="21"/>
                <w:szCs w:val="21"/>
                <w:u w:val="none"/>
              </w:rPr>
            </w:pPr>
          </w:p>
        </w:tc>
      </w:tr>
    </w:tbl>
    <w:p w14:paraId="4B28C444">
      <w:pPr>
        <w:ind w:firstLine="480"/>
        <w:rPr>
          <w:rFonts w:hint="eastAsia" w:ascii="宋体" w:hAnsi="宋体"/>
          <w:color w:val="auto"/>
        </w:rPr>
      </w:pPr>
      <w:r>
        <w:rPr>
          <w:rFonts w:hint="eastAsia" w:ascii="Times New Roman" w:hAnsi="Times New Roman"/>
          <w:color w:val="auto"/>
          <w:szCs w:val="24"/>
        </w:rPr>
        <w:t>根据表</w:t>
      </w:r>
      <w:r>
        <w:rPr>
          <w:rFonts w:hint="eastAsia"/>
          <w:color w:val="auto"/>
          <w:szCs w:val="24"/>
          <w:lang w:val="en-US" w:eastAsia="zh-CN"/>
        </w:rPr>
        <w:t>4.2</w:t>
      </w:r>
      <w:r>
        <w:rPr>
          <w:rFonts w:hint="eastAsia" w:ascii="Times New Roman" w:hAnsi="Times New Roman"/>
          <w:color w:val="auto"/>
          <w:szCs w:val="24"/>
        </w:rPr>
        <w:t>－1得知，</w:t>
      </w:r>
      <w:r>
        <w:rPr>
          <w:rFonts w:hint="eastAsia" w:ascii="Times New Roman" w:hAnsi="Times New Roman" w:cs="Times New Roman"/>
          <w:color w:val="auto"/>
          <w:kern w:val="2"/>
          <w:sz w:val="24"/>
          <w:szCs w:val="21"/>
          <w:lang w:val="en-US" w:eastAsia="zh-CN" w:bidi="ar-SA"/>
        </w:rPr>
        <w:t>拆除</w:t>
      </w:r>
      <w:r>
        <w:rPr>
          <w:rFonts w:hint="default" w:ascii="Times New Roman" w:hAnsi="Times New Roman" w:eastAsia="宋体" w:cs="Times New Roman"/>
          <w:color w:val="auto"/>
          <w:kern w:val="2"/>
          <w:sz w:val="24"/>
          <w:szCs w:val="21"/>
          <w:lang w:val="en-US" w:eastAsia="zh-CN" w:bidi="ar-SA"/>
        </w:rPr>
        <w:t>塔机时最大重量按60m起重臂4.234t考虑，吊装半径按</w:t>
      </w:r>
      <w:r>
        <w:rPr>
          <w:rFonts w:hint="eastAsia" w:cs="Times New Roman"/>
          <w:color w:val="auto"/>
          <w:kern w:val="2"/>
          <w:sz w:val="24"/>
          <w:szCs w:val="21"/>
          <w:lang w:val="en-US" w:eastAsia="zh-CN" w:bidi="ar-SA"/>
        </w:rPr>
        <w:t>9</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8.2</w:t>
      </w:r>
      <w:r>
        <w:rPr>
          <w:rFonts w:hint="default" w:ascii="Times New Roman" w:hAnsi="Times New Roman" w:eastAsia="宋体" w:cs="Times New Roman"/>
          <w:color w:val="auto"/>
          <w:kern w:val="2"/>
          <w:sz w:val="24"/>
          <w:szCs w:val="21"/>
          <w:lang w:val="en-US" w:eastAsia="zh-CN" w:bidi="ar-SA"/>
        </w:rPr>
        <w:t>t，满足吊装要求。</w:t>
      </w:r>
    </w:p>
    <w:p w14:paraId="65416F8B">
      <w:pPr>
        <w:rPr>
          <w:rFonts w:hint="eastAsia" w:ascii="宋体" w:hAnsi="宋体"/>
          <w:color w:val="auto"/>
        </w:rPr>
      </w:pPr>
      <w:r>
        <w:rPr>
          <w:rFonts w:hint="eastAsia" w:ascii="宋体" w:hAnsi="宋体"/>
          <w:color w:val="auto"/>
        </w:rPr>
        <w:br w:type="page"/>
      </w:r>
    </w:p>
    <w:p w14:paraId="627CCD55">
      <w:pPr>
        <w:pStyle w:val="49"/>
        <w:ind w:firstLine="480"/>
        <w:rPr>
          <w:rFonts w:ascii="宋体" w:hAnsi="宋体"/>
          <w:color w:val="auto"/>
          <w:szCs w:val="21"/>
        </w:rPr>
      </w:pPr>
      <w:r>
        <w:rPr>
          <w:rFonts w:hint="eastAsia" w:ascii="宋体" w:hAnsi="宋体"/>
          <w:color w:val="auto"/>
        </w:rPr>
        <w:t>表</w:t>
      </w:r>
      <w:r>
        <w:rPr>
          <w:rFonts w:hint="eastAsia" w:ascii="宋体" w:hAnsi="宋体"/>
          <w:color w:val="auto"/>
          <w:lang w:val="en-US" w:eastAsia="zh-CN"/>
        </w:rPr>
        <w:t>4.2</w:t>
      </w:r>
      <w:r>
        <w:rPr>
          <w:rFonts w:hint="eastAsia" w:ascii="宋体" w:hAnsi="宋体"/>
          <w:color w:val="auto"/>
        </w:rPr>
        <w:t>-2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p>
    <w:p w14:paraId="42549540">
      <w:pPr>
        <w:pStyle w:val="11"/>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4406900" cy="4085590"/>
            <wp:effectExtent l="0" t="0" r="12700" b="10160"/>
            <wp:docPr id="19" name="图片 19" descr="174149679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1496795480"/>
                    <pic:cNvPicPr>
                      <a:picLocks noChangeAspect="1"/>
                    </pic:cNvPicPr>
                  </pic:nvPicPr>
                  <pic:blipFill>
                    <a:blip r:embed="rId25"/>
                    <a:stretch>
                      <a:fillRect/>
                    </a:stretch>
                  </pic:blipFill>
                  <pic:spPr>
                    <a:xfrm>
                      <a:off x="0" y="0"/>
                      <a:ext cx="4406900" cy="4085590"/>
                    </a:xfrm>
                    <a:prstGeom prst="rect">
                      <a:avLst/>
                    </a:prstGeom>
                  </pic:spPr>
                </pic:pic>
              </a:graphicData>
            </a:graphic>
          </wp:inline>
        </w:drawing>
      </w:r>
      <w:r>
        <w:rPr>
          <w:rFonts w:hint="eastAsia" w:eastAsia="宋体"/>
          <w:color w:val="auto"/>
          <w:lang w:eastAsia="zh-CN"/>
        </w:rPr>
        <w:drawing>
          <wp:inline distT="0" distB="0" distL="114300" distR="114300">
            <wp:extent cx="4804410" cy="4307840"/>
            <wp:effectExtent l="0" t="0" r="15240" b="16510"/>
            <wp:docPr id="20" name="图片 20" descr="17414968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496814378"/>
                    <pic:cNvPicPr>
                      <a:picLocks noChangeAspect="1"/>
                    </pic:cNvPicPr>
                  </pic:nvPicPr>
                  <pic:blipFill>
                    <a:blip r:embed="rId26"/>
                    <a:srcRect l="5702" r="647" b="3909"/>
                    <a:stretch>
                      <a:fillRect/>
                    </a:stretch>
                  </pic:blipFill>
                  <pic:spPr>
                    <a:xfrm>
                      <a:off x="0" y="0"/>
                      <a:ext cx="4804410" cy="4307840"/>
                    </a:xfrm>
                    <a:prstGeom prst="rect">
                      <a:avLst/>
                    </a:prstGeom>
                  </pic:spPr>
                </pic:pic>
              </a:graphicData>
            </a:graphic>
          </wp:inline>
        </w:drawing>
      </w:r>
    </w:p>
    <w:p w14:paraId="5D81552E">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6" w:name="_Toc7698"/>
      <w:bookmarkStart w:id="97" w:name="_Toc25282"/>
      <w:r>
        <w:rPr>
          <w:rFonts w:hint="eastAsia" w:eastAsia="宋体"/>
          <w:color w:val="auto"/>
        </w:rPr>
        <w:t>施工准备</w:t>
      </w:r>
      <w:bookmarkEnd w:id="88"/>
      <w:bookmarkEnd w:id="89"/>
      <w:bookmarkEnd w:id="90"/>
      <w:bookmarkEnd w:id="91"/>
      <w:bookmarkEnd w:id="92"/>
      <w:bookmarkEnd w:id="93"/>
      <w:bookmarkEnd w:id="96"/>
      <w:bookmarkEnd w:id="97"/>
    </w:p>
    <w:p w14:paraId="27184D09">
      <w:pPr>
        <w:rPr>
          <w:rFonts w:hint="eastAsia"/>
          <w:color w:val="auto"/>
        </w:rPr>
      </w:pPr>
      <w:bookmarkStart w:id="98" w:name="_Toc7048"/>
      <w:bookmarkStart w:id="99" w:name="_Toc21364"/>
      <w:bookmarkStart w:id="100" w:name="_Toc14477"/>
      <w:bookmarkStart w:id="101" w:name="_Toc24606"/>
      <w:bookmarkStart w:id="102" w:name="_Toc29750"/>
      <w:bookmarkStart w:id="103" w:name="_Toc40778439"/>
      <w:r>
        <w:rPr>
          <w:rFonts w:hint="eastAsia"/>
          <w:color w:val="auto"/>
          <w:lang w:val="en-US" w:eastAsia="zh-CN"/>
        </w:rPr>
        <w:t>（1）技术准备</w:t>
      </w:r>
    </w:p>
    <w:p w14:paraId="7A65D503">
      <w:pPr>
        <w:pStyle w:val="48"/>
        <w:numPr>
          <w:ilvl w:val="0"/>
          <w:numId w:val="0"/>
        </w:numPr>
        <w:snapToGrid/>
        <w:ind w:leftChars="200"/>
        <w:rPr>
          <w:color w:val="auto"/>
        </w:rPr>
      </w:pPr>
      <w:r>
        <w:rPr>
          <w:rFonts w:hint="eastAsia"/>
          <w:color w:val="auto"/>
          <w:lang w:val="en-US" w:eastAsia="zh-CN"/>
        </w:rPr>
        <w:t>1）</w:t>
      </w:r>
      <w:r>
        <w:rPr>
          <w:rFonts w:hint="eastAsia"/>
          <w:color w:val="auto"/>
        </w:rPr>
        <w:t>塔式起重机</w:t>
      </w:r>
      <w:r>
        <w:rPr>
          <w:rFonts w:hint="eastAsia"/>
          <w:color w:val="auto"/>
          <w:lang w:val="en-US" w:eastAsia="zh-CN"/>
        </w:rPr>
        <w:t>拆除</w:t>
      </w:r>
      <w:r>
        <w:rPr>
          <w:rFonts w:hint="eastAsia"/>
          <w:color w:val="auto"/>
        </w:rPr>
        <w:t>所需说明书、图纸等技术资料齐全</w:t>
      </w:r>
      <w:r>
        <w:rPr>
          <w:rFonts w:hint="eastAsia"/>
          <w:color w:val="auto"/>
          <w:lang w:eastAsia="zh-CN"/>
        </w:rPr>
        <w:t>。</w:t>
      </w:r>
    </w:p>
    <w:p w14:paraId="619284CA">
      <w:pPr>
        <w:pStyle w:val="48"/>
        <w:numPr>
          <w:ilvl w:val="0"/>
          <w:numId w:val="0"/>
        </w:numPr>
        <w:snapToGrid/>
        <w:ind w:leftChars="200"/>
        <w:rPr>
          <w:color w:val="auto"/>
        </w:rPr>
      </w:pPr>
      <w:r>
        <w:rPr>
          <w:rFonts w:hint="eastAsia"/>
          <w:color w:val="auto"/>
          <w:lang w:val="en-US" w:eastAsia="zh-CN"/>
        </w:rPr>
        <w:t>2）</w:t>
      </w:r>
      <w:r>
        <w:rPr>
          <w:rFonts w:hint="eastAsia"/>
          <w:color w:val="auto"/>
        </w:rPr>
        <w:t>经评审、审核、报批后的</w:t>
      </w:r>
      <w:r>
        <w:rPr>
          <w:rFonts w:hint="eastAsia"/>
          <w:color w:val="auto"/>
          <w:lang w:val="en-US" w:eastAsia="zh-CN"/>
        </w:rPr>
        <w:t>拆除</w:t>
      </w:r>
      <w:r>
        <w:rPr>
          <w:rFonts w:hint="eastAsia"/>
          <w:color w:val="auto"/>
        </w:rPr>
        <w:t>方案，且施工安全、技术交底等资料齐全</w:t>
      </w:r>
      <w:r>
        <w:rPr>
          <w:rFonts w:hint="eastAsia"/>
          <w:color w:val="auto"/>
          <w:lang w:eastAsia="zh-CN"/>
        </w:rPr>
        <w:t>。</w:t>
      </w:r>
    </w:p>
    <w:p w14:paraId="0BF43B01">
      <w:pPr>
        <w:pStyle w:val="48"/>
        <w:numPr>
          <w:ilvl w:val="0"/>
          <w:numId w:val="0"/>
        </w:numPr>
        <w:snapToGrid/>
        <w:ind w:firstLine="480" w:firstLineChars="200"/>
        <w:rPr>
          <w:color w:val="auto"/>
        </w:rPr>
      </w:pPr>
      <w:r>
        <w:rPr>
          <w:rFonts w:hint="eastAsia"/>
          <w:color w:val="auto"/>
          <w:lang w:val="en-US" w:eastAsia="zh-CN"/>
        </w:rPr>
        <w:t>3</w:t>
      </w:r>
      <w:r>
        <w:rPr>
          <w:rFonts w:hint="eastAsia"/>
          <w:color w:val="auto"/>
          <w:lang w:eastAsia="zh-CN"/>
        </w:rPr>
        <w:t>）</w:t>
      </w:r>
      <w:r>
        <w:rPr>
          <w:rFonts w:hint="eastAsia"/>
          <w:color w:val="auto"/>
          <w:lang w:val="en-US" w:eastAsia="zh-CN"/>
        </w:rPr>
        <w:t>拆除</w:t>
      </w:r>
      <w:r>
        <w:rPr>
          <w:rFonts w:hint="eastAsia"/>
          <w:color w:val="auto"/>
        </w:rPr>
        <w:t>单位、人员、设备、机具等等相关资质审核合格，并完成向监理及国家特种设备监督机构的报备工作</w:t>
      </w:r>
      <w:r>
        <w:rPr>
          <w:rFonts w:hint="eastAsia"/>
          <w:color w:val="auto"/>
          <w:lang w:eastAsia="zh-CN"/>
        </w:rPr>
        <w:t>。</w:t>
      </w:r>
    </w:p>
    <w:p w14:paraId="288BAED5">
      <w:pPr>
        <w:pStyle w:val="48"/>
        <w:numPr>
          <w:ilvl w:val="0"/>
          <w:numId w:val="0"/>
        </w:numPr>
        <w:snapToGrid/>
        <w:ind w:leftChars="200"/>
        <w:rPr>
          <w:color w:val="auto"/>
        </w:rPr>
      </w:pPr>
      <w:r>
        <w:rPr>
          <w:rFonts w:hint="eastAsia"/>
          <w:color w:val="auto"/>
          <w:lang w:val="en-US" w:eastAsia="zh-CN"/>
        </w:rPr>
        <w:t>（2）</w:t>
      </w:r>
      <w:r>
        <w:rPr>
          <w:rFonts w:hint="eastAsia"/>
          <w:color w:val="auto"/>
        </w:rPr>
        <w:t>施工安全技术交底：</w:t>
      </w:r>
    </w:p>
    <w:p w14:paraId="2E5F327E">
      <w:pPr>
        <w:pStyle w:val="48"/>
        <w:numPr>
          <w:ilvl w:val="0"/>
          <w:numId w:val="8"/>
        </w:numPr>
        <w:snapToGrid/>
        <w:ind w:firstLine="480" w:firstLineChars="200"/>
        <w:rPr>
          <w:color w:val="auto"/>
        </w:rPr>
      </w:pPr>
      <w:r>
        <w:rPr>
          <w:color w:val="auto"/>
        </w:rPr>
        <w:t>施工前，现场技术负责人对所参加作业人员进行安全、技术交底</w:t>
      </w:r>
      <w:r>
        <w:rPr>
          <w:rFonts w:hint="eastAsia"/>
          <w:color w:val="auto"/>
        </w:rPr>
        <w:t>；管理</w:t>
      </w:r>
      <w:r>
        <w:rPr>
          <w:color w:val="auto"/>
        </w:rPr>
        <w:t>人员明确施工工艺</w:t>
      </w:r>
      <w:r>
        <w:rPr>
          <w:rFonts w:hint="eastAsia"/>
          <w:color w:val="auto"/>
        </w:rPr>
        <w:t>；</w:t>
      </w:r>
      <w:r>
        <w:rPr>
          <w:color w:val="auto"/>
        </w:rPr>
        <w:t>作业人员明确施工程序、施工方法，了解施工工艺要求及安全注意事项，作业人员提前深入现场，熟悉施工环境，明确施工过程危险点及控制点</w:t>
      </w:r>
      <w:r>
        <w:rPr>
          <w:rFonts w:hint="eastAsia"/>
          <w:color w:val="auto"/>
          <w:lang w:eastAsia="zh-CN"/>
        </w:rPr>
        <w:t>。</w:t>
      </w:r>
    </w:p>
    <w:p w14:paraId="2D6ED746">
      <w:pPr>
        <w:pStyle w:val="48"/>
        <w:numPr>
          <w:ilvl w:val="0"/>
          <w:numId w:val="8"/>
        </w:numPr>
        <w:snapToGrid/>
        <w:ind w:left="0" w:leftChars="0" w:firstLine="480" w:firstLineChars="200"/>
        <w:rPr>
          <w:color w:val="auto"/>
        </w:rPr>
      </w:pPr>
      <w:r>
        <w:rPr>
          <w:color w:val="auto"/>
        </w:rPr>
        <w:t>做好安全技术交底工作，确保每位施工人员接受安全教育，熟悉</w:t>
      </w:r>
      <w:r>
        <w:rPr>
          <w:rFonts w:hint="eastAsia"/>
          <w:color w:val="auto"/>
          <w:lang w:val="en-US" w:eastAsia="zh-CN"/>
        </w:rPr>
        <w:t>拆除</w:t>
      </w:r>
      <w:r>
        <w:rPr>
          <w:color w:val="auto"/>
        </w:rPr>
        <w:t>要点和安全防范知识。</w:t>
      </w:r>
    </w:p>
    <w:p w14:paraId="1634536D">
      <w:pPr>
        <w:pStyle w:val="48"/>
        <w:numPr>
          <w:ilvl w:val="0"/>
          <w:numId w:val="0"/>
        </w:numPr>
        <w:snapToGrid/>
        <w:ind w:leftChars="200"/>
        <w:rPr>
          <w:rFonts w:hint="eastAsia" w:ascii="宋体" w:hAnsi="宋体"/>
          <w:color w:val="auto"/>
          <w:szCs w:val="24"/>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）施工前准备</w:t>
      </w:r>
      <w:bookmarkStart w:id="104" w:name="_Hlk109141563"/>
    </w:p>
    <w:p w14:paraId="411CDAB3">
      <w:pPr>
        <w:pStyle w:val="48"/>
        <w:numPr>
          <w:ilvl w:val="0"/>
          <w:numId w:val="0"/>
        </w:numPr>
        <w:snapToGrid/>
        <w:ind w:firstLine="480" w:firstLineChars="200"/>
        <w:rPr>
          <w:rFonts w:hint="eastAsia"/>
          <w:color w:val="auto"/>
        </w:rPr>
      </w:pPr>
      <w:r>
        <w:rPr>
          <w:rFonts w:hint="eastAsia"/>
          <w:color w:val="auto"/>
          <w:lang w:val="en-US" w:eastAsia="zh-CN"/>
        </w:rPr>
        <w:t>1）</w:t>
      </w:r>
      <w:r>
        <w:rPr>
          <w:rFonts w:hint="eastAsia"/>
          <w:color w:val="auto"/>
        </w:rPr>
        <w:t xml:space="preserve">设备运输至现场部件齐全、完好，重点检查包括： </w:t>
      </w:r>
    </w:p>
    <w:p w14:paraId="5970EEA8">
      <w:pPr>
        <w:pStyle w:val="48"/>
        <w:numPr>
          <w:ilvl w:val="0"/>
          <w:numId w:val="0"/>
        </w:numPr>
        <w:snapToGrid/>
        <w:rPr>
          <w:rFonts w:hint="eastAsia"/>
          <w:color w:val="auto"/>
          <w:lang w:eastAsia="zh-CN"/>
        </w:rPr>
      </w:pPr>
      <w:r>
        <w:rPr>
          <w:rFonts w:hint="eastAsia"/>
          <w:color w:val="auto"/>
          <w:lang w:val="en-US" w:eastAsia="zh-CN"/>
        </w:rPr>
        <w:t>　　2）塔机各部件</w:t>
      </w:r>
      <w:r>
        <w:rPr>
          <w:color w:val="auto"/>
        </w:rPr>
        <w:t>外形尺寸、数量是否与设计图纸一致</w:t>
      </w:r>
      <w:r>
        <w:rPr>
          <w:rFonts w:hint="eastAsia"/>
          <w:color w:val="auto"/>
        </w:rPr>
        <w:t>，</w:t>
      </w:r>
      <w:r>
        <w:rPr>
          <w:rFonts w:hint="eastAsia"/>
          <w:color w:val="auto"/>
          <w:lang w:eastAsia="zh-CN"/>
        </w:rPr>
        <w:t>基础混凝土强度达说明书要求，基础水平高差不得大于</w:t>
      </w:r>
      <w:r>
        <w:rPr>
          <w:rFonts w:hint="eastAsia"/>
          <w:color w:val="auto"/>
          <w:lang w:val="en-US" w:eastAsia="zh-CN"/>
        </w:rPr>
        <w:t>1/1000，排水设施完善，</w:t>
      </w:r>
      <w:r>
        <w:rPr>
          <w:rFonts w:hint="eastAsia"/>
          <w:color w:val="auto"/>
        </w:rPr>
        <w:t>合格证书是否齐全有效</w:t>
      </w:r>
      <w:r>
        <w:rPr>
          <w:rFonts w:hint="eastAsia"/>
          <w:color w:val="auto"/>
          <w:lang w:eastAsia="zh-CN"/>
        </w:rPr>
        <w:t>。</w:t>
      </w:r>
    </w:p>
    <w:p w14:paraId="276BA704">
      <w:pPr>
        <w:pStyle w:val="48"/>
        <w:numPr>
          <w:ilvl w:val="0"/>
          <w:numId w:val="0"/>
        </w:numPr>
        <w:snapToGrid/>
        <w:rPr>
          <w:rFonts w:hint="eastAsia"/>
          <w:color w:val="auto"/>
        </w:rPr>
      </w:pPr>
      <w:r>
        <w:rPr>
          <w:rFonts w:hint="eastAsia"/>
          <w:color w:val="auto"/>
          <w:lang w:val="en-US" w:eastAsia="zh-CN"/>
        </w:rPr>
        <w:t>　　3）</w:t>
      </w:r>
      <w:r>
        <w:rPr>
          <w:color w:val="auto"/>
        </w:rPr>
        <w:t>部件焊缝是否有夹渣、裂纹等缺陷</w:t>
      </w:r>
      <w:r>
        <w:rPr>
          <w:rFonts w:hint="eastAsia"/>
          <w:color w:val="auto"/>
          <w:lang w:eastAsia="zh-CN"/>
        </w:rPr>
        <w:t>。</w:t>
      </w:r>
    </w:p>
    <w:p w14:paraId="6DF060EC">
      <w:pPr>
        <w:pStyle w:val="48"/>
        <w:numPr>
          <w:ilvl w:val="0"/>
          <w:numId w:val="0"/>
        </w:numPr>
        <w:snapToGrid/>
        <w:rPr>
          <w:rFonts w:hint="eastAsia"/>
          <w:color w:val="auto"/>
        </w:rPr>
      </w:pPr>
      <w:r>
        <w:rPr>
          <w:rFonts w:hint="eastAsia"/>
          <w:color w:val="auto"/>
          <w:lang w:val="en-US" w:eastAsia="zh-CN"/>
        </w:rPr>
        <w:t>　　4）</w:t>
      </w:r>
      <w:r>
        <w:rPr>
          <w:color w:val="auto"/>
        </w:rPr>
        <w:t>部件是否有变形及损坏等</w:t>
      </w:r>
      <w:r>
        <w:rPr>
          <w:rFonts w:hint="eastAsia"/>
          <w:color w:val="auto"/>
        </w:rPr>
        <w:t>。存在缺陷需处理检验合格</w:t>
      </w:r>
      <w:r>
        <w:rPr>
          <w:rFonts w:hint="eastAsia"/>
          <w:color w:val="auto"/>
          <w:lang w:eastAsia="zh-CN"/>
        </w:rPr>
        <w:t>。</w:t>
      </w:r>
    </w:p>
    <w:p w14:paraId="48F1BC68">
      <w:pPr>
        <w:pStyle w:val="48"/>
        <w:numPr>
          <w:ilvl w:val="0"/>
          <w:numId w:val="0"/>
        </w:numPr>
        <w:snapToGrid/>
        <w:ind w:firstLine="480" w:firstLineChars="200"/>
        <w:rPr>
          <w:color w:val="auto"/>
        </w:rPr>
      </w:pPr>
      <w:r>
        <w:rPr>
          <w:rFonts w:hint="eastAsia"/>
          <w:color w:val="auto"/>
          <w:lang w:val="en-US" w:eastAsia="zh-CN"/>
        </w:rPr>
        <w:t>5）</w:t>
      </w:r>
      <w:r>
        <w:rPr>
          <w:rFonts w:hint="eastAsia"/>
          <w:color w:val="auto"/>
        </w:rPr>
        <w:t>项目技术部出具塔机基础合格证明；且根据汽车起重机站位的情况，对所处位置的地基进行换填处理，并根据实际情况支垫钢板、枕木，吊车进场前应进行承载力实验。</w:t>
      </w:r>
    </w:p>
    <w:p w14:paraId="6123C4FF">
      <w:pPr>
        <w:pStyle w:val="48"/>
        <w:numPr>
          <w:ilvl w:val="0"/>
          <w:numId w:val="0"/>
        </w:numPr>
        <w:snapToGrid/>
        <w:ind w:firstLine="480" w:firstLineChars="200"/>
        <w:rPr>
          <w:color w:val="auto"/>
        </w:rPr>
      </w:pPr>
      <w:r>
        <w:rPr>
          <w:rFonts w:hint="eastAsia"/>
          <w:color w:val="auto"/>
          <w:lang w:val="en-US" w:eastAsia="zh-CN"/>
        </w:rPr>
        <w:t>6）</w:t>
      </w:r>
      <w:r>
        <w:rPr>
          <w:rFonts w:hint="eastAsia"/>
          <w:color w:val="auto"/>
        </w:rPr>
        <w:t>设备</w:t>
      </w:r>
      <w:r>
        <w:rPr>
          <w:rFonts w:hint="eastAsia"/>
          <w:color w:val="auto"/>
          <w:lang w:val="en-US" w:eastAsia="zh-CN"/>
        </w:rPr>
        <w:t>拆除</w:t>
      </w:r>
      <w:r>
        <w:rPr>
          <w:color w:val="auto"/>
        </w:rPr>
        <w:t>所需</w:t>
      </w:r>
      <w:r>
        <w:rPr>
          <w:rFonts w:hint="eastAsia"/>
          <w:color w:val="auto"/>
        </w:rPr>
        <w:t>汽车吊及</w:t>
      </w:r>
      <w:r>
        <w:rPr>
          <w:color w:val="auto"/>
        </w:rPr>
        <w:t>作业机具、仪器仪表等需准备充分</w:t>
      </w:r>
      <w:r>
        <w:rPr>
          <w:rFonts w:hint="eastAsia"/>
          <w:color w:val="auto"/>
        </w:rPr>
        <w:t>，报验完毕</w:t>
      </w:r>
      <w:r>
        <w:rPr>
          <w:rFonts w:hint="eastAsia"/>
          <w:color w:val="auto"/>
          <w:lang w:eastAsia="zh-CN"/>
        </w:rPr>
        <w:t>。</w:t>
      </w:r>
    </w:p>
    <w:p w14:paraId="0FA655BD">
      <w:pPr>
        <w:pStyle w:val="48"/>
        <w:numPr>
          <w:ilvl w:val="0"/>
          <w:numId w:val="0"/>
        </w:numPr>
        <w:snapToGrid/>
        <w:ind w:firstLine="480" w:firstLineChars="200"/>
        <w:rPr>
          <w:color w:val="auto"/>
        </w:rPr>
      </w:pPr>
      <w:r>
        <w:rPr>
          <w:rFonts w:hint="eastAsia"/>
          <w:color w:val="auto"/>
          <w:lang w:val="en-US" w:eastAsia="zh-CN"/>
        </w:rPr>
        <w:t>7）</w:t>
      </w:r>
      <w:r>
        <w:rPr>
          <w:rFonts w:hint="eastAsia"/>
          <w:color w:val="auto"/>
        </w:rPr>
        <w:t>完成了吊装作业演练，统一明确指挥口令、用语，并按《危险作业施工许可管理办法》要求办理作业许可证，完善相关资料。</w:t>
      </w:r>
    </w:p>
    <w:p w14:paraId="085C8CC4">
      <w:pPr>
        <w:pStyle w:val="48"/>
        <w:numPr>
          <w:ilvl w:val="0"/>
          <w:numId w:val="0"/>
        </w:numPr>
        <w:snapToGrid/>
        <w:ind w:firstLine="480" w:firstLineChars="200"/>
        <w:rPr>
          <w:color w:val="auto"/>
        </w:rPr>
      </w:pPr>
      <w:r>
        <w:rPr>
          <w:rFonts w:hint="eastAsia"/>
          <w:color w:val="auto"/>
          <w:lang w:val="en-US" w:eastAsia="zh-CN"/>
        </w:rPr>
        <w:t>8）</w:t>
      </w:r>
      <w:r>
        <w:rPr>
          <w:rFonts w:hint="eastAsia"/>
          <w:color w:val="auto"/>
        </w:rPr>
        <w:t>对</w:t>
      </w:r>
      <w:r>
        <w:rPr>
          <w:rFonts w:hint="eastAsia"/>
          <w:color w:val="auto"/>
          <w:lang w:val="en-US" w:eastAsia="zh-CN"/>
        </w:rPr>
        <w:t>拆除</w:t>
      </w:r>
      <w:r>
        <w:rPr>
          <w:rFonts w:hint="eastAsia"/>
          <w:color w:val="auto"/>
        </w:rPr>
        <w:t>现场进行清理，将现场的建筑材料、泥土、废料废物等杂物清扫干净。同时拉起安全警戒线，闲杂人员在</w:t>
      </w:r>
      <w:r>
        <w:rPr>
          <w:rFonts w:hint="eastAsia"/>
          <w:color w:val="auto"/>
          <w:lang w:val="en-US" w:eastAsia="zh-CN"/>
        </w:rPr>
        <w:t>拆除</w:t>
      </w:r>
      <w:r>
        <w:rPr>
          <w:rFonts w:hint="eastAsia"/>
          <w:color w:val="auto"/>
        </w:rPr>
        <w:t>范围一律不准通行，同时设置安全专职人员负责值班警戒</w:t>
      </w:r>
      <w:r>
        <w:rPr>
          <w:rFonts w:hint="eastAsia"/>
          <w:color w:val="auto"/>
          <w:lang w:eastAsia="zh-CN"/>
        </w:rPr>
        <w:t>。</w:t>
      </w:r>
    </w:p>
    <w:p w14:paraId="3E714C01">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备好施工机具、工具和安全防护用品。做到吊装前后检查、每班前检查，严格执行相关标准，对存在安全隐患的工索具应禁止使用，达到报废条件的，应立即报废并销毁，禁止再次使用。</w:t>
      </w:r>
    </w:p>
    <w:bookmarkEnd w:id="104"/>
    <w:p w14:paraId="7E9F941D">
      <w:pPr>
        <w:pStyle w:val="48"/>
        <w:numPr>
          <w:ilvl w:val="0"/>
          <w:numId w:val="0"/>
        </w:numPr>
        <w:snapToGrid/>
        <w:ind w:firstLine="240" w:firstLineChars="100"/>
        <w:rPr>
          <w:color w:val="auto"/>
        </w:rPr>
      </w:pPr>
      <w:bookmarkStart w:id="105" w:name="_Hlk1091415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作业环境要求</w:t>
      </w:r>
    </w:p>
    <w:p w14:paraId="366723BF">
      <w:pPr>
        <w:pStyle w:val="48"/>
        <w:numPr>
          <w:ilvl w:val="0"/>
          <w:numId w:val="0"/>
        </w:numPr>
        <w:snapToGrid/>
        <w:ind w:leftChars="200"/>
        <w:rPr>
          <w:color w:val="auto"/>
        </w:rPr>
      </w:pPr>
      <w:r>
        <w:rPr>
          <w:rFonts w:hint="eastAsia"/>
          <w:color w:val="auto"/>
          <w:lang w:val="en-US" w:eastAsia="zh-CN"/>
        </w:rPr>
        <w:t>1）</w:t>
      </w:r>
      <w:r>
        <w:rPr>
          <w:rFonts w:hint="eastAsia"/>
          <w:color w:val="auto"/>
        </w:rPr>
        <w:t>吊装施工区域设立警戒线并设专人监护，与施工无关人员禁止进入</w:t>
      </w:r>
      <w:r>
        <w:rPr>
          <w:rFonts w:hint="eastAsia"/>
          <w:color w:val="auto"/>
          <w:lang w:eastAsia="zh-CN"/>
        </w:rPr>
        <w:t>。</w:t>
      </w:r>
    </w:p>
    <w:p w14:paraId="1957908C">
      <w:pPr>
        <w:pStyle w:val="48"/>
        <w:numPr>
          <w:ilvl w:val="0"/>
          <w:numId w:val="0"/>
        </w:numPr>
        <w:snapToGrid/>
        <w:ind w:leftChars="200"/>
        <w:rPr>
          <w:color w:val="auto"/>
        </w:rPr>
      </w:pPr>
      <w:r>
        <w:rPr>
          <w:rFonts w:hint="eastAsia"/>
          <w:color w:val="auto"/>
          <w:lang w:val="en-US" w:eastAsia="zh-CN"/>
        </w:rPr>
        <w:t>2）</w:t>
      </w:r>
      <w:r>
        <w:rPr>
          <w:rFonts w:hint="eastAsia"/>
          <w:color w:val="auto"/>
        </w:rPr>
        <w:t>汽车式起重机工作区域平整、坚实、无障碍物</w:t>
      </w:r>
      <w:r>
        <w:rPr>
          <w:rFonts w:hint="eastAsia"/>
          <w:color w:val="auto"/>
          <w:lang w:eastAsia="zh-CN"/>
        </w:rPr>
        <w:t>。</w:t>
      </w:r>
    </w:p>
    <w:p w14:paraId="5AD4AA59">
      <w:pPr>
        <w:pStyle w:val="48"/>
        <w:numPr>
          <w:ilvl w:val="0"/>
          <w:numId w:val="0"/>
        </w:numPr>
        <w:snapToGrid/>
        <w:ind w:leftChars="200"/>
        <w:rPr>
          <w:color w:val="auto"/>
        </w:rPr>
      </w:pPr>
      <w:r>
        <w:rPr>
          <w:rFonts w:hint="eastAsia"/>
          <w:color w:val="auto"/>
          <w:lang w:val="en-US" w:eastAsia="zh-CN"/>
        </w:rPr>
        <w:t>3）</w:t>
      </w:r>
      <w:r>
        <w:rPr>
          <w:rFonts w:hint="eastAsia"/>
          <w:color w:val="auto"/>
        </w:rPr>
        <w:t>提供电源，保障施工时塔式起重机能正常调试运转</w:t>
      </w:r>
      <w:r>
        <w:rPr>
          <w:rFonts w:hint="eastAsia"/>
          <w:color w:val="auto"/>
          <w:lang w:eastAsia="zh-CN"/>
        </w:rPr>
        <w:t>。</w:t>
      </w:r>
    </w:p>
    <w:p w14:paraId="4A5FE428">
      <w:pPr>
        <w:pStyle w:val="48"/>
        <w:numPr>
          <w:ilvl w:val="0"/>
          <w:numId w:val="0"/>
        </w:numPr>
        <w:snapToGrid/>
        <w:ind w:leftChars="200"/>
        <w:rPr>
          <w:rFonts w:hint="eastAsia"/>
          <w:color w:val="auto"/>
        </w:rPr>
      </w:pPr>
      <w:r>
        <w:rPr>
          <w:rFonts w:hint="eastAsia"/>
          <w:color w:val="auto"/>
          <w:lang w:val="en-US" w:eastAsia="zh-CN"/>
        </w:rPr>
        <w:t>4）</w:t>
      </w:r>
      <w:r>
        <w:rPr>
          <w:rFonts w:hint="eastAsia"/>
          <w:color w:val="auto"/>
        </w:rPr>
        <w:t>保证塔式起重机</w:t>
      </w:r>
      <w:r>
        <w:rPr>
          <w:rFonts w:hint="eastAsia"/>
          <w:color w:val="auto"/>
          <w:lang w:val="en-US" w:eastAsia="zh-CN"/>
        </w:rPr>
        <w:t>拆除</w:t>
      </w:r>
      <w:r>
        <w:rPr>
          <w:rFonts w:hint="eastAsia"/>
          <w:color w:val="auto"/>
        </w:rPr>
        <w:t>作业空间充足、道路畅通，材料堆放区须进行临时清空和场地平整</w:t>
      </w:r>
      <w:r>
        <w:rPr>
          <w:rFonts w:hint="eastAsia"/>
          <w:color w:val="auto"/>
          <w:lang w:eastAsia="zh-CN"/>
        </w:rPr>
        <w:t>。</w:t>
      </w:r>
    </w:p>
    <w:p w14:paraId="66E663F5">
      <w:pPr>
        <w:pStyle w:val="48"/>
        <w:numPr>
          <w:ilvl w:val="0"/>
          <w:numId w:val="0"/>
        </w:numPr>
        <w:snapToGrid/>
        <w:ind w:leftChars="200"/>
        <w:rPr>
          <w:rFonts w:hint="eastAsia"/>
          <w:color w:val="auto"/>
        </w:rPr>
      </w:pPr>
      <w:r>
        <w:rPr>
          <w:rFonts w:hint="eastAsia"/>
          <w:color w:val="auto"/>
        </w:rPr>
        <w:t>（</w:t>
      </w:r>
      <w:r>
        <w:rPr>
          <w:rFonts w:hint="eastAsia"/>
          <w:color w:val="auto"/>
          <w:lang w:val="en-US" w:eastAsia="zh-CN"/>
        </w:rPr>
        <w:t>5</w:t>
      </w:r>
      <w:r>
        <w:rPr>
          <w:rFonts w:hint="eastAsia"/>
          <w:color w:val="auto"/>
        </w:rPr>
        <w:t>）电源设置</w:t>
      </w:r>
    </w:p>
    <w:p w14:paraId="18953CC5">
      <w:pPr>
        <w:pStyle w:val="48"/>
        <w:ind w:left="0" w:leftChars="0" w:firstLine="480" w:firstLineChars="200"/>
        <w:rPr>
          <w:rFonts w:hint="eastAsia"/>
          <w:color w:val="auto"/>
        </w:rPr>
      </w:pPr>
      <w:r>
        <w:rPr>
          <w:rFonts w:hint="eastAsia"/>
          <w:color w:val="auto"/>
        </w:rPr>
        <w:t>本机采用380</w:t>
      </w:r>
      <w:r>
        <w:rPr>
          <w:color w:val="auto"/>
        </w:rPr>
        <w:t>V,</w:t>
      </w:r>
      <w:r>
        <w:rPr>
          <w:rFonts w:hint="eastAsia"/>
          <w:color w:val="auto"/>
        </w:rPr>
        <w:t>三相五线制供电，电压变化范围不超过额定值的（+5%</w:t>
      </w:r>
      <w:r>
        <w:rPr>
          <w:rFonts w:hint="eastAsia" w:ascii="宋体" w:hAnsi="宋体" w:eastAsia="宋体" w:cs="宋体"/>
          <w:color w:val="auto"/>
        </w:rPr>
        <w:t>～</w:t>
      </w:r>
      <w:r>
        <w:rPr>
          <w:rFonts w:hint="eastAsia"/>
          <w:color w:val="auto"/>
        </w:rPr>
        <w:t>10%）。塔机的电源用</w:t>
      </w:r>
      <w:r>
        <w:rPr>
          <w:color w:val="auto"/>
        </w:rPr>
        <w:t>YCW3x25+2x10mm²</w:t>
      </w:r>
      <w:r>
        <w:rPr>
          <w:rFonts w:hint="eastAsia"/>
          <w:color w:val="auto"/>
        </w:rPr>
        <w:t>五芯型橡套电缆从塔身中间经驾驶室至电控箱。全机共有3个电气箱，即；电气控制箱、电阻箱、接线端子箱，均放在塔机平衡臂上。司机室内设有一个总电源空气开关。全机总功率为</w:t>
      </w:r>
      <w:r>
        <w:rPr>
          <w:color w:val="auto"/>
        </w:rPr>
        <w:t>54kW(</w:t>
      </w:r>
      <w:r>
        <w:rPr>
          <w:rFonts w:hint="eastAsia"/>
          <w:color w:val="auto"/>
        </w:rPr>
        <w:t>不包含顶升机构）。二级配电箱距离塔身不超过3米的范围内。</w:t>
      </w:r>
    </w:p>
    <w:bookmarkEnd w:id="105"/>
    <w:p w14:paraId="5E3CD611">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6" w:name="_Toc3526"/>
      <w:bookmarkStart w:id="107" w:name="_Toc1184"/>
      <w:r>
        <w:rPr>
          <w:rFonts w:hint="eastAsia" w:eastAsia="宋体"/>
          <w:color w:val="auto"/>
        </w:rPr>
        <w:t>工艺流程</w:t>
      </w:r>
      <w:bookmarkEnd w:id="98"/>
      <w:bookmarkEnd w:id="99"/>
      <w:bookmarkEnd w:id="100"/>
      <w:bookmarkEnd w:id="101"/>
      <w:bookmarkEnd w:id="102"/>
      <w:bookmarkEnd w:id="103"/>
      <w:bookmarkEnd w:id="106"/>
      <w:bookmarkEnd w:id="107"/>
    </w:p>
    <w:p w14:paraId="7039CE6A">
      <w:pPr>
        <w:pStyle w:val="50"/>
        <w:ind w:left="420" w:firstLine="0" w:firstLineChars="0"/>
        <w:jc w:val="left"/>
        <w:rPr>
          <w:rFonts w:ascii="宋体" w:hAnsi="宋体"/>
          <w:color w:val="auto"/>
          <w:szCs w:val="24"/>
        </w:rPr>
      </w:pPr>
      <w:r>
        <w:rPr>
          <w:rFonts w:hint="eastAsia" w:ascii="宋体" w:hAnsi="宋体" w:cs="宋体"/>
          <w:color w:val="auto"/>
          <w:kern w:val="0"/>
          <w:szCs w:val="24"/>
          <w:lang w:val="en-US" w:eastAsia="zh-CN"/>
        </w:rPr>
        <w:t>拆除</w:t>
      </w:r>
      <w:r>
        <w:rPr>
          <w:rFonts w:hint="eastAsia" w:ascii="宋体" w:hAnsi="宋体" w:cs="宋体"/>
          <w:color w:val="auto"/>
          <w:kern w:val="0"/>
          <w:szCs w:val="24"/>
        </w:rPr>
        <w:t>流程如下图：</w:t>
      </w:r>
    </w:p>
    <w:p w14:paraId="6BFC3A68">
      <w:pPr>
        <w:ind w:left="0" w:leftChars="0" w:firstLine="0" w:firstLineChars="0"/>
        <w:jc w:val="center"/>
        <w:rPr>
          <w:rFonts w:hint="eastAsia" w:eastAsia="宋体"/>
          <w:color w:val="auto"/>
          <w:lang w:eastAsia="zh-CN"/>
        </w:rPr>
      </w:pPr>
      <w:r>
        <w:rPr>
          <w:rFonts w:hint="eastAsia" w:eastAsiaTheme="minorEastAsia"/>
          <w:lang w:eastAsia="zh-CN"/>
        </w:rPr>
        <w:drawing>
          <wp:inline distT="0" distB="0" distL="114300" distR="114300">
            <wp:extent cx="5267325" cy="2381250"/>
            <wp:effectExtent l="0" t="0" r="0" b="0"/>
            <wp:docPr id="51" name="ECB019B1-382A-4266-B25C-5B523AA43C14-1" descr="C:/Users/Administrator/AppData/Local/Temp/wps.tdWuj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B019B1-382A-4266-B25C-5B523AA43C14-1" descr="C:/Users/Administrator/AppData/Local/Temp/wps.tdWujAwps"/>
                    <pic:cNvPicPr>
                      <a:picLocks noChangeAspect="1"/>
                    </pic:cNvPicPr>
                  </pic:nvPicPr>
                  <pic:blipFill>
                    <a:blip r:embed="rId27"/>
                    <a:stretch>
                      <a:fillRect/>
                    </a:stretch>
                  </pic:blipFill>
                  <pic:spPr>
                    <a:xfrm>
                      <a:off x="0" y="0"/>
                      <a:ext cx="5267325" cy="2381250"/>
                    </a:xfrm>
                    <a:prstGeom prst="rect">
                      <a:avLst/>
                    </a:prstGeom>
                  </pic:spPr>
                </pic:pic>
              </a:graphicData>
            </a:graphic>
          </wp:inline>
        </w:drawing>
      </w:r>
    </w:p>
    <w:p w14:paraId="66B45773">
      <w:pPr>
        <w:ind w:firstLine="422"/>
        <w:jc w:val="center"/>
        <w:rPr>
          <w:rFonts w:hint="eastAsia"/>
          <w:color w:val="auto"/>
        </w:rPr>
      </w:pPr>
      <w:r>
        <w:rPr>
          <w:rFonts w:hint="eastAsia" w:ascii="宋体" w:hAnsi="宋体"/>
          <w:b/>
          <w:bCs/>
          <w:color w:val="auto"/>
          <w:sz w:val="21"/>
          <w:szCs w:val="21"/>
        </w:rPr>
        <w:t>图</w:t>
      </w:r>
      <w:r>
        <w:rPr>
          <w:rFonts w:ascii="宋体" w:hAnsi="宋体"/>
          <w:b/>
          <w:bCs/>
          <w:color w:val="auto"/>
          <w:sz w:val="21"/>
          <w:szCs w:val="21"/>
        </w:rPr>
        <w:t>4.</w:t>
      </w:r>
      <w:r>
        <w:rPr>
          <w:rFonts w:hint="eastAsia" w:ascii="宋体" w:hAnsi="宋体"/>
          <w:b/>
          <w:bCs/>
          <w:color w:val="auto"/>
          <w:sz w:val="21"/>
          <w:szCs w:val="21"/>
          <w:lang w:val="en-US" w:eastAsia="zh-CN"/>
        </w:rPr>
        <w:t>4</w:t>
      </w:r>
      <w:r>
        <w:rPr>
          <w:rFonts w:ascii="宋体" w:hAnsi="宋体"/>
          <w:b/>
          <w:bCs/>
          <w:color w:val="auto"/>
          <w:sz w:val="21"/>
          <w:szCs w:val="21"/>
        </w:rPr>
        <w:t xml:space="preserve">-1 </w:t>
      </w:r>
      <w:r>
        <w:rPr>
          <w:rFonts w:hint="eastAsia" w:ascii="宋体" w:hAnsi="宋体"/>
          <w:b/>
          <w:bCs/>
          <w:color w:val="auto"/>
          <w:sz w:val="21"/>
          <w:szCs w:val="21"/>
        </w:rPr>
        <w:t>塔式起重机</w:t>
      </w:r>
      <w:r>
        <w:rPr>
          <w:rFonts w:hint="eastAsia" w:ascii="宋体" w:hAnsi="宋体"/>
          <w:b/>
          <w:bCs/>
          <w:color w:val="auto"/>
          <w:sz w:val="21"/>
          <w:szCs w:val="21"/>
          <w:lang w:val="en-US" w:eastAsia="zh-CN"/>
        </w:rPr>
        <w:t>拆除</w:t>
      </w:r>
      <w:r>
        <w:rPr>
          <w:rFonts w:hint="eastAsia" w:ascii="宋体" w:hAnsi="宋体"/>
          <w:b/>
          <w:bCs/>
          <w:color w:val="auto"/>
          <w:sz w:val="21"/>
          <w:szCs w:val="21"/>
        </w:rPr>
        <w:t>流程图</w:t>
      </w:r>
    </w:p>
    <w:p w14:paraId="7ABB0D80">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8" w:name="_Toc19280"/>
      <w:bookmarkStart w:id="109" w:name="_Toc2147"/>
      <w:bookmarkStart w:id="110" w:name="_Toc663"/>
      <w:bookmarkStart w:id="111" w:name="_Toc6189"/>
      <w:bookmarkStart w:id="112" w:name="_Toc24247"/>
      <w:bookmarkStart w:id="113" w:name="_Toc14138"/>
      <w:bookmarkStart w:id="114" w:name="_Toc19383"/>
      <w:bookmarkStart w:id="115" w:name="_Toc40778440"/>
      <w:r>
        <w:rPr>
          <w:rFonts w:hint="eastAsia" w:eastAsia="宋体"/>
          <w:color w:val="auto"/>
        </w:rPr>
        <w:t>施工方法</w:t>
      </w:r>
      <w:bookmarkEnd w:id="108"/>
      <w:bookmarkEnd w:id="109"/>
      <w:bookmarkEnd w:id="110"/>
      <w:bookmarkEnd w:id="111"/>
      <w:bookmarkEnd w:id="112"/>
    </w:p>
    <w:p w14:paraId="7CC946E7">
      <w:pPr>
        <w:pStyle w:val="6"/>
        <w:pageBreakBefore w:val="0"/>
        <w:kinsoku/>
        <w:wordWrap/>
        <w:overflowPunct/>
        <w:topLinePunct w:val="0"/>
        <w:bidi w:val="0"/>
        <w:snapToGrid/>
        <w:spacing w:line="360" w:lineRule="auto"/>
        <w:ind w:left="0" w:leftChars="0" w:firstLine="0" w:firstLineChars="0"/>
        <w:textAlignment w:val="auto"/>
        <w:rPr>
          <w:rFonts w:hint="eastAsia"/>
          <w:color w:val="auto"/>
          <w:lang w:val="en-US" w:eastAsia="zh-CN"/>
        </w:rPr>
      </w:pPr>
      <w:bookmarkStart w:id="116" w:name="_Toc529608358"/>
      <w:bookmarkStart w:id="117" w:name="_Toc529435585"/>
      <w:bookmarkStart w:id="118" w:name="_Toc1151795328"/>
      <w:bookmarkStart w:id="119" w:name="_Toc1095"/>
      <w:r>
        <w:rPr>
          <w:rFonts w:hint="eastAsia"/>
          <w:color w:val="auto"/>
          <w:lang w:val="en-US" w:eastAsia="zh-CN"/>
        </w:rPr>
        <w:t>4.5.1一般注意事项</w:t>
      </w:r>
    </w:p>
    <w:p w14:paraId="6FE4FAD3">
      <w:pPr>
        <w:pStyle w:val="32"/>
        <w:pageBreakBefore w:val="0"/>
        <w:kinsoku/>
        <w:wordWrap/>
        <w:overflowPunct/>
        <w:topLinePunct w:val="0"/>
        <w:bidi w:val="0"/>
        <w:snapToGrid/>
        <w:spacing w:line="360" w:lineRule="auto"/>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　</w:t>
      </w:r>
      <w:r>
        <w:rPr>
          <w:rFonts w:hint="eastAsia" w:ascii="宋体" w:hAnsi="宋体" w:eastAsia="宋体" w:cs="宋体"/>
          <w:color w:val="auto"/>
          <w:kern w:val="0"/>
          <w:sz w:val="24"/>
          <w:szCs w:val="24"/>
          <w:lang w:val="en-US" w:eastAsia="zh-CN" w:bidi="ar"/>
        </w:rPr>
        <w:t xml:space="preserve">　所有关于架置与顶升的专门说明对于拆卸与顶升下降操作亦有效。 通过辅助起升设备 进行拆卸的最后一部分操作。 确认辅助起升设备的载荷能力足够。 </w:t>
      </w:r>
    </w:p>
    <w:p w14:paraId="158617BD">
      <w:pPr>
        <w:pStyle w:val="32"/>
        <w:pageBreakBefore w:val="0"/>
        <w:kinsoku/>
        <w:wordWrap/>
        <w:overflowPunct/>
        <w:topLinePunct w:val="0"/>
        <w:bidi w:val="0"/>
        <w:snapToGrid/>
        <w:spacing w:line="360" w:lineRule="auto"/>
        <w:ind w:firstLine="420" w:firstLineChars="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拆塔是一项技术性很强的的工作，尤其是标准节、平衡臂、起重臂的拆卸。如稍有疏忽，就会导致机毁人亡、因此，用户在拆卸这些部件时，需严格按照本说明书的规定操作。</w:t>
      </w:r>
      <w:r>
        <w:rPr>
          <w:rFonts w:hint="eastAsia" w:hAnsi="宋体" w:cs="宋体"/>
          <w:color w:val="auto"/>
          <w:kern w:val="0"/>
          <w:sz w:val="24"/>
          <w:szCs w:val="24"/>
          <w:lang w:val="en-US" w:eastAsia="zh-CN" w:bidi="ar"/>
        </w:rPr>
        <w:t>上塔</w:t>
      </w:r>
      <w:r>
        <w:rPr>
          <w:rFonts w:hint="eastAsia" w:ascii="宋体" w:hAnsi="宋体" w:eastAsia="宋体" w:cs="宋体"/>
          <w:color w:val="auto"/>
          <w:kern w:val="0"/>
          <w:sz w:val="24"/>
          <w:szCs w:val="24"/>
          <w:lang w:val="en-US" w:eastAsia="zh-CN" w:bidi="ar"/>
        </w:rPr>
        <w:t>工作人员，必须是经过培训并拿到证书的人员。</w:t>
      </w:r>
    </w:p>
    <w:p w14:paraId="2579CA35">
      <w:pPr>
        <w:pStyle w:val="32"/>
        <w:pageBreakBefore w:val="0"/>
        <w:kinsoku/>
        <w:wordWrap/>
        <w:overflowPunct/>
        <w:topLinePunct w:val="0"/>
        <w:bidi w:val="0"/>
        <w:snapToGrid/>
        <w:spacing w:line="360" w:lineRule="auto"/>
        <w:textAlignment w:val="auto"/>
        <w:rPr>
          <w:rFonts w:hint="eastAsia"/>
          <w:color w:val="auto"/>
        </w:rPr>
      </w:pPr>
    </w:p>
    <w:p w14:paraId="1037175D">
      <w:pPr>
        <w:pStyle w:val="6"/>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r>
        <w:rPr>
          <w:rFonts w:hint="eastAsia"/>
          <w:color w:val="auto"/>
          <w:lang w:val="en-US" w:eastAsia="zh-CN"/>
        </w:rPr>
        <w:t>4.5.2</w:t>
      </w:r>
      <w:bookmarkEnd w:id="116"/>
      <w:bookmarkEnd w:id="117"/>
      <w:bookmarkEnd w:id="118"/>
      <w:bookmarkEnd w:id="119"/>
      <w:r>
        <w:rPr>
          <w:rFonts w:hint="eastAsia"/>
          <w:color w:val="auto"/>
          <w:lang w:val="en-US" w:eastAsia="zh-CN"/>
        </w:rPr>
        <w:t>拆卸前的准备</w:t>
      </w:r>
    </w:p>
    <w:p w14:paraId="0EE0E349">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由于拆卸塔机时，建筑物已建完，工作场地受限制，应注意工作程序和吊装堆放位置，保证没有障碍物影响拆塔操作，不可马虎大意，否则容易发生人身安全事故。 </w:t>
      </w:r>
    </w:p>
    <w:p w14:paraId="69C3B5FA">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拆塔过程中，塔机应处于平衡状态。 </w:t>
      </w:r>
    </w:p>
    <w:p w14:paraId="49A0CEAA">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禁止在拆卸时起升吊钩进行任何起升或者下降操作。 </w:t>
      </w:r>
    </w:p>
    <w:p w14:paraId="749E07E9">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拆卸过程中，禁止塔身上部进行回转操作。 </w:t>
      </w:r>
    </w:p>
    <w:p w14:paraId="76777E69">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拆卸进行前，应将起重臂回转至爬升架引进标准节一侧。 </w:t>
      </w:r>
    </w:p>
    <w:p w14:paraId="75555DD3">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塔机拆塔之前，顶升机构由于长期停止使用，应对顶升机构进行保养和试运转，在试运转过程中，应有目的地对限位器，回转机构的制动器等进行可靠性检查； </w:t>
      </w:r>
    </w:p>
    <w:p w14:paraId="661FF1DE">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对于拆卸的部件，如起重臂、平衡臂等必须遵守规章，以防止当拆卸某一部件时，其余部分有失去平衡的危险。 </w:t>
      </w:r>
    </w:p>
    <w:p w14:paraId="3DE8107F">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在拆塔过程中，吊运钢丝绳及吊带的选择要合理，物件捆绑必须牢固。 </w:t>
      </w:r>
    </w:p>
    <w:p w14:paraId="0A7A3BA5">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塔机拆卸对顶升机构来说是重载连续作业，所以应对顶升机构的主要受力件经常检查； </w:t>
      </w:r>
    </w:p>
    <w:p w14:paraId="2486869A">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顶升机构工作时，所有操作人员应集中精力观察各相对运动件的相对位置是否正常（如滚轮与主弦杆之间，爬升架与塔身之间），是否有阻碍爬升架运动（特别是下降运动时）的物件； </w:t>
      </w:r>
    </w:p>
    <w:p w14:paraId="33DD4B5F">
      <w:pPr>
        <w:keepNext w:val="0"/>
        <w:keepLines w:val="0"/>
        <w:widowControl/>
        <w:numPr>
          <w:ilvl w:val="0"/>
          <w:numId w:val="9"/>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顶升系统的检查与测试： </w:t>
      </w:r>
    </w:p>
    <w:p w14:paraId="15ABBD84">
      <w:pPr>
        <w:keepNext w:val="0"/>
        <w:keepLines w:val="0"/>
        <w:widowControl/>
        <w:numPr>
          <w:ilvl w:val="0"/>
          <w:numId w:val="0"/>
        </w:numPr>
        <w:suppressLineNumbers w:val="0"/>
        <w:ind w:leftChars="0" w:firstLine="420" w:firstLineChars="0"/>
        <w:jc w:val="left"/>
      </w:pPr>
      <w:r>
        <w:rPr>
          <w:rFonts w:hint="default" w:ascii="Calibri" w:hAnsi="Calibri" w:eastAsia="宋体" w:cs="Calibri"/>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 xml:space="preserve">检查液压系统各部件是否完好、有无漏、渗油现象。顶升油缸运动是否顺畅、到位。 </w:t>
      </w:r>
    </w:p>
    <w:p w14:paraId="1152BE9E">
      <w:pPr>
        <w:keepNext w:val="0"/>
        <w:keepLines w:val="0"/>
        <w:widowControl/>
        <w:numPr>
          <w:ilvl w:val="0"/>
          <w:numId w:val="0"/>
        </w:numPr>
        <w:suppressLineNumbers w:val="0"/>
        <w:ind w:leftChars="0" w:firstLine="420" w:firstLineChars="0"/>
        <w:jc w:val="left"/>
      </w:pPr>
      <w:r>
        <w:rPr>
          <w:rFonts w:hint="default" w:ascii="Calibri" w:hAnsi="Calibri" w:eastAsia="宋体" w:cs="Calibri"/>
          <w:color w:val="000000"/>
          <w:kern w:val="0"/>
          <w:sz w:val="24"/>
          <w:szCs w:val="24"/>
          <w:lang w:val="en-US" w:eastAsia="zh-CN" w:bidi="ar"/>
        </w:rPr>
        <w:t xml:space="preserve">b. </w:t>
      </w:r>
      <w:r>
        <w:rPr>
          <w:rFonts w:hint="eastAsia" w:ascii="宋体" w:hAnsi="宋体" w:eastAsia="宋体" w:cs="宋体"/>
          <w:color w:val="000000"/>
          <w:kern w:val="0"/>
          <w:sz w:val="24"/>
          <w:szCs w:val="24"/>
          <w:lang w:val="en-US" w:eastAsia="zh-CN" w:bidi="ar"/>
        </w:rPr>
        <w:t xml:space="preserve">检查顶升油箱油位计显示油量在油缸完全收回时是否在 </w:t>
      </w:r>
      <w:r>
        <w:rPr>
          <w:rFonts w:hint="default" w:ascii="Calibri" w:hAnsi="Calibri" w:eastAsia="宋体" w:cs="Calibri"/>
          <w:color w:val="000000"/>
          <w:kern w:val="0"/>
          <w:sz w:val="24"/>
          <w:szCs w:val="24"/>
          <w:lang w:val="en-US" w:eastAsia="zh-CN" w:bidi="ar"/>
        </w:rPr>
        <w:t xml:space="preserve">1/3 </w:t>
      </w:r>
      <w:r>
        <w:rPr>
          <w:rFonts w:hint="eastAsia" w:ascii="宋体" w:hAnsi="宋体" w:eastAsia="宋体" w:cs="宋体"/>
          <w:color w:val="000000"/>
          <w:kern w:val="0"/>
          <w:sz w:val="24"/>
          <w:szCs w:val="24"/>
          <w:lang w:val="en-US" w:eastAsia="zh-CN" w:bidi="ar"/>
        </w:rPr>
        <w:t xml:space="preserve">到 </w:t>
      </w:r>
      <w:r>
        <w:rPr>
          <w:rFonts w:hint="default" w:ascii="Calibri" w:hAnsi="Calibri" w:eastAsia="宋体" w:cs="Calibri"/>
          <w:color w:val="000000"/>
          <w:kern w:val="0"/>
          <w:sz w:val="24"/>
          <w:szCs w:val="24"/>
          <w:lang w:val="en-US" w:eastAsia="zh-CN" w:bidi="ar"/>
        </w:rPr>
        <w:t xml:space="preserve">2/3 </w:t>
      </w:r>
      <w:r>
        <w:rPr>
          <w:rFonts w:hint="eastAsia" w:ascii="宋体" w:hAnsi="宋体" w:eastAsia="宋体" w:cs="宋体"/>
          <w:color w:val="000000"/>
          <w:kern w:val="0"/>
          <w:sz w:val="24"/>
          <w:szCs w:val="24"/>
          <w:lang w:val="en-US" w:eastAsia="zh-CN" w:bidi="ar"/>
        </w:rPr>
        <w:t xml:space="preserve">刻度之间，如果油 量减少应及时补油。 </w:t>
      </w:r>
    </w:p>
    <w:p w14:paraId="0A8DF8F4">
      <w:pPr>
        <w:keepNext w:val="0"/>
        <w:keepLines w:val="0"/>
        <w:widowControl/>
        <w:numPr>
          <w:ilvl w:val="0"/>
          <w:numId w:val="0"/>
        </w:numPr>
        <w:suppressLineNumbers w:val="0"/>
        <w:ind w:leftChars="0" w:firstLine="420" w:firstLineChars="0"/>
        <w:jc w:val="left"/>
        <w:rPr>
          <w:rFonts w:hint="eastAsia"/>
          <w:color w:val="auto"/>
          <w:lang w:val="en-US" w:eastAsia="zh-CN"/>
        </w:rPr>
      </w:pPr>
      <w:r>
        <w:rPr>
          <w:rFonts w:hint="default" w:ascii="Calibri" w:hAnsi="Calibri" w:eastAsia="宋体" w:cs="Calibri"/>
          <w:color w:val="000000"/>
          <w:kern w:val="0"/>
          <w:sz w:val="24"/>
          <w:szCs w:val="24"/>
          <w:lang w:val="en-US" w:eastAsia="zh-CN" w:bidi="ar"/>
        </w:rPr>
        <w:t xml:space="preserve">c. </w:t>
      </w:r>
      <w:r>
        <w:rPr>
          <w:rFonts w:hint="eastAsia" w:ascii="宋体" w:hAnsi="宋体" w:eastAsia="宋体" w:cs="宋体"/>
          <w:color w:val="000000"/>
          <w:kern w:val="0"/>
          <w:sz w:val="24"/>
          <w:szCs w:val="24"/>
          <w:lang w:val="en-US" w:eastAsia="zh-CN" w:bidi="ar"/>
        </w:rPr>
        <w:t xml:space="preserve">操作顶升控制手柄进行试顶升动作，当液压系统压力到达溢流阀设定的压力后保持 </w:t>
      </w:r>
      <w:r>
        <w:rPr>
          <w:rFonts w:hint="default" w:ascii="Calibri" w:hAnsi="Calibri" w:eastAsia="宋体" w:cs="Calibri"/>
          <w:color w:val="000000"/>
          <w:kern w:val="0"/>
          <w:sz w:val="24"/>
          <w:szCs w:val="24"/>
          <w:lang w:val="en-US" w:eastAsia="zh-CN" w:bidi="ar"/>
        </w:rPr>
        <w:t xml:space="preserve">10 </w:t>
      </w:r>
      <w:r>
        <w:rPr>
          <w:rFonts w:hint="eastAsia" w:ascii="宋体" w:hAnsi="宋体" w:eastAsia="宋体" w:cs="宋体"/>
          <w:color w:val="000000"/>
          <w:kern w:val="0"/>
          <w:sz w:val="24"/>
          <w:szCs w:val="24"/>
          <w:lang w:val="en-US" w:eastAsia="zh-CN" w:bidi="ar"/>
        </w:rPr>
        <w:t>秒，如果压力一直保持不变，则顶升系统可进行顶升加节操作。</w:t>
      </w:r>
    </w:p>
    <w:p w14:paraId="6A9B33A6">
      <w:pPr>
        <w:pStyle w:val="51"/>
        <w:rPr>
          <w:rFonts w:hint="eastAsia"/>
          <w:color w:val="auto"/>
        </w:rPr>
      </w:pPr>
      <w:r>
        <w:rPr>
          <w:rFonts w:hint="eastAsia" w:ascii="宋体" w:hAnsi="宋体" w:eastAsia="宋体" w:cs="宋体"/>
          <w:color w:val="auto"/>
          <w:kern w:val="0"/>
          <w:sz w:val="24"/>
          <w:szCs w:val="24"/>
          <w:lang w:val="en-US" w:eastAsia="zh-CN" w:bidi="ar"/>
        </w:rPr>
        <w:t>　　</w:t>
      </w:r>
    </w:p>
    <w:p w14:paraId="08451D15">
      <w:pPr>
        <w:pStyle w:val="6"/>
        <w:ind w:left="0" w:leftChars="0" w:firstLine="0" w:firstLineChars="0"/>
        <w:rPr>
          <w:rFonts w:hint="eastAsia"/>
          <w:color w:val="auto"/>
        </w:rPr>
      </w:pPr>
      <w:r>
        <w:rPr>
          <w:rFonts w:hint="eastAsia"/>
          <w:color w:val="auto"/>
        </w:rPr>
        <w:t>4.</w:t>
      </w:r>
      <w:r>
        <w:rPr>
          <w:rFonts w:hint="eastAsia"/>
          <w:color w:val="auto"/>
          <w:lang w:val="en-US" w:eastAsia="zh-CN"/>
        </w:rPr>
        <w:t>5</w:t>
      </w:r>
      <w:r>
        <w:rPr>
          <w:rFonts w:hint="eastAsia"/>
          <w:color w:val="auto"/>
        </w:rPr>
        <w:t>.</w:t>
      </w:r>
      <w:bookmarkStart w:id="120" w:name="_Toc806483638"/>
      <w:r>
        <w:rPr>
          <w:rFonts w:hint="eastAsia"/>
          <w:color w:val="auto"/>
        </w:rPr>
        <w:t>3</w:t>
      </w:r>
      <w:bookmarkEnd w:id="120"/>
      <w:r>
        <w:rPr>
          <w:rFonts w:hint="eastAsia"/>
          <w:color w:val="auto"/>
          <w:lang w:val="en-US" w:eastAsia="zh-CN"/>
        </w:rPr>
        <w:t>拆卸程序</w:t>
      </w:r>
    </w:p>
    <w:p w14:paraId="43FEE88F">
      <w:pPr>
        <w:pStyle w:val="11"/>
        <w:bidi w:val="0"/>
        <w:rPr>
          <w:rFonts w:hint="eastAsia"/>
        </w:rPr>
      </w:pPr>
      <w:r>
        <w:rPr>
          <w:rFonts w:hint="eastAsia"/>
          <w:lang w:val="en-US" w:eastAsia="zh-CN"/>
        </w:rPr>
        <w:t xml:space="preserve">将塔机旋转至拆卸区域，保证该区域无影响拆卸作业的任何障碍。按下述顺序，进行机拆卸。其步骤与立塔组装的步骤相反。拆塔具体程序如下： </w:t>
      </w:r>
    </w:p>
    <w:p w14:paraId="4950E272">
      <w:pPr>
        <w:pStyle w:val="11"/>
        <w:numPr>
          <w:ilvl w:val="0"/>
          <w:numId w:val="10"/>
        </w:numPr>
        <w:bidi w:val="0"/>
        <w:ind w:left="845" w:leftChars="0" w:hanging="425" w:firstLineChars="0"/>
        <w:rPr>
          <w:rFonts w:hint="eastAsia"/>
        </w:rPr>
      </w:pPr>
      <w:r>
        <w:rPr>
          <w:rFonts w:hint="eastAsia"/>
          <w:lang w:val="en-US" w:eastAsia="zh-CN"/>
        </w:rPr>
        <w:t xml:space="preserve">降塔身标准节（如有附着装置，相应地也拆卸）； </w:t>
      </w:r>
    </w:p>
    <w:p w14:paraId="48E919A9">
      <w:pPr>
        <w:pStyle w:val="11"/>
        <w:numPr>
          <w:ilvl w:val="0"/>
          <w:numId w:val="10"/>
        </w:numPr>
        <w:bidi w:val="0"/>
        <w:ind w:left="845" w:leftChars="0" w:hanging="425" w:firstLineChars="0"/>
        <w:rPr>
          <w:rFonts w:hint="eastAsia"/>
        </w:rPr>
      </w:pPr>
      <w:r>
        <w:rPr>
          <w:rFonts w:hint="eastAsia"/>
          <w:lang w:val="en-US" w:eastAsia="zh-CN"/>
        </w:rPr>
        <w:t xml:space="preserve">拆下平衡臂配重（留 2 块 2.73t 的配重）； </w:t>
      </w:r>
    </w:p>
    <w:p w14:paraId="439C1ACE">
      <w:pPr>
        <w:pStyle w:val="11"/>
        <w:numPr>
          <w:ilvl w:val="0"/>
          <w:numId w:val="10"/>
        </w:numPr>
        <w:bidi w:val="0"/>
        <w:ind w:left="845" w:leftChars="0" w:hanging="425" w:firstLineChars="0"/>
        <w:rPr>
          <w:rFonts w:hint="eastAsia"/>
        </w:rPr>
      </w:pPr>
      <w:r>
        <w:rPr>
          <w:rFonts w:hint="eastAsia"/>
          <w:lang w:val="en-US" w:eastAsia="zh-CN"/>
        </w:rPr>
        <w:t xml:space="preserve">起重臂的拆卸； </w:t>
      </w:r>
    </w:p>
    <w:p w14:paraId="5BCB510C">
      <w:pPr>
        <w:pStyle w:val="11"/>
        <w:numPr>
          <w:ilvl w:val="0"/>
          <w:numId w:val="10"/>
        </w:numPr>
        <w:bidi w:val="0"/>
        <w:ind w:left="845" w:leftChars="0" w:hanging="425" w:firstLineChars="0"/>
        <w:rPr>
          <w:rFonts w:hint="eastAsia"/>
        </w:rPr>
      </w:pPr>
      <w:r>
        <w:rPr>
          <w:rFonts w:hint="eastAsia"/>
          <w:lang w:val="en-US" w:eastAsia="zh-CN"/>
        </w:rPr>
        <w:t xml:space="preserve">拆卸留下的两块 2.73t 的配重； </w:t>
      </w:r>
    </w:p>
    <w:p w14:paraId="07132614">
      <w:pPr>
        <w:pStyle w:val="11"/>
        <w:numPr>
          <w:ilvl w:val="0"/>
          <w:numId w:val="10"/>
        </w:numPr>
        <w:bidi w:val="0"/>
        <w:ind w:left="845" w:leftChars="0" w:hanging="425" w:firstLineChars="0"/>
        <w:rPr>
          <w:rFonts w:hint="eastAsia"/>
        </w:rPr>
      </w:pPr>
      <w:r>
        <w:rPr>
          <w:rFonts w:hint="eastAsia"/>
          <w:lang w:val="en-US" w:eastAsia="zh-CN"/>
        </w:rPr>
        <w:t xml:space="preserve">平衡臂的拆卸； </w:t>
      </w:r>
    </w:p>
    <w:p w14:paraId="1C38136A">
      <w:pPr>
        <w:pStyle w:val="11"/>
        <w:numPr>
          <w:ilvl w:val="0"/>
          <w:numId w:val="10"/>
        </w:numPr>
        <w:bidi w:val="0"/>
        <w:ind w:left="845" w:leftChars="0" w:hanging="425" w:firstLineChars="0"/>
        <w:rPr>
          <w:rFonts w:hint="eastAsia"/>
        </w:rPr>
      </w:pPr>
      <w:r>
        <w:rPr>
          <w:rFonts w:hint="eastAsia"/>
          <w:lang w:val="en-US" w:eastAsia="zh-CN"/>
        </w:rPr>
        <w:t xml:space="preserve">拆卸塔顶； </w:t>
      </w:r>
    </w:p>
    <w:p w14:paraId="58761ACA">
      <w:pPr>
        <w:pStyle w:val="11"/>
        <w:numPr>
          <w:ilvl w:val="0"/>
          <w:numId w:val="10"/>
        </w:numPr>
        <w:bidi w:val="0"/>
        <w:ind w:left="845" w:leftChars="0" w:hanging="425" w:firstLineChars="0"/>
        <w:rPr>
          <w:rFonts w:hint="eastAsia"/>
        </w:rPr>
      </w:pPr>
      <w:r>
        <w:rPr>
          <w:rFonts w:hint="eastAsia"/>
          <w:lang w:val="en-US" w:eastAsia="zh-CN"/>
        </w:rPr>
        <w:t xml:space="preserve">拆卸回转总成 </w:t>
      </w:r>
    </w:p>
    <w:p w14:paraId="519C5FD6">
      <w:pPr>
        <w:pStyle w:val="11"/>
        <w:numPr>
          <w:ilvl w:val="0"/>
          <w:numId w:val="10"/>
        </w:numPr>
        <w:bidi w:val="0"/>
        <w:ind w:left="845" w:leftChars="0" w:hanging="425" w:firstLineChars="0"/>
        <w:rPr>
          <w:rFonts w:hint="eastAsia"/>
        </w:rPr>
      </w:pPr>
      <w:r>
        <w:rPr>
          <w:rFonts w:hint="eastAsia"/>
          <w:lang w:val="en-US" w:eastAsia="zh-CN"/>
        </w:rPr>
        <w:t>拆卸爬升架及塔身。</w:t>
      </w:r>
    </w:p>
    <w:p w14:paraId="09DE5985">
      <w:pPr>
        <w:pStyle w:val="11"/>
        <w:bidi w:val="0"/>
        <w:rPr>
          <w:rFonts w:hint="eastAsia"/>
        </w:rPr>
      </w:pPr>
    </w:p>
    <w:p w14:paraId="72A177A0">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.4</w:t>
      </w:r>
      <w:r>
        <w:rPr>
          <w:rFonts w:hint="eastAsia"/>
          <w:color w:val="auto"/>
          <w:lang w:val="en-US" w:eastAsia="zh-CN"/>
        </w:rPr>
        <w:t>降塔</w:t>
      </w:r>
    </w:p>
    <w:p w14:paraId="666936EF">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将起重臂回转到引进方向（爬升架中有开口的一侧），使回转制动器处于制动状态，载重小车停在配平位置（与立塔顶升加节时载重小车的配平位置一致）； </w:t>
      </w:r>
    </w:p>
    <w:p w14:paraId="1271E5C7">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拆掉最上面塔身标准节与特殊节的连接螺栓，稍稍向上顶升，将引进轮按规定方向放至到标准节下方，并保证安全可靠；然后拆掉最上面的塔身标准节与下一节标准节的连接螺栓； </w:t>
      </w:r>
    </w:p>
    <w:p w14:paraId="71366229">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伸长顶升油缸，将顶升横梁顶在从上往下数第三个踏步的圆弧槽内，插好防脱销，将上部结构稍稍顶起，把特殊节与爬升架连接耳板销孔对正，打入销轴，并装好开口销； </w:t>
      </w:r>
    </w:p>
    <w:p w14:paraId="5C43E8D5">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拆掉最上面塔身标准节与特殊节的连接螺栓，稍稍向上顶升，并保证安全可靠；然 后拆掉最上面的塔身标准节与下一节标准节的连接螺栓，并在四角安装上引进轮； </w:t>
      </w:r>
    </w:p>
    <w:p w14:paraId="2040FE18">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继续顶升至最上面标准节与下方标准节离开，把标准节推出引进横梁并支稳（推出 时且不可用力过猛，以免标准节冲出引进梁而倾翻，造成事故）； </w:t>
      </w:r>
    </w:p>
    <w:p w14:paraId="1F435A78">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扳开活动爬爪，回缩油缸，让活动爬爪躲过距它最近的一对踏步后，复位放平，继 续下降至活动爬爪支承在下一对踏步上并支承住上部结构后，退出防脱销，再回缩油缸至顶升横梁从踏步上移开； </w:t>
      </w:r>
    </w:p>
    <w:p w14:paraId="186F3ED8">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 </w:t>
      </w:r>
    </w:p>
    <w:p w14:paraId="62F664E0">
      <w:pPr>
        <w:keepNext w:val="0"/>
        <w:keepLines w:val="0"/>
        <w:widowControl/>
        <w:numPr>
          <w:ilvl w:val="0"/>
          <w:numId w:val="11"/>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将特殊节与塔身标准节之间用 </w:t>
      </w:r>
      <w:r>
        <w:rPr>
          <w:rFonts w:hint="default" w:ascii="Calibri" w:hAnsi="Calibri" w:eastAsia="宋体" w:cs="Calibri"/>
          <w:color w:val="000000"/>
          <w:kern w:val="0"/>
          <w:sz w:val="24"/>
          <w:szCs w:val="24"/>
          <w:lang w:val="en-US" w:eastAsia="zh-CN" w:bidi="ar"/>
        </w:rPr>
        <w:t xml:space="preserve">12 </w:t>
      </w:r>
      <w:r>
        <w:rPr>
          <w:rFonts w:hint="eastAsia" w:ascii="宋体" w:hAnsi="宋体" w:eastAsia="宋体" w:cs="宋体"/>
          <w:color w:val="000000"/>
          <w:kern w:val="0"/>
          <w:sz w:val="24"/>
          <w:szCs w:val="24"/>
          <w:lang w:val="en-US" w:eastAsia="zh-CN" w:bidi="ar"/>
        </w:rPr>
        <w:t xml:space="preserve">颗高强螺栓紧固牢，用小车吊钩将标准节吊至地面； </w:t>
      </w:r>
    </w:p>
    <w:p w14:paraId="5553B12C">
      <w:pPr>
        <w:keepNext w:val="0"/>
        <w:keepLines w:val="0"/>
        <w:widowControl/>
        <w:numPr>
          <w:ilvl w:val="0"/>
          <w:numId w:val="11"/>
        </w:numPr>
        <w:suppressLineNumbers w:val="0"/>
        <w:ind w:left="665" w:leftChars="0" w:hanging="425" w:firstLineChars="0"/>
        <w:jc w:val="left"/>
        <w:rPr>
          <w:rFonts w:hint="eastAsia"/>
          <w:color w:val="auto"/>
        </w:rPr>
      </w:pPr>
      <w:r>
        <w:rPr>
          <w:rFonts w:hint="eastAsia" w:ascii="宋体" w:hAnsi="宋体" w:eastAsia="宋体" w:cs="宋体"/>
          <w:color w:val="000000"/>
          <w:kern w:val="0"/>
          <w:sz w:val="24"/>
          <w:szCs w:val="24"/>
          <w:lang w:val="en-US" w:eastAsia="zh-CN" w:bidi="ar"/>
        </w:rPr>
        <w:t>重复上述动作，将塔身标准节依次拆下。</w:t>
      </w:r>
    </w:p>
    <w:p w14:paraId="6C2F0390">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w:t>
      </w:r>
      <w:r>
        <w:rPr>
          <w:rFonts w:hint="eastAsia"/>
          <w:color w:val="auto"/>
          <w:lang w:val="en-US" w:eastAsia="zh-CN"/>
        </w:rPr>
        <w:t xml:space="preserve">5拆卸平衡重 </w:t>
      </w:r>
    </w:p>
    <w:p w14:paraId="39B68ADE">
      <w:pPr>
        <w:rPr>
          <w:rFonts w:hint="eastAsia"/>
        </w:rPr>
      </w:pPr>
      <w:r>
        <w:rPr>
          <w:rFonts w:hint="eastAsia"/>
          <w:lang w:val="en-US" w:eastAsia="zh-CN"/>
        </w:rPr>
        <w:t xml:space="preserve">1）将载重小车固定在起重臂根部，借助辅助吊车拆卸配重； </w:t>
      </w:r>
    </w:p>
    <w:p w14:paraId="72647116">
      <w:pPr>
        <w:rPr>
          <w:rFonts w:hint="eastAsia"/>
        </w:rPr>
      </w:pPr>
      <w:r>
        <w:rPr>
          <w:rFonts w:hint="eastAsia"/>
          <w:lang w:val="en-US" w:eastAsia="zh-CN"/>
        </w:rPr>
        <w:t>2）按装配重的相反顺序，将各块配重依次卸下，仅留下 2.3t×2 的配重块，如下图所示。</w:t>
      </w:r>
    </w:p>
    <w:p w14:paraId="2DAADB23">
      <w:pPr>
        <w:jc w:val="center"/>
      </w:pPr>
      <w:r>
        <w:drawing>
          <wp:inline distT="0" distB="0" distL="114300" distR="114300">
            <wp:extent cx="5757545" cy="1304925"/>
            <wp:effectExtent l="0" t="0" r="1460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8"/>
                    <a:stretch>
                      <a:fillRect/>
                    </a:stretch>
                  </pic:blipFill>
                  <pic:spPr>
                    <a:xfrm>
                      <a:off x="0" y="0"/>
                      <a:ext cx="5757545" cy="1304925"/>
                    </a:xfrm>
                    <a:prstGeom prst="rect">
                      <a:avLst/>
                    </a:prstGeom>
                    <a:noFill/>
                    <a:ln>
                      <a:noFill/>
                    </a:ln>
                  </pic:spPr>
                </pic:pic>
              </a:graphicData>
            </a:graphic>
          </wp:inline>
        </w:drawing>
      </w:r>
    </w:p>
    <w:p w14:paraId="2DBE319A"/>
    <w:p w14:paraId="45A56F04">
      <w:pPr>
        <w:ind w:left="0" w:leftChars="0" w:firstLine="0" w:firstLineChars="0"/>
        <w:jc w:val="center"/>
        <w:rPr>
          <w:lang w:val="en-US" w:eastAsia="zh-CN"/>
        </w:rPr>
      </w:pPr>
      <w:r>
        <w:rPr>
          <w:lang w:val="en-US" w:eastAsia="zh-CN"/>
        </w:rPr>
        <w:t>图 4.</w:t>
      </w:r>
      <w:r>
        <w:rPr>
          <w:rFonts w:hint="eastAsia"/>
          <w:lang w:val="en-US" w:eastAsia="zh-CN"/>
        </w:rPr>
        <w:t>5.5</w:t>
      </w:r>
      <w:r>
        <w:rPr>
          <w:lang w:val="en-US" w:eastAsia="zh-CN"/>
        </w:rPr>
        <w:t>-1</w:t>
      </w:r>
    </w:p>
    <w:p w14:paraId="1D6307D2">
      <w:pPr>
        <w:ind w:left="0" w:leftChars="0" w:firstLine="0" w:firstLineChars="0"/>
        <w:jc w:val="center"/>
        <w:rPr>
          <w:lang w:val="en-US" w:eastAsia="zh-CN"/>
        </w:rPr>
      </w:pPr>
    </w:p>
    <w:p w14:paraId="4398B695">
      <w:pPr>
        <w:ind w:left="0" w:leftChars="0" w:firstLine="0" w:firstLineChars="0"/>
        <w:jc w:val="center"/>
      </w:pPr>
      <w:r>
        <w:drawing>
          <wp:inline distT="0" distB="0" distL="114300" distR="114300">
            <wp:extent cx="5160010" cy="3513455"/>
            <wp:effectExtent l="0" t="0" r="254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9"/>
                    <a:stretch>
                      <a:fillRect/>
                    </a:stretch>
                  </pic:blipFill>
                  <pic:spPr>
                    <a:xfrm>
                      <a:off x="0" y="0"/>
                      <a:ext cx="5160010" cy="3513455"/>
                    </a:xfrm>
                    <a:prstGeom prst="rect">
                      <a:avLst/>
                    </a:prstGeom>
                    <a:noFill/>
                    <a:ln>
                      <a:noFill/>
                    </a:ln>
                  </pic:spPr>
                </pic:pic>
              </a:graphicData>
            </a:graphic>
          </wp:inline>
        </w:drawing>
      </w:r>
    </w:p>
    <w:p w14:paraId="4BC17D1D">
      <w:pPr>
        <w:ind w:left="0" w:leftChars="0" w:firstLine="0" w:firstLineChars="0"/>
        <w:jc w:val="center"/>
        <w:rPr>
          <w:rFonts w:hint="default"/>
          <w:lang w:val="en-US" w:eastAsia="zh-CN"/>
        </w:rPr>
      </w:pPr>
      <w:r>
        <w:rPr>
          <w:lang w:val="en-US" w:eastAsia="zh-CN"/>
        </w:rPr>
        <w:t>图 4.</w:t>
      </w:r>
      <w:r>
        <w:rPr>
          <w:rFonts w:hint="eastAsia"/>
          <w:lang w:val="en-US" w:eastAsia="zh-CN"/>
        </w:rPr>
        <w:t>5.5</w:t>
      </w:r>
      <w:r>
        <w:rPr>
          <w:lang w:val="en-US" w:eastAsia="zh-CN"/>
        </w:rPr>
        <w:t>-</w:t>
      </w:r>
      <w:r>
        <w:rPr>
          <w:rFonts w:hint="eastAsia"/>
          <w:lang w:val="en-US" w:eastAsia="zh-CN"/>
        </w:rPr>
        <w:t xml:space="preserve">2 </w:t>
      </w:r>
    </w:p>
    <w:p w14:paraId="0178918D">
      <w:pPr>
        <w:ind w:left="0" w:leftChars="0" w:firstLine="0" w:firstLineChars="0"/>
        <w:jc w:val="center"/>
        <w:rPr>
          <w:lang w:val="en-US" w:eastAsia="zh-CN"/>
        </w:rPr>
      </w:pPr>
    </w:p>
    <w:p w14:paraId="297E60A5">
      <w:pPr>
        <w:pStyle w:val="6"/>
        <w:ind w:firstLine="482"/>
        <w:rPr>
          <w:rFonts w:hint="eastAsia"/>
          <w:color w:val="auto"/>
        </w:rPr>
      </w:pPr>
      <w:r>
        <w:rPr>
          <w:rFonts w:hint="eastAsia"/>
          <w:color w:val="auto"/>
          <w:lang w:val="en-US" w:eastAsia="zh-CN"/>
        </w:rPr>
        <w:t>4.5</w:t>
      </w:r>
      <w:r>
        <w:rPr>
          <w:rFonts w:hint="default"/>
          <w:color w:val="auto"/>
          <w:lang w:val="en-US" w:eastAsia="zh-CN"/>
        </w:rPr>
        <w:t>.</w:t>
      </w:r>
      <w:r>
        <w:rPr>
          <w:rFonts w:hint="eastAsia"/>
          <w:color w:val="auto"/>
          <w:lang w:val="en-US" w:eastAsia="zh-CN"/>
        </w:rPr>
        <w:t xml:space="preserve">6拆卸起重臂 </w:t>
      </w:r>
    </w:p>
    <w:p w14:paraId="2C9BBAE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放下吊钩至地面，拆除起重钢丝绳与起重臂前端上的防扭装置连接，开动起升机构，回收钢丝绳，拆去除起重臂臂， 根据安装时的吊点位置挂绳，轻轻提起起重臂，使起吊装钢丝绳处于自然紧绷状态下，拆去与臂根节下弦连接的螺栓及上弦的销轴。根据安装时的吊点位置挂绳，轻轻提起起重臂成一定角度，慢慢启动起升机构，使起重臂拉杆在本身自重作用下处于放松状态，拆去起重臂拉杆与塔顶拉板的连接销轴，放下拉杆至起重臂拉杆支架内并固定； </w:t>
      </w:r>
      <w:r>
        <w:drawing>
          <wp:inline distT="0" distB="0" distL="114300" distR="114300">
            <wp:extent cx="5751830" cy="1193165"/>
            <wp:effectExtent l="0" t="0" r="1270"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0"/>
                    <a:stretch>
                      <a:fillRect/>
                    </a:stretch>
                  </pic:blipFill>
                  <pic:spPr>
                    <a:xfrm>
                      <a:off x="0" y="0"/>
                      <a:ext cx="5751830" cy="1193165"/>
                    </a:xfrm>
                    <a:prstGeom prst="rect">
                      <a:avLst/>
                    </a:prstGeom>
                    <a:noFill/>
                    <a:ln>
                      <a:noFill/>
                    </a:ln>
                  </pic:spPr>
                </pic:pic>
              </a:graphicData>
            </a:graphic>
          </wp:inline>
        </w:drawing>
      </w:r>
    </w:p>
    <w:p w14:paraId="1D95388A">
      <w:pPr>
        <w:keepNext w:val="0"/>
        <w:keepLines w:val="0"/>
        <w:widowControl/>
        <w:suppressLineNumbers w:val="0"/>
        <w:jc w:val="center"/>
        <w:rPr>
          <w:rFonts w:hint="default"/>
          <w:lang w:val="en-US"/>
        </w:rPr>
      </w:pP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5.6</w:t>
      </w:r>
      <w:r>
        <w:rPr>
          <w:rFonts w:hint="eastAsia" w:ascii="Calibri" w:hAnsi="Calibri" w:cs="Calibri"/>
          <w:color w:val="000000"/>
          <w:kern w:val="0"/>
          <w:sz w:val="24"/>
          <w:szCs w:val="24"/>
          <w:lang w:val="en-US" w:eastAsia="zh-CN" w:bidi="ar"/>
        </w:rPr>
        <w:t>-1</w:t>
      </w:r>
    </w:p>
    <w:p w14:paraId="19687025">
      <w:pPr>
        <w:keepNext w:val="0"/>
        <w:keepLines w:val="0"/>
        <w:widowControl/>
        <w:suppressLineNumbers w:val="0"/>
        <w:jc w:val="left"/>
      </w:pPr>
      <w:r>
        <w:rPr>
          <w:rFonts w:hint="eastAsia" w:ascii="宋体" w:hAnsi="宋体" w:eastAsia="宋体" w:cs="宋体"/>
          <w:color w:val="000000"/>
          <w:kern w:val="0"/>
          <w:sz w:val="24"/>
          <w:szCs w:val="24"/>
          <w:lang w:val="en-US" w:eastAsia="zh-CN" w:bidi="ar"/>
        </w:rPr>
        <w:t>拆去钢丝绳，并全部回收，拆掉起重臂（</w:t>
      </w:r>
      <w:r>
        <w:rPr>
          <w:rFonts w:hint="default"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）与上支座的连接销轴（</w:t>
      </w:r>
      <w:r>
        <w:rPr>
          <w:rFonts w:hint="default" w:ascii="Calibri" w:hAnsi="Calibri" w:eastAsia="宋体" w:cs="Calibri"/>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default" w:ascii="Calibri" w:hAnsi="Calibri" w:eastAsia="宋体" w:cs="Calibri"/>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default" w:ascii="Calibri" w:hAnsi="Calibri" w:eastAsia="宋体" w:cs="Calibri"/>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r>
        <w:rPr>
          <w:rFonts w:hint="default" w:ascii="Calibri" w:hAnsi="Calibri" w:eastAsia="宋体" w:cs="Calibri"/>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）；缓慢放下起重臂，并搁在预先准备的支架上，然后根据需要确定是否拆除起重臂上的小车。</w:t>
      </w:r>
    </w:p>
    <w:p w14:paraId="34A04C37">
      <w:r>
        <w:rPr>
          <w:sz w:val="24"/>
        </w:rPr>
        <mc:AlternateContent>
          <mc:Choice Requires="wps">
            <w:drawing>
              <wp:anchor distT="0" distB="0" distL="114300" distR="114300" simplePos="0" relativeHeight="251663360" behindDoc="0" locked="0" layoutInCell="1" allowOverlap="1">
                <wp:simplePos x="0" y="0"/>
                <wp:positionH relativeFrom="column">
                  <wp:posOffset>1370330</wp:posOffset>
                </wp:positionH>
                <wp:positionV relativeFrom="paragraph">
                  <wp:posOffset>932815</wp:posOffset>
                </wp:positionV>
                <wp:extent cx="139700" cy="120650"/>
                <wp:effectExtent l="4445" t="4445" r="8255" b="8255"/>
                <wp:wrapNone/>
                <wp:docPr id="69" name="椭圆 69"/>
                <wp:cNvGraphicFramePr/>
                <a:graphic xmlns:a="http://schemas.openxmlformats.org/drawingml/2006/main">
                  <a:graphicData uri="http://schemas.microsoft.com/office/word/2010/wordprocessingShape">
                    <wps:wsp>
                      <wps:cNvSpPr/>
                      <wps:spPr>
                        <a:xfrm>
                          <a:off x="2450465" y="5869940"/>
                          <a:ext cx="139700" cy="120650"/>
                        </a:xfrm>
                        <a:prstGeom prst="ellipse">
                          <a:avLst/>
                        </a:prstGeom>
                        <a:ln w="9525" cap="flat" cmpd="sng" algn="ctr">
                          <a:solidFill>
                            <a:schemeClr val="tx1"/>
                          </a:solidFill>
                          <a:prstDash val="solid"/>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7.9pt;margin-top:73.45pt;height:9.5pt;width:11pt;z-index:251663360;v-text-anchor:middle;mso-width-relative:page;mso-height-relative:page;" filled="f" stroked="t" coordsize="21600,21600" o:gfxdata="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q1BTdkAAAALAQAADwAAAAAAAAABACAAAAAiAAAAZHJzL2Rvd25yZXYu&#10;eG1sUEsBAhQAFAAAAAgAh07iQFtpaj1sAgAAwwQAAA4AAAAAAAAAAQAgAAAAKAEAAGRycy9lMm9E&#10;b2MueG1sUEsFBgAAAAAGAAYAWQEAAAYGAAAAAA==&#10;">
                <v:fill on="f" focussize="0,0"/>
                <v:stroke color="#000000 [3213]" joinstyle="round"/>
                <v:imagedata o:title=""/>
                <o:lock v:ext="edit" aspectratio="f"/>
              </v:shape>
            </w:pict>
          </mc:Fallback>
        </mc:AlternateContent>
      </w:r>
    </w:p>
    <w:p w14:paraId="1E2EAB51">
      <w:pPr>
        <w:rPr>
          <w:rFonts w:hint="eastAsia"/>
        </w:rPr>
      </w:pPr>
    </w:p>
    <w:p w14:paraId="7915F1D0">
      <w:pPr>
        <w:jc w:val="center"/>
      </w:pPr>
      <w:r>
        <w:drawing>
          <wp:inline distT="0" distB="0" distL="114300" distR="114300">
            <wp:extent cx="4824730" cy="2328545"/>
            <wp:effectExtent l="0" t="0" r="1397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1"/>
                    <a:stretch>
                      <a:fillRect/>
                    </a:stretch>
                  </pic:blipFill>
                  <pic:spPr>
                    <a:xfrm>
                      <a:off x="0" y="0"/>
                      <a:ext cx="4824730" cy="2328545"/>
                    </a:xfrm>
                    <a:prstGeom prst="rect">
                      <a:avLst/>
                    </a:prstGeom>
                    <a:noFill/>
                    <a:ln>
                      <a:noFill/>
                    </a:ln>
                  </pic:spPr>
                </pic:pic>
              </a:graphicData>
            </a:graphic>
          </wp:inline>
        </w:drawing>
      </w:r>
    </w:p>
    <w:p w14:paraId="546D8EAC">
      <w:pPr>
        <w:jc w:val="center"/>
        <w:rPr>
          <w:rFonts w:hint="eastAsia" w:ascii="Times New Roman" w:hAnsi="Times New Roman" w:eastAsia="宋体" w:cs="Times New Roman"/>
          <w:kern w:val="2"/>
          <w:sz w:val="24"/>
          <w:szCs w:val="21"/>
          <w:lang w:val="en-US" w:eastAsia="zh-CN" w:bidi="ar-SA"/>
        </w:rPr>
      </w:pPr>
      <w:r>
        <w:rPr>
          <w:rFonts w:hint="eastAsia" w:ascii="黑体" w:hAnsi="宋体" w:eastAsia="黑体" w:cs="黑体"/>
          <w:color w:val="000000"/>
          <w:kern w:val="0"/>
          <w:sz w:val="24"/>
          <w:szCs w:val="24"/>
          <w:lang w:val="en-US" w:eastAsia="zh-CN" w:bidi="ar"/>
        </w:rPr>
        <w:t>图4.5.6.2</w:t>
      </w:r>
    </w:p>
    <w:p w14:paraId="49D3C507">
      <w:pPr>
        <w:pStyle w:val="6"/>
        <w:ind w:firstLine="482"/>
        <w:rPr>
          <w:rFonts w:hint="eastAsia"/>
          <w:color w:val="auto"/>
          <w:lang w:val="en-US" w:eastAsia="zh-CN"/>
        </w:rPr>
      </w:pPr>
      <w:r>
        <w:rPr>
          <w:rFonts w:hint="eastAsia"/>
          <w:color w:val="auto"/>
          <w:lang w:val="en-US" w:eastAsia="zh-CN"/>
        </w:rPr>
        <w:t>4.</w:t>
      </w:r>
      <w:r>
        <w:rPr>
          <w:rFonts w:hint="default"/>
          <w:color w:val="auto"/>
          <w:lang w:val="en-US" w:eastAsia="zh-CN"/>
        </w:rPr>
        <w:t>5</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 xml:space="preserve">拆卸平衡臂 </w:t>
      </w:r>
    </w:p>
    <w:p w14:paraId="11D2594C">
      <w:pPr>
        <w:bidi w:val="0"/>
        <w:jc w:val="center"/>
        <w:rPr>
          <w:rFonts w:hint="eastAsia"/>
          <w:lang w:val="en-US" w:eastAsia="zh-CN"/>
        </w:rPr>
      </w:pPr>
      <w:r>
        <w:drawing>
          <wp:inline distT="0" distB="0" distL="114300" distR="114300">
            <wp:extent cx="5003165" cy="2971165"/>
            <wp:effectExtent l="0" t="0" r="6985"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5003165" cy="2971165"/>
                    </a:xfrm>
                    <a:prstGeom prst="rect">
                      <a:avLst/>
                    </a:prstGeom>
                    <a:noFill/>
                    <a:ln>
                      <a:noFill/>
                    </a:ln>
                  </pic:spPr>
                </pic:pic>
              </a:graphicData>
            </a:graphic>
          </wp:inline>
        </w:drawing>
      </w:r>
    </w:p>
    <w:p w14:paraId="53EA99EF">
      <w:pPr>
        <w:keepNext w:val="0"/>
        <w:keepLines w:val="0"/>
        <w:widowControl/>
        <w:suppressLineNumbers w:val="0"/>
        <w:jc w:val="center"/>
        <w:rPr>
          <w:rFonts w:ascii="Calibri" w:hAnsi="Calibri" w:eastAsia="宋体" w:cs="Calibri"/>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w:t>
      </w:r>
      <w:r>
        <w:rPr>
          <w:rFonts w:hint="eastAsia" w:ascii="Calibri" w:hAnsi="Calibri" w:cs="Calibri"/>
          <w:color w:val="000000"/>
          <w:kern w:val="0"/>
          <w:sz w:val="24"/>
          <w:szCs w:val="24"/>
          <w:lang w:val="en-US" w:eastAsia="zh-CN" w:bidi="ar"/>
        </w:rPr>
        <w:t>7-1</w:t>
      </w:r>
    </w:p>
    <w:p w14:paraId="07DDDE6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）依次将最后两块平衡重吊起并平稳放至地面；</w:t>
      </w:r>
    </w:p>
    <w:p w14:paraId="228A3578">
      <w:pPr>
        <w:keepNext w:val="0"/>
        <w:keepLines w:val="0"/>
        <w:widowControl/>
        <w:suppressLineNumbers w:val="0"/>
        <w:jc w:val="center"/>
        <w:rPr>
          <w:rFonts w:hint="eastAsia" w:ascii="宋体" w:hAnsi="宋体" w:eastAsia="宋体" w:cs="宋体"/>
          <w:color w:val="000000"/>
          <w:kern w:val="0"/>
          <w:sz w:val="24"/>
          <w:szCs w:val="24"/>
          <w:lang w:val="en-US" w:eastAsia="zh-CN" w:bidi="ar"/>
        </w:rPr>
      </w:pPr>
      <w:r>
        <w:drawing>
          <wp:inline distT="0" distB="0" distL="114300" distR="114300">
            <wp:extent cx="5755640" cy="2825115"/>
            <wp:effectExtent l="0" t="0" r="16510"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3"/>
                    <a:stretch>
                      <a:fillRect/>
                    </a:stretch>
                  </pic:blipFill>
                  <pic:spPr>
                    <a:xfrm>
                      <a:off x="0" y="0"/>
                      <a:ext cx="5755640" cy="2825115"/>
                    </a:xfrm>
                    <a:prstGeom prst="rect">
                      <a:avLst/>
                    </a:prstGeom>
                    <a:noFill/>
                    <a:ln>
                      <a:noFill/>
                    </a:ln>
                  </pic:spPr>
                </pic:pic>
              </a:graphicData>
            </a:graphic>
          </wp:inline>
        </w:drawing>
      </w:r>
    </w:p>
    <w:p w14:paraId="4CAF788B">
      <w:pPr>
        <w:keepNext w:val="0"/>
        <w:keepLines w:val="0"/>
        <w:widowControl/>
        <w:suppressLineNumbers w:val="0"/>
        <w:jc w:val="center"/>
        <w:rPr>
          <w:rFonts w:hint="default"/>
          <w:lang w:val="en-US" w:eastAsia="zh-CN"/>
        </w:rPr>
      </w:pP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w:t>
      </w:r>
      <w:r>
        <w:rPr>
          <w:rFonts w:hint="eastAsia" w:ascii="Calibri" w:hAnsi="Calibri" w:cs="Calibri"/>
          <w:color w:val="000000"/>
          <w:kern w:val="0"/>
          <w:sz w:val="24"/>
          <w:szCs w:val="24"/>
          <w:lang w:val="en-US" w:eastAsia="zh-CN" w:bidi="ar"/>
        </w:rPr>
        <w:t>7-2</w:t>
      </w:r>
    </w:p>
    <w:p w14:paraId="0423E161">
      <w:pPr>
        <w:jc w:val="center"/>
      </w:pPr>
    </w:p>
    <w:p w14:paraId="5A5F16E2">
      <w:pPr>
        <w:rPr>
          <w:rFonts w:hint="eastAsia"/>
        </w:rPr>
      </w:pPr>
      <w:r>
        <w:rPr>
          <w:rFonts w:hint="eastAsia"/>
          <w:lang w:val="en-US" w:eastAsia="zh-CN"/>
        </w:rPr>
        <w:t>2）将平衡臂吊起倾斜至一定角度，使平衡臂拉杆处于放松状态，拆下拉杆连接销轴；</w:t>
      </w:r>
    </w:p>
    <w:p w14:paraId="56424ACA">
      <w:pPr>
        <w:keepNext w:val="0"/>
        <w:keepLines w:val="0"/>
        <w:widowControl/>
        <w:suppressLineNumbers w:val="0"/>
        <w:jc w:val="center"/>
      </w:pPr>
      <w:r>
        <w:drawing>
          <wp:inline distT="0" distB="0" distL="114300" distR="114300">
            <wp:extent cx="3820795" cy="3604895"/>
            <wp:effectExtent l="0" t="0" r="8255" b="1460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4"/>
                    <a:stretch>
                      <a:fillRect/>
                    </a:stretch>
                  </pic:blipFill>
                  <pic:spPr>
                    <a:xfrm>
                      <a:off x="0" y="0"/>
                      <a:ext cx="3820795" cy="3604895"/>
                    </a:xfrm>
                    <a:prstGeom prst="rect">
                      <a:avLst/>
                    </a:prstGeom>
                    <a:noFill/>
                    <a:ln>
                      <a:noFill/>
                    </a:ln>
                  </pic:spPr>
                </pic:pic>
              </a:graphicData>
            </a:graphic>
          </wp:inline>
        </w:drawing>
      </w:r>
    </w:p>
    <w:p w14:paraId="4D7417C6">
      <w:pPr>
        <w:keepNext w:val="0"/>
        <w:keepLines w:val="0"/>
        <w:widowControl/>
        <w:suppressLineNumbers w:val="0"/>
        <w:jc w:val="center"/>
        <w:rPr>
          <w:rFonts w:hint="default" w:ascii="Calibri" w:hAnsi="Calibri" w:eastAsia="宋体" w:cs="Calibri"/>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w:t>
      </w:r>
      <w:r>
        <w:rPr>
          <w:rFonts w:hint="eastAsia" w:ascii="Calibri" w:hAnsi="Calibri" w:cs="Calibri"/>
          <w:color w:val="000000"/>
          <w:kern w:val="0"/>
          <w:sz w:val="24"/>
          <w:szCs w:val="24"/>
          <w:lang w:val="en-US" w:eastAsia="zh-CN" w:bidi="ar"/>
        </w:rPr>
        <w:t>7-3</w:t>
      </w:r>
    </w:p>
    <w:p w14:paraId="2FB6D2B5">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ascii="Calibri" w:hAnsi="Calibri" w:eastAsia="宋体" w:cs="Calibri"/>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）然后拆掉平衡臂与上支座的连接销，将平衡臂平稳放至地面上</w:t>
      </w:r>
    </w:p>
    <w:p w14:paraId="05A4C791">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9F6B573">
      <w:pPr>
        <w:jc w:val="center"/>
        <w:rPr>
          <w:rFonts w:hint="eastAsia"/>
          <w:lang w:val="en-US" w:eastAsia="zh-CN"/>
        </w:rPr>
      </w:pPr>
    </w:p>
    <w:p w14:paraId="68F440B3">
      <w:pPr>
        <w:pStyle w:val="6"/>
        <w:ind w:left="0" w:leftChars="0" w:firstLine="0" w:firstLineChars="0"/>
        <w:rPr>
          <w:rFonts w:hint="eastAsia" w:cstheme="majorBidi"/>
          <w:bCs/>
          <w:color w:val="auto"/>
          <w:kern w:val="2"/>
          <w:sz w:val="24"/>
          <w:szCs w:val="28"/>
          <w:lang w:val="en-US" w:eastAsia="zh-CN" w:bidi="ar-SA"/>
        </w:rPr>
      </w:pPr>
      <w:r>
        <w:rPr>
          <w:rFonts w:hint="eastAsia" w:cstheme="majorBidi"/>
          <w:bCs/>
          <w:color w:val="auto"/>
          <w:kern w:val="2"/>
          <w:sz w:val="24"/>
          <w:szCs w:val="28"/>
          <w:lang w:val="en-US" w:eastAsia="zh-CN" w:bidi="ar-SA"/>
        </w:rPr>
        <w:t>4.5.10拆卸回转总成</w:t>
      </w:r>
    </w:p>
    <w:p w14:paraId="1DE46B3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根据安装时吊点位置用起重机吊起回转总成，然后将回转下支座与特殊节的连接螺栓拆下，之后将回转总成平稳吊至地面。</w:t>
      </w:r>
    </w:p>
    <w:p w14:paraId="2B879835">
      <w:pPr>
        <w:keepNext w:val="0"/>
        <w:keepLines w:val="0"/>
        <w:widowControl/>
        <w:suppressLineNumbers w:val="0"/>
        <w:jc w:val="center"/>
      </w:pPr>
    </w:p>
    <w:p w14:paraId="06E699C4">
      <w:pPr>
        <w:ind w:left="0" w:leftChars="0" w:firstLine="0" w:firstLineChars="0"/>
        <w:jc w:val="center"/>
      </w:pPr>
      <w:r>
        <w:drawing>
          <wp:inline distT="0" distB="0" distL="114300" distR="114300">
            <wp:extent cx="2647950" cy="4581525"/>
            <wp:effectExtent l="0" t="0" r="0" b="952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5"/>
                    <a:stretch>
                      <a:fillRect/>
                    </a:stretch>
                  </pic:blipFill>
                  <pic:spPr>
                    <a:xfrm>
                      <a:off x="0" y="0"/>
                      <a:ext cx="2647950" cy="4581525"/>
                    </a:xfrm>
                    <a:prstGeom prst="rect">
                      <a:avLst/>
                    </a:prstGeom>
                    <a:noFill/>
                    <a:ln>
                      <a:noFill/>
                    </a:ln>
                  </pic:spPr>
                </pic:pic>
              </a:graphicData>
            </a:graphic>
          </wp:inline>
        </w:drawing>
      </w:r>
    </w:p>
    <w:p w14:paraId="2F07EA1B">
      <w:pPr>
        <w:ind w:left="0" w:leftChars="0" w:firstLine="0" w:firstLineChars="0"/>
        <w:jc w:val="center"/>
        <w:rPr>
          <w:rFonts w:hint="default" w:ascii="Calibri" w:hAnsi="Calibri" w:cs="Calibri"/>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w:t>
      </w:r>
      <w:r>
        <w:rPr>
          <w:rFonts w:hint="eastAsia" w:ascii="Calibri" w:hAnsi="Calibri" w:cs="Calibri"/>
          <w:color w:val="000000"/>
          <w:kern w:val="0"/>
          <w:sz w:val="24"/>
          <w:szCs w:val="24"/>
          <w:lang w:val="en-US" w:eastAsia="zh-CN" w:bidi="ar"/>
        </w:rPr>
        <w:t>10-1</w:t>
      </w:r>
    </w:p>
    <w:p w14:paraId="6B0F7A91">
      <w:pPr>
        <w:ind w:left="0" w:leftChars="0" w:firstLine="0" w:firstLineChars="0"/>
        <w:jc w:val="center"/>
      </w:pPr>
      <w:r>
        <w:drawing>
          <wp:inline distT="0" distB="0" distL="114300" distR="114300">
            <wp:extent cx="4365625" cy="3232150"/>
            <wp:effectExtent l="0" t="0" r="1587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6"/>
                    <a:stretch>
                      <a:fillRect/>
                    </a:stretch>
                  </pic:blipFill>
                  <pic:spPr>
                    <a:xfrm>
                      <a:off x="0" y="0"/>
                      <a:ext cx="4365625" cy="3232150"/>
                    </a:xfrm>
                    <a:prstGeom prst="rect">
                      <a:avLst/>
                    </a:prstGeom>
                    <a:noFill/>
                    <a:ln>
                      <a:noFill/>
                    </a:ln>
                  </pic:spPr>
                </pic:pic>
              </a:graphicData>
            </a:graphic>
          </wp:inline>
        </w:drawing>
      </w:r>
    </w:p>
    <w:p w14:paraId="2B979134">
      <w:pPr>
        <w:ind w:left="0" w:leftChars="0" w:firstLine="0" w:firstLineChars="0"/>
        <w:jc w:val="center"/>
        <w:rPr>
          <w:rFonts w:hint="default" w:ascii="Times New Roman" w:hAnsi="Times New Roman" w:eastAsia="宋体" w:cs="Times New Roman"/>
          <w:kern w:val="2"/>
          <w:sz w:val="24"/>
          <w:szCs w:val="21"/>
          <w:lang w:val="en-US" w:eastAsia="zh-CN" w:bidi="ar-SA"/>
        </w:rPr>
      </w:pPr>
      <w:r>
        <w:rPr>
          <w:rFonts w:hint="eastAsia" w:cs="Times New Roman"/>
          <w:kern w:val="2"/>
          <w:sz w:val="24"/>
          <w:szCs w:val="21"/>
          <w:lang w:val="en-US" w:eastAsia="zh-CN" w:bidi="ar-SA"/>
        </w:rPr>
        <w:tab/>
      </w:r>
      <w:r>
        <w:rPr>
          <w:rFonts w:hint="eastAsia" w:ascii="黑体" w:hAnsi="宋体" w:eastAsia="黑体" w:cs="黑体"/>
          <w:color w:val="000000"/>
          <w:kern w:val="0"/>
          <w:sz w:val="24"/>
          <w:szCs w:val="24"/>
          <w:lang w:val="en-US" w:eastAsia="zh-CN" w:bidi="ar"/>
        </w:rPr>
        <w:t xml:space="preserve">图 </w:t>
      </w:r>
      <w:r>
        <w:rPr>
          <w:rFonts w:hint="default" w:ascii="Calibri" w:hAnsi="Calibri" w:eastAsia="宋体" w:cs="Calibri"/>
          <w:color w:val="000000"/>
          <w:kern w:val="0"/>
          <w:sz w:val="24"/>
          <w:szCs w:val="24"/>
          <w:lang w:val="en-US" w:eastAsia="zh-CN" w:bidi="ar"/>
        </w:rPr>
        <w:t>4.</w:t>
      </w:r>
      <w:r>
        <w:rPr>
          <w:rFonts w:hint="eastAsia" w:ascii="Calibri" w:hAnsi="Calibri" w:eastAsia="宋体" w:cs="Calibri"/>
          <w:color w:val="000000"/>
          <w:kern w:val="0"/>
          <w:sz w:val="24"/>
          <w:szCs w:val="24"/>
          <w:lang w:val="en-US" w:eastAsia="zh-CN" w:bidi="ar"/>
        </w:rPr>
        <w:t>5.</w:t>
      </w:r>
      <w:r>
        <w:rPr>
          <w:rFonts w:hint="eastAsia" w:ascii="Calibri" w:hAnsi="Calibri" w:cs="Calibri"/>
          <w:color w:val="000000"/>
          <w:kern w:val="0"/>
          <w:sz w:val="24"/>
          <w:szCs w:val="24"/>
          <w:lang w:val="en-US" w:eastAsia="zh-CN" w:bidi="ar"/>
        </w:rPr>
        <w:t>10-2</w:t>
      </w:r>
    </w:p>
    <w:p w14:paraId="7F522ED9">
      <w:pPr>
        <w:pStyle w:val="6"/>
        <w:ind w:firstLine="482"/>
        <w:rPr>
          <w:rFonts w:hint="eastAsia" w:eastAsia="宋体"/>
          <w:color w:val="auto"/>
          <w:lang w:eastAsia="zh-CN"/>
        </w:rPr>
      </w:pPr>
      <w:r>
        <w:rPr>
          <w:rFonts w:hint="eastAsia"/>
          <w:color w:val="auto"/>
        </w:rPr>
        <w:t>4.</w:t>
      </w:r>
      <w:r>
        <w:rPr>
          <w:rFonts w:hint="eastAsia"/>
          <w:color w:val="auto"/>
          <w:lang w:val="en-US" w:eastAsia="zh-CN"/>
        </w:rPr>
        <w:t>5</w:t>
      </w:r>
      <w:r>
        <w:rPr>
          <w:rFonts w:hint="eastAsia"/>
          <w:color w:val="auto"/>
        </w:rPr>
        <w:t>.</w:t>
      </w:r>
      <w:r>
        <w:rPr>
          <w:rFonts w:hint="eastAsia"/>
          <w:color w:val="auto"/>
          <w:lang w:val="en-US" w:eastAsia="zh-CN"/>
        </w:rPr>
        <w:t>11拆卸特殊节</w:t>
      </w:r>
    </w:p>
    <w:p w14:paraId="2728A650">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按照降塔的步骤，伸长顶升油缸，将顶升横梁轴销落入踏步的圆弧槽内，拆掉特殊节与爬升架的连接销轴，回缩顶升油缸，将爬升架的爬爪支承在塔身上，拆卸前，检查与相邻的组件之间是否还有电缆连接，然后用起重机吊起特殊节，拆下特殊节与塔身的连接螺栓，将特殊节用吊索平稳放至地面上</w:t>
      </w:r>
      <w:r>
        <w:rPr>
          <w:rFonts w:hint="eastAsia" w:ascii="宋体" w:hAnsi="宋体" w:cs="宋体"/>
          <w:color w:val="000000"/>
          <w:kern w:val="0"/>
          <w:sz w:val="24"/>
          <w:szCs w:val="24"/>
          <w:lang w:val="en-US" w:eastAsia="zh-CN" w:bidi="ar"/>
        </w:rPr>
        <w:t>。</w:t>
      </w:r>
    </w:p>
    <w:p w14:paraId="6F6D7ECF">
      <w:pPr>
        <w:keepNext w:val="0"/>
        <w:keepLines w:val="0"/>
        <w:widowControl/>
        <w:suppressLineNumbers w:val="0"/>
        <w:jc w:val="center"/>
        <w:rPr>
          <w:rFonts w:hint="eastAsia" w:ascii="宋体" w:hAnsi="宋体" w:cs="宋体"/>
          <w:color w:val="000000"/>
          <w:kern w:val="0"/>
          <w:sz w:val="24"/>
          <w:szCs w:val="24"/>
          <w:lang w:val="en-US" w:eastAsia="zh-CN" w:bidi="ar"/>
        </w:rPr>
      </w:pPr>
      <w:r>
        <w:drawing>
          <wp:inline distT="0" distB="0" distL="114300" distR="114300">
            <wp:extent cx="1851025" cy="2580640"/>
            <wp:effectExtent l="0" t="0" r="15875" b="10160"/>
            <wp:docPr id="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pic:cNvPicPr>
                      <a:picLocks noChangeAspect="1"/>
                    </pic:cNvPicPr>
                  </pic:nvPicPr>
                  <pic:blipFill>
                    <a:blip r:embed="rId37"/>
                    <a:stretch>
                      <a:fillRect/>
                    </a:stretch>
                  </pic:blipFill>
                  <pic:spPr>
                    <a:xfrm>
                      <a:off x="0" y="0"/>
                      <a:ext cx="1851025" cy="2580640"/>
                    </a:xfrm>
                    <a:prstGeom prst="rect">
                      <a:avLst/>
                    </a:prstGeom>
                    <a:noFill/>
                    <a:ln>
                      <a:noFill/>
                    </a:ln>
                  </pic:spPr>
                </pic:pic>
              </a:graphicData>
            </a:graphic>
          </wp:inline>
        </w:drawing>
      </w:r>
    </w:p>
    <w:p w14:paraId="62280F7C">
      <w:pPr>
        <w:keepNext w:val="0"/>
        <w:keepLines w:val="0"/>
        <w:widowControl/>
        <w:suppressLineNumbers w:val="0"/>
        <w:jc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图4.5.11-1</w:t>
      </w:r>
    </w:p>
    <w:p w14:paraId="606A191A">
      <w:pPr>
        <w:ind w:left="0" w:leftChars="0" w:firstLine="0" w:firstLineChars="0"/>
        <w:jc w:val="center"/>
        <w:rPr>
          <w:rFonts w:hint="eastAsia" w:ascii="宋体" w:hAnsi="宋体" w:cs="宋体"/>
          <w:b/>
          <w:bCs/>
          <w:color w:val="auto"/>
          <w:sz w:val="21"/>
          <w:szCs w:val="21"/>
          <w:lang w:val="en-US" w:eastAsia="zh-CN"/>
        </w:rPr>
      </w:pPr>
      <w:r>
        <w:drawing>
          <wp:inline distT="0" distB="0" distL="114300" distR="114300">
            <wp:extent cx="4365625" cy="3232150"/>
            <wp:effectExtent l="0" t="0" r="1587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6"/>
                    <a:stretch>
                      <a:fillRect/>
                    </a:stretch>
                  </pic:blipFill>
                  <pic:spPr>
                    <a:xfrm>
                      <a:off x="0" y="0"/>
                      <a:ext cx="4365625" cy="3232150"/>
                    </a:xfrm>
                    <a:prstGeom prst="rect">
                      <a:avLst/>
                    </a:prstGeom>
                    <a:noFill/>
                    <a:ln>
                      <a:noFill/>
                    </a:ln>
                  </pic:spPr>
                </pic:pic>
              </a:graphicData>
            </a:graphic>
          </wp:inline>
        </w:drawing>
      </w:r>
    </w:p>
    <w:p w14:paraId="1EDBF90E">
      <w:pPr>
        <w:keepNext w:val="0"/>
        <w:keepLines w:val="0"/>
        <w:widowControl/>
        <w:suppressLineNumbers w:val="0"/>
        <w:jc w:val="center"/>
        <w:rPr>
          <w:rFonts w:hint="default" w:ascii="宋体" w:hAnsi="宋体" w:cs="宋体"/>
          <w:b/>
          <w:bCs/>
          <w:color w:val="auto"/>
          <w:sz w:val="21"/>
          <w:szCs w:val="21"/>
          <w:lang w:val="en-US" w:eastAsia="zh-CN"/>
        </w:rPr>
      </w:pPr>
      <w:r>
        <w:rPr>
          <w:rFonts w:hint="eastAsia" w:ascii="宋体" w:hAnsi="宋体" w:cs="宋体"/>
          <w:color w:val="000000"/>
          <w:kern w:val="0"/>
          <w:sz w:val="24"/>
          <w:szCs w:val="24"/>
          <w:lang w:val="en-US" w:eastAsia="zh-CN" w:bidi="ar"/>
        </w:rPr>
        <w:t>图4.5.11-2</w:t>
      </w:r>
    </w:p>
    <w:p w14:paraId="7794AC4D">
      <w:pPr>
        <w:pStyle w:val="6"/>
        <w:ind w:firstLine="482"/>
        <w:rPr>
          <w:rFonts w:hint="eastAsia"/>
          <w:color w:val="auto"/>
          <w:lang w:val="en-US" w:eastAsia="zh-CN"/>
        </w:rPr>
      </w:pPr>
      <w:r>
        <w:rPr>
          <w:rFonts w:hint="eastAsia"/>
          <w:color w:val="auto"/>
          <w:lang w:val="en-US" w:eastAsia="zh-CN"/>
        </w:rPr>
        <w:t>4</w:t>
      </w:r>
      <w:r>
        <w:rPr>
          <w:rFonts w:hint="default"/>
          <w:color w:val="auto"/>
          <w:lang w:val="en-US" w:eastAsia="zh-CN"/>
        </w:rPr>
        <w:t>.5.</w:t>
      </w:r>
      <w:r>
        <w:rPr>
          <w:rFonts w:hint="eastAsia"/>
          <w:color w:val="auto"/>
          <w:lang w:val="en-US" w:eastAsia="zh-CN"/>
        </w:rPr>
        <w:t>12</w:t>
      </w:r>
      <w:r>
        <w:rPr>
          <w:rFonts w:hint="default"/>
          <w:color w:val="auto"/>
          <w:lang w:val="en-US" w:eastAsia="zh-CN"/>
        </w:rPr>
        <w:t xml:space="preserve"> </w:t>
      </w:r>
      <w:r>
        <w:rPr>
          <w:rFonts w:hint="eastAsia"/>
          <w:color w:val="auto"/>
          <w:lang w:val="en-US" w:eastAsia="zh-CN"/>
        </w:rPr>
        <w:t xml:space="preserve">拆卸爬升架 </w:t>
      </w:r>
    </w:p>
    <w:p w14:paraId="6F9FD538">
      <w:pPr>
        <w:keepNext w:val="0"/>
        <w:keepLines w:val="0"/>
        <w:widowControl/>
        <w:numPr>
          <w:ilvl w:val="0"/>
          <w:numId w:val="12"/>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用起重机吊起爬升架，拆卸顶升横梁与顶升油缸之间的销轴； </w:t>
      </w:r>
    </w:p>
    <w:p w14:paraId="62D7E307">
      <w:pPr>
        <w:keepNext w:val="0"/>
        <w:keepLines w:val="0"/>
        <w:widowControl/>
        <w:numPr>
          <w:ilvl w:val="0"/>
          <w:numId w:val="12"/>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 xml:space="preserve">回缩油缸，并使油缸自然下垂； </w:t>
      </w:r>
    </w:p>
    <w:p w14:paraId="2648EC31">
      <w:pPr>
        <w:keepNext w:val="0"/>
        <w:keepLines w:val="0"/>
        <w:widowControl/>
        <w:numPr>
          <w:ilvl w:val="0"/>
          <w:numId w:val="12"/>
        </w:numPr>
        <w:suppressLineNumbers w:val="0"/>
        <w:ind w:left="665" w:leftChars="0" w:hanging="425" w:firstLineChars="0"/>
        <w:jc w:val="left"/>
      </w:pPr>
      <w:r>
        <w:rPr>
          <w:rFonts w:hint="eastAsia" w:ascii="宋体" w:hAnsi="宋体" w:eastAsia="宋体" w:cs="宋体"/>
          <w:color w:val="000000"/>
          <w:kern w:val="0"/>
          <w:sz w:val="24"/>
          <w:szCs w:val="24"/>
          <w:lang w:val="en-US" w:eastAsia="zh-CN" w:bidi="ar"/>
        </w:rPr>
        <w:t>沿着塔身方向缓慢吊起爬升架，并平稳的放在地面上。</w:t>
      </w:r>
      <w:r>
        <w:rPr>
          <w:rFonts w:hint="eastAsia" w:ascii="黑体" w:hAnsi="宋体" w:eastAsia="黑体" w:cs="黑体"/>
          <w:color w:val="F8F8F8"/>
          <w:kern w:val="0"/>
          <w:sz w:val="18"/>
          <w:szCs w:val="18"/>
          <w:lang w:val="en-US" w:eastAsia="zh-CN" w:bidi="ar"/>
        </w:rPr>
        <w:t xml:space="preserve">XGT6015-8S1 塔式起重机说明书 </w:t>
      </w:r>
    </w:p>
    <w:p w14:paraId="6B3953DA">
      <w:pPr>
        <w:keepNext w:val="0"/>
        <w:keepLines w:val="0"/>
        <w:widowControl/>
        <w:suppressLineNumbers w:val="0"/>
        <w:jc w:val="center"/>
      </w:pPr>
      <w:r>
        <w:drawing>
          <wp:inline distT="0" distB="0" distL="114300" distR="114300">
            <wp:extent cx="1791335" cy="3878580"/>
            <wp:effectExtent l="0" t="0" r="18415" b="7620"/>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38"/>
                    <a:stretch>
                      <a:fillRect/>
                    </a:stretch>
                  </pic:blipFill>
                  <pic:spPr>
                    <a:xfrm>
                      <a:off x="0" y="0"/>
                      <a:ext cx="1791335" cy="3878580"/>
                    </a:xfrm>
                    <a:prstGeom prst="rect">
                      <a:avLst/>
                    </a:prstGeom>
                    <a:noFill/>
                    <a:ln>
                      <a:noFill/>
                    </a:ln>
                  </pic:spPr>
                </pic:pic>
              </a:graphicData>
            </a:graphic>
          </wp:inline>
        </w:drawing>
      </w:r>
      <w:r>
        <w:rPr>
          <w:rFonts w:hint="eastAsia" w:ascii="黑体" w:hAnsi="宋体" w:eastAsia="黑体" w:cs="黑体"/>
          <w:color w:val="F8F8F8"/>
          <w:kern w:val="0"/>
          <w:sz w:val="18"/>
          <w:szCs w:val="18"/>
          <w:lang w:val="en-US" w:eastAsia="zh-CN" w:bidi="ar"/>
        </w:rPr>
        <w:t>第一册：安手册</w:t>
      </w:r>
    </w:p>
    <w:p w14:paraId="565D24F0">
      <w:pPr>
        <w:ind w:left="0" w:leftChars="0" w:firstLine="0" w:firstLineChars="0"/>
        <w:jc w:val="center"/>
        <w:rPr>
          <w:rFonts w:hint="default" w:ascii="宋体" w:hAnsi="宋体" w:cs="宋体"/>
          <w:b/>
          <w:bCs/>
          <w:color w:val="auto"/>
          <w:sz w:val="21"/>
          <w:szCs w:val="21"/>
          <w:lang w:val="en-US" w:eastAsia="zh-CN"/>
        </w:rPr>
      </w:pPr>
      <w:r>
        <w:rPr>
          <w:rFonts w:hint="eastAsia" w:cs="Times New Roman"/>
          <w:kern w:val="2"/>
          <w:sz w:val="24"/>
          <w:szCs w:val="21"/>
          <w:lang w:val="en-US" w:eastAsia="zh-CN" w:bidi="ar-SA"/>
        </w:rPr>
        <w:tab/>
      </w: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5.12-1</w:t>
      </w:r>
    </w:p>
    <w:p w14:paraId="12AA703F">
      <w:pPr>
        <w:ind w:left="0" w:leftChars="0" w:firstLine="0" w:firstLineChars="0"/>
        <w:jc w:val="center"/>
      </w:pPr>
      <w:r>
        <w:drawing>
          <wp:inline distT="0" distB="0" distL="114300" distR="114300">
            <wp:extent cx="4365625" cy="3232150"/>
            <wp:effectExtent l="0" t="0" r="1587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6"/>
                    <a:stretch>
                      <a:fillRect/>
                    </a:stretch>
                  </pic:blipFill>
                  <pic:spPr>
                    <a:xfrm>
                      <a:off x="0" y="0"/>
                      <a:ext cx="4365625" cy="3232150"/>
                    </a:xfrm>
                    <a:prstGeom prst="rect">
                      <a:avLst/>
                    </a:prstGeom>
                    <a:noFill/>
                    <a:ln>
                      <a:noFill/>
                    </a:ln>
                  </pic:spPr>
                </pic:pic>
              </a:graphicData>
            </a:graphic>
          </wp:inline>
        </w:drawing>
      </w:r>
    </w:p>
    <w:p w14:paraId="3F20EEBB">
      <w:pPr>
        <w:ind w:left="0" w:leftChars="0" w:firstLine="0" w:firstLineChars="0"/>
        <w:jc w:val="center"/>
        <w:rPr>
          <w:rFonts w:hint="default"/>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5.12-2</w:t>
      </w:r>
    </w:p>
    <w:p w14:paraId="6825E67D">
      <w:pPr>
        <w:pStyle w:val="6"/>
        <w:ind w:firstLine="482"/>
        <w:rPr>
          <w:rFonts w:hint="eastAsia"/>
          <w:color w:val="auto"/>
          <w:lang w:val="en-US" w:eastAsia="zh-CN"/>
        </w:rPr>
      </w:pPr>
      <w:r>
        <w:rPr>
          <w:rFonts w:hint="eastAsia"/>
          <w:color w:val="auto"/>
          <w:lang w:val="en-US" w:eastAsia="zh-CN"/>
        </w:rPr>
        <w:t>4</w:t>
      </w:r>
      <w:r>
        <w:rPr>
          <w:rFonts w:hint="default"/>
          <w:color w:val="auto"/>
          <w:lang w:val="en-US" w:eastAsia="zh-CN"/>
        </w:rPr>
        <w:t>.5.</w:t>
      </w:r>
      <w:r>
        <w:rPr>
          <w:rFonts w:hint="eastAsia"/>
          <w:color w:val="auto"/>
          <w:lang w:val="en-US" w:eastAsia="zh-CN"/>
        </w:rPr>
        <w:t>13</w:t>
      </w:r>
      <w:r>
        <w:rPr>
          <w:rFonts w:hint="default"/>
          <w:color w:val="auto"/>
          <w:lang w:val="en-US" w:eastAsia="zh-CN"/>
        </w:rPr>
        <w:t xml:space="preserve"> </w:t>
      </w:r>
      <w:r>
        <w:rPr>
          <w:rFonts w:hint="eastAsia"/>
          <w:color w:val="auto"/>
          <w:lang w:val="en-US" w:eastAsia="zh-CN"/>
        </w:rPr>
        <w:t xml:space="preserve">拆卸标准节及基础节 </w:t>
      </w:r>
    </w:p>
    <w:p w14:paraId="2806AE4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依次拆除</w:t>
      </w:r>
      <w:r>
        <w:rPr>
          <w:rFonts w:hint="eastAsia" w:ascii="宋体" w:hAnsi="宋体" w:cs="宋体"/>
          <w:color w:val="000000"/>
          <w:kern w:val="0"/>
          <w:sz w:val="24"/>
          <w:szCs w:val="24"/>
          <w:lang w:val="en-US" w:eastAsia="zh-CN" w:bidi="ar"/>
        </w:rPr>
        <w:t>标准节</w:t>
      </w:r>
      <w:r>
        <w:rPr>
          <w:rFonts w:hint="eastAsia" w:ascii="宋体" w:hAnsi="宋体" w:eastAsia="宋体" w:cs="宋体"/>
          <w:color w:val="000000"/>
          <w:kern w:val="0"/>
          <w:sz w:val="24"/>
          <w:szCs w:val="24"/>
          <w:lang w:val="en-US" w:eastAsia="zh-CN" w:bidi="ar"/>
        </w:rPr>
        <w:t>及基础节，完成整个拆卸工作。</w:t>
      </w:r>
    </w:p>
    <w:p w14:paraId="76608A8F">
      <w:pPr>
        <w:keepNext w:val="0"/>
        <w:keepLines w:val="0"/>
        <w:widowControl/>
        <w:suppressLineNumbers w:val="0"/>
        <w:jc w:val="center"/>
      </w:pPr>
      <w:r>
        <w:drawing>
          <wp:inline distT="0" distB="0" distL="114300" distR="114300">
            <wp:extent cx="4365625" cy="3232150"/>
            <wp:effectExtent l="0" t="0" r="15875"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6"/>
                    <a:stretch>
                      <a:fillRect/>
                    </a:stretch>
                  </pic:blipFill>
                  <pic:spPr>
                    <a:xfrm>
                      <a:off x="0" y="0"/>
                      <a:ext cx="4365625" cy="3232150"/>
                    </a:xfrm>
                    <a:prstGeom prst="rect">
                      <a:avLst/>
                    </a:prstGeom>
                    <a:noFill/>
                    <a:ln>
                      <a:noFill/>
                    </a:ln>
                  </pic:spPr>
                </pic:pic>
              </a:graphicData>
            </a:graphic>
          </wp:inline>
        </w:drawing>
      </w:r>
    </w:p>
    <w:p w14:paraId="5DC3575E">
      <w:pPr>
        <w:bidi w:val="0"/>
        <w:jc w:val="center"/>
        <w:rPr>
          <w:rFonts w:hint="default" w:ascii="Times New Roman" w:hAnsi="Times New Roman" w:eastAsia="宋体" w:cs="Times New Roman"/>
          <w:kern w:val="2"/>
          <w:sz w:val="24"/>
          <w:szCs w:val="21"/>
          <w:lang w:val="en-US" w:eastAsia="zh-CN" w:bidi="ar-SA"/>
        </w:rPr>
      </w:pPr>
      <w:r>
        <w:rPr>
          <w:rFonts w:hint="eastAsia" w:cs="Times New Roman"/>
          <w:kern w:val="2"/>
          <w:sz w:val="24"/>
          <w:szCs w:val="21"/>
          <w:lang w:val="en-US" w:eastAsia="zh-CN" w:bidi="ar-SA"/>
        </w:rPr>
        <w:t>图4.5.13</w:t>
      </w:r>
    </w:p>
    <w:bookmarkEnd w:id="113"/>
    <w:bookmarkEnd w:id="114"/>
    <w:bookmarkEnd w:id="115"/>
    <w:p w14:paraId="0BA3EE7E">
      <w:pPr>
        <w:pStyle w:val="3"/>
        <w:keepNext/>
        <w:keepLines/>
        <w:pageBreakBefore w:val="0"/>
        <w:widowControl w:val="0"/>
        <w:numPr>
          <w:ilvl w:val="1"/>
          <w:numId w:val="0"/>
        </w:numPr>
        <w:kinsoku/>
        <w:wordWrap/>
        <w:overflowPunct/>
        <w:topLinePunct w:val="0"/>
        <w:autoSpaceDE/>
        <w:autoSpaceDN/>
        <w:bidi w:val="0"/>
        <w:adjustRightInd/>
        <w:snapToGrid/>
        <w:spacing w:before="156" w:after="156"/>
        <w:ind w:leftChars="0"/>
        <w:textAlignment w:val="auto"/>
        <w:rPr>
          <w:rFonts w:hint="eastAsia" w:asciiTheme="majorHAnsi" w:hAnsiTheme="majorHAnsi" w:eastAsiaTheme="majorEastAsia" w:cstheme="majorBidi"/>
          <w:b w:val="0"/>
          <w:bCs/>
          <w:color w:val="auto"/>
          <w:kern w:val="2"/>
          <w:sz w:val="24"/>
          <w:szCs w:val="28"/>
          <w:lang w:val="en-US" w:eastAsia="zh-CN" w:bidi="ar-SA"/>
        </w:rPr>
      </w:pPr>
      <w:bookmarkStart w:id="121" w:name="_Toc2929"/>
      <w:bookmarkStart w:id="122" w:name="_Toc22766"/>
      <w:bookmarkStart w:id="123" w:name="_Toc28343"/>
      <w:bookmarkStart w:id="124" w:name="_Toc25750"/>
      <w:bookmarkStart w:id="125" w:name="_Toc29187"/>
      <w:bookmarkStart w:id="126" w:name="_Toc40778441"/>
      <w:bookmarkStart w:id="127" w:name="_Toc11859"/>
      <w:bookmarkStart w:id="128" w:name="_Toc18439"/>
      <w:r>
        <w:rPr>
          <w:rFonts w:hint="eastAsia" w:asciiTheme="majorHAnsi" w:hAnsiTheme="majorHAnsi" w:eastAsiaTheme="majorEastAsia" w:cstheme="majorBidi"/>
          <w:b w:val="0"/>
          <w:bCs/>
          <w:color w:val="auto"/>
          <w:kern w:val="2"/>
          <w:sz w:val="24"/>
          <w:szCs w:val="28"/>
          <w:lang w:val="en-US" w:eastAsia="zh-CN" w:bidi="ar-SA"/>
        </w:rPr>
        <w:t>4.</w:t>
      </w:r>
      <w:r>
        <w:rPr>
          <w:rFonts w:hint="eastAsia" w:eastAsiaTheme="majorEastAsia" w:cstheme="majorBidi"/>
          <w:b w:val="0"/>
          <w:bCs/>
          <w:color w:val="auto"/>
          <w:kern w:val="2"/>
          <w:sz w:val="24"/>
          <w:szCs w:val="28"/>
          <w:lang w:val="en-US" w:eastAsia="zh-CN" w:bidi="ar-SA"/>
        </w:rPr>
        <w:t>6</w:t>
      </w:r>
      <w:r>
        <w:rPr>
          <w:rFonts w:hint="eastAsia" w:asciiTheme="majorHAnsi" w:hAnsiTheme="majorHAnsi" w:eastAsiaTheme="majorEastAsia" w:cstheme="majorBidi"/>
          <w:b w:val="0"/>
          <w:bCs/>
          <w:color w:val="auto"/>
          <w:kern w:val="2"/>
          <w:sz w:val="24"/>
          <w:szCs w:val="28"/>
          <w:lang w:val="en-US" w:eastAsia="zh-CN" w:bidi="ar-SA"/>
        </w:rPr>
        <w:t>检</w:t>
      </w:r>
      <w:bookmarkEnd w:id="121"/>
      <w:bookmarkEnd w:id="122"/>
      <w:bookmarkEnd w:id="123"/>
      <w:bookmarkEnd w:id="124"/>
      <w:r>
        <w:rPr>
          <w:rFonts w:hint="eastAsia" w:asciiTheme="majorHAnsi" w:hAnsiTheme="majorHAnsi" w:eastAsiaTheme="majorEastAsia" w:cstheme="majorBidi"/>
          <w:b w:val="0"/>
          <w:bCs/>
          <w:color w:val="auto"/>
          <w:kern w:val="2"/>
          <w:sz w:val="24"/>
          <w:szCs w:val="28"/>
          <w:lang w:val="en-US" w:eastAsia="zh-CN" w:bidi="ar-SA"/>
        </w:rPr>
        <w:t>塔机拆散后的注意事项</w:t>
      </w:r>
      <w:bookmarkEnd w:id="125"/>
    </w:p>
    <w:p w14:paraId="0D161B4D">
      <w:pPr>
        <w:keepNext w:val="0"/>
        <w:keepLines w:val="0"/>
        <w:widowControl/>
        <w:numPr>
          <w:ilvl w:val="0"/>
          <w:numId w:val="13"/>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塔机拆散后由工程技术人员和专业维修人员进行检查； </w:t>
      </w:r>
    </w:p>
    <w:p w14:paraId="21B9AFC6">
      <w:pPr>
        <w:keepNext w:val="0"/>
        <w:keepLines w:val="0"/>
        <w:widowControl/>
        <w:numPr>
          <w:ilvl w:val="0"/>
          <w:numId w:val="13"/>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 xml:space="preserve">对主要受力的结构件应检查金属疲劳，焊缝裂纹，结构变形等情况，检查塔机各零部件是否有损坏或碰伤等； </w:t>
      </w:r>
    </w:p>
    <w:p w14:paraId="3BF3CEB0">
      <w:pPr>
        <w:keepNext w:val="0"/>
        <w:keepLines w:val="0"/>
        <w:widowControl/>
        <w:numPr>
          <w:ilvl w:val="0"/>
          <w:numId w:val="13"/>
        </w:numPr>
        <w:suppressLineNumbers w:val="0"/>
        <w:ind w:left="425" w:leftChars="0" w:hanging="425" w:firstLineChars="0"/>
        <w:jc w:val="left"/>
      </w:pPr>
      <w:r>
        <w:rPr>
          <w:rFonts w:hint="eastAsia" w:ascii="宋体" w:hAnsi="宋体" w:eastAsia="宋体" w:cs="宋体"/>
          <w:color w:val="000000"/>
          <w:kern w:val="0"/>
          <w:sz w:val="24"/>
          <w:szCs w:val="24"/>
          <w:lang w:val="en-US" w:eastAsia="zh-CN" w:bidi="ar"/>
        </w:rPr>
        <w:t>检查完毕后，对缺陷、隐患进行修复后，再进行防锈、刷漆处</w:t>
      </w:r>
    </w:p>
    <w:p w14:paraId="5181F0D5">
      <w:pPr>
        <w:rPr>
          <w:rFonts w:hint="eastAsia"/>
        </w:rPr>
      </w:pPr>
    </w:p>
    <w:bookmarkEnd w:id="126"/>
    <w:bookmarkEnd w:id="127"/>
    <w:bookmarkEnd w:id="128"/>
    <w:p w14:paraId="3E795E7D">
      <w:pPr>
        <w:rPr>
          <w:color w:val="auto"/>
        </w:rPr>
      </w:pPr>
      <w:bookmarkStart w:id="129" w:name="_Toc16196"/>
      <w:bookmarkStart w:id="130" w:name="_Toc24330"/>
      <w:bookmarkStart w:id="131" w:name="_Toc40778442"/>
      <w:r>
        <w:rPr>
          <w:rFonts w:hint="eastAsia"/>
          <w:color w:val="auto"/>
        </w:rPr>
        <w:br w:type="page"/>
      </w:r>
    </w:p>
    <w:p w14:paraId="3800365F">
      <w:pPr>
        <w:pStyle w:val="2"/>
        <w:pageBreakBefore w:val="0"/>
        <w:kinsoku/>
        <w:wordWrap/>
        <w:overflowPunct/>
        <w:topLinePunct w:val="0"/>
        <w:bidi w:val="0"/>
        <w:snapToGrid/>
        <w:spacing w:before="156" w:after="156" w:line="360" w:lineRule="auto"/>
        <w:textAlignment w:val="auto"/>
        <w:rPr>
          <w:color w:val="auto"/>
        </w:rPr>
      </w:pPr>
      <w:bookmarkStart w:id="132" w:name="_Toc17625"/>
      <w:r>
        <w:rPr>
          <w:rFonts w:hint="eastAsia"/>
          <w:color w:val="auto"/>
        </w:rPr>
        <w:t>质量管理</w:t>
      </w:r>
      <w:r>
        <w:rPr>
          <w:color w:val="auto"/>
        </w:rPr>
        <w:t>措施</w:t>
      </w:r>
      <w:bookmarkEnd w:id="129"/>
      <w:bookmarkEnd w:id="132"/>
    </w:p>
    <w:bookmarkEnd w:id="130"/>
    <w:bookmarkEnd w:id="131"/>
    <w:p w14:paraId="4FA8C969">
      <w:pPr>
        <w:pStyle w:val="3"/>
        <w:rPr>
          <w:color w:val="auto"/>
        </w:rPr>
      </w:pPr>
      <w:bookmarkStart w:id="133" w:name="_Toc20434"/>
      <w:bookmarkStart w:id="134" w:name="_Toc10656"/>
      <w:bookmarkStart w:id="135" w:name="_Toc4582"/>
      <w:r>
        <w:rPr>
          <w:rFonts w:hint="eastAsia"/>
          <w:color w:val="auto"/>
        </w:rPr>
        <w:t>质量管理组织机构</w:t>
      </w:r>
      <w:bookmarkEnd w:id="133"/>
      <w:bookmarkEnd w:id="134"/>
      <w:bookmarkEnd w:id="135"/>
    </w:p>
    <w:p w14:paraId="181A8753">
      <w:pPr>
        <w:rPr>
          <w:color w:val="auto"/>
          <w:shd w:val="clear" w:color="auto" w:fill="auto"/>
        </w:rPr>
      </w:pPr>
      <w:r>
        <w:rPr>
          <w:color w:val="auto"/>
        </w:rPr>
        <w:t>为保证</w:t>
      </w:r>
      <w:r>
        <w:rPr>
          <w:rFonts w:hint="eastAsia"/>
          <w:color w:val="auto"/>
          <w:lang w:val="en-US" w:eastAsia="zh-CN"/>
        </w:rPr>
        <w:t>塔</w:t>
      </w:r>
      <w:r>
        <w:rPr>
          <w:rFonts w:hint="eastAsia"/>
          <w:color w:val="auto"/>
        </w:rPr>
        <w:t>式起重机</w:t>
      </w:r>
      <w:r>
        <w:rPr>
          <w:rFonts w:hint="eastAsia"/>
          <w:color w:val="auto"/>
          <w:lang w:val="en-US" w:eastAsia="zh-CN"/>
        </w:rPr>
        <w:t>拆除</w:t>
      </w:r>
      <w:r>
        <w:rPr>
          <w:color w:val="auto"/>
        </w:rPr>
        <w:t>拆卸过程中的施</w:t>
      </w:r>
      <w:r>
        <w:rPr>
          <w:rFonts w:hint="eastAsia"/>
          <w:color w:val="auto"/>
        </w:rPr>
        <w:t>工</w:t>
      </w:r>
      <w:r>
        <w:rPr>
          <w:color w:val="auto"/>
        </w:rPr>
        <w:t>质量、安全</w:t>
      </w:r>
      <w:r>
        <w:rPr>
          <w:rFonts w:hint="eastAsia"/>
          <w:color w:val="auto"/>
        </w:rPr>
        <w:t>及文明生产等符合管理要求</w:t>
      </w:r>
      <w:r>
        <w:rPr>
          <w:color w:val="auto"/>
        </w:rPr>
        <w:t>，</w:t>
      </w:r>
      <w:r>
        <w:rPr>
          <w:color w:val="auto"/>
          <w:shd w:val="clear" w:color="auto" w:fill="auto"/>
        </w:rPr>
        <w:t>特成立以施工质量、安全为一体的</w:t>
      </w:r>
      <w:r>
        <w:rPr>
          <w:rFonts w:hint="eastAsia"/>
          <w:color w:val="auto"/>
          <w:shd w:val="clear" w:color="auto" w:fill="auto"/>
          <w:lang w:val="en-US" w:eastAsia="zh-CN"/>
        </w:rPr>
        <w:t>塔</w:t>
      </w:r>
      <w:r>
        <w:rPr>
          <w:rFonts w:hint="eastAsia"/>
          <w:color w:val="auto"/>
          <w:shd w:val="clear" w:color="auto" w:fill="auto"/>
        </w:rPr>
        <w:t>式起重机</w:t>
      </w:r>
      <w:r>
        <w:rPr>
          <w:rFonts w:hint="eastAsia"/>
          <w:color w:val="auto"/>
          <w:shd w:val="clear" w:color="auto" w:fill="auto"/>
          <w:lang w:val="en-US" w:eastAsia="zh-CN"/>
        </w:rPr>
        <w:t>拆除</w:t>
      </w:r>
      <w:r>
        <w:rPr>
          <w:color w:val="auto"/>
          <w:shd w:val="clear" w:color="auto" w:fill="auto"/>
        </w:rPr>
        <w:t>施工组织机构。</w:t>
      </w:r>
    </w:p>
    <w:p w14:paraId="203D8FCF">
      <w:pPr>
        <w:pStyle w:val="49"/>
        <w:rPr>
          <w:rFonts w:hint="eastAsia" w:eastAsia="宋体"/>
          <w:color w:val="auto"/>
          <w:shd w:val="clear" w:color="FFFFFF" w:fill="D9D9D9"/>
          <w:lang w:eastAsia="zh-CN"/>
        </w:rPr>
      </w:pPr>
      <w:r>
        <w:rPr>
          <w:color w:val="auto"/>
          <w:shd w:val="clear" w:color="FFFFFF" w:fill="D9D9D9"/>
        </w:rPr>
        <w:drawing>
          <wp:inline distT="0" distB="0" distL="0" distR="0">
            <wp:extent cx="5168900" cy="2486660"/>
            <wp:effectExtent l="0" t="0" r="12700" b="8890"/>
            <wp:docPr id="129" name="图片 1124"/>
            <wp:cNvGraphicFramePr/>
            <a:graphic xmlns:a="http://schemas.openxmlformats.org/drawingml/2006/main">
              <a:graphicData uri="http://schemas.openxmlformats.org/drawingml/2006/picture">
                <pic:pic xmlns:pic="http://schemas.openxmlformats.org/drawingml/2006/picture">
                  <pic:nvPicPr>
                    <pic:cNvPr id="129" name="图片 1124"/>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168900" cy="2486660"/>
                    </a:xfrm>
                    <a:prstGeom prst="rect">
                      <a:avLst/>
                    </a:prstGeom>
                    <a:noFill/>
                    <a:ln>
                      <a:noFill/>
                    </a:ln>
                  </pic:spPr>
                </pic:pic>
              </a:graphicData>
            </a:graphic>
          </wp:inline>
        </w:drawing>
      </w:r>
    </w:p>
    <w:p w14:paraId="0A1494EC">
      <w:pPr>
        <w:pStyle w:val="48"/>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14:paraId="6DA8436F">
      <w:pPr>
        <w:ind w:firstLine="480"/>
        <w:rPr>
          <w:rFonts w:ascii="Times New Roman" w:hAnsi="Times New Roman"/>
          <w:color w:val="auto"/>
          <w:szCs w:val="24"/>
        </w:rPr>
      </w:pPr>
      <w:r>
        <w:rPr>
          <w:rFonts w:hint="eastAsia" w:ascii="Times New Roman" w:hAnsi="Times New Roman"/>
          <w:color w:val="auto"/>
          <w:szCs w:val="24"/>
        </w:rPr>
        <w:t>建立健全管理体系，坚持管生产必须管安全的原则，健全岗位责任制，从组织上、制度上、防范措施上保证安全生产，做到规范施工，安全操作。</w:t>
      </w:r>
    </w:p>
    <w:p w14:paraId="256D783E">
      <w:pPr>
        <w:pStyle w:val="3"/>
        <w:rPr>
          <w:color w:val="auto"/>
          <w:highlight w:val="none"/>
        </w:rPr>
      </w:pPr>
      <w:bookmarkStart w:id="136" w:name="_Toc14944"/>
      <w:bookmarkStart w:id="137" w:name="_Toc15360"/>
      <w:bookmarkStart w:id="138" w:name="_Toc22190"/>
      <w:bookmarkStart w:id="139" w:name="_Toc533345492"/>
      <w:bookmarkStart w:id="140" w:name="_Toc20038"/>
      <w:r>
        <w:rPr>
          <w:rFonts w:hint="eastAsia"/>
          <w:color w:val="auto"/>
          <w:highlight w:val="none"/>
        </w:rPr>
        <w:t>质量保证措施</w:t>
      </w:r>
      <w:bookmarkEnd w:id="136"/>
      <w:bookmarkEnd w:id="137"/>
      <w:bookmarkEnd w:id="138"/>
      <w:bookmarkEnd w:id="139"/>
    </w:p>
    <w:p w14:paraId="55BEE57F">
      <w:pPr>
        <w:pStyle w:val="50"/>
        <w:numPr>
          <w:ilvl w:val="0"/>
          <w:numId w:val="14"/>
        </w:numPr>
        <w:ind w:left="-480" w:leftChars="0" w:firstLineChars="0"/>
      </w:pPr>
      <w:r>
        <w:rPr>
          <w:rFonts w:hint="eastAsia"/>
        </w:rPr>
        <w:t>严格执行国家现行制作、</w:t>
      </w:r>
      <w:r>
        <w:rPr>
          <w:rFonts w:hint="eastAsia"/>
          <w:lang w:val="en-US" w:eastAsia="zh-CN"/>
        </w:rPr>
        <w:t>拆除</w:t>
      </w:r>
      <w:r>
        <w:rPr>
          <w:rFonts w:hint="eastAsia"/>
        </w:rPr>
        <w:t>施工验收规范和施工图设计要求及设备说明书提出的有关要求，项目部拟定相应质量计划并规范操作；</w:t>
      </w:r>
    </w:p>
    <w:p w14:paraId="63CE9142">
      <w:pPr>
        <w:pStyle w:val="50"/>
        <w:numPr>
          <w:ilvl w:val="0"/>
          <w:numId w:val="14"/>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EFB8AFA">
      <w:pPr>
        <w:pStyle w:val="50"/>
        <w:numPr>
          <w:ilvl w:val="0"/>
          <w:numId w:val="14"/>
        </w:numPr>
        <w:ind w:left="-480" w:leftChars="0" w:firstLineChars="0"/>
      </w:pPr>
      <w:r>
        <w:rPr>
          <w:rFonts w:hint="eastAsia"/>
        </w:rPr>
        <w:t>实行施工全过程的质量控制。在工程开工前，确定关键工序停工检验点，一般工序实行工序交叉检，上道工序不合格，不得转入下道工序；</w:t>
      </w:r>
    </w:p>
    <w:p w14:paraId="1A7A92A4">
      <w:pPr>
        <w:pStyle w:val="50"/>
        <w:numPr>
          <w:ilvl w:val="0"/>
          <w:numId w:val="14"/>
        </w:numPr>
        <w:ind w:left="-480" w:leftChars="0" w:firstLineChars="0"/>
      </w:pPr>
      <w:r>
        <w:rPr>
          <w:rFonts w:hint="eastAsia"/>
        </w:rPr>
        <w:t>施工队详细填写质量验收检查表，以保证质量施工原始记录的及时、完整和准确；</w:t>
      </w:r>
    </w:p>
    <w:p w14:paraId="159730E8">
      <w:pPr>
        <w:pStyle w:val="50"/>
        <w:numPr>
          <w:ilvl w:val="0"/>
          <w:numId w:val="14"/>
        </w:numPr>
        <w:ind w:left="-480" w:leftChars="0" w:firstLineChars="0"/>
      </w:pPr>
      <w:r>
        <w:rPr>
          <w:rFonts w:hint="eastAsia"/>
        </w:rPr>
        <w:t>项目工程师要按使用单位提供图纸及实测数据，编制施工方案或技术措施，施工前向施工人员作详细的技术交底；</w:t>
      </w:r>
    </w:p>
    <w:p w14:paraId="6BB34A32">
      <w:pPr>
        <w:pStyle w:val="50"/>
        <w:numPr>
          <w:ilvl w:val="0"/>
          <w:numId w:val="14"/>
        </w:numPr>
        <w:ind w:left="-480" w:leftChars="0" w:firstLineChars="0"/>
      </w:pPr>
      <w:r>
        <w:rPr>
          <w:rFonts w:hint="eastAsia"/>
        </w:rPr>
        <w:t>施工使用的水准仪、经纬仪与盒尺等检验器具，必须严格按国家有关要求定期校验和核查，未经检验或过期、失准的计量器具严禁使用；</w:t>
      </w:r>
    </w:p>
    <w:p w14:paraId="5829742C">
      <w:pPr>
        <w:pStyle w:val="50"/>
        <w:numPr>
          <w:ilvl w:val="0"/>
          <w:numId w:val="14"/>
        </w:numPr>
        <w:ind w:left="-480" w:leftChars="0" w:firstLineChars="0"/>
      </w:pPr>
      <w:r>
        <w:rPr>
          <w:rFonts w:hint="eastAsia"/>
        </w:rPr>
        <w:t>各种设备的交接、验收、保管、存放应按有关要求进行。拆卸应视实际情况采取相关措施，保证设备安全。存放保管应按设备材料就按要求进行，认真核对名称、型号、规格、数量</w:t>
      </w:r>
      <w:r>
        <w:rPr>
          <w:rFonts w:hint="default"/>
          <w:lang w:val="en-US"/>
        </w:rPr>
        <w:t>.</w:t>
      </w:r>
    </w:p>
    <w:p w14:paraId="4E503C36">
      <w:pPr>
        <w:pStyle w:val="3"/>
        <w:rPr>
          <w:color w:val="auto"/>
          <w:highlight w:val="none"/>
        </w:rPr>
      </w:pPr>
      <w:bookmarkStart w:id="141" w:name="_Toc31784"/>
      <w:bookmarkStart w:id="142" w:name="_Toc9247"/>
      <w:bookmarkStart w:id="143" w:name="_Toc30509"/>
      <w:bookmarkStart w:id="144" w:name="_Toc533345493"/>
      <w:r>
        <w:rPr>
          <w:rFonts w:hint="eastAsia"/>
          <w:color w:val="auto"/>
          <w:highlight w:val="none"/>
        </w:rPr>
        <w:t>作业过程中控制点的设置</w:t>
      </w:r>
      <w:bookmarkEnd w:id="141"/>
      <w:bookmarkEnd w:id="142"/>
      <w:bookmarkEnd w:id="143"/>
      <w:bookmarkEnd w:id="144"/>
    </w:p>
    <w:p w14:paraId="598DB3F1">
      <w:pPr>
        <w:pStyle w:val="69"/>
        <w:ind w:firstLine="0" w:firstLineChars="0"/>
        <w:rPr>
          <w:color w:val="auto"/>
        </w:rPr>
      </w:pPr>
      <w:r>
        <w:rPr>
          <w:rFonts w:hint="eastAsia"/>
          <w:color w:val="auto"/>
          <w:highlight w:val="none"/>
        </w:rPr>
        <w:t>表</w:t>
      </w:r>
      <w:r>
        <w:rPr>
          <w:rFonts w:hint="eastAsia"/>
          <w:color w:val="auto"/>
          <w:highlight w:val="none"/>
          <w:lang w:val="en-US" w:eastAsia="zh-CN"/>
        </w:rPr>
        <w:t>5</w:t>
      </w:r>
      <w:r>
        <w:rPr>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关键控制点</w:t>
      </w:r>
    </w:p>
    <w:tbl>
      <w:tblPr>
        <w:tblStyle w:val="28"/>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
        <w:gridCol w:w="669"/>
        <w:gridCol w:w="944"/>
        <w:gridCol w:w="1801"/>
        <w:gridCol w:w="803"/>
        <w:gridCol w:w="390"/>
        <w:gridCol w:w="356"/>
        <w:gridCol w:w="240"/>
        <w:gridCol w:w="198"/>
        <w:gridCol w:w="227"/>
        <w:gridCol w:w="303"/>
        <w:gridCol w:w="467"/>
        <w:gridCol w:w="738"/>
        <w:gridCol w:w="816"/>
      </w:tblGrid>
      <w:tr w14:paraId="2A5CC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restart"/>
            <w:tcBorders>
              <w:tl2br w:val="nil"/>
              <w:tr2bl w:val="nil"/>
            </w:tcBorders>
            <w:shd w:val="clear" w:color="auto" w:fill="DAE3F3"/>
            <w:noWrap w:val="0"/>
            <w:tcMar>
              <w:top w:w="15" w:type="dxa"/>
              <w:left w:w="15" w:type="dxa"/>
              <w:right w:w="15" w:type="dxa"/>
            </w:tcMar>
            <w:vAlign w:val="center"/>
          </w:tcPr>
          <w:p w14:paraId="2800533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序号</w:t>
            </w:r>
          </w:p>
        </w:tc>
        <w:tc>
          <w:tcPr>
            <w:tcW w:w="669" w:type="dxa"/>
            <w:vMerge w:val="restart"/>
            <w:tcBorders>
              <w:tl2br w:val="nil"/>
              <w:tr2bl w:val="nil"/>
            </w:tcBorders>
            <w:shd w:val="clear" w:color="auto" w:fill="DAE3F3"/>
            <w:noWrap w:val="0"/>
            <w:tcMar>
              <w:top w:w="15" w:type="dxa"/>
              <w:left w:w="15" w:type="dxa"/>
              <w:right w:w="15" w:type="dxa"/>
            </w:tcMar>
            <w:vAlign w:val="center"/>
          </w:tcPr>
          <w:p w14:paraId="3AAFA0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作业活动单元</w:t>
            </w:r>
          </w:p>
        </w:tc>
        <w:tc>
          <w:tcPr>
            <w:tcW w:w="944" w:type="dxa"/>
            <w:vMerge w:val="restart"/>
            <w:tcBorders>
              <w:tl2br w:val="nil"/>
              <w:tr2bl w:val="nil"/>
            </w:tcBorders>
            <w:shd w:val="clear" w:color="auto" w:fill="DAE3F3"/>
            <w:noWrap w:val="0"/>
            <w:tcMar>
              <w:top w:w="15" w:type="dxa"/>
              <w:left w:w="15" w:type="dxa"/>
              <w:right w:w="15" w:type="dxa"/>
            </w:tcMar>
            <w:vAlign w:val="center"/>
          </w:tcPr>
          <w:p w14:paraId="0AE7F4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活动的内容</w:t>
            </w:r>
          </w:p>
        </w:tc>
        <w:tc>
          <w:tcPr>
            <w:tcW w:w="1801" w:type="dxa"/>
            <w:vMerge w:val="restart"/>
            <w:tcBorders>
              <w:tl2br w:val="nil"/>
              <w:tr2bl w:val="nil"/>
            </w:tcBorders>
            <w:shd w:val="clear" w:color="auto" w:fill="DAE3F3"/>
            <w:noWrap w:val="0"/>
            <w:tcMar>
              <w:top w:w="15" w:type="dxa"/>
              <w:left w:w="15" w:type="dxa"/>
              <w:right w:w="15" w:type="dxa"/>
            </w:tcMar>
            <w:vAlign w:val="center"/>
          </w:tcPr>
          <w:p w14:paraId="2A04B0D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危害因素</w:t>
            </w:r>
          </w:p>
        </w:tc>
        <w:tc>
          <w:tcPr>
            <w:tcW w:w="803" w:type="dxa"/>
            <w:vMerge w:val="restart"/>
            <w:tcBorders>
              <w:tl2br w:val="nil"/>
              <w:tr2bl w:val="nil"/>
            </w:tcBorders>
            <w:shd w:val="clear" w:color="auto" w:fill="DAE3F3"/>
            <w:noWrap w:val="0"/>
            <w:tcMar>
              <w:top w:w="15" w:type="dxa"/>
              <w:left w:w="15" w:type="dxa"/>
              <w:right w:w="15" w:type="dxa"/>
            </w:tcMar>
            <w:vAlign w:val="center"/>
          </w:tcPr>
          <w:p w14:paraId="64A76A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潜在事故类型</w:t>
            </w:r>
          </w:p>
        </w:tc>
        <w:tc>
          <w:tcPr>
            <w:tcW w:w="1714" w:type="dxa"/>
            <w:gridSpan w:val="6"/>
            <w:tcBorders>
              <w:tl2br w:val="nil"/>
              <w:tr2bl w:val="nil"/>
            </w:tcBorders>
            <w:shd w:val="clear" w:color="auto" w:fill="DAE3F3"/>
            <w:noWrap/>
            <w:tcMar>
              <w:top w:w="15" w:type="dxa"/>
              <w:left w:w="15" w:type="dxa"/>
              <w:right w:w="15" w:type="dxa"/>
            </w:tcMar>
            <w:vAlign w:val="center"/>
          </w:tcPr>
          <w:p w14:paraId="5F2323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危险危害因素评价</w:t>
            </w:r>
          </w:p>
        </w:tc>
        <w:tc>
          <w:tcPr>
            <w:tcW w:w="467" w:type="dxa"/>
            <w:tcBorders>
              <w:tl2br w:val="nil"/>
              <w:tr2bl w:val="nil"/>
            </w:tcBorders>
            <w:shd w:val="clear" w:color="auto" w:fill="DAE3F3"/>
            <w:noWrap/>
            <w:tcMar>
              <w:top w:w="15" w:type="dxa"/>
              <w:left w:w="15" w:type="dxa"/>
              <w:right w:w="15" w:type="dxa"/>
            </w:tcMar>
            <w:vAlign w:val="center"/>
          </w:tcPr>
          <w:p w14:paraId="433B2E2D">
            <w:pPr>
              <w:widowControl/>
              <w:spacing w:line="240" w:lineRule="exact"/>
              <w:ind w:firstLine="0" w:firstLineChars="0"/>
              <w:jc w:val="left"/>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738" w:type="dxa"/>
            <w:tcBorders>
              <w:tl2br w:val="nil"/>
              <w:tr2bl w:val="nil"/>
            </w:tcBorders>
            <w:shd w:val="clear" w:color="auto" w:fill="DAE3F3"/>
            <w:noWrap/>
            <w:tcMar>
              <w:top w:w="15" w:type="dxa"/>
              <w:left w:w="15" w:type="dxa"/>
              <w:right w:w="15" w:type="dxa"/>
            </w:tcMar>
            <w:vAlign w:val="center"/>
          </w:tcPr>
          <w:p w14:paraId="354D840C">
            <w:pPr>
              <w:widowControl/>
              <w:spacing w:line="240" w:lineRule="exact"/>
              <w:ind w:firstLine="0" w:firstLineChars="0"/>
              <w:jc w:val="left"/>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816" w:type="dxa"/>
            <w:tcBorders>
              <w:tl2br w:val="nil"/>
              <w:tr2bl w:val="nil"/>
            </w:tcBorders>
            <w:shd w:val="clear" w:color="auto" w:fill="DAE3F3"/>
            <w:noWrap/>
            <w:tcMar>
              <w:top w:w="15" w:type="dxa"/>
              <w:left w:w="15" w:type="dxa"/>
              <w:right w:w="15" w:type="dxa"/>
            </w:tcMar>
            <w:vAlign w:val="center"/>
          </w:tcPr>
          <w:p w14:paraId="476E7909">
            <w:pPr>
              <w:widowControl/>
              <w:spacing w:line="240" w:lineRule="exact"/>
              <w:ind w:firstLine="0" w:firstLineChars="0"/>
              <w:jc w:val="left"/>
              <w:textAlignment w:val="center"/>
              <w:rPr>
                <w:rFonts w:ascii="宋体" w:hAnsi="宋体" w:cs="宋体"/>
                <w:color w:val="auto"/>
                <w:sz w:val="18"/>
                <w:szCs w:val="18"/>
              </w:rPr>
            </w:pPr>
            <w:r>
              <w:rPr>
                <w:rFonts w:hint="eastAsia" w:ascii="宋体" w:hAnsi="宋体" w:cs="宋体"/>
                <w:color w:val="auto"/>
                <w:kern w:val="0"/>
                <w:sz w:val="18"/>
                <w:szCs w:val="18"/>
              </w:rPr>
              <w:t>　</w:t>
            </w:r>
          </w:p>
        </w:tc>
      </w:tr>
      <w:tr w14:paraId="79C996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DAE3F3"/>
            <w:noWrap w:val="0"/>
            <w:tcMar>
              <w:top w:w="15" w:type="dxa"/>
              <w:left w:w="15" w:type="dxa"/>
              <w:right w:w="15" w:type="dxa"/>
            </w:tcMar>
            <w:vAlign w:val="center"/>
          </w:tcPr>
          <w:p w14:paraId="75835003">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DAE3F3"/>
            <w:noWrap w:val="0"/>
            <w:tcMar>
              <w:top w:w="15" w:type="dxa"/>
              <w:left w:w="15" w:type="dxa"/>
              <w:right w:w="15" w:type="dxa"/>
            </w:tcMar>
            <w:vAlign w:val="center"/>
          </w:tcPr>
          <w:p w14:paraId="16109537">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DAE3F3"/>
            <w:noWrap w:val="0"/>
            <w:tcMar>
              <w:top w:w="15" w:type="dxa"/>
              <w:left w:w="15" w:type="dxa"/>
              <w:right w:w="15" w:type="dxa"/>
            </w:tcMar>
            <w:vAlign w:val="center"/>
          </w:tcPr>
          <w:p w14:paraId="1C0375CB">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DAE3F3"/>
            <w:noWrap w:val="0"/>
            <w:tcMar>
              <w:top w:w="15" w:type="dxa"/>
              <w:left w:w="15" w:type="dxa"/>
              <w:right w:w="15" w:type="dxa"/>
            </w:tcMar>
            <w:vAlign w:val="center"/>
          </w:tcPr>
          <w:p w14:paraId="109CBEE4">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DAE3F3"/>
            <w:noWrap w:val="0"/>
            <w:tcMar>
              <w:top w:w="15" w:type="dxa"/>
              <w:left w:w="15" w:type="dxa"/>
              <w:right w:w="15" w:type="dxa"/>
            </w:tcMar>
            <w:vAlign w:val="center"/>
          </w:tcPr>
          <w:p w14:paraId="5BFAB022">
            <w:pPr>
              <w:widowControl/>
              <w:spacing w:line="240" w:lineRule="exact"/>
              <w:ind w:firstLine="0" w:firstLineChars="0"/>
              <w:jc w:val="center"/>
              <w:rPr>
                <w:rFonts w:ascii="宋体" w:hAnsi="宋体" w:cs="宋体"/>
                <w:color w:val="auto"/>
                <w:sz w:val="18"/>
                <w:szCs w:val="18"/>
              </w:rPr>
            </w:pPr>
          </w:p>
        </w:tc>
        <w:tc>
          <w:tcPr>
            <w:tcW w:w="746" w:type="dxa"/>
            <w:gridSpan w:val="2"/>
            <w:tcBorders>
              <w:tl2br w:val="nil"/>
              <w:tr2bl w:val="nil"/>
            </w:tcBorders>
            <w:shd w:val="clear" w:color="auto" w:fill="DAE3F3"/>
            <w:noWrap w:val="0"/>
            <w:tcMar>
              <w:top w:w="15" w:type="dxa"/>
              <w:left w:w="15" w:type="dxa"/>
              <w:right w:w="15" w:type="dxa"/>
            </w:tcMar>
            <w:vAlign w:val="center"/>
          </w:tcPr>
          <w:p w14:paraId="711FEA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直接判断</w:t>
            </w:r>
          </w:p>
        </w:tc>
        <w:tc>
          <w:tcPr>
            <w:tcW w:w="968" w:type="dxa"/>
            <w:gridSpan w:val="4"/>
            <w:tcBorders>
              <w:tl2br w:val="nil"/>
              <w:tr2bl w:val="nil"/>
            </w:tcBorders>
            <w:shd w:val="clear" w:color="auto" w:fill="DAE3F3"/>
            <w:noWrap w:val="0"/>
            <w:tcMar>
              <w:top w:w="15" w:type="dxa"/>
              <w:left w:w="15" w:type="dxa"/>
              <w:right w:w="15" w:type="dxa"/>
            </w:tcMar>
            <w:vAlign w:val="center"/>
          </w:tcPr>
          <w:p w14:paraId="4CC15A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D=LEC</w:t>
            </w:r>
          </w:p>
        </w:tc>
        <w:tc>
          <w:tcPr>
            <w:tcW w:w="467" w:type="dxa"/>
            <w:vMerge w:val="restart"/>
            <w:tcBorders>
              <w:tl2br w:val="nil"/>
              <w:tr2bl w:val="nil"/>
            </w:tcBorders>
            <w:shd w:val="clear" w:color="auto" w:fill="DAE3F3"/>
            <w:noWrap w:val="0"/>
            <w:tcMar>
              <w:top w:w="15" w:type="dxa"/>
              <w:left w:w="15" w:type="dxa"/>
              <w:right w:w="15" w:type="dxa"/>
            </w:tcMar>
            <w:vAlign w:val="center"/>
          </w:tcPr>
          <w:p w14:paraId="6D097D9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危害级别</w:t>
            </w:r>
          </w:p>
        </w:tc>
        <w:tc>
          <w:tcPr>
            <w:tcW w:w="738" w:type="dxa"/>
            <w:vMerge w:val="restart"/>
            <w:tcBorders>
              <w:tl2br w:val="nil"/>
              <w:tr2bl w:val="nil"/>
            </w:tcBorders>
            <w:shd w:val="clear" w:color="auto" w:fill="DAE3F3"/>
            <w:noWrap w:val="0"/>
            <w:tcMar>
              <w:top w:w="15" w:type="dxa"/>
              <w:left w:w="15" w:type="dxa"/>
              <w:right w:w="15" w:type="dxa"/>
            </w:tcMar>
            <w:vAlign w:val="center"/>
          </w:tcPr>
          <w:p w14:paraId="1778EB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现行法律法规</w:t>
            </w:r>
          </w:p>
        </w:tc>
        <w:tc>
          <w:tcPr>
            <w:tcW w:w="816" w:type="dxa"/>
            <w:vMerge w:val="restart"/>
            <w:tcBorders>
              <w:tl2br w:val="nil"/>
              <w:tr2bl w:val="nil"/>
            </w:tcBorders>
            <w:shd w:val="clear" w:color="auto" w:fill="DAE3F3"/>
            <w:noWrap w:val="0"/>
            <w:tcMar>
              <w:top w:w="15" w:type="dxa"/>
              <w:left w:w="15" w:type="dxa"/>
              <w:right w:w="15" w:type="dxa"/>
            </w:tcMar>
            <w:vAlign w:val="center"/>
          </w:tcPr>
          <w:p w14:paraId="72AF64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控制措施</w:t>
            </w:r>
          </w:p>
        </w:tc>
      </w:tr>
      <w:tr w14:paraId="1CE454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auto"/>
            <w:noWrap w:val="0"/>
            <w:tcMar>
              <w:top w:w="15" w:type="dxa"/>
              <w:left w:w="15" w:type="dxa"/>
              <w:right w:w="15" w:type="dxa"/>
            </w:tcMar>
            <w:vAlign w:val="center"/>
          </w:tcPr>
          <w:p w14:paraId="5428CC3F">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auto"/>
            <w:noWrap w:val="0"/>
            <w:tcMar>
              <w:top w:w="15" w:type="dxa"/>
              <w:left w:w="15" w:type="dxa"/>
              <w:right w:w="15" w:type="dxa"/>
            </w:tcMar>
            <w:vAlign w:val="center"/>
          </w:tcPr>
          <w:p w14:paraId="23618752">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auto"/>
            <w:noWrap w:val="0"/>
            <w:tcMar>
              <w:top w:w="15" w:type="dxa"/>
              <w:left w:w="15" w:type="dxa"/>
              <w:right w:w="15" w:type="dxa"/>
            </w:tcMar>
            <w:vAlign w:val="center"/>
          </w:tcPr>
          <w:p w14:paraId="1BCE7112">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auto"/>
            <w:noWrap w:val="0"/>
            <w:tcMar>
              <w:top w:w="15" w:type="dxa"/>
              <w:left w:w="15" w:type="dxa"/>
              <w:right w:w="15" w:type="dxa"/>
            </w:tcMar>
            <w:vAlign w:val="center"/>
          </w:tcPr>
          <w:p w14:paraId="327E7851">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auto"/>
            <w:noWrap w:val="0"/>
            <w:tcMar>
              <w:top w:w="15" w:type="dxa"/>
              <w:left w:w="15" w:type="dxa"/>
              <w:right w:w="15" w:type="dxa"/>
            </w:tcMar>
            <w:vAlign w:val="center"/>
          </w:tcPr>
          <w:p w14:paraId="27C2C7D7">
            <w:pPr>
              <w:widowControl/>
              <w:spacing w:line="240" w:lineRule="exact"/>
              <w:ind w:firstLine="0" w:firstLineChars="0"/>
              <w:jc w:val="center"/>
              <w:rPr>
                <w:rFonts w:ascii="宋体" w:hAnsi="宋体" w:cs="宋体"/>
                <w:color w:val="auto"/>
                <w:sz w:val="18"/>
                <w:szCs w:val="18"/>
              </w:rPr>
            </w:pPr>
          </w:p>
        </w:tc>
        <w:tc>
          <w:tcPr>
            <w:tcW w:w="390" w:type="dxa"/>
            <w:tcBorders>
              <w:tl2br w:val="nil"/>
              <w:tr2bl w:val="nil"/>
            </w:tcBorders>
            <w:shd w:val="clear" w:color="auto" w:fill="DAE3F3"/>
            <w:noWrap w:val="0"/>
            <w:tcMar>
              <w:top w:w="15" w:type="dxa"/>
              <w:left w:w="15" w:type="dxa"/>
              <w:right w:w="15" w:type="dxa"/>
            </w:tcMar>
            <w:vAlign w:val="center"/>
          </w:tcPr>
          <w:p w14:paraId="402CCD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是</w:t>
            </w:r>
          </w:p>
        </w:tc>
        <w:tc>
          <w:tcPr>
            <w:tcW w:w="356" w:type="dxa"/>
            <w:tcBorders>
              <w:tl2br w:val="nil"/>
              <w:tr2bl w:val="nil"/>
            </w:tcBorders>
            <w:shd w:val="clear" w:color="auto" w:fill="DAE3F3"/>
            <w:noWrap w:val="0"/>
            <w:tcMar>
              <w:top w:w="15" w:type="dxa"/>
              <w:left w:w="15" w:type="dxa"/>
              <w:right w:w="15" w:type="dxa"/>
            </w:tcMar>
            <w:vAlign w:val="center"/>
          </w:tcPr>
          <w:p w14:paraId="40146D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shd w:val="clear" w:color="auto" w:fill="DAE3F3"/>
            <w:noWrap w:val="0"/>
            <w:tcMar>
              <w:top w:w="15" w:type="dxa"/>
              <w:left w:w="15" w:type="dxa"/>
              <w:right w:w="15" w:type="dxa"/>
            </w:tcMar>
            <w:vAlign w:val="center"/>
          </w:tcPr>
          <w:p w14:paraId="61CCDB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L</w:t>
            </w:r>
          </w:p>
        </w:tc>
        <w:tc>
          <w:tcPr>
            <w:tcW w:w="198" w:type="dxa"/>
            <w:tcBorders>
              <w:tl2br w:val="nil"/>
              <w:tr2bl w:val="nil"/>
            </w:tcBorders>
            <w:shd w:val="clear" w:color="auto" w:fill="DAE3F3"/>
            <w:noWrap w:val="0"/>
            <w:tcMar>
              <w:top w:w="15" w:type="dxa"/>
              <w:left w:w="15" w:type="dxa"/>
              <w:right w:w="15" w:type="dxa"/>
            </w:tcMar>
            <w:vAlign w:val="center"/>
          </w:tcPr>
          <w:p w14:paraId="795B4F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E</w:t>
            </w:r>
          </w:p>
        </w:tc>
        <w:tc>
          <w:tcPr>
            <w:tcW w:w="227" w:type="dxa"/>
            <w:tcBorders>
              <w:tl2br w:val="nil"/>
              <w:tr2bl w:val="nil"/>
            </w:tcBorders>
            <w:shd w:val="clear" w:color="auto" w:fill="DAE3F3"/>
            <w:noWrap w:val="0"/>
            <w:tcMar>
              <w:top w:w="15" w:type="dxa"/>
              <w:left w:w="15" w:type="dxa"/>
              <w:right w:w="15" w:type="dxa"/>
            </w:tcMar>
            <w:vAlign w:val="center"/>
          </w:tcPr>
          <w:p w14:paraId="1A5E17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C</w:t>
            </w:r>
          </w:p>
        </w:tc>
        <w:tc>
          <w:tcPr>
            <w:tcW w:w="303" w:type="dxa"/>
            <w:tcBorders>
              <w:tl2br w:val="nil"/>
              <w:tr2bl w:val="nil"/>
            </w:tcBorders>
            <w:shd w:val="clear" w:color="auto" w:fill="DAE3F3"/>
            <w:noWrap w:val="0"/>
            <w:tcMar>
              <w:top w:w="15" w:type="dxa"/>
              <w:left w:w="15" w:type="dxa"/>
              <w:right w:w="15" w:type="dxa"/>
            </w:tcMar>
            <w:vAlign w:val="center"/>
          </w:tcPr>
          <w:p w14:paraId="5CCB85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w:t>
            </w:r>
          </w:p>
        </w:tc>
        <w:tc>
          <w:tcPr>
            <w:tcW w:w="467" w:type="dxa"/>
            <w:vMerge w:val="continue"/>
            <w:tcBorders>
              <w:tl2br w:val="nil"/>
              <w:tr2bl w:val="nil"/>
            </w:tcBorders>
            <w:noWrap w:val="0"/>
            <w:tcMar>
              <w:top w:w="15" w:type="dxa"/>
              <w:left w:w="15" w:type="dxa"/>
              <w:right w:w="15" w:type="dxa"/>
            </w:tcMar>
            <w:vAlign w:val="center"/>
          </w:tcPr>
          <w:p w14:paraId="47A227D9">
            <w:pPr>
              <w:widowControl/>
              <w:spacing w:line="240" w:lineRule="exact"/>
              <w:ind w:firstLine="0" w:firstLineChars="0"/>
              <w:jc w:val="center"/>
              <w:rPr>
                <w:rFonts w:ascii="宋体" w:hAnsi="宋体" w:cs="宋体"/>
                <w:color w:val="auto"/>
                <w:sz w:val="18"/>
                <w:szCs w:val="18"/>
              </w:rPr>
            </w:pPr>
          </w:p>
        </w:tc>
        <w:tc>
          <w:tcPr>
            <w:tcW w:w="738" w:type="dxa"/>
            <w:vMerge w:val="continue"/>
            <w:tcBorders>
              <w:tl2br w:val="nil"/>
              <w:tr2bl w:val="nil"/>
            </w:tcBorders>
            <w:noWrap w:val="0"/>
            <w:tcMar>
              <w:top w:w="15" w:type="dxa"/>
              <w:left w:w="15" w:type="dxa"/>
              <w:right w:w="15" w:type="dxa"/>
            </w:tcMar>
            <w:vAlign w:val="center"/>
          </w:tcPr>
          <w:p w14:paraId="31D7BA9B">
            <w:pPr>
              <w:widowControl/>
              <w:spacing w:line="240" w:lineRule="exact"/>
              <w:ind w:firstLine="0" w:firstLineChars="0"/>
              <w:jc w:val="center"/>
              <w:rPr>
                <w:rFonts w:ascii="宋体" w:hAnsi="宋体" w:cs="宋体"/>
                <w:color w:val="auto"/>
                <w:sz w:val="18"/>
                <w:szCs w:val="18"/>
              </w:rPr>
            </w:pPr>
          </w:p>
        </w:tc>
        <w:tc>
          <w:tcPr>
            <w:tcW w:w="816" w:type="dxa"/>
            <w:vMerge w:val="continue"/>
            <w:tcBorders>
              <w:tl2br w:val="nil"/>
              <w:tr2bl w:val="nil"/>
            </w:tcBorders>
            <w:noWrap w:val="0"/>
            <w:tcMar>
              <w:top w:w="15" w:type="dxa"/>
              <w:left w:w="15" w:type="dxa"/>
              <w:right w:w="15" w:type="dxa"/>
            </w:tcMar>
            <w:vAlign w:val="center"/>
          </w:tcPr>
          <w:p w14:paraId="02DCB52E">
            <w:pPr>
              <w:widowControl/>
              <w:spacing w:line="240" w:lineRule="exact"/>
              <w:ind w:firstLine="0" w:firstLineChars="0"/>
              <w:jc w:val="center"/>
              <w:rPr>
                <w:rFonts w:ascii="宋体" w:hAnsi="宋体" w:cs="宋体"/>
                <w:color w:val="auto"/>
                <w:sz w:val="18"/>
                <w:szCs w:val="18"/>
              </w:rPr>
            </w:pPr>
          </w:p>
        </w:tc>
      </w:tr>
      <w:tr w14:paraId="0B885F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5B89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669" w:type="dxa"/>
            <w:tcBorders>
              <w:tl2br w:val="nil"/>
              <w:tr2bl w:val="nil"/>
            </w:tcBorders>
            <w:shd w:val="clear" w:color="auto" w:fill="auto"/>
            <w:noWrap w:val="0"/>
            <w:tcMar>
              <w:top w:w="15" w:type="dxa"/>
              <w:left w:w="15" w:type="dxa"/>
              <w:right w:w="15" w:type="dxa"/>
            </w:tcMar>
            <w:vAlign w:val="center"/>
          </w:tcPr>
          <w:p w14:paraId="4ADC3BE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2698AC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0178DD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shd w:val="clear" w:color="auto" w:fill="auto"/>
            <w:noWrap w:val="0"/>
            <w:tcMar>
              <w:top w:w="15" w:type="dxa"/>
              <w:left w:w="15" w:type="dxa"/>
              <w:right w:w="15" w:type="dxa"/>
            </w:tcMar>
            <w:vAlign w:val="center"/>
          </w:tcPr>
          <w:p w14:paraId="6296049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3A0BC3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2B561AA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41298F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3559AA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3DC6B2F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554F91C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667540E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12619EA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312B7F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设备使用前验收</w:t>
            </w:r>
          </w:p>
        </w:tc>
      </w:tr>
      <w:tr w14:paraId="04F91D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62C44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669" w:type="dxa"/>
            <w:tcBorders>
              <w:tl2br w:val="nil"/>
              <w:tr2bl w:val="nil"/>
            </w:tcBorders>
            <w:shd w:val="clear" w:color="auto" w:fill="auto"/>
            <w:noWrap w:val="0"/>
            <w:tcMar>
              <w:top w:w="15" w:type="dxa"/>
              <w:left w:w="15" w:type="dxa"/>
              <w:right w:w="15" w:type="dxa"/>
            </w:tcMar>
            <w:vAlign w:val="center"/>
          </w:tcPr>
          <w:p w14:paraId="60F3D2E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2DF69D6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5B754CD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机械设备基础的承载能力不足</w:t>
            </w:r>
          </w:p>
        </w:tc>
        <w:tc>
          <w:tcPr>
            <w:tcW w:w="803" w:type="dxa"/>
            <w:tcBorders>
              <w:tl2br w:val="nil"/>
              <w:tr2bl w:val="nil"/>
            </w:tcBorders>
            <w:shd w:val="clear" w:color="auto" w:fill="auto"/>
            <w:noWrap w:val="0"/>
            <w:tcMar>
              <w:top w:w="15" w:type="dxa"/>
              <w:left w:w="15" w:type="dxa"/>
              <w:right w:w="15" w:type="dxa"/>
            </w:tcMar>
            <w:vAlign w:val="center"/>
          </w:tcPr>
          <w:p w14:paraId="4F680A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2E1B774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22E421B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8CD439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6CD5257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08B1E48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03DE40E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04D4948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0BE558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2B6AB2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检查基础承载力</w:t>
            </w:r>
          </w:p>
        </w:tc>
      </w:tr>
      <w:tr w14:paraId="1F7E80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02764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669" w:type="dxa"/>
            <w:tcBorders>
              <w:tl2br w:val="nil"/>
              <w:tr2bl w:val="nil"/>
            </w:tcBorders>
            <w:shd w:val="clear" w:color="auto" w:fill="auto"/>
            <w:noWrap w:val="0"/>
            <w:tcMar>
              <w:top w:w="15" w:type="dxa"/>
              <w:left w:w="15" w:type="dxa"/>
              <w:right w:w="15" w:type="dxa"/>
            </w:tcMar>
            <w:vAlign w:val="center"/>
          </w:tcPr>
          <w:p w14:paraId="2694048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25E1E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3BCFC15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操作人员无证操作</w:t>
            </w:r>
          </w:p>
        </w:tc>
        <w:tc>
          <w:tcPr>
            <w:tcW w:w="803" w:type="dxa"/>
            <w:tcBorders>
              <w:tl2br w:val="nil"/>
              <w:tr2bl w:val="nil"/>
            </w:tcBorders>
            <w:shd w:val="clear" w:color="auto" w:fill="auto"/>
            <w:noWrap w:val="0"/>
            <w:tcMar>
              <w:top w:w="15" w:type="dxa"/>
              <w:left w:w="15" w:type="dxa"/>
              <w:right w:w="15" w:type="dxa"/>
            </w:tcMar>
            <w:vAlign w:val="center"/>
          </w:tcPr>
          <w:p w14:paraId="630BAAE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机械伤害</w:t>
            </w:r>
          </w:p>
        </w:tc>
        <w:tc>
          <w:tcPr>
            <w:tcW w:w="390" w:type="dxa"/>
            <w:tcBorders>
              <w:tl2br w:val="nil"/>
              <w:tr2bl w:val="nil"/>
            </w:tcBorders>
            <w:shd w:val="clear" w:color="auto" w:fill="auto"/>
            <w:noWrap w:val="0"/>
            <w:tcMar>
              <w:top w:w="15" w:type="dxa"/>
              <w:left w:w="15" w:type="dxa"/>
              <w:right w:w="15" w:type="dxa"/>
            </w:tcMar>
            <w:vAlign w:val="center"/>
          </w:tcPr>
          <w:p w14:paraId="777976A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8EFB73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B14561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4DDC302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60728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2BBB356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0C090B1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0F2CEFF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7982A91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要求操作人员持证上岗</w:t>
            </w:r>
          </w:p>
        </w:tc>
      </w:tr>
      <w:tr w14:paraId="3239B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F1D7C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w:t>
            </w:r>
          </w:p>
        </w:tc>
        <w:tc>
          <w:tcPr>
            <w:tcW w:w="669" w:type="dxa"/>
            <w:tcBorders>
              <w:tl2br w:val="nil"/>
              <w:tr2bl w:val="nil"/>
            </w:tcBorders>
            <w:shd w:val="clear" w:color="auto" w:fill="auto"/>
            <w:noWrap w:val="0"/>
            <w:tcMar>
              <w:top w:w="15" w:type="dxa"/>
              <w:left w:w="15" w:type="dxa"/>
              <w:right w:w="15" w:type="dxa"/>
            </w:tcMar>
            <w:vAlign w:val="center"/>
          </w:tcPr>
          <w:p w14:paraId="631E050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2DCD577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5CFC9A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操作司机误操作</w:t>
            </w:r>
          </w:p>
        </w:tc>
        <w:tc>
          <w:tcPr>
            <w:tcW w:w="803" w:type="dxa"/>
            <w:tcBorders>
              <w:tl2br w:val="nil"/>
              <w:tr2bl w:val="nil"/>
            </w:tcBorders>
            <w:shd w:val="clear" w:color="auto" w:fill="auto"/>
            <w:noWrap w:val="0"/>
            <w:tcMar>
              <w:top w:w="15" w:type="dxa"/>
              <w:left w:w="15" w:type="dxa"/>
              <w:right w:w="15" w:type="dxa"/>
            </w:tcMar>
            <w:vAlign w:val="center"/>
          </w:tcPr>
          <w:p w14:paraId="43CC07D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机械伤害</w:t>
            </w:r>
          </w:p>
        </w:tc>
        <w:tc>
          <w:tcPr>
            <w:tcW w:w="390" w:type="dxa"/>
            <w:tcBorders>
              <w:tl2br w:val="nil"/>
              <w:tr2bl w:val="nil"/>
            </w:tcBorders>
            <w:shd w:val="clear" w:color="auto" w:fill="auto"/>
            <w:noWrap w:val="0"/>
            <w:tcMar>
              <w:top w:w="15" w:type="dxa"/>
              <w:left w:w="15" w:type="dxa"/>
              <w:right w:w="15" w:type="dxa"/>
            </w:tcMar>
            <w:vAlign w:val="center"/>
          </w:tcPr>
          <w:p w14:paraId="2E6A68B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7B5EB9E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AC7984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273B72A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3265CC4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0420F8B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24FE33D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19854BF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41E713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作业前进行教育</w:t>
            </w:r>
          </w:p>
        </w:tc>
      </w:tr>
      <w:tr w14:paraId="0D466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AD8B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5</w:t>
            </w:r>
          </w:p>
        </w:tc>
        <w:tc>
          <w:tcPr>
            <w:tcW w:w="669" w:type="dxa"/>
            <w:tcBorders>
              <w:tl2br w:val="nil"/>
              <w:tr2bl w:val="nil"/>
            </w:tcBorders>
            <w:shd w:val="clear" w:color="auto" w:fill="auto"/>
            <w:noWrap w:val="0"/>
            <w:tcMar>
              <w:top w:w="15" w:type="dxa"/>
              <w:left w:w="15" w:type="dxa"/>
              <w:right w:w="15" w:type="dxa"/>
            </w:tcMar>
            <w:vAlign w:val="center"/>
          </w:tcPr>
          <w:p w14:paraId="3CCA6B3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D551BB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510E346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指挥人员无证指挥</w:t>
            </w:r>
          </w:p>
        </w:tc>
        <w:tc>
          <w:tcPr>
            <w:tcW w:w="803" w:type="dxa"/>
            <w:tcBorders>
              <w:tl2br w:val="nil"/>
              <w:tr2bl w:val="nil"/>
            </w:tcBorders>
            <w:shd w:val="clear" w:color="auto" w:fill="auto"/>
            <w:noWrap w:val="0"/>
            <w:tcMar>
              <w:top w:w="15" w:type="dxa"/>
              <w:left w:w="15" w:type="dxa"/>
              <w:right w:w="15" w:type="dxa"/>
            </w:tcMar>
            <w:vAlign w:val="center"/>
          </w:tcPr>
          <w:p w14:paraId="4B952DA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机械伤害</w:t>
            </w:r>
          </w:p>
        </w:tc>
        <w:tc>
          <w:tcPr>
            <w:tcW w:w="390" w:type="dxa"/>
            <w:tcBorders>
              <w:tl2br w:val="nil"/>
              <w:tr2bl w:val="nil"/>
            </w:tcBorders>
            <w:shd w:val="clear" w:color="auto" w:fill="auto"/>
            <w:noWrap w:val="0"/>
            <w:tcMar>
              <w:top w:w="15" w:type="dxa"/>
              <w:left w:w="15" w:type="dxa"/>
              <w:right w:w="15" w:type="dxa"/>
            </w:tcMar>
            <w:vAlign w:val="center"/>
          </w:tcPr>
          <w:p w14:paraId="653ED3D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EE5B6B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02BD06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153622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020E2AE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4D23A3E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4C46E39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16E265F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BE1A44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要求指挥人员持证上岗</w:t>
            </w:r>
          </w:p>
        </w:tc>
      </w:tr>
      <w:tr w14:paraId="37D8B4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01FF4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669" w:type="dxa"/>
            <w:tcBorders>
              <w:tl2br w:val="nil"/>
              <w:tr2bl w:val="nil"/>
            </w:tcBorders>
            <w:shd w:val="clear" w:color="auto" w:fill="auto"/>
            <w:noWrap w:val="0"/>
            <w:tcMar>
              <w:top w:w="15" w:type="dxa"/>
              <w:left w:w="15" w:type="dxa"/>
              <w:right w:w="15" w:type="dxa"/>
            </w:tcMar>
            <w:vAlign w:val="center"/>
          </w:tcPr>
          <w:p w14:paraId="5DAA16D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16CA5B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52DE736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起重设备安全保护装置失效</w:t>
            </w:r>
          </w:p>
        </w:tc>
        <w:tc>
          <w:tcPr>
            <w:tcW w:w="803" w:type="dxa"/>
            <w:tcBorders>
              <w:tl2br w:val="nil"/>
              <w:tr2bl w:val="nil"/>
            </w:tcBorders>
            <w:shd w:val="clear" w:color="auto" w:fill="auto"/>
            <w:noWrap w:val="0"/>
            <w:tcMar>
              <w:top w:w="15" w:type="dxa"/>
              <w:left w:w="15" w:type="dxa"/>
              <w:right w:w="15" w:type="dxa"/>
            </w:tcMar>
            <w:vAlign w:val="center"/>
          </w:tcPr>
          <w:p w14:paraId="1284028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72F4F8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CF8D68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3523EB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36E208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E379A5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0DCE37C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135</w:t>
            </w:r>
          </w:p>
        </w:tc>
        <w:tc>
          <w:tcPr>
            <w:tcW w:w="467" w:type="dxa"/>
            <w:tcBorders>
              <w:tl2br w:val="nil"/>
              <w:tr2bl w:val="nil"/>
            </w:tcBorders>
            <w:shd w:val="clear" w:color="auto" w:fill="auto"/>
            <w:noWrap w:val="0"/>
            <w:tcMar>
              <w:top w:w="15" w:type="dxa"/>
              <w:left w:w="15" w:type="dxa"/>
              <w:right w:w="15" w:type="dxa"/>
            </w:tcMar>
            <w:vAlign w:val="center"/>
          </w:tcPr>
          <w:p w14:paraId="39C38A8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74F387E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58BB21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设备使用前检查</w:t>
            </w:r>
          </w:p>
        </w:tc>
      </w:tr>
      <w:tr w14:paraId="0F2EF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8344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669" w:type="dxa"/>
            <w:tcBorders>
              <w:tl2br w:val="nil"/>
              <w:tr2bl w:val="nil"/>
            </w:tcBorders>
            <w:shd w:val="clear" w:color="auto" w:fill="auto"/>
            <w:noWrap w:val="0"/>
            <w:tcMar>
              <w:top w:w="15" w:type="dxa"/>
              <w:left w:w="15" w:type="dxa"/>
              <w:right w:w="15" w:type="dxa"/>
            </w:tcMar>
            <w:vAlign w:val="center"/>
          </w:tcPr>
          <w:p w14:paraId="69DAD7E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4F0FD9C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1B1F0EA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吊装绳不符合规范</w:t>
            </w:r>
          </w:p>
        </w:tc>
        <w:tc>
          <w:tcPr>
            <w:tcW w:w="803" w:type="dxa"/>
            <w:tcBorders>
              <w:tl2br w:val="nil"/>
              <w:tr2bl w:val="nil"/>
            </w:tcBorders>
            <w:shd w:val="clear" w:color="auto" w:fill="auto"/>
            <w:noWrap w:val="0"/>
            <w:tcMar>
              <w:top w:w="15" w:type="dxa"/>
              <w:left w:w="15" w:type="dxa"/>
              <w:right w:w="15" w:type="dxa"/>
            </w:tcMar>
            <w:vAlign w:val="center"/>
          </w:tcPr>
          <w:p w14:paraId="2A45367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1F5B4B5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0231D0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87D996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1E816D9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707E14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6C0C956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0B83D79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54D7016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41A2EB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使用前检查</w:t>
            </w:r>
          </w:p>
        </w:tc>
      </w:tr>
      <w:tr w14:paraId="5477A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DD36F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w:t>
            </w:r>
          </w:p>
        </w:tc>
        <w:tc>
          <w:tcPr>
            <w:tcW w:w="669" w:type="dxa"/>
            <w:tcBorders>
              <w:tl2br w:val="nil"/>
              <w:tr2bl w:val="nil"/>
            </w:tcBorders>
            <w:shd w:val="clear" w:color="auto" w:fill="auto"/>
            <w:noWrap w:val="0"/>
            <w:tcMar>
              <w:top w:w="15" w:type="dxa"/>
              <w:left w:w="15" w:type="dxa"/>
              <w:right w:w="15" w:type="dxa"/>
            </w:tcMar>
            <w:vAlign w:val="center"/>
          </w:tcPr>
          <w:p w14:paraId="0192EA1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6112E4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拼装、转运</w:t>
            </w:r>
          </w:p>
        </w:tc>
        <w:tc>
          <w:tcPr>
            <w:tcW w:w="1801" w:type="dxa"/>
            <w:tcBorders>
              <w:tl2br w:val="nil"/>
              <w:tr2bl w:val="nil"/>
            </w:tcBorders>
            <w:shd w:val="clear" w:color="auto" w:fill="auto"/>
            <w:noWrap w:val="0"/>
            <w:tcMar>
              <w:top w:w="15" w:type="dxa"/>
              <w:left w:w="15" w:type="dxa"/>
              <w:right w:w="15" w:type="dxa"/>
            </w:tcMar>
            <w:vAlign w:val="center"/>
          </w:tcPr>
          <w:p w14:paraId="3BB241B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吊装绳使用不当</w:t>
            </w:r>
          </w:p>
        </w:tc>
        <w:tc>
          <w:tcPr>
            <w:tcW w:w="803" w:type="dxa"/>
            <w:tcBorders>
              <w:tl2br w:val="nil"/>
              <w:tr2bl w:val="nil"/>
            </w:tcBorders>
            <w:shd w:val="clear" w:color="auto" w:fill="auto"/>
            <w:noWrap w:val="0"/>
            <w:tcMar>
              <w:top w:w="15" w:type="dxa"/>
              <w:left w:w="15" w:type="dxa"/>
              <w:right w:w="15" w:type="dxa"/>
            </w:tcMar>
            <w:vAlign w:val="center"/>
          </w:tcPr>
          <w:p w14:paraId="12E42E4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1B45C7F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0AA773F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B44E0D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4605514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12D364A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21D604F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72E345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791B9E9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8E601D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现场监督规范使用</w:t>
            </w:r>
          </w:p>
        </w:tc>
      </w:tr>
      <w:tr w14:paraId="34ABA1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5AEB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9</w:t>
            </w:r>
          </w:p>
        </w:tc>
        <w:tc>
          <w:tcPr>
            <w:tcW w:w="669" w:type="dxa"/>
            <w:tcBorders>
              <w:tl2br w:val="nil"/>
              <w:tr2bl w:val="nil"/>
            </w:tcBorders>
            <w:shd w:val="clear" w:color="auto" w:fill="auto"/>
            <w:noWrap w:val="0"/>
            <w:tcMar>
              <w:top w:w="15" w:type="dxa"/>
              <w:left w:w="15" w:type="dxa"/>
              <w:right w:w="15" w:type="dxa"/>
            </w:tcMar>
            <w:vAlign w:val="center"/>
          </w:tcPr>
          <w:p w14:paraId="1A5B563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5562F9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技术方案管理</w:t>
            </w:r>
          </w:p>
        </w:tc>
        <w:tc>
          <w:tcPr>
            <w:tcW w:w="1801" w:type="dxa"/>
            <w:tcBorders>
              <w:tl2br w:val="nil"/>
              <w:tr2bl w:val="nil"/>
            </w:tcBorders>
            <w:shd w:val="clear" w:color="auto" w:fill="auto"/>
            <w:noWrap w:val="0"/>
            <w:tcMar>
              <w:top w:w="15" w:type="dxa"/>
              <w:left w:w="15" w:type="dxa"/>
              <w:right w:w="15" w:type="dxa"/>
            </w:tcMar>
            <w:vAlign w:val="center"/>
          </w:tcPr>
          <w:p w14:paraId="57BD64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安装、拆除资质不符合要求</w:t>
            </w:r>
          </w:p>
        </w:tc>
        <w:tc>
          <w:tcPr>
            <w:tcW w:w="803" w:type="dxa"/>
            <w:tcBorders>
              <w:tl2br w:val="nil"/>
              <w:tr2bl w:val="nil"/>
            </w:tcBorders>
            <w:shd w:val="clear" w:color="auto" w:fill="auto"/>
            <w:noWrap w:val="0"/>
            <w:tcMar>
              <w:top w:w="15" w:type="dxa"/>
              <w:left w:w="15" w:type="dxa"/>
              <w:right w:w="15" w:type="dxa"/>
            </w:tcMar>
            <w:vAlign w:val="center"/>
          </w:tcPr>
          <w:p w14:paraId="269522E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3665D24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B7D7C5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DB105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F2F32A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469484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303" w:type="dxa"/>
            <w:tcBorders>
              <w:tl2br w:val="nil"/>
              <w:tr2bl w:val="nil"/>
            </w:tcBorders>
            <w:shd w:val="clear" w:color="auto" w:fill="auto"/>
            <w:noWrap w:val="0"/>
            <w:tcMar>
              <w:top w:w="15" w:type="dxa"/>
              <w:left w:w="15" w:type="dxa"/>
              <w:right w:w="15" w:type="dxa"/>
            </w:tcMar>
            <w:vAlign w:val="center"/>
          </w:tcPr>
          <w:p w14:paraId="254B823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w:t>
            </w:r>
          </w:p>
        </w:tc>
        <w:tc>
          <w:tcPr>
            <w:tcW w:w="467" w:type="dxa"/>
            <w:tcBorders>
              <w:tl2br w:val="nil"/>
              <w:tr2bl w:val="nil"/>
            </w:tcBorders>
            <w:shd w:val="clear" w:color="auto" w:fill="auto"/>
            <w:noWrap w:val="0"/>
            <w:tcMar>
              <w:top w:w="15" w:type="dxa"/>
              <w:left w:w="15" w:type="dxa"/>
              <w:right w:w="15" w:type="dxa"/>
            </w:tcMar>
            <w:vAlign w:val="center"/>
          </w:tcPr>
          <w:p w14:paraId="15105E3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738" w:type="dxa"/>
            <w:tcBorders>
              <w:tl2br w:val="nil"/>
              <w:tr2bl w:val="nil"/>
            </w:tcBorders>
            <w:shd w:val="clear" w:color="auto" w:fill="auto"/>
            <w:noWrap w:val="0"/>
            <w:tcMar>
              <w:top w:w="15" w:type="dxa"/>
              <w:left w:w="15" w:type="dxa"/>
              <w:right w:w="15" w:type="dxa"/>
            </w:tcMar>
            <w:vAlign w:val="center"/>
          </w:tcPr>
          <w:p w14:paraId="634057E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7501A1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使用资质合格的单位施工</w:t>
            </w:r>
          </w:p>
        </w:tc>
      </w:tr>
      <w:tr w14:paraId="7C89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730155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10</w:t>
            </w:r>
          </w:p>
        </w:tc>
        <w:tc>
          <w:tcPr>
            <w:tcW w:w="669" w:type="dxa"/>
            <w:tcBorders>
              <w:tl2br w:val="nil"/>
              <w:tr2bl w:val="nil"/>
            </w:tcBorders>
            <w:shd w:val="clear" w:color="auto" w:fill="auto"/>
            <w:noWrap w:val="0"/>
            <w:tcMar>
              <w:top w:w="15" w:type="dxa"/>
              <w:left w:w="15" w:type="dxa"/>
              <w:right w:w="15" w:type="dxa"/>
            </w:tcMar>
            <w:vAlign w:val="center"/>
          </w:tcPr>
          <w:p w14:paraId="1A632FD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56810E4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技术方案管理</w:t>
            </w:r>
          </w:p>
        </w:tc>
        <w:tc>
          <w:tcPr>
            <w:tcW w:w="1801" w:type="dxa"/>
            <w:tcBorders>
              <w:tl2br w:val="nil"/>
              <w:tr2bl w:val="nil"/>
            </w:tcBorders>
            <w:shd w:val="clear" w:color="auto" w:fill="auto"/>
            <w:noWrap w:val="0"/>
            <w:tcMar>
              <w:top w:w="15" w:type="dxa"/>
              <w:left w:w="15" w:type="dxa"/>
              <w:right w:w="15" w:type="dxa"/>
            </w:tcMar>
            <w:vAlign w:val="center"/>
          </w:tcPr>
          <w:p w14:paraId="707561D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特种作业人员无证上岗</w:t>
            </w:r>
          </w:p>
        </w:tc>
        <w:tc>
          <w:tcPr>
            <w:tcW w:w="803" w:type="dxa"/>
            <w:tcBorders>
              <w:tl2br w:val="nil"/>
              <w:tr2bl w:val="nil"/>
            </w:tcBorders>
            <w:shd w:val="clear" w:color="auto" w:fill="auto"/>
            <w:noWrap w:val="0"/>
            <w:tcMar>
              <w:top w:w="15" w:type="dxa"/>
              <w:left w:w="15" w:type="dxa"/>
              <w:right w:w="15" w:type="dxa"/>
            </w:tcMar>
            <w:vAlign w:val="center"/>
          </w:tcPr>
          <w:p w14:paraId="1C97EBE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3612333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F4B0B0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4AD9F95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10FA260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30EB478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366500A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135</w:t>
            </w:r>
          </w:p>
        </w:tc>
        <w:tc>
          <w:tcPr>
            <w:tcW w:w="467" w:type="dxa"/>
            <w:tcBorders>
              <w:tl2br w:val="nil"/>
              <w:tr2bl w:val="nil"/>
            </w:tcBorders>
            <w:shd w:val="clear" w:color="auto" w:fill="auto"/>
            <w:noWrap w:val="0"/>
            <w:tcMar>
              <w:top w:w="15" w:type="dxa"/>
              <w:left w:w="15" w:type="dxa"/>
              <w:right w:w="15" w:type="dxa"/>
            </w:tcMar>
            <w:vAlign w:val="center"/>
          </w:tcPr>
          <w:p w14:paraId="04B32D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14329B6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4D2D485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检查特种作业人员持证上岗</w:t>
            </w:r>
          </w:p>
        </w:tc>
      </w:tr>
      <w:tr w14:paraId="03C4D2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04F48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11</w:t>
            </w:r>
          </w:p>
        </w:tc>
        <w:tc>
          <w:tcPr>
            <w:tcW w:w="669" w:type="dxa"/>
            <w:tcBorders>
              <w:tl2br w:val="nil"/>
              <w:tr2bl w:val="nil"/>
            </w:tcBorders>
            <w:shd w:val="clear" w:color="auto" w:fill="auto"/>
            <w:noWrap w:val="0"/>
            <w:tcMar>
              <w:top w:w="15" w:type="dxa"/>
              <w:left w:w="15" w:type="dxa"/>
              <w:right w:w="15" w:type="dxa"/>
            </w:tcMar>
            <w:vAlign w:val="center"/>
          </w:tcPr>
          <w:p w14:paraId="1DF2881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5A878C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技术方案管理</w:t>
            </w:r>
          </w:p>
        </w:tc>
        <w:tc>
          <w:tcPr>
            <w:tcW w:w="1801" w:type="dxa"/>
            <w:tcBorders>
              <w:tl2br w:val="nil"/>
              <w:tr2bl w:val="nil"/>
            </w:tcBorders>
            <w:shd w:val="clear" w:color="auto" w:fill="auto"/>
            <w:noWrap w:val="0"/>
            <w:tcMar>
              <w:top w:w="15" w:type="dxa"/>
              <w:left w:w="15" w:type="dxa"/>
              <w:right w:w="15" w:type="dxa"/>
            </w:tcMar>
            <w:vAlign w:val="center"/>
          </w:tcPr>
          <w:p w14:paraId="1819980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拆除专项方案未经公司批准，不能指导作业，未按方案作业</w:t>
            </w:r>
          </w:p>
        </w:tc>
        <w:tc>
          <w:tcPr>
            <w:tcW w:w="803" w:type="dxa"/>
            <w:tcBorders>
              <w:tl2br w:val="nil"/>
              <w:tr2bl w:val="nil"/>
            </w:tcBorders>
            <w:shd w:val="clear" w:color="auto" w:fill="auto"/>
            <w:noWrap w:val="0"/>
            <w:tcMar>
              <w:top w:w="15" w:type="dxa"/>
              <w:left w:w="15" w:type="dxa"/>
              <w:right w:w="15" w:type="dxa"/>
            </w:tcMar>
            <w:vAlign w:val="center"/>
          </w:tcPr>
          <w:p w14:paraId="167BB04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72EAD2D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70F1B75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C60D9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0BE483A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7070F4E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7B0555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4E5E485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5C51EE7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58CD54B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方案审核完善</w:t>
            </w:r>
          </w:p>
        </w:tc>
      </w:tr>
      <w:tr w14:paraId="214076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48318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12</w:t>
            </w:r>
          </w:p>
        </w:tc>
        <w:tc>
          <w:tcPr>
            <w:tcW w:w="669" w:type="dxa"/>
            <w:tcBorders>
              <w:tl2br w:val="nil"/>
              <w:tr2bl w:val="nil"/>
            </w:tcBorders>
            <w:shd w:val="clear" w:color="auto" w:fill="auto"/>
            <w:noWrap w:val="0"/>
            <w:tcMar>
              <w:top w:w="15" w:type="dxa"/>
              <w:left w:w="15" w:type="dxa"/>
              <w:right w:w="15" w:type="dxa"/>
            </w:tcMar>
            <w:vAlign w:val="center"/>
          </w:tcPr>
          <w:p w14:paraId="68CEDFB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B2C482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技术方案管理</w:t>
            </w:r>
          </w:p>
        </w:tc>
        <w:tc>
          <w:tcPr>
            <w:tcW w:w="1801" w:type="dxa"/>
            <w:tcBorders>
              <w:tl2br w:val="nil"/>
              <w:tr2bl w:val="nil"/>
            </w:tcBorders>
            <w:shd w:val="clear" w:color="auto" w:fill="auto"/>
            <w:noWrap w:val="0"/>
            <w:tcMar>
              <w:top w:w="15" w:type="dxa"/>
              <w:left w:w="15" w:type="dxa"/>
              <w:right w:w="15" w:type="dxa"/>
            </w:tcMar>
            <w:vAlign w:val="center"/>
          </w:tcPr>
          <w:p w14:paraId="6658D2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拆除作业前未进行安全技术交底或交底内容不全面、详细</w:t>
            </w:r>
          </w:p>
        </w:tc>
        <w:tc>
          <w:tcPr>
            <w:tcW w:w="803" w:type="dxa"/>
            <w:tcBorders>
              <w:tl2br w:val="nil"/>
              <w:tr2bl w:val="nil"/>
            </w:tcBorders>
            <w:shd w:val="clear" w:color="auto" w:fill="auto"/>
            <w:noWrap w:val="0"/>
            <w:tcMar>
              <w:top w:w="15" w:type="dxa"/>
              <w:left w:w="15" w:type="dxa"/>
              <w:right w:w="15" w:type="dxa"/>
            </w:tcMar>
            <w:vAlign w:val="center"/>
          </w:tcPr>
          <w:p w14:paraId="27D8290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31247D4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DCE8FD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041C1F5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C426F0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7449001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303" w:type="dxa"/>
            <w:tcBorders>
              <w:tl2br w:val="nil"/>
              <w:tr2bl w:val="nil"/>
            </w:tcBorders>
            <w:shd w:val="clear" w:color="auto" w:fill="auto"/>
            <w:noWrap w:val="0"/>
            <w:tcMar>
              <w:top w:w="15" w:type="dxa"/>
              <w:left w:w="15" w:type="dxa"/>
              <w:right w:w="15" w:type="dxa"/>
            </w:tcMar>
            <w:vAlign w:val="center"/>
          </w:tcPr>
          <w:p w14:paraId="299662A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w:t>
            </w:r>
          </w:p>
        </w:tc>
        <w:tc>
          <w:tcPr>
            <w:tcW w:w="467" w:type="dxa"/>
            <w:tcBorders>
              <w:tl2br w:val="nil"/>
              <w:tr2bl w:val="nil"/>
            </w:tcBorders>
            <w:shd w:val="clear" w:color="auto" w:fill="auto"/>
            <w:noWrap w:val="0"/>
            <w:tcMar>
              <w:top w:w="15" w:type="dxa"/>
              <w:left w:w="15" w:type="dxa"/>
              <w:right w:w="15" w:type="dxa"/>
            </w:tcMar>
            <w:vAlign w:val="center"/>
          </w:tcPr>
          <w:p w14:paraId="517DB9C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738" w:type="dxa"/>
            <w:tcBorders>
              <w:tl2br w:val="nil"/>
              <w:tr2bl w:val="nil"/>
            </w:tcBorders>
            <w:shd w:val="clear" w:color="auto" w:fill="auto"/>
            <w:noWrap w:val="0"/>
            <w:tcMar>
              <w:top w:w="15" w:type="dxa"/>
              <w:left w:w="15" w:type="dxa"/>
              <w:right w:w="15" w:type="dxa"/>
            </w:tcMar>
            <w:vAlign w:val="center"/>
          </w:tcPr>
          <w:p w14:paraId="3D73A09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696E903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安全技术交底</w:t>
            </w:r>
          </w:p>
        </w:tc>
      </w:tr>
      <w:tr w14:paraId="169CCC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963E4A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13</w:t>
            </w:r>
          </w:p>
        </w:tc>
        <w:tc>
          <w:tcPr>
            <w:tcW w:w="669" w:type="dxa"/>
            <w:tcBorders>
              <w:tl2br w:val="nil"/>
              <w:tr2bl w:val="nil"/>
            </w:tcBorders>
            <w:shd w:val="clear" w:color="auto" w:fill="auto"/>
            <w:noWrap w:val="0"/>
            <w:tcMar>
              <w:top w:w="15" w:type="dxa"/>
              <w:left w:w="15" w:type="dxa"/>
              <w:right w:w="15" w:type="dxa"/>
            </w:tcMar>
            <w:vAlign w:val="center"/>
          </w:tcPr>
          <w:p w14:paraId="4E4932C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2E0836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E30CF8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塔机基础不符合设计要求</w:t>
            </w:r>
          </w:p>
        </w:tc>
        <w:tc>
          <w:tcPr>
            <w:tcW w:w="803" w:type="dxa"/>
            <w:tcBorders>
              <w:tl2br w:val="nil"/>
              <w:tr2bl w:val="nil"/>
            </w:tcBorders>
            <w:shd w:val="clear" w:color="auto" w:fill="auto"/>
            <w:noWrap w:val="0"/>
            <w:tcMar>
              <w:top w:w="15" w:type="dxa"/>
              <w:left w:w="15" w:type="dxa"/>
              <w:right w:w="15" w:type="dxa"/>
            </w:tcMar>
            <w:vAlign w:val="center"/>
          </w:tcPr>
          <w:p w14:paraId="3F1A854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40ECD53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0CE19B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5DADF4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5CC002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5E48254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17AAB55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43F3543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6D92935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7EC0EC5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检查基础情况</w:t>
            </w:r>
          </w:p>
        </w:tc>
      </w:tr>
      <w:tr w14:paraId="5BCCA5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95C4C9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14</w:t>
            </w:r>
          </w:p>
        </w:tc>
        <w:tc>
          <w:tcPr>
            <w:tcW w:w="669" w:type="dxa"/>
            <w:tcBorders>
              <w:tl2br w:val="nil"/>
              <w:tr2bl w:val="nil"/>
            </w:tcBorders>
            <w:shd w:val="clear" w:color="auto" w:fill="auto"/>
            <w:noWrap w:val="0"/>
            <w:tcMar>
              <w:top w:w="15" w:type="dxa"/>
              <w:left w:w="15" w:type="dxa"/>
              <w:right w:w="15" w:type="dxa"/>
            </w:tcMar>
            <w:vAlign w:val="center"/>
          </w:tcPr>
          <w:p w14:paraId="3CCC523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361959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C20765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安装、拆除作业前未对塔机各部件进行检查</w:t>
            </w:r>
          </w:p>
        </w:tc>
        <w:tc>
          <w:tcPr>
            <w:tcW w:w="803" w:type="dxa"/>
            <w:tcBorders>
              <w:tl2br w:val="nil"/>
              <w:tr2bl w:val="nil"/>
            </w:tcBorders>
            <w:shd w:val="clear" w:color="auto" w:fill="auto"/>
            <w:noWrap w:val="0"/>
            <w:tcMar>
              <w:top w:w="15" w:type="dxa"/>
              <w:left w:w="15" w:type="dxa"/>
              <w:right w:w="15" w:type="dxa"/>
            </w:tcMar>
            <w:vAlign w:val="center"/>
          </w:tcPr>
          <w:p w14:paraId="371B9A3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7DFA8F6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74BE210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42B4724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BC5EEE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7246323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33DD222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40D941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20D7A37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A8D226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作业前检查</w:t>
            </w:r>
          </w:p>
        </w:tc>
      </w:tr>
      <w:tr w14:paraId="2AD746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B8A178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15</w:t>
            </w:r>
          </w:p>
        </w:tc>
        <w:tc>
          <w:tcPr>
            <w:tcW w:w="669" w:type="dxa"/>
            <w:tcBorders>
              <w:tl2br w:val="nil"/>
              <w:tr2bl w:val="nil"/>
            </w:tcBorders>
            <w:shd w:val="clear" w:color="auto" w:fill="auto"/>
            <w:noWrap w:val="0"/>
            <w:tcMar>
              <w:top w:w="15" w:type="dxa"/>
              <w:left w:w="15" w:type="dxa"/>
              <w:right w:w="15" w:type="dxa"/>
            </w:tcMar>
            <w:vAlign w:val="center"/>
          </w:tcPr>
          <w:p w14:paraId="65258CE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71F0CB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7BAFE96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工序转换时，未检查是否具备下一步施工的条件</w:t>
            </w:r>
          </w:p>
        </w:tc>
        <w:tc>
          <w:tcPr>
            <w:tcW w:w="803" w:type="dxa"/>
            <w:tcBorders>
              <w:tl2br w:val="nil"/>
              <w:tr2bl w:val="nil"/>
            </w:tcBorders>
            <w:shd w:val="clear" w:color="auto" w:fill="auto"/>
            <w:noWrap w:val="0"/>
            <w:tcMar>
              <w:top w:w="15" w:type="dxa"/>
              <w:left w:w="15" w:type="dxa"/>
              <w:right w:w="15" w:type="dxa"/>
            </w:tcMar>
            <w:vAlign w:val="center"/>
          </w:tcPr>
          <w:p w14:paraId="0A37AC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51F8D59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536C14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5799E9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7FF6BAF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31D298F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28BA72A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102E667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31BBC02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7583F72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作业前检查</w:t>
            </w:r>
          </w:p>
        </w:tc>
      </w:tr>
      <w:tr w14:paraId="6F1BA0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0FDEF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16</w:t>
            </w:r>
          </w:p>
        </w:tc>
        <w:tc>
          <w:tcPr>
            <w:tcW w:w="669" w:type="dxa"/>
            <w:tcBorders>
              <w:tl2br w:val="nil"/>
              <w:tr2bl w:val="nil"/>
            </w:tcBorders>
            <w:shd w:val="clear" w:color="auto" w:fill="auto"/>
            <w:noWrap w:val="0"/>
            <w:tcMar>
              <w:top w:w="15" w:type="dxa"/>
              <w:left w:w="15" w:type="dxa"/>
              <w:right w:w="15" w:type="dxa"/>
            </w:tcMar>
            <w:vAlign w:val="center"/>
          </w:tcPr>
          <w:p w14:paraId="04CC67E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31E66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603FB2E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shd w:val="clear" w:color="auto" w:fill="auto"/>
            <w:noWrap w:val="0"/>
            <w:tcMar>
              <w:top w:w="15" w:type="dxa"/>
              <w:left w:w="15" w:type="dxa"/>
              <w:right w:w="15" w:type="dxa"/>
            </w:tcMar>
            <w:vAlign w:val="center"/>
          </w:tcPr>
          <w:p w14:paraId="4EB3D13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657A0B3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E10662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A4DDBB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277EB06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46D62B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512E8F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4699EB5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5BF207C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839FF4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设备使用前验收</w:t>
            </w:r>
          </w:p>
        </w:tc>
      </w:tr>
      <w:tr w14:paraId="2364E1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27CF2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17</w:t>
            </w:r>
          </w:p>
        </w:tc>
        <w:tc>
          <w:tcPr>
            <w:tcW w:w="669" w:type="dxa"/>
            <w:tcBorders>
              <w:tl2br w:val="nil"/>
              <w:tr2bl w:val="nil"/>
            </w:tcBorders>
            <w:shd w:val="clear" w:color="auto" w:fill="auto"/>
            <w:noWrap w:val="0"/>
            <w:tcMar>
              <w:top w:w="15" w:type="dxa"/>
              <w:left w:w="15" w:type="dxa"/>
              <w:right w:w="15" w:type="dxa"/>
            </w:tcMar>
            <w:vAlign w:val="center"/>
          </w:tcPr>
          <w:p w14:paraId="38E7702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AC44F8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A0B4F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拆除起重臂、平衡臂未用系缆风绳</w:t>
            </w:r>
          </w:p>
        </w:tc>
        <w:tc>
          <w:tcPr>
            <w:tcW w:w="803" w:type="dxa"/>
            <w:tcBorders>
              <w:tl2br w:val="nil"/>
              <w:tr2bl w:val="nil"/>
            </w:tcBorders>
            <w:shd w:val="clear" w:color="auto" w:fill="auto"/>
            <w:noWrap w:val="0"/>
            <w:tcMar>
              <w:top w:w="15" w:type="dxa"/>
              <w:left w:w="15" w:type="dxa"/>
              <w:right w:w="15" w:type="dxa"/>
            </w:tcMar>
            <w:vAlign w:val="center"/>
          </w:tcPr>
          <w:p w14:paraId="04B63F8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6195C44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324FB2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5B391E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2FF512D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49AEDB7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7DFAAE7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6B72C4B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0ABE64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B5FFD7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系好缆风绳</w:t>
            </w:r>
          </w:p>
        </w:tc>
      </w:tr>
      <w:tr w14:paraId="3A37D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580C16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18</w:t>
            </w:r>
          </w:p>
        </w:tc>
        <w:tc>
          <w:tcPr>
            <w:tcW w:w="669" w:type="dxa"/>
            <w:tcBorders>
              <w:tl2br w:val="nil"/>
              <w:tr2bl w:val="nil"/>
            </w:tcBorders>
            <w:shd w:val="clear" w:color="auto" w:fill="auto"/>
            <w:noWrap w:val="0"/>
            <w:tcMar>
              <w:top w:w="15" w:type="dxa"/>
              <w:left w:w="15" w:type="dxa"/>
              <w:right w:w="15" w:type="dxa"/>
            </w:tcMar>
            <w:vAlign w:val="center"/>
          </w:tcPr>
          <w:p w14:paraId="01FDB02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9A7147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0C36FC5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安装、拆除起重臂前未（吊卸）吊装平衡重</w:t>
            </w:r>
          </w:p>
        </w:tc>
        <w:tc>
          <w:tcPr>
            <w:tcW w:w="803" w:type="dxa"/>
            <w:tcBorders>
              <w:tl2br w:val="nil"/>
              <w:tr2bl w:val="nil"/>
            </w:tcBorders>
            <w:shd w:val="clear" w:color="auto" w:fill="auto"/>
            <w:noWrap w:val="0"/>
            <w:tcMar>
              <w:top w:w="15" w:type="dxa"/>
              <w:left w:w="15" w:type="dxa"/>
              <w:right w:w="15" w:type="dxa"/>
            </w:tcMar>
            <w:vAlign w:val="center"/>
          </w:tcPr>
          <w:p w14:paraId="7F1F778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3E5C2EF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161F8E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A35784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0B67D2C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24BF2C5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5B10DE6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760899D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503D84E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36F4451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吊卸平衡重</w:t>
            </w:r>
          </w:p>
        </w:tc>
      </w:tr>
      <w:tr w14:paraId="05308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DAB4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19</w:t>
            </w:r>
          </w:p>
        </w:tc>
        <w:tc>
          <w:tcPr>
            <w:tcW w:w="669" w:type="dxa"/>
            <w:tcBorders>
              <w:tl2br w:val="nil"/>
              <w:tr2bl w:val="nil"/>
            </w:tcBorders>
            <w:shd w:val="clear" w:color="auto" w:fill="auto"/>
            <w:noWrap w:val="0"/>
            <w:tcMar>
              <w:top w:w="15" w:type="dxa"/>
              <w:left w:w="15" w:type="dxa"/>
              <w:right w:w="15" w:type="dxa"/>
            </w:tcMar>
            <w:vAlign w:val="center"/>
          </w:tcPr>
          <w:p w14:paraId="16467D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9A329F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51FA42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加节顶升或者降节拆除时未配平或不符合要求</w:t>
            </w:r>
          </w:p>
        </w:tc>
        <w:tc>
          <w:tcPr>
            <w:tcW w:w="803" w:type="dxa"/>
            <w:tcBorders>
              <w:tl2br w:val="nil"/>
              <w:tr2bl w:val="nil"/>
            </w:tcBorders>
            <w:shd w:val="clear" w:color="auto" w:fill="auto"/>
            <w:noWrap w:val="0"/>
            <w:tcMar>
              <w:top w:w="15" w:type="dxa"/>
              <w:left w:w="15" w:type="dxa"/>
              <w:right w:w="15" w:type="dxa"/>
            </w:tcMar>
            <w:vAlign w:val="center"/>
          </w:tcPr>
          <w:p w14:paraId="6B44175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7474CF3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D8DD6E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10F57D3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2275D9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40770BB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1E1C116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78D8C0F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32AA49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481F91D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作业前进行配平</w:t>
            </w:r>
          </w:p>
        </w:tc>
      </w:tr>
      <w:tr w14:paraId="54ABBC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202D3E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20</w:t>
            </w:r>
          </w:p>
        </w:tc>
        <w:tc>
          <w:tcPr>
            <w:tcW w:w="669" w:type="dxa"/>
            <w:tcBorders>
              <w:tl2br w:val="nil"/>
              <w:tr2bl w:val="nil"/>
            </w:tcBorders>
            <w:shd w:val="clear" w:color="auto" w:fill="auto"/>
            <w:noWrap w:val="0"/>
            <w:tcMar>
              <w:top w:w="15" w:type="dxa"/>
              <w:left w:w="15" w:type="dxa"/>
              <w:right w:w="15" w:type="dxa"/>
            </w:tcMar>
            <w:vAlign w:val="center"/>
          </w:tcPr>
          <w:p w14:paraId="1A4E46E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6FFC26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33573E5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下支座与塔身螺栓没有连接好的情况下回转吊臂、小车变幅、吊装作业</w:t>
            </w:r>
          </w:p>
        </w:tc>
        <w:tc>
          <w:tcPr>
            <w:tcW w:w="803" w:type="dxa"/>
            <w:tcBorders>
              <w:tl2br w:val="nil"/>
              <w:tr2bl w:val="nil"/>
            </w:tcBorders>
            <w:shd w:val="clear" w:color="auto" w:fill="auto"/>
            <w:noWrap w:val="0"/>
            <w:tcMar>
              <w:top w:w="15" w:type="dxa"/>
              <w:left w:w="15" w:type="dxa"/>
              <w:right w:w="15" w:type="dxa"/>
            </w:tcMar>
            <w:vAlign w:val="center"/>
          </w:tcPr>
          <w:p w14:paraId="491C347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14F8138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0DE7FE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9420C9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6996003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5FBF169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297EED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2AF149E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20E0DA0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7FAF4F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作业前进行检查确认</w:t>
            </w:r>
          </w:p>
        </w:tc>
      </w:tr>
      <w:tr w14:paraId="6F8AB2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F5DDC8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21</w:t>
            </w:r>
          </w:p>
        </w:tc>
        <w:tc>
          <w:tcPr>
            <w:tcW w:w="669" w:type="dxa"/>
            <w:tcBorders>
              <w:tl2br w:val="nil"/>
              <w:tr2bl w:val="nil"/>
            </w:tcBorders>
            <w:shd w:val="clear" w:color="auto" w:fill="auto"/>
            <w:noWrap w:val="0"/>
            <w:tcMar>
              <w:top w:w="15" w:type="dxa"/>
              <w:left w:w="15" w:type="dxa"/>
              <w:right w:w="15" w:type="dxa"/>
            </w:tcMar>
            <w:vAlign w:val="center"/>
          </w:tcPr>
          <w:p w14:paraId="15759B3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B00CCC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7CF9DD5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顶升过程中液压系统出现故障</w:t>
            </w:r>
          </w:p>
        </w:tc>
        <w:tc>
          <w:tcPr>
            <w:tcW w:w="803" w:type="dxa"/>
            <w:tcBorders>
              <w:tl2br w:val="nil"/>
              <w:tr2bl w:val="nil"/>
            </w:tcBorders>
            <w:shd w:val="clear" w:color="auto" w:fill="auto"/>
            <w:noWrap w:val="0"/>
            <w:tcMar>
              <w:top w:w="15" w:type="dxa"/>
              <w:left w:w="15" w:type="dxa"/>
              <w:right w:w="15" w:type="dxa"/>
            </w:tcMar>
            <w:vAlign w:val="center"/>
          </w:tcPr>
          <w:p w14:paraId="705C5F4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5C9899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AF57B3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1A38F5C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B53309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6BAAC85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63C2C30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7FDAB3D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2D9A5BD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650FBE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作业前进行维修液压系统</w:t>
            </w:r>
          </w:p>
        </w:tc>
      </w:tr>
      <w:tr w14:paraId="4DD9D3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278462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22</w:t>
            </w:r>
          </w:p>
        </w:tc>
        <w:tc>
          <w:tcPr>
            <w:tcW w:w="669" w:type="dxa"/>
            <w:tcBorders>
              <w:tl2br w:val="nil"/>
              <w:tr2bl w:val="nil"/>
            </w:tcBorders>
            <w:shd w:val="clear" w:color="auto" w:fill="auto"/>
            <w:noWrap w:val="0"/>
            <w:tcMar>
              <w:top w:w="15" w:type="dxa"/>
              <w:left w:w="15" w:type="dxa"/>
              <w:right w:w="15" w:type="dxa"/>
            </w:tcMar>
            <w:vAlign w:val="center"/>
          </w:tcPr>
          <w:p w14:paraId="773F607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FA53FF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09372E2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附着连接不符合要求，预埋件制作、埋设不符合要求</w:t>
            </w:r>
          </w:p>
        </w:tc>
        <w:tc>
          <w:tcPr>
            <w:tcW w:w="803" w:type="dxa"/>
            <w:tcBorders>
              <w:tl2br w:val="nil"/>
              <w:tr2bl w:val="nil"/>
            </w:tcBorders>
            <w:shd w:val="clear" w:color="auto" w:fill="auto"/>
            <w:noWrap w:val="0"/>
            <w:tcMar>
              <w:top w:w="15" w:type="dxa"/>
              <w:left w:w="15" w:type="dxa"/>
              <w:right w:w="15" w:type="dxa"/>
            </w:tcMar>
            <w:vAlign w:val="center"/>
          </w:tcPr>
          <w:p w14:paraId="2F3575D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1E0864C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DF3826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C7F69A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0079BD2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2D5017A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78BBA3F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66C6A74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1EB8277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3DD99A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专业技术员监督施工</w:t>
            </w:r>
          </w:p>
        </w:tc>
      </w:tr>
      <w:tr w14:paraId="6A4062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B2BB1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23</w:t>
            </w:r>
          </w:p>
        </w:tc>
        <w:tc>
          <w:tcPr>
            <w:tcW w:w="669" w:type="dxa"/>
            <w:tcBorders>
              <w:tl2br w:val="nil"/>
              <w:tr2bl w:val="nil"/>
            </w:tcBorders>
            <w:shd w:val="clear" w:color="auto" w:fill="auto"/>
            <w:noWrap w:val="0"/>
            <w:tcMar>
              <w:top w:w="15" w:type="dxa"/>
              <w:left w:w="15" w:type="dxa"/>
              <w:right w:w="15" w:type="dxa"/>
            </w:tcMar>
            <w:vAlign w:val="center"/>
          </w:tcPr>
          <w:p w14:paraId="7554728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5322A51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50CF5A6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附着框架顶块未顶紧，连接螺栓未紧固、松动</w:t>
            </w:r>
          </w:p>
        </w:tc>
        <w:tc>
          <w:tcPr>
            <w:tcW w:w="803" w:type="dxa"/>
            <w:tcBorders>
              <w:tl2br w:val="nil"/>
              <w:tr2bl w:val="nil"/>
            </w:tcBorders>
            <w:shd w:val="clear" w:color="auto" w:fill="auto"/>
            <w:noWrap w:val="0"/>
            <w:tcMar>
              <w:top w:w="15" w:type="dxa"/>
              <w:left w:w="15" w:type="dxa"/>
              <w:right w:w="15" w:type="dxa"/>
            </w:tcMar>
            <w:vAlign w:val="center"/>
          </w:tcPr>
          <w:p w14:paraId="2A7E6CA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倒塌</w:t>
            </w:r>
          </w:p>
        </w:tc>
        <w:tc>
          <w:tcPr>
            <w:tcW w:w="390" w:type="dxa"/>
            <w:tcBorders>
              <w:tl2br w:val="nil"/>
              <w:tr2bl w:val="nil"/>
            </w:tcBorders>
            <w:shd w:val="clear" w:color="auto" w:fill="auto"/>
            <w:noWrap w:val="0"/>
            <w:tcMar>
              <w:top w:w="15" w:type="dxa"/>
              <w:left w:w="15" w:type="dxa"/>
              <w:right w:w="15" w:type="dxa"/>
            </w:tcMar>
            <w:vAlign w:val="center"/>
          </w:tcPr>
          <w:p w14:paraId="4996D85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7A87EDF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4A7925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7F13EA4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227" w:type="dxa"/>
            <w:tcBorders>
              <w:tl2br w:val="nil"/>
              <w:tr2bl w:val="nil"/>
            </w:tcBorders>
            <w:shd w:val="clear" w:color="auto" w:fill="auto"/>
            <w:noWrap w:val="0"/>
            <w:tcMar>
              <w:top w:w="15" w:type="dxa"/>
              <w:left w:w="15" w:type="dxa"/>
              <w:right w:w="15" w:type="dxa"/>
            </w:tcMar>
            <w:vAlign w:val="center"/>
          </w:tcPr>
          <w:p w14:paraId="737F8BF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40</w:t>
            </w:r>
          </w:p>
        </w:tc>
        <w:tc>
          <w:tcPr>
            <w:tcW w:w="303" w:type="dxa"/>
            <w:tcBorders>
              <w:tl2br w:val="nil"/>
              <w:tr2bl w:val="nil"/>
            </w:tcBorders>
            <w:shd w:val="clear" w:color="auto" w:fill="auto"/>
            <w:noWrap w:val="0"/>
            <w:tcMar>
              <w:top w:w="15" w:type="dxa"/>
              <w:left w:w="15" w:type="dxa"/>
              <w:right w:w="15" w:type="dxa"/>
            </w:tcMar>
            <w:vAlign w:val="center"/>
          </w:tcPr>
          <w:p w14:paraId="4189AF4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80</w:t>
            </w:r>
          </w:p>
        </w:tc>
        <w:tc>
          <w:tcPr>
            <w:tcW w:w="467" w:type="dxa"/>
            <w:tcBorders>
              <w:tl2br w:val="nil"/>
              <w:tr2bl w:val="nil"/>
            </w:tcBorders>
            <w:shd w:val="clear" w:color="auto" w:fill="auto"/>
            <w:noWrap w:val="0"/>
            <w:tcMar>
              <w:top w:w="15" w:type="dxa"/>
              <w:left w:w="15" w:type="dxa"/>
              <w:right w:w="15" w:type="dxa"/>
            </w:tcMar>
            <w:vAlign w:val="center"/>
          </w:tcPr>
          <w:p w14:paraId="50F30FD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7C6137B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04DA9C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施工前进行检查</w:t>
            </w:r>
          </w:p>
        </w:tc>
      </w:tr>
      <w:tr w14:paraId="2B3BF9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757A03">
            <w:pPr>
              <w:widowControl/>
              <w:spacing w:line="240" w:lineRule="exact"/>
              <w:ind w:firstLine="0" w:firstLineChars="0"/>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24</w:t>
            </w:r>
          </w:p>
        </w:tc>
        <w:tc>
          <w:tcPr>
            <w:tcW w:w="669" w:type="dxa"/>
            <w:tcBorders>
              <w:tl2br w:val="nil"/>
              <w:tr2bl w:val="nil"/>
            </w:tcBorders>
            <w:shd w:val="clear" w:color="auto" w:fill="auto"/>
            <w:noWrap w:val="0"/>
            <w:tcMar>
              <w:top w:w="15" w:type="dxa"/>
              <w:left w:w="15" w:type="dxa"/>
              <w:right w:w="15" w:type="dxa"/>
            </w:tcMar>
            <w:vAlign w:val="center"/>
          </w:tcPr>
          <w:p w14:paraId="3C10BAF0">
            <w:pPr>
              <w:widowControl/>
              <w:spacing w:line="240" w:lineRule="exact"/>
              <w:ind w:firstLine="0" w:firstLineChars="0"/>
              <w:jc w:val="center"/>
              <w:textAlignment w:val="center"/>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拆</w:t>
            </w:r>
            <w:r>
              <w:rPr>
                <w:rFonts w:hint="eastAsia" w:ascii="宋体" w:hAnsi="宋体" w:cs="宋体"/>
                <w:color w:val="auto"/>
                <w:kern w:val="0"/>
                <w:sz w:val="18"/>
                <w:szCs w:val="18"/>
              </w:rPr>
              <w:t>除施工</w:t>
            </w:r>
          </w:p>
        </w:tc>
        <w:tc>
          <w:tcPr>
            <w:tcW w:w="944" w:type="dxa"/>
            <w:tcBorders>
              <w:tl2br w:val="nil"/>
              <w:tr2bl w:val="nil"/>
            </w:tcBorders>
            <w:shd w:val="clear" w:color="auto" w:fill="auto"/>
            <w:noWrap w:val="0"/>
            <w:tcMar>
              <w:top w:w="15" w:type="dxa"/>
              <w:left w:w="15" w:type="dxa"/>
              <w:right w:w="15" w:type="dxa"/>
            </w:tcMar>
            <w:vAlign w:val="center"/>
          </w:tcPr>
          <w:p w14:paraId="1EE58CA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7965C5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shd w:val="clear" w:color="auto" w:fill="auto"/>
            <w:noWrap w:val="0"/>
            <w:tcMar>
              <w:top w:w="15" w:type="dxa"/>
              <w:left w:w="15" w:type="dxa"/>
              <w:right w:w="15" w:type="dxa"/>
            </w:tcMar>
            <w:vAlign w:val="center"/>
          </w:tcPr>
          <w:p w14:paraId="36F59D8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79682B9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248567A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73FADA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4023BD8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F7A3F4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5F6B967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2180A7F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2D5B040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0C45C8A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设备使用前验收</w:t>
            </w:r>
          </w:p>
        </w:tc>
      </w:tr>
      <w:tr w14:paraId="74B1A2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0BFCBD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25</w:t>
            </w:r>
          </w:p>
        </w:tc>
        <w:tc>
          <w:tcPr>
            <w:tcW w:w="669" w:type="dxa"/>
            <w:tcBorders>
              <w:tl2br w:val="nil"/>
              <w:tr2bl w:val="nil"/>
            </w:tcBorders>
            <w:shd w:val="clear" w:color="auto" w:fill="auto"/>
            <w:noWrap w:val="0"/>
            <w:tcMar>
              <w:top w:w="15" w:type="dxa"/>
              <w:left w:w="15" w:type="dxa"/>
              <w:right w:w="15" w:type="dxa"/>
            </w:tcMar>
            <w:vAlign w:val="center"/>
          </w:tcPr>
          <w:p w14:paraId="286CB4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6FA382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66D8504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安装、拆除作业中指挥人员无证指挥、信号不明</w:t>
            </w:r>
          </w:p>
        </w:tc>
        <w:tc>
          <w:tcPr>
            <w:tcW w:w="803" w:type="dxa"/>
            <w:tcBorders>
              <w:tl2br w:val="nil"/>
              <w:tr2bl w:val="nil"/>
            </w:tcBorders>
            <w:shd w:val="clear" w:color="auto" w:fill="auto"/>
            <w:noWrap w:val="0"/>
            <w:tcMar>
              <w:top w:w="15" w:type="dxa"/>
              <w:left w:w="15" w:type="dxa"/>
              <w:right w:w="15" w:type="dxa"/>
            </w:tcMar>
            <w:vAlign w:val="center"/>
          </w:tcPr>
          <w:p w14:paraId="16C8C2F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2213BB7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969E4A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7E9376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1BCC122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18E23B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4609D17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7F37A20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09284C2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8F1521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专业指挥人员指挥</w:t>
            </w:r>
          </w:p>
        </w:tc>
      </w:tr>
      <w:tr w14:paraId="209D0B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6113C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26</w:t>
            </w:r>
          </w:p>
        </w:tc>
        <w:tc>
          <w:tcPr>
            <w:tcW w:w="669" w:type="dxa"/>
            <w:tcBorders>
              <w:tl2br w:val="nil"/>
              <w:tr2bl w:val="nil"/>
            </w:tcBorders>
            <w:shd w:val="clear" w:color="auto" w:fill="auto"/>
            <w:noWrap w:val="0"/>
            <w:tcMar>
              <w:top w:w="15" w:type="dxa"/>
              <w:left w:w="15" w:type="dxa"/>
              <w:right w:w="15" w:type="dxa"/>
            </w:tcMar>
            <w:vAlign w:val="center"/>
          </w:tcPr>
          <w:p w14:paraId="1FBCF73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572C48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17C6BF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操作司机误操作</w:t>
            </w:r>
          </w:p>
        </w:tc>
        <w:tc>
          <w:tcPr>
            <w:tcW w:w="803" w:type="dxa"/>
            <w:tcBorders>
              <w:tl2br w:val="nil"/>
              <w:tr2bl w:val="nil"/>
            </w:tcBorders>
            <w:shd w:val="clear" w:color="auto" w:fill="auto"/>
            <w:noWrap w:val="0"/>
            <w:tcMar>
              <w:top w:w="15" w:type="dxa"/>
              <w:left w:w="15" w:type="dxa"/>
              <w:right w:w="15" w:type="dxa"/>
            </w:tcMar>
            <w:vAlign w:val="center"/>
          </w:tcPr>
          <w:p w14:paraId="353D844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机械伤害</w:t>
            </w:r>
          </w:p>
        </w:tc>
        <w:tc>
          <w:tcPr>
            <w:tcW w:w="390" w:type="dxa"/>
            <w:tcBorders>
              <w:tl2br w:val="nil"/>
              <w:tr2bl w:val="nil"/>
            </w:tcBorders>
            <w:shd w:val="clear" w:color="auto" w:fill="auto"/>
            <w:noWrap w:val="0"/>
            <w:tcMar>
              <w:top w:w="15" w:type="dxa"/>
              <w:left w:w="15" w:type="dxa"/>
              <w:right w:w="15" w:type="dxa"/>
            </w:tcMar>
            <w:vAlign w:val="center"/>
          </w:tcPr>
          <w:p w14:paraId="6163AD8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343F28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465D7A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2FBC0C3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278303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23808E0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44F6C57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793179C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1B092E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对操作人员进行教育培训</w:t>
            </w:r>
          </w:p>
        </w:tc>
      </w:tr>
      <w:tr w14:paraId="38732F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DCCF3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27</w:t>
            </w:r>
          </w:p>
        </w:tc>
        <w:tc>
          <w:tcPr>
            <w:tcW w:w="669" w:type="dxa"/>
            <w:tcBorders>
              <w:tl2br w:val="nil"/>
              <w:tr2bl w:val="nil"/>
            </w:tcBorders>
            <w:shd w:val="clear" w:color="auto" w:fill="auto"/>
            <w:noWrap w:val="0"/>
            <w:tcMar>
              <w:top w:w="15" w:type="dxa"/>
              <w:left w:w="15" w:type="dxa"/>
              <w:right w:w="15" w:type="dxa"/>
            </w:tcMar>
            <w:vAlign w:val="center"/>
          </w:tcPr>
          <w:p w14:paraId="081F021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B42CD4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5F6C90F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起重设备安全保护装置失效</w:t>
            </w:r>
          </w:p>
        </w:tc>
        <w:tc>
          <w:tcPr>
            <w:tcW w:w="803" w:type="dxa"/>
            <w:tcBorders>
              <w:tl2br w:val="nil"/>
              <w:tr2bl w:val="nil"/>
            </w:tcBorders>
            <w:shd w:val="clear" w:color="auto" w:fill="auto"/>
            <w:noWrap w:val="0"/>
            <w:tcMar>
              <w:top w:w="15" w:type="dxa"/>
              <w:left w:w="15" w:type="dxa"/>
              <w:right w:w="15" w:type="dxa"/>
            </w:tcMar>
            <w:vAlign w:val="center"/>
          </w:tcPr>
          <w:p w14:paraId="391ADE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4169D35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EA29C1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0CAB542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5B2C182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4C5DF0E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162763A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135</w:t>
            </w:r>
          </w:p>
        </w:tc>
        <w:tc>
          <w:tcPr>
            <w:tcW w:w="467" w:type="dxa"/>
            <w:tcBorders>
              <w:tl2br w:val="nil"/>
              <w:tr2bl w:val="nil"/>
            </w:tcBorders>
            <w:shd w:val="clear" w:color="auto" w:fill="auto"/>
            <w:noWrap w:val="0"/>
            <w:tcMar>
              <w:top w:w="15" w:type="dxa"/>
              <w:left w:w="15" w:type="dxa"/>
              <w:right w:w="15" w:type="dxa"/>
            </w:tcMar>
            <w:vAlign w:val="center"/>
          </w:tcPr>
          <w:p w14:paraId="49C8043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6A38BB0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3265979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设备使用前验收</w:t>
            </w:r>
          </w:p>
        </w:tc>
      </w:tr>
      <w:tr w14:paraId="4E2568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BF3F82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28</w:t>
            </w:r>
          </w:p>
        </w:tc>
        <w:tc>
          <w:tcPr>
            <w:tcW w:w="669" w:type="dxa"/>
            <w:tcBorders>
              <w:tl2br w:val="nil"/>
              <w:tr2bl w:val="nil"/>
            </w:tcBorders>
            <w:shd w:val="clear" w:color="auto" w:fill="auto"/>
            <w:noWrap w:val="0"/>
            <w:tcMar>
              <w:top w:w="15" w:type="dxa"/>
              <w:left w:w="15" w:type="dxa"/>
              <w:right w:w="15" w:type="dxa"/>
            </w:tcMar>
            <w:vAlign w:val="center"/>
          </w:tcPr>
          <w:p w14:paraId="4FFF3C1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50E0B3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E4534A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履带吊载重量不满足要求</w:t>
            </w:r>
          </w:p>
        </w:tc>
        <w:tc>
          <w:tcPr>
            <w:tcW w:w="803" w:type="dxa"/>
            <w:tcBorders>
              <w:tl2br w:val="nil"/>
              <w:tr2bl w:val="nil"/>
            </w:tcBorders>
            <w:shd w:val="clear" w:color="auto" w:fill="auto"/>
            <w:noWrap w:val="0"/>
            <w:tcMar>
              <w:top w:w="15" w:type="dxa"/>
              <w:left w:w="15" w:type="dxa"/>
              <w:right w:w="15" w:type="dxa"/>
            </w:tcMar>
            <w:vAlign w:val="center"/>
          </w:tcPr>
          <w:p w14:paraId="710943D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倾翻</w:t>
            </w:r>
          </w:p>
        </w:tc>
        <w:tc>
          <w:tcPr>
            <w:tcW w:w="390" w:type="dxa"/>
            <w:tcBorders>
              <w:tl2br w:val="nil"/>
              <w:tr2bl w:val="nil"/>
            </w:tcBorders>
            <w:shd w:val="clear" w:color="auto" w:fill="auto"/>
            <w:noWrap w:val="0"/>
            <w:tcMar>
              <w:top w:w="15" w:type="dxa"/>
              <w:left w:w="15" w:type="dxa"/>
              <w:right w:w="15" w:type="dxa"/>
            </w:tcMar>
            <w:vAlign w:val="center"/>
          </w:tcPr>
          <w:p w14:paraId="78F0D18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3922F7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264C0C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4143501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14FB87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64C3092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135</w:t>
            </w:r>
          </w:p>
        </w:tc>
        <w:tc>
          <w:tcPr>
            <w:tcW w:w="467" w:type="dxa"/>
            <w:tcBorders>
              <w:tl2br w:val="nil"/>
              <w:tr2bl w:val="nil"/>
            </w:tcBorders>
            <w:shd w:val="clear" w:color="auto" w:fill="auto"/>
            <w:noWrap w:val="0"/>
            <w:tcMar>
              <w:top w:w="15" w:type="dxa"/>
              <w:left w:w="15" w:type="dxa"/>
              <w:right w:w="15" w:type="dxa"/>
            </w:tcMar>
            <w:vAlign w:val="center"/>
          </w:tcPr>
          <w:p w14:paraId="2A1B3B6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6871217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38CE19E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按要求配备履带吊</w:t>
            </w:r>
          </w:p>
        </w:tc>
      </w:tr>
      <w:tr w14:paraId="0289E8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83105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29</w:t>
            </w:r>
          </w:p>
        </w:tc>
        <w:tc>
          <w:tcPr>
            <w:tcW w:w="669" w:type="dxa"/>
            <w:tcBorders>
              <w:tl2br w:val="nil"/>
              <w:tr2bl w:val="nil"/>
            </w:tcBorders>
            <w:shd w:val="clear" w:color="auto" w:fill="auto"/>
            <w:noWrap w:val="0"/>
            <w:tcMar>
              <w:top w:w="15" w:type="dxa"/>
              <w:left w:w="15" w:type="dxa"/>
              <w:right w:w="15" w:type="dxa"/>
            </w:tcMar>
            <w:vAlign w:val="center"/>
          </w:tcPr>
          <w:p w14:paraId="22D3FC3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C7DC8A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7E3D08E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吊装绳不符合规范</w:t>
            </w:r>
          </w:p>
        </w:tc>
        <w:tc>
          <w:tcPr>
            <w:tcW w:w="803" w:type="dxa"/>
            <w:tcBorders>
              <w:tl2br w:val="nil"/>
              <w:tr2bl w:val="nil"/>
            </w:tcBorders>
            <w:shd w:val="clear" w:color="auto" w:fill="auto"/>
            <w:noWrap w:val="0"/>
            <w:tcMar>
              <w:top w:w="15" w:type="dxa"/>
              <w:left w:w="15" w:type="dxa"/>
              <w:right w:w="15" w:type="dxa"/>
            </w:tcMar>
            <w:vAlign w:val="center"/>
          </w:tcPr>
          <w:p w14:paraId="203F2D3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1A4B473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C42C65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F2EF0E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4ADEA79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0895EBB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5AAAE21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67722CE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260E76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860348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使用前检查</w:t>
            </w:r>
          </w:p>
        </w:tc>
      </w:tr>
      <w:tr w14:paraId="69D7FB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EE6483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30</w:t>
            </w:r>
          </w:p>
        </w:tc>
        <w:tc>
          <w:tcPr>
            <w:tcW w:w="669" w:type="dxa"/>
            <w:tcBorders>
              <w:tl2br w:val="nil"/>
              <w:tr2bl w:val="nil"/>
            </w:tcBorders>
            <w:shd w:val="clear" w:color="auto" w:fill="auto"/>
            <w:noWrap w:val="0"/>
            <w:tcMar>
              <w:top w:w="15" w:type="dxa"/>
              <w:left w:w="15" w:type="dxa"/>
              <w:right w:w="15" w:type="dxa"/>
            </w:tcMar>
            <w:vAlign w:val="center"/>
          </w:tcPr>
          <w:p w14:paraId="13EE968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40207B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03CD110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吊装绳使用不当</w:t>
            </w:r>
          </w:p>
        </w:tc>
        <w:tc>
          <w:tcPr>
            <w:tcW w:w="803" w:type="dxa"/>
            <w:tcBorders>
              <w:tl2br w:val="nil"/>
              <w:tr2bl w:val="nil"/>
            </w:tcBorders>
            <w:shd w:val="clear" w:color="auto" w:fill="auto"/>
            <w:noWrap w:val="0"/>
            <w:tcMar>
              <w:top w:w="15" w:type="dxa"/>
              <w:left w:w="15" w:type="dxa"/>
              <w:right w:w="15" w:type="dxa"/>
            </w:tcMar>
            <w:vAlign w:val="center"/>
          </w:tcPr>
          <w:p w14:paraId="1377E4A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48B9EDC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FD1B21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BF76A9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048F3F9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545A19A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2A79417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3914014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7FBACF7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3E2185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现场监督规范使用</w:t>
            </w:r>
          </w:p>
        </w:tc>
      </w:tr>
      <w:tr w14:paraId="3F1BF6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7660E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31</w:t>
            </w:r>
          </w:p>
        </w:tc>
        <w:tc>
          <w:tcPr>
            <w:tcW w:w="669" w:type="dxa"/>
            <w:tcBorders>
              <w:tl2br w:val="nil"/>
              <w:tr2bl w:val="nil"/>
            </w:tcBorders>
            <w:shd w:val="clear" w:color="auto" w:fill="auto"/>
            <w:noWrap w:val="0"/>
            <w:tcMar>
              <w:top w:w="15" w:type="dxa"/>
              <w:left w:w="15" w:type="dxa"/>
              <w:right w:w="15" w:type="dxa"/>
            </w:tcMar>
            <w:vAlign w:val="center"/>
          </w:tcPr>
          <w:p w14:paraId="7ED13FE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6577EC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5F1FB84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吊重时吊点选择不当，夹角不符合要求</w:t>
            </w:r>
          </w:p>
        </w:tc>
        <w:tc>
          <w:tcPr>
            <w:tcW w:w="803" w:type="dxa"/>
            <w:tcBorders>
              <w:tl2br w:val="nil"/>
              <w:tr2bl w:val="nil"/>
            </w:tcBorders>
            <w:shd w:val="clear" w:color="auto" w:fill="auto"/>
            <w:noWrap w:val="0"/>
            <w:tcMar>
              <w:top w:w="15" w:type="dxa"/>
              <w:left w:w="15" w:type="dxa"/>
              <w:right w:w="15" w:type="dxa"/>
            </w:tcMar>
            <w:vAlign w:val="center"/>
          </w:tcPr>
          <w:p w14:paraId="3DB3613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149D2A0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259453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261A21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2BF943B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4D9F96E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52E1831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74A6741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5B3E2A0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A0CEA5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正确选择吊点和夹角</w:t>
            </w:r>
          </w:p>
        </w:tc>
      </w:tr>
      <w:tr w14:paraId="5DE724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ED27D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32</w:t>
            </w:r>
          </w:p>
        </w:tc>
        <w:tc>
          <w:tcPr>
            <w:tcW w:w="669" w:type="dxa"/>
            <w:tcBorders>
              <w:tl2br w:val="nil"/>
              <w:tr2bl w:val="nil"/>
            </w:tcBorders>
            <w:shd w:val="clear" w:color="auto" w:fill="auto"/>
            <w:noWrap w:val="0"/>
            <w:tcMar>
              <w:top w:w="15" w:type="dxa"/>
              <w:left w:w="15" w:type="dxa"/>
              <w:right w:w="15" w:type="dxa"/>
            </w:tcMar>
            <w:vAlign w:val="center"/>
          </w:tcPr>
          <w:p w14:paraId="59B0EE7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5EE325B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28830E6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特种作业人员未正确使用安全防护用品</w:t>
            </w:r>
          </w:p>
        </w:tc>
        <w:tc>
          <w:tcPr>
            <w:tcW w:w="803" w:type="dxa"/>
            <w:tcBorders>
              <w:tl2br w:val="nil"/>
              <w:tr2bl w:val="nil"/>
            </w:tcBorders>
            <w:shd w:val="clear" w:color="auto" w:fill="auto"/>
            <w:noWrap w:val="0"/>
            <w:tcMar>
              <w:top w:w="15" w:type="dxa"/>
              <w:left w:w="15" w:type="dxa"/>
              <w:right w:w="15" w:type="dxa"/>
            </w:tcMar>
            <w:vAlign w:val="center"/>
          </w:tcPr>
          <w:p w14:paraId="3DA68EB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5913E24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0985FC6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8B333A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60611AD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1851D63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472C75C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3C65CD4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F29DC8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03E27A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加强安全教育和检查</w:t>
            </w:r>
          </w:p>
        </w:tc>
      </w:tr>
      <w:tr w14:paraId="15CE0F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8E089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33</w:t>
            </w:r>
          </w:p>
        </w:tc>
        <w:tc>
          <w:tcPr>
            <w:tcW w:w="669" w:type="dxa"/>
            <w:tcBorders>
              <w:tl2br w:val="nil"/>
              <w:tr2bl w:val="nil"/>
            </w:tcBorders>
            <w:shd w:val="clear" w:color="auto" w:fill="auto"/>
            <w:noWrap w:val="0"/>
            <w:tcMar>
              <w:top w:w="15" w:type="dxa"/>
              <w:left w:w="15" w:type="dxa"/>
              <w:right w:w="15" w:type="dxa"/>
            </w:tcMar>
            <w:vAlign w:val="center"/>
          </w:tcPr>
          <w:p w14:paraId="0144DFE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1AF204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19355C6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拆除作业人员注意力不集中，麻痹大意</w:t>
            </w:r>
          </w:p>
        </w:tc>
        <w:tc>
          <w:tcPr>
            <w:tcW w:w="803" w:type="dxa"/>
            <w:tcBorders>
              <w:tl2br w:val="nil"/>
              <w:tr2bl w:val="nil"/>
            </w:tcBorders>
            <w:shd w:val="clear" w:color="auto" w:fill="auto"/>
            <w:noWrap w:val="0"/>
            <w:tcMar>
              <w:top w:w="15" w:type="dxa"/>
              <w:left w:w="15" w:type="dxa"/>
              <w:right w:w="15" w:type="dxa"/>
            </w:tcMar>
            <w:vAlign w:val="center"/>
          </w:tcPr>
          <w:p w14:paraId="63656C4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2ABFB91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A3BD22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457C51D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443D73B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49466E6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E520E1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1CEB91C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6813D36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432084B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加强安全教育</w:t>
            </w:r>
          </w:p>
        </w:tc>
      </w:tr>
      <w:tr w14:paraId="14AB85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9513950">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34</w:t>
            </w:r>
          </w:p>
        </w:tc>
        <w:tc>
          <w:tcPr>
            <w:tcW w:w="669" w:type="dxa"/>
            <w:tcBorders>
              <w:tl2br w:val="nil"/>
              <w:tr2bl w:val="nil"/>
            </w:tcBorders>
            <w:shd w:val="clear" w:color="auto" w:fill="auto"/>
            <w:noWrap w:val="0"/>
            <w:tcMar>
              <w:top w:w="15" w:type="dxa"/>
              <w:left w:w="15" w:type="dxa"/>
              <w:right w:w="15" w:type="dxa"/>
            </w:tcMar>
            <w:vAlign w:val="center"/>
          </w:tcPr>
          <w:p w14:paraId="0496347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28A492D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7574B84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拆除作业时安全防护不到位</w:t>
            </w:r>
          </w:p>
        </w:tc>
        <w:tc>
          <w:tcPr>
            <w:tcW w:w="803" w:type="dxa"/>
            <w:tcBorders>
              <w:tl2br w:val="nil"/>
              <w:tr2bl w:val="nil"/>
            </w:tcBorders>
            <w:shd w:val="clear" w:color="auto" w:fill="auto"/>
            <w:noWrap w:val="0"/>
            <w:tcMar>
              <w:top w:w="15" w:type="dxa"/>
              <w:left w:w="15" w:type="dxa"/>
              <w:right w:w="15" w:type="dxa"/>
            </w:tcMar>
            <w:vAlign w:val="center"/>
          </w:tcPr>
          <w:p w14:paraId="4D29EB8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6F6155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46BEB4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47B98A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06421E1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57163F5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4078E2F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7DFAEEC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24421A3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699D8F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加强安全教育和检查</w:t>
            </w:r>
          </w:p>
        </w:tc>
      </w:tr>
      <w:tr w14:paraId="7CB623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78656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35</w:t>
            </w:r>
          </w:p>
        </w:tc>
        <w:tc>
          <w:tcPr>
            <w:tcW w:w="669" w:type="dxa"/>
            <w:tcBorders>
              <w:tl2br w:val="nil"/>
              <w:tr2bl w:val="nil"/>
            </w:tcBorders>
            <w:shd w:val="clear" w:color="auto" w:fill="auto"/>
            <w:noWrap w:val="0"/>
            <w:tcMar>
              <w:top w:w="15" w:type="dxa"/>
              <w:left w:w="15" w:type="dxa"/>
              <w:right w:w="15" w:type="dxa"/>
            </w:tcMar>
            <w:vAlign w:val="center"/>
          </w:tcPr>
          <w:p w14:paraId="006475A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497C48E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CAC31F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上人爬梯无护圈或护圈不符合要求</w:t>
            </w:r>
          </w:p>
        </w:tc>
        <w:tc>
          <w:tcPr>
            <w:tcW w:w="803" w:type="dxa"/>
            <w:tcBorders>
              <w:tl2br w:val="nil"/>
              <w:tr2bl w:val="nil"/>
            </w:tcBorders>
            <w:shd w:val="clear" w:color="auto" w:fill="auto"/>
            <w:noWrap w:val="0"/>
            <w:tcMar>
              <w:top w:w="15" w:type="dxa"/>
              <w:left w:w="15" w:type="dxa"/>
              <w:right w:w="15" w:type="dxa"/>
            </w:tcMar>
            <w:vAlign w:val="center"/>
          </w:tcPr>
          <w:p w14:paraId="19B7AA1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700B3A8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1CB66C7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0D33902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19C0BA1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B27F59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82FD17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0F47826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061CF68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A786D9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w:t>
            </w:r>
          </w:p>
        </w:tc>
      </w:tr>
      <w:tr w14:paraId="7B248C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F2EBEB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36</w:t>
            </w:r>
          </w:p>
        </w:tc>
        <w:tc>
          <w:tcPr>
            <w:tcW w:w="669" w:type="dxa"/>
            <w:tcBorders>
              <w:tl2br w:val="nil"/>
              <w:tr2bl w:val="nil"/>
            </w:tcBorders>
            <w:shd w:val="clear" w:color="auto" w:fill="auto"/>
            <w:noWrap w:val="0"/>
            <w:tcMar>
              <w:top w:w="15" w:type="dxa"/>
              <w:left w:w="15" w:type="dxa"/>
              <w:right w:w="15" w:type="dxa"/>
            </w:tcMar>
            <w:vAlign w:val="center"/>
          </w:tcPr>
          <w:p w14:paraId="6380ED9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30AED1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04C70FE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上塔人行通道无防护栏或不符合要求</w:t>
            </w:r>
          </w:p>
        </w:tc>
        <w:tc>
          <w:tcPr>
            <w:tcW w:w="803" w:type="dxa"/>
            <w:tcBorders>
              <w:tl2br w:val="nil"/>
              <w:tr2bl w:val="nil"/>
            </w:tcBorders>
            <w:shd w:val="clear" w:color="auto" w:fill="auto"/>
            <w:noWrap w:val="0"/>
            <w:tcMar>
              <w:top w:w="15" w:type="dxa"/>
              <w:left w:w="15" w:type="dxa"/>
              <w:right w:w="15" w:type="dxa"/>
            </w:tcMar>
            <w:vAlign w:val="center"/>
          </w:tcPr>
          <w:p w14:paraId="33B0E64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181C229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9D04ED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0529A48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49B368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A3566B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38A26E9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6ECC14E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666C435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1B4B417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w:t>
            </w:r>
          </w:p>
        </w:tc>
      </w:tr>
      <w:tr w14:paraId="5852E9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6EA62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37</w:t>
            </w:r>
          </w:p>
        </w:tc>
        <w:tc>
          <w:tcPr>
            <w:tcW w:w="669" w:type="dxa"/>
            <w:tcBorders>
              <w:tl2br w:val="nil"/>
              <w:tr2bl w:val="nil"/>
            </w:tcBorders>
            <w:shd w:val="clear" w:color="auto" w:fill="auto"/>
            <w:noWrap w:val="0"/>
            <w:tcMar>
              <w:top w:w="15" w:type="dxa"/>
              <w:left w:w="15" w:type="dxa"/>
              <w:right w:w="15" w:type="dxa"/>
            </w:tcMar>
            <w:vAlign w:val="center"/>
          </w:tcPr>
          <w:p w14:paraId="3A89B9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0A05DD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w:t>
            </w:r>
            <w:r>
              <w:rPr>
                <w:rFonts w:hint="eastAsia" w:ascii="宋体" w:hAnsi="宋体" w:cs="宋体"/>
                <w:color w:val="auto"/>
                <w:kern w:val="0"/>
                <w:sz w:val="18"/>
                <w:szCs w:val="18"/>
                <w:lang w:val="en-US" w:eastAsia="zh-CN"/>
              </w:rPr>
              <w:t>拆除</w:t>
            </w:r>
            <w:r>
              <w:rPr>
                <w:rFonts w:hint="eastAsia" w:ascii="宋体" w:hAnsi="宋体" w:cs="宋体"/>
                <w:color w:val="auto"/>
                <w:kern w:val="0"/>
                <w:sz w:val="18"/>
                <w:szCs w:val="18"/>
              </w:rPr>
              <w:t>作业</w:t>
            </w:r>
          </w:p>
        </w:tc>
        <w:tc>
          <w:tcPr>
            <w:tcW w:w="1801" w:type="dxa"/>
            <w:tcBorders>
              <w:tl2br w:val="nil"/>
              <w:tr2bl w:val="nil"/>
            </w:tcBorders>
            <w:shd w:val="clear" w:color="auto" w:fill="auto"/>
            <w:noWrap w:val="0"/>
            <w:tcMar>
              <w:top w:w="15" w:type="dxa"/>
              <w:left w:w="15" w:type="dxa"/>
              <w:right w:w="15" w:type="dxa"/>
            </w:tcMar>
            <w:vAlign w:val="center"/>
          </w:tcPr>
          <w:p w14:paraId="24A79F2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施工作业中缺少防暑降温措施</w:t>
            </w:r>
          </w:p>
        </w:tc>
        <w:tc>
          <w:tcPr>
            <w:tcW w:w="803" w:type="dxa"/>
            <w:tcBorders>
              <w:tl2br w:val="nil"/>
              <w:tr2bl w:val="nil"/>
            </w:tcBorders>
            <w:shd w:val="clear" w:color="auto" w:fill="auto"/>
            <w:noWrap w:val="0"/>
            <w:tcMar>
              <w:top w:w="15" w:type="dxa"/>
              <w:left w:w="15" w:type="dxa"/>
              <w:right w:w="15" w:type="dxa"/>
            </w:tcMar>
            <w:vAlign w:val="center"/>
          </w:tcPr>
          <w:p w14:paraId="09BC5F7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高处坠落</w:t>
            </w:r>
          </w:p>
        </w:tc>
        <w:tc>
          <w:tcPr>
            <w:tcW w:w="390" w:type="dxa"/>
            <w:tcBorders>
              <w:tl2br w:val="nil"/>
              <w:tr2bl w:val="nil"/>
            </w:tcBorders>
            <w:shd w:val="clear" w:color="auto" w:fill="auto"/>
            <w:noWrap w:val="0"/>
            <w:tcMar>
              <w:top w:w="15" w:type="dxa"/>
              <w:left w:w="15" w:type="dxa"/>
              <w:right w:w="15" w:type="dxa"/>
            </w:tcMar>
            <w:vAlign w:val="center"/>
          </w:tcPr>
          <w:p w14:paraId="4016003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C76548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01A92C6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A6D3DB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72F333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506E726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24576DF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104103B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07D4AF9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配备药品</w:t>
            </w:r>
          </w:p>
        </w:tc>
      </w:tr>
      <w:tr w14:paraId="307C51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7FCF4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38</w:t>
            </w:r>
          </w:p>
        </w:tc>
        <w:tc>
          <w:tcPr>
            <w:tcW w:w="669" w:type="dxa"/>
            <w:tcBorders>
              <w:tl2br w:val="nil"/>
              <w:tr2bl w:val="nil"/>
            </w:tcBorders>
            <w:shd w:val="clear" w:color="auto" w:fill="auto"/>
            <w:noWrap w:val="0"/>
            <w:tcMar>
              <w:top w:w="15" w:type="dxa"/>
              <w:left w:w="15" w:type="dxa"/>
              <w:right w:w="15" w:type="dxa"/>
            </w:tcMar>
            <w:vAlign w:val="center"/>
          </w:tcPr>
          <w:p w14:paraId="3166ACA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B851C8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C8FC47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夜间作业照明不足</w:t>
            </w:r>
          </w:p>
        </w:tc>
        <w:tc>
          <w:tcPr>
            <w:tcW w:w="803" w:type="dxa"/>
            <w:tcBorders>
              <w:tl2br w:val="nil"/>
              <w:tr2bl w:val="nil"/>
            </w:tcBorders>
            <w:shd w:val="clear" w:color="auto" w:fill="auto"/>
            <w:noWrap w:val="0"/>
            <w:tcMar>
              <w:top w:w="15" w:type="dxa"/>
              <w:left w:w="15" w:type="dxa"/>
              <w:right w:w="15" w:type="dxa"/>
            </w:tcMar>
            <w:vAlign w:val="center"/>
          </w:tcPr>
          <w:p w14:paraId="1199108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安全事故</w:t>
            </w:r>
          </w:p>
        </w:tc>
        <w:tc>
          <w:tcPr>
            <w:tcW w:w="390" w:type="dxa"/>
            <w:tcBorders>
              <w:tl2br w:val="nil"/>
              <w:tr2bl w:val="nil"/>
            </w:tcBorders>
            <w:shd w:val="clear" w:color="auto" w:fill="auto"/>
            <w:noWrap w:val="0"/>
            <w:tcMar>
              <w:top w:w="15" w:type="dxa"/>
              <w:left w:w="15" w:type="dxa"/>
              <w:right w:w="15" w:type="dxa"/>
            </w:tcMar>
            <w:vAlign w:val="center"/>
          </w:tcPr>
          <w:p w14:paraId="66725B2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DF2B2A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40600D2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6CA7AA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729F3CD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C8F5BE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22D044D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4F33BF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5BFF142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专人监管</w:t>
            </w:r>
          </w:p>
        </w:tc>
      </w:tr>
      <w:tr w14:paraId="7B9808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15CFA7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39</w:t>
            </w:r>
          </w:p>
        </w:tc>
        <w:tc>
          <w:tcPr>
            <w:tcW w:w="669" w:type="dxa"/>
            <w:tcBorders>
              <w:tl2br w:val="nil"/>
              <w:tr2bl w:val="nil"/>
            </w:tcBorders>
            <w:shd w:val="clear" w:color="auto" w:fill="auto"/>
            <w:noWrap w:val="0"/>
            <w:tcMar>
              <w:top w:w="15" w:type="dxa"/>
              <w:left w:w="15" w:type="dxa"/>
              <w:right w:w="15" w:type="dxa"/>
            </w:tcMar>
            <w:vAlign w:val="center"/>
          </w:tcPr>
          <w:p w14:paraId="6A7200F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CFE0BB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4D478AA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拆除作业区和四周未布置警戒线、挂醒目安全示警牌</w:t>
            </w:r>
          </w:p>
        </w:tc>
        <w:tc>
          <w:tcPr>
            <w:tcW w:w="803" w:type="dxa"/>
            <w:tcBorders>
              <w:tl2br w:val="nil"/>
              <w:tr2bl w:val="nil"/>
            </w:tcBorders>
            <w:shd w:val="clear" w:color="auto" w:fill="auto"/>
            <w:noWrap w:val="0"/>
            <w:tcMar>
              <w:top w:w="15" w:type="dxa"/>
              <w:left w:w="15" w:type="dxa"/>
              <w:right w:w="15" w:type="dxa"/>
            </w:tcMar>
            <w:vAlign w:val="center"/>
          </w:tcPr>
          <w:p w14:paraId="7DAB2C1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10A1EA9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3C2CAE8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35D48E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16FF00A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3A4D5F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1B5956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135</w:t>
            </w:r>
          </w:p>
        </w:tc>
        <w:tc>
          <w:tcPr>
            <w:tcW w:w="467" w:type="dxa"/>
            <w:tcBorders>
              <w:tl2br w:val="nil"/>
              <w:tr2bl w:val="nil"/>
            </w:tcBorders>
            <w:shd w:val="clear" w:color="auto" w:fill="auto"/>
            <w:noWrap w:val="0"/>
            <w:tcMar>
              <w:top w:w="15" w:type="dxa"/>
              <w:left w:w="15" w:type="dxa"/>
              <w:right w:w="15" w:type="dxa"/>
            </w:tcMar>
            <w:vAlign w:val="center"/>
          </w:tcPr>
          <w:p w14:paraId="7F80A8B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738" w:type="dxa"/>
            <w:tcBorders>
              <w:tl2br w:val="nil"/>
              <w:tr2bl w:val="nil"/>
            </w:tcBorders>
            <w:shd w:val="clear" w:color="auto" w:fill="auto"/>
            <w:noWrap w:val="0"/>
            <w:tcMar>
              <w:top w:w="15" w:type="dxa"/>
              <w:left w:w="15" w:type="dxa"/>
              <w:right w:w="15" w:type="dxa"/>
            </w:tcMar>
            <w:vAlign w:val="center"/>
          </w:tcPr>
          <w:p w14:paraId="42ED135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5ACFDC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专人监管</w:t>
            </w:r>
          </w:p>
        </w:tc>
      </w:tr>
      <w:tr w14:paraId="30B5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CA7160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40</w:t>
            </w:r>
          </w:p>
        </w:tc>
        <w:tc>
          <w:tcPr>
            <w:tcW w:w="669" w:type="dxa"/>
            <w:tcBorders>
              <w:tl2br w:val="nil"/>
              <w:tr2bl w:val="nil"/>
            </w:tcBorders>
            <w:shd w:val="clear" w:color="auto" w:fill="auto"/>
            <w:noWrap w:val="0"/>
            <w:tcMar>
              <w:top w:w="15" w:type="dxa"/>
              <w:left w:w="15" w:type="dxa"/>
              <w:right w:w="15" w:type="dxa"/>
            </w:tcMar>
            <w:vAlign w:val="center"/>
          </w:tcPr>
          <w:p w14:paraId="61B0601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B54481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现场拆除作业</w:t>
            </w:r>
          </w:p>
        </w:tc>
        <w:tc>
          <w:tcPr>
            <w:tcW w:w="1801" w:type="dxa"/>
            <w:tcBorders>
              <w:tl2br w:val="nil"/>
              <w:tr2bl w:val="nil"/>
            </w:tcBorders>
            <w:shd w:val="clear" w:color="auto" w:fill="auto"/>
            <w:noWrap w:val="0"/>
            <w:tcMar>
              <w:top w:w="15" w:type="dxa"/>
              <w:left w:w="15" w:type="dxa"/>
              <w:right w:w="15" w:type="dxa"/>
            </w:tcMar>
            <w:vAlign w:val="center"/>
          </w:tcPr>
          <w:p w14:paraId="1D5C24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拆除作业现场未及时清除障碍物</w:t>
            </w:r>
          </w:p>
        </w:tc>
        <w:tc>
          <w:tcPr>
            <w:tcW w:w="803" w:type="dxa"/>
            <w:tcBorders>
              <w:tl2br w:val="nil"/>
              <w:tr2bl w:val="nil"/>
            </w:tcBorders>
            <w:shd w:val="clear" w:color="auto" w:fill="auto"/>
            <w:noWrap w:val="0"/>
            <w:tcMar>
              <w:top w:w="15" w:type="dxa"/>
              <w:left w:w="15" w:type="dxa"/>
              <w:right w:w="15" w:type="dxa"/>
            </w:tcMar>
            <w:vAlign w:val="center"/>
          </w:tcPr>
          <w:p w14:paraId="61D1996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物体打击</w:t>
            </w:r>
          </w:p>
        </w:tc>
        <w:tc>
          <w:tcPr>
            <w:tcW w:w="390" w:type="dxa"/>
            <w:tcBorders>
              <w:tl2br w:val="nil"/>
              <w:tr2bl w:val="nil"/>
            </w:tcBorders>
            <w:shd w:val="clear" w:color="auto" w:fill="auto"/>
            <w:noWrap w:val="0"/>
            <w:tcMar>
              <w:top w:w="15" w:type="dxa"/>
              <w:left w:w="15" w:type="dxa"/>
              <w:right w:w="15" w:type="dxa"/>
            </w:tcMar>
            <w:vAlign w:val="center"/>
          </w:tcPr>
          <w:p w14:paraId="731702D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2C99E36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140536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23F2BD2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11B748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3FECA4C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0157AD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7BB9BB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0F9615E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施工前检查</w:t>
            </w:r>
          </w:p>
        </w:tc>
      </w:tr>
      <w:tr w14:paraId="417E12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7A23F4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41</w:t>
            </w:r>
          </w:p>
        </w:tc>
        <w:tc>
          <w:tcPr>
            <w:tcW w:w="669" w:type="dxa"/>
            <w:tcBorders>
              <w:tl2br w:val="nil"/>
              <w:tr2bl w:val="nil"/>
            </w:tcBorders>
            <w:shd w:val="clear" w:color="auto" w:fill="auto"/>
            <w:noWrap w:val="0"/>
            <w:tcMar>
              <w:top w:w="15" w:type="dxa"/>
              <w:left w:w="15" w:type="dxa"/>
              <w:right w:w="15" w:type="dxa"/>
            </w:tcMar>
            <w:vAlign w:val="center"/>
          </w:tcPr>
          <w:p w14:paraId="027D025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BA3E6A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调试</w:t>
            </w:r>
          </w:p>
        </w:tc>
        <w:tc>
          <w:tcPr>
            <w:tcW w:w="1801" w:type="dxa"/>
            <w:tcBorders>
              <w:tl2br w:val="nil"/>
              <w:tr2bl w:val="nil"/>
            </w:tcBorders>
            <w:shd w:val="clear" w:color="auto" w:fill="auto"/>
            <w:noWrap w:val="0"/>
            <w:tcMar>
              <w:top w:w="15" w:type="dxa"/>
              <w:left w:w="15" w:type="dxa"/>
              <w:right w:w="15" w:type="dxa"/>
            </w:tcMar>
            <w:vAlign w:val="center"/>
          </w:tcPr>
          <w:p w14:paraId="4FD9D64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运行机构制动未调试好</w:t>
            </w:r>
          </w:p>
        </w:tc>
        <w:tc>
          <w:tcPr>
            <w:tcW w:w="803" w:type="dxa"/>
            <w:tcBorders>
              <w:tl2br w:val="nil"/>
              <w:tr2bl w:val="nil"/>
            </w:tcBorders>
            <w:shd w:val="clear" w:color="auto" w:fill="auto"/>
            <w:noWrap w:val="0"/>
            <w:tcMar>
              <w:top w:w="15" w:type="dxa"/>
              <w:left w:w="15" w:type="dxa"/>
              <w:right w:w="15" w:type="dxa"/>
            </w:tcMar>
            <w:vAlign w:val="center"/>
          </w:tcPr>
          <w:p w14:paraId="3C94552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069FF14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A558BC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C4BE8B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EC5ECA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4B3664D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77907D2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33094D9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2164101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75EC7A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调试前严格检查</w:t>
            </w:r>
          </w:p>
        </w:tc>
      </w:tr>
      <w:tr w14:paraId="3C3E4C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97204E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42</w:t>
            </w:r>
          </w:p>
        </w:tc>
        <w:tc>
          <w:tcPr>
            <w:tcW w:w="669" w:type="dxa"/>
            <w:tcBorders>
              <w:tl2br w:val="nil"/>
              <w:tr2bl w:val="nil"/>
            </w:tcBorders>
            <w:shd w:val="clear" w:color="auto" w:fill="auto"/>
            <w:noWrap w:val="0"/>
            <w:tcMar>
              <w:top w:w="15" w:type="dxa"/>
              <w:left w:w="15" w:type="dxa"/>
              <w:right w:w="15" w:type="dxa"/>
            </w:tcMar>
            <w:vAlign w:val="center"/>
          </w:tcPr>
          <w:p w14:paraId="4A1ED09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31411A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调试</w:t>
            </w:r>
          </w:p>
        </w:tc>
        <w:tc>
          <w:tcPr>
            <w:tcW w:w="1801" w:type="dxa"/>
            <w:tcBorders>
              <w:tl2br w:val="nil"/>
              <w:tr2bl w:val="nil"/>
            </w:tcBorders>
            <w:shd w:val="clear" w:color="auto" w:fill="auto"/>
            <w:noWrap w:val="0"/>
            <w:tcMar>
              <w:top w:w="15" w:type="dxa"/>
              <w:left w:w="15" w:type="dxa"/>
              <w:right w:w="15" w:type="dxa"/>
            </w:tcMar>
            <w:vAlign w:val="center"/>
          </w:tcPr>
          <w:p w14:paraId="424D800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无人指挥进行操作</w:t>
            </w:r>
          </w:p>
        </w:tc>
        <w:tc>
          <w:tcPr>
            <w:tcW w:w="803" w:type="dxa"/>
            <w:tcBorders>
              <w:tl2br w:val="nil"/>
              <w:tr2bl w:val="nil"/>
            </w:tcBorders>
            <w:shd w:val="clear" w:color="auto" w:fill="auto"/>
            <w:noWrap w:val="0"/>
            <w:tcMar>
              <w:top w:w="15" w:type="dxa"/>
              <w:left w:w="15" w:type="dxa"/>
              <w:right w:w="15" w:type="dxa"/>
            </w:tcMar>
            <w:vAlign w:val="center"/>
          </w:tcPr>
          <w:p w14:paraId="43A9B24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60931BC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087163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6E96BD6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3D1C4D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77E79D4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1155EF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1861461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0F68304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738A335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派专人指挥</w:t>
            </w:r>
          </w:p>
        </w:tc>
      </w:tr>
      <w:tr w14:paraId="5746FA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A7BD3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43</w:t>
            </w:r>
          </w:p>
        </w:tc>
        <w:tc>
          <w:tcPr>
            <w:tcW w:w="669" w:type="dxa"/>
            <w:tcBorders>
              <w:tl2br w:val="nil"/>
              <w:tr2bl w:val="nil"/>
            </w:tcBorders>
            <w:shd w:val="clear" w:color="auto" w:fill="auto"/>
            <w:noWrap w:val="0"/>
            <w:tcMar>
              <w:top w:w="15" w:type="dxa"/>
              <w:left w:w="15" w:type="dxa"/>
              <w:right w:w="15" w:type="dxa"/>
            </w:tcMar>
            <w:vAlign w:val="center"/>
          </w:tcPr>
          <w:p w14:paraId="7B2B527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48A648C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调试</w:t>
            </w:r>
          </w:p>
        </w:tc>
        <w:tc>
          <w:tcPr>
            <w:tcW w:w="1801" w:type="dxa"/>
            <w:tcBorders>
              <w:tl2br w:val="nil"/>
              <w:tr2bl w:val="nil"/>
            </w:tcBorders>
            <w:shd w:val="clear" w:color="auto" w:fill="auto"/>
            <w:noWrap w:val="0"/>
            <w:tcMar>
              <w:top w:w="15" w:type="dxa"/>
              <w:left w:w="15" w:type="dxa"/>
              <w:right w:w="15" w:type="dxa"/>
            </w:tcMar>
            <w:vAlign w:val="center"/>
          </w:tcPr>
          <w:p w14:paraId="57E03A9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安全保护装置失效</w:t>
            </w:r>
          </w:p>
        </w:tc>
        <w:tc>
          <w:tcPr>
            <w:tcW w:w="803" w:type="dxa"/>
            <w:tcBorders>
              <w:tl2br w:val="nil"/>
              <w:tr2bl w:val="nil"/>
            </w:tcBorders>
            <w:shd w:val="clear" w:color="auto" w:fill="auto"/>
            <w:noWrap w:val="0"/>
            <w:tcMar>
              <w:top w:w="15" w:type="dxa"/>
              <w:left w:w="15" w:type="dxa"/>
              <w:right w:w="15" w:type="dxa"/>
            </w:tcMar>
            <w:vAlign w:val="center"/>
          </w:tcPr>
          <w:p w14:paraId="4097B60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机械事故</w:t>
            </w:r>
          </w:p>
        </w:tc>
        <w:tc>
          <w:tcPr>
            <w:tcW w:w="390" w:type="dxa"/>
            <w:tcBorders>
              <w:tl2br w:val="nil"/>
              <w:tr2bl w:val="nil"/>
            </w:tcBorders>
            <w:shd w:val="clear" w:color="auto" w:fill="auto"/>
            <w:noWrap w:val="0"/>
            <w:tcMar>
              <w:top w:w="15" w:type="dxa"/>
              <w:left w:w="15" w:type="dxa"/>
              <w:right w:w="15" w:type="dxa"/>
            </w:tcMar>
            <w:vAlign w:val="center"/>
          </w:tcPr>
          <w:p w14:paraId="526DB6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415158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B58E95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818FBF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72401D2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4CF0569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046EE95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190CC5D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特种设备安全法</w:t>
            </w:r>
          </w:p>
        </w:tc>
        <w:tc>
          <w:tcPr>
            <w:tcW w:w="816" w:type="dxa"/>
            <w:tcBorders>
              <w:tl2br w:val="nil"/>
              <w:tr2bl w:val="nil"/>
            </w:tcBorders>
            <w:shd w:val="clear" w:color="auto" w:fill="auto"/>
            <w:noWrap w:val="0"/>
            <w:tcMar>
              <w:top w:w="15" w:type="dxa"/>
              <w:left w:w="15" w:type="dxa"/>
              <w:right w:w="15" w:type="dxa"/>
            </w:tcMar>
            <w:vAlign w:val="center"/>
          </w:tcPr>
          <w:p w14:paraId="75A122F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调试前严格检查</w:t>
            </w:r>
          </w:p>
        </w:tc>
      </w:tr>
      <w:tr w14:paraId="6C1167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75E392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44</w:t>
            </w:r>
          </w:p>
        </w:tc>
        <w:tc>
          <w:tcPr>
            <w:tcW w:w="669" w:type="dxa"/>
            <w:tcBorders>
              <w:tl2br w:val="nil"/>
              <w:tr2bl w:val="nil"/>
            </w:tcBorders>
            <w:shd w:val="clear" w:color="auto" w:fill="auto"/>
            <w:noWrap w:val="0"/>
            <w:tcMar>
              <w:top w:w="15" w:type="dxa"/>
              <w:left w:w="15" w:type="dxa"/>
              <w:right w:w="15" w:type="dxa"/>
            </w:tcMar>
            <w:vAlign w:val="center"/>
          </w:tcPr>
          <w:p w14:paraId="2D07986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3C528C2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现场焊接加工、割除</w:t>
            </w:r>
          </w:p>
        </w:tc>
        <w:tc>
          <w:tcPr>
            <w:tcW w:w="1801" w:type="dxa"/>
            <w:tcBorders>
              <w:tl2br w:val="nil"/>
              <w:tr2bl w:val="nil"/>
            </w:tcBorders>
            <w:shd w:val="clear" w:color="auto" w:fill="auto"/>
            <w:noWrap w:val="0"/>
            <w:tcMar>
              <w:top w:w="15" w:type="dxa"/>
              <w:left w:w="15" w:type="dxa"/>
              <w:right w:w="15" w:type="dxa"/>
            </w:tcMar>
            <w:vAlign w:val="center"/>
          </w:tcPr>
          <w:p w14:paraId="0416DB4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无专用电箱，或者专用电箱电器配置不符合要求</w:t>
            </w:r>
          </w:p>
        </w:tc>
        <w:tc>
          <w:tcPr>
            <w:tcW w:w="803" w:type="dxa"/>
            <w:tcBorders>
              <w:tl2br w:val="nil"/>
              <w:tr2bl w:val="nil"/>
            </w:tcBorders>
            <w:shd w:val="clear" w:color="auto" w:fill="auto"/>
            <w:noWrap w:val="0"/>
            <w:tcMar>
              <w:top w:w="15" w:type="dxa"/>
              <w:left w:w="15" w:type="dxa"/>
              <w:right w:w="15" w:type="dxa"/>
            </w:tcMar>
            <w:vAlign w:val="center"/>
          </w:tcPr>
          <w:p w14:paraId="59F1CDB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触电</w:t>
            </w:r>
          </w:p>
        </w:tc>
        <w:tc>
          <w:tcPr>
            <w:tcW w:w="390" w:type="dxa"/>
            <w:tcBorders>
              <w:tl2br w:val="nil"/>
              <w:tr2bl w:val="nil"/>
            </w:tcBorders>
            <w:shd w:val="clear" w:color="auto" w:fill="auto"/>
            <w:noWrap w:val="0"/>
            <w:tcMar>
              <w:top w:w="15" w:type="dxa"/>
              <w:left w:w="15" w:type="dxa"/>
              <w:right w:w="15" w:type="dxa"/>
            </w:tcMar>
            <w:vAlign w:val="center"/>
          </w:tcPr>
          <w:p w14:paraId="64CBE4A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5FC498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E3028B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621553C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7AB2421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2AF4E48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3067AEF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7AA53DD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608EA68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配置符合要求的电箱</w:t>
            </w:r>
          </w:p>
        </w:tc>
      </w:tr>
      <w:tr w14:paraId="649B03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73E12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45</w:t>
            </w:r>
          </w:p>
        </w:tc>
        <w:tc>
          <w:tcPr>
            <w:tcW w:w="669" w:type="dxa"/>
            <w:tcBorders>
              <w:tl2br w:val="nil"/>
              <w:tr2bl w:val="nil"/>
            </w:tcBorders>
            <w:shd w:val="clear" w:color="auto" w:fill="auto"/>
            <w:noWrap w:val="0"/>
            <w:tcMar>
              <w:top w:w="15" w:type="dxa"/>
              <w:left w:w="15" w:type="dxa"/>
              <w:right w:w="15" w:type="dxa"/>
            </w:tcMar>
            <w:vAlign w:val="center"/>
          </w:tcPr>
          <w:p w14:paraId="68B139D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1A80F0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现场焊接加工、割除</w:t>
            </w:r>
          </w:p>
        </w:tc>
        <w:tc>
          <w:tcPr>
            <w:tcW w:w="1801" w:type="dxa"/>
            <w:tcBorders>
              <w:tl2br w:val="nil"/>
              <w:tr2bl w:val="nil"/>
            </w:tcBorders>
            <w:shd w:val="clear" w:color="auto" w:fill="auto"/>
            <w:noWrap w:val="0"/>
            <w:tcMar>
              <w:top w:w="15" w:type="dxa"/>
              <w:left w:w="15" w:type="dxa"/>
              <w:right w:w="15" w:type="dxa"/>
            </w:tcMar>
            <w:vAlign w:val="center"/>
          </w:tcPr>
          <w:p w14:paraId="292DAD2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违反“一机、一闸、一漏、一箱”</w:t>
            </w:r>
          </w:p>
        </w:tc>
        <w:tc>
          <w:tcPr>
            <w:tcW w:w="803" w:type="dxa"/>
            <w:tcBorders>
              <w:tl2br w:val="nil"/>
              <w:tr2bl w:val="nil"/>
            </w:tcBorders>
            <w:shd w:val="clear" w:color="auto" w:fill="auto"/>
            <w:noWrap w:val="0"/>
            <w:tcMar>
              <w:top w:w="15" w:type="dxa"/>
              <w:left w:w="15" w:type="dxa"/>
              <w:right w:w="15" w:type="dxa"/>
            </w:tcMar>
            <w:vAlign w:val="center"/>
          </w:tcPr>
          <w:p w14:paraId="6BB1BC7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触电</w:t>
            </w:r>
          </w:p>
        </w:tc>
        <w:tc>
          <w:tcPr>
            <w:tcW w:w="390" w:type="dxa"/>
            <w:tcBorders>
              <w:tl2br w:val="nil"/>
              <w:tr2bl w:val="nil"/>
            </w:tcBorders>
            <w:shd w:val="clear" w:color="auto" w:fill="auto"/>
            <w:noWrap w:val="0"/>
            <w:tcMar>
              <w:top w:w="15" w:type="dxa"/>
              <w:left w:w="15" w:type="dxa"/>
              <w:right w:w="15" w:type="dxa"/>
            </w:tcMar>
            <w:vAlign w:val="center"/>
          </w:tcPr>
          <w:p w14:paraId="101C632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0BE2655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06F89A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34AFD6B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012114C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644AD8A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7D25AC8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211437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B2D6ED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w:t>
            </w:r>
          </w:p>
        </w:tc>
      </w:tr>
      <w:tr w14:paraId="7E98C5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B2B44B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46</w:t>
            </w:r>
          </w:p>
        </w:tc>
        <w:tc>
          <w:tcPr>
            <w:tcW w:w="669" w:type="dxa"/>
            <w:tcBorders>
              <w:tl2br w:val="nil"/>
              <w:tr2bl w:val="nil"/>
            </w:tcBorders>
            <w:shd w:val="clear" w:color="auto" w:fill="auto"/>
            <w:noWrap w:val="0"/>
            <w:tcMar>
              <w:top w:w="15" w:type="dxa"/>
              <w:left w:w="15" w:type="dxa"/>
              <w:right w:w="15" w:type="dxa"/>
            </w:tcMar>
            <w:vAlign w:val="center"/>
          </w:tcPr>
          <w:p w14:paraId="29907F4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1A54E96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现场加工作业</w:t>
            </w:r>
          </w:p>
        </w:tc>
        <w:tc>
          <w:tcPr>
            <w:tcW w:w="1801" w:type="dxa"/>
            <w:tcBorders>
              <w:tl2br w:val="nil"/>
              <w:tr2bl w:val="nil"/>
            </w:tcBorders>
            <w:shd w:val="clear" w:color="auto" w:fill="auto"/>
            <w:noWrap w:val="0"/>
            <w:tcMar>
              <w:top w:w="15" w:type="dxa"/>
              <w:left w:w="15" w:type="dxa"/>
              <w:right w:w="15" w:type="dxa"/>
            </w:tcMar>
            <w:vAlign w:val="center"/>
          </w:tcPr>
          <w:p w14:paraId="0F52A30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不符合“三级配电二级保护”要求导致防护不足</w:t>
            </w:r>
          </w:p>
        </w:tc>
        <w:tc>
          <w:tcPr>
            <w:tcW w:w="803" w:type="dxa"/>
            <w:tcBorders>
              <w:tl2br w:val="nil"/>
              <w:tr2bl w:val="nil"/>
            </w:tcBorders>
            <w:shd w:val="clear" w:color="auto" w:fill="auto"/>
            <w:noWrap w:val="0"/>
            <w:tcMar>
              <w:top w:w="15" w:type="dxa"/>
              <w:left w:w="15" w:type="dxa"/>
              <w:right w:w="15" w:type="dxa"/>
            </w:tcMar>
            <w:vAlign w:val="center"/>
          </w:tcPr>
          <w:p w14:paraId="7AB8300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触电</w:t>
            </w:r>
          </w:p>
        </w:tc>
        <w:tc>
          <w:tcPr>
            <w:tcW w:w="390" w:type="dxa"/>
            <w:tcBorders>
              <w:tl2br w:val="nil"/>
              <w:tr2bl w:val="nil"/>
            </w:tcBorders>
            <w:shd w:val="clear" w:color="auto" w:fill="auto"/>
            <w:noWrap w:val="0"/>
            <w:tcMar>
              <w:top w:w="15" w:type="dxa"/>
              <w:left w:w="15" w:type="dxa"/>
              <w:right w:w="15" w:type="dxa"/>
            </w:tcMar>
            <w:vAlign w:val="center"/>
          </w:tcPr>
          <w:p w14:paraId="6B24958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5945818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5E94E1B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5A6CF9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69A9688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303C0AC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46C44FF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6508C46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0328E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严格检查，完善保护装置</w:t>
            </w:r>
          </w:p>
        </w:tc>
      </w:tr>
      <w:tr w14:paraId="3D2B6E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CC2C9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47</w:t>
            </w:r>
          </w:p>
        </w:tc>
        <w:tc>
          <w:tcPr>
            <w:tcW w:w="669" w:type="dxa"/>
            <w:tcBorders>
              <w:tl2br w:val="nil"/>
              <w:tr2bl w:val="nil"/>
            </w:tcBorders>
            <w:shd w:val="clear" w:color="auto" w:fill="auto"/>
            <w:noWrap w:val="0"/>
            <w:tcMar>
              <w:top w:w="15" w:type="dxa"/>
              <w:left w:w="15" w:type="dxa"/>
              <w:right w:w="15" w:type="dxa"/>
            </w:tcMar>
            <w:vAlign w:val="center"/>
          </w:tcPr>
          <w:p w14:paraId="65614735">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4B2C2F1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现场加工作业</w:t>
            </w:r>
          </w:p>
        </w:tc>
        <w:tc>
          <w:tcPr>
            <w:tcW w:w="1801" w:type="dxa"/>
            <w:tcBorders>
              <w:tl2br w:val="nil"/>
              <w:tr2bl w:val="nil"/>
            </w:tcBorders>
            <w:shd w:val="clear" w:color="auto" w:fill="auto"/>
            <w:noWrap w:val="0"/>
            <w:tcMar>
              <w:top w:w="15" w:type="dxa"/>
              <w:left w:w="15" w:type="dxa"/>
              <w:right w:w="15" w:type="dxa"/>
            </w:tcMar>
            <w:vAlign w:val="center"/>
          </w:tcPr>
          <w:p w14:paraId="4ECDFDD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电气设施金属外壳末接地</w:t>
            </w:r>
          </w:p>
        </w:tc>
        <w:tc>
          <w:tcPr>
            <w:tcW w:w="803" w:type="dxa"/>
            <w:tcBorders>
              <w:tl2br w:val="nil"/>
              <w:tr2bl w:val="nil"/>
            </w:tcBorders>
            <w:shd w:val="clear" w:color="auto" w:fill="auto"/>
            <w:noWrap w:val="0"/>
            <w:tcMar>
              <w:top w:w="15" w:type="dxa"/>
              <w:left w:w="15" w:type="dxa"/>
              <w:right w:w="15" w:type="dxa"/>
            </w:tcMar>
            <w:vAlign w:val="center"/>
          </w:tcPr>
          <w:p w14:paraId="4A41A5F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触电</w:t>
            </w:r>
          </w:p>
        </w:tc>
        <w:tc>
          <w:tcPr>
            <w:tcW w:w="390" w:type="dxa"/>
            <w:tcBorders>
              <w:tl2br w:val="nil"/>
              <w:tr2bl w:val="nil"/>
            </w:tcBorders>
            <w:shd w:val="clear" w:color="auto" w:fill="auto"/>
            <w:noWrap w:val="0"/>
            <w:tcMar>
              <w:top w:w="15" w:type="dxa"/>
              <w:left w:w="15" w:type="dxa"/>
              <w:right w:w="15" w:type="dxa"/>
            </w:tcMar>
            <w:vAlign w:val="center"/>
          </w:tcPr>
          <w:p w14:paraId="359239C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6720745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7D8B6F9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487F538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1A6CD54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0F0E6EC4">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21</w:t>
            </w:r>
          </w:p>
        </w:tc>
        <w:tc>
          <w:tcPr>
            <w:tcW w:w="467" w:type="dxa"/>
            <w:tcBorders>
              <w:tl2br w:val="nil"/>
              <w:tr2bl w:val="nil"/>
            </w:tcBorders>
            <w:shd w:val="clear" w:color="auto" w:fill="auto"/>
            <w:noWrap w:val="0"/>
            <w:tcMar>
              <w:top w:w="15" w:type="dxa"/>
              <w:left w:w="15" w:type="dxa"/>
              <w:right w:w="15" w:type="dxa"/>
            </w:tcMar>
            <w:vAlign w:val="center"/>
          </w:tcPr>
          <w:p w14:paraId="26E4700F">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66DBA68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36A2660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w:t>
            </w:r>
          </w:p>
        </w:tc>
      </w:tr>
      <w:tr w14:paraId="34C86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9775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48</w:t>
            </w:r>
          </w:p>
        </w:tc>
        <w:tc>
          <w:tcPr>
            <w:tcW w:w="669" w:type="dxa"/>
            <w:tcBorders>
              <w:tl2br w:val="nil"/>
              <w:tr2bl w:val="nil"/>
            </w:tcBorders>
            <w:shd w:val="clear" w:color="auto" w:fill="auto"/>
            <w:noWrap w:val="0"/>
            <w:tcMar>
              <w:top w:w="15" w:type="dxa"/>
              <w:left w:w="15" w:type="dxa"/>
              <w:right w:w="15" w:type="dxa"/>
            </w:tcMar>
            <w:vAlign w:val="center"/>
          </w:tcPr>
          <w:p w14:paraId="5CA39EE8">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75540E9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现场加工作业</w:t>
            </w:r>
          </w:p>
        </w:tc>
        <w:tc>
          <w:tcPr>
            <w:tcW w:w="1801" w:type="dxa"/>
            <w:tcBorders>
              <w:tl2br w:val="nil"/>
              <w:tr2bl w:val="nil"/>
            </w:tcBorders>
            <w:shd w:val="clear" w:color="auto" w:fill="auto"/>
            <w:noWrap w:val="0"/>
            <w:tcMar>
              <w:top w:w="15" w:type="dxa"/>
              <w:left w:w="15" w:type="dxa"/>
              <w:right w:w="15" w:type="dxa"/>
            </w:tcMar>
            <w:vAlign w:val="center"/>
          </w:tcPr>
          <w:p w14:paraId="0795D1D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潮湿环境作业漏电保护器参数过大或不灵敏</w:t>
            </w:r>
          </w:p>
        </w:tc>
        <w:tc>
          <w:tcPr>
            <w:tcW w:w="803" w:type="dxa"/>
            <w:tcBorders>
              <w:tl2br w:val="nil"/>
              <w:tr2bl w:val="nil"/>
            </w:tcBorders>
            <w:shd w:val="clear" w:color="auto" w:fill="auto"/>
            <w:noWrap w:val="0"/>
            <w:tcMar>
              <w:top w:w="15" w:type="dxa"/>
              <w:left w:w="15" w:type="dxa"/>
              <w:right w:w="15" w:type="dxa"/>
            </w:tcMar>
            <w:vAlign w:val="center"/>
          </w:tcPr>
          <w:p w14:paraId="1B00047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触电</w:t>
            </w:r>
          </w:p>
        </w:tc>
        <w:tc>
          <w:tcPr>
            <w:tcW w:w="390" w:type="dxa"/>
            <w:tcBorders>
              <w:tl2br w:val="nil"/>
              <w:tr2bl w:val="nil"/>
            </w:tcBorders>
            <w:shd w:val="clear" w:color="auto" w:fill="auto"/>
            <w:noWrap w:val="0"/>
            <w:tcMar>
              <w:top w:w="15" w:type="dxa"/>
              <w:left w:w="15" w:type="dxa"/>
              <w:right w:w="15" w:type="dxa"/>
            </w:tcMar>
            <w:vAlign w:val="center"/>
          </w:tcPr>
          <w:p w14:paraId="100041B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409500BC">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17E7D4C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w:t>
            </w:r>
          </w:p>
        </w:tc>
        <w:tc>
          <w:tcPr>
            <w:tcW w:w="198" w:type="dxa"/>
            <w:tcBorders>
              <w:tl2br w:val="nil"/>
              <w:tr2bl w:val="nil"/>
            </w:tcBorders>
            <w:shd w:val="clear" w:color="auto" w:fill="auto"/>
            <w:noWrap w:val="0"/>
            <w:tcMar>
              <w:top w:w="15" w:type="dxa"/>
              <w:left w:w="15" w:type="dxa"/>
              <w:right w:w="15" w:type="dxa"/>
            </w:tcMar>
            <w:vAlign w:val="center"/>
          </w:tcPr>
          <w:p w14:paraId="5D6CCA01">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0DA4756">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15</w:t>
            </w:r>
          </w:p>
        </w:tc>
        <w:tc>
          <w:tcPr>
            <w:tcW w:w="303" w:type="dxa"/>
            <w:tcBorders>
              <w:tl2br w:val="nil"/>
              <w:tr2bl w:val="nil"/>
            </w:tcBorders>
            <w:shd w:val="clear" w:color="auto" w:fill="auto"/>
            <w:noWrap w:val="0"/>
            <w:tcMar>
              <w:top w:w="15" w:type="dxa"/>
              <w:left w:w="15" w:type="dxa"/>
              <w:right w:w="15" w:type="dxa"/>
            </w:tcMar>
            <w:vAlign w:val="center"/>
          </w:tcPr>
          <w:p w14:paraId="186C254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45</w:t>
            </w:r>
          </w:p>
        </w:tc>
        <w:tc>
          <w:tcPr>
            <w:tcW w:w="467" w:type="dxa"/>
            <w:tcBorders>
              <w:tl2br w:val="nil"/>
              <w:tr2bl w:val="nil"/>
            </w:tcBorders>
            <w:shd w:val="clear" w:color="auto" w:fill="auto"/>
            <w:noWrap w:val="0"/>
            <w:tcMar>
              <w:top w:w="15" w:type="dxa"/>
              <w:left w:w="15" w:type="dxa"/>
              <w:right w:w="15" w:type="dxa"/>
            </w:tcMar>
            <w:vAlign w:val="center"/>
          </w:tcPr>
          <w:p w14:paraId="3BE1BDE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37488B33">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3D42969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w:t>
            </w:r>
          </w:p>
        </w:tc>
      </w:tr>
      <w:tr w14:paraId="2E5AE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B77B1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49</w:t>
            </w:r>
          </w:p>
        </w:tc>
        <w:tc>
          <w:tcPr>
            <w:tcW w:w="669" w:type="dxa"/>
            <w:tcBorders>
              <w:tl2br w:val="nil"/>
              <w:tr2bl w:val="nil"/>
            </w:tcBorders>
            <w:shd w:val="clear" w:color="auto" w:fill="auto"/>
            <w:noWrap w:val="0"/>
            <w:tcMar>
              <w:top w:w="15" w:type="dxa"/>
              <w:left w:w="15" w:type="dxa"/>
              <w:right w:w="15" w:type="dxa"/>
            </w:tcMar>
            <w:vAlign w:val="center"/>
          </w:tcPr>
          <w:p w14:paraId="1B71981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拆除施工</w:t>
            </w:r>
          </w:p>
        </w:tc>
        <w:tc>
          <w:tcPr>
            <w:tcW w:w="944" w:type="dxa"/>
            <w:tcBorders>
              <w:tl2br w:val="nil"/>
              <w:tr2bl w:val="nil"/>
            </w:tcBorders>
            <w:shd w:val="clear" w:color="auto" w:fill="auto"/>
            <w:noWrap w:val="0"/>
            <w:tcMar>
              <w:top w:w="15" w:type="dxa"/>
              <w:left w:w="15" w:type="dxa"/>
              <w:right w:w="15" w:type="dxa"/>
            </w:tcMar>
            <w:vAlign w:val="center"/>
          </w:tcPr>
          <w:p w14:paraId="0CB4BE7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现场加工作业</w:t>
            </w:r>
          </w:p>
        </w:tc>
        <w:tc>
          <w:tcPr>
            <w:tcW w:w="1801" w:type="dxa"/>
            <w:tcBorders>
              <w:tl2br w:val="nil"/>
              <w:tr2bl w:val="nil"/>
            </w:tcBorders>
            <w:shd w:val="clear" w:color="auto" w:fill="auto"/>
            <w:noWrap w:val="0"/>
            <w:tcMar>
              <w:top w:w="15" w:type="dxa"/>
              <w:left w:w="15" w:type="dxa"/>
              <w:right w:w="15" w:type="dxa"/>
            </w:tcMar>
            <w:vAlign w:val="center"/>
          </w:tcPr>
          <w:p w14:paraId="42FD1BEB">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气瓶的使用与管理不符合要求</w:t>
            </w:r>
          </w:p>
        </w:tc>
        <w:tc>
          <w:tcPr>
            <w:tcW w:w="803" w:type="dxa"/>
            <w:tcBorders>
              <w:tl2br w:val="nil"/>
              <w:tr2bl w:val="nil"/>
            </w:tcBorders>
            <w:shd w:val="clear" w:color="auto" w:fill="auto"/>
            <w:noWrap w:val="0"/>
            <w:tcMar>
              <w:top w:w="15" w:type="dxa"/>
              <w:left w:w="15" w:type="dxa"/>
              <w:right w:w="15" w:type="dxa"/>
            </w:tcMar>
            <w:vAlign w:val="center"/>
          </w:tcPr>
          <w:p w14:paraId="09B69699">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爆炸</w:t>
            </w:r>
          </w:p>
        </w:tc>
        <w:tc>
          <w:tcPr>
            <w:tcW w:w="390" w:type="dxa"/>
            <w:tcBorders>
              <w:tl2br w:val="nil"/>
              <w:tr2bl w:val="nil"/>
            </w:tcBorders>
            <w:shd w:val="clear" w:color="auto" w:fill="auto"/>
            <w:noWrap w:val="0"/>
            <w:tcMar>
              <w:top w:w="15" w:type="dxa"/>
              <w:left w:w="15" w:type="dxa"/>
              <w:right w:w="15" w:type="dxa"/>
            </w:tcMar>
            <w:vAlign w:val="center"/>
          </w:tcPr>
          <w:p w14:paraId="019703A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　</w:t>
            </w:r>
          </w:p>
        </w:tc>
        <w:tc>
          <w:tcPr>
            <w:tcW w:w="356" w:type="dxa"/>
            <w:tcBorders>
              <w:tl2br w:val="nil"/>
              <w:tr2bl w:val="nil"/>
            </w:tcBorders>
            <w:shd w:val="clear" w:color="auto" w:fill="auto"/>
            <w:noWrap w:val="0"/>
            <w:tcMar>
              <w:top w:w="15" w:type="dxa"/>
              <w:left w:w="15" w:type="dxa"/>
              <w:right w:w="15" w:type="dxa"/>
            </w:tcMar>
            <w:vAlign w:val="center"/>
          </w:tcPr>
          <w:p w14:paraId="7DA7470A">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非</w:t>
            </w:r>
          </w:p>
        </w:tc>
        <w:tc>
          <w:tcPr>
            <w:tcW w:w="240" w:type="dxa"/>
            <w:tcBorders>
              <w:tl2br w:val="nil"/>
              <w:tr2bl w:val="nil"/>
            </w:tcBorders>
            <w:shd w:val="clear" w:color="auto" w:fill="auto"/>
            <w:noWrap w:val="0"/>
            <w:tcMar>
              <w:top w:w="15" w:type="dxa"/>
              <w:left w:w="15" w:type="dxa"/>
              <w:right w:w="15" w:type="dxa"/>
            </w:tcMar>
            <w:vAlign w:val="center"/>
          </w:tcPr>
          <w:p w14:paraId="219D6C5D">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198" w:type="dxa"/>
            <w:tcBorders>
              <w:tl2br w:val="nil"/>
              <w:tr2bl w:val="nil"/>
            </w:tcBorders>
            <w:shd w:val="clear" w:color="auto" w:fill="auto"/>
            <w:noWrap w:val="0"/>
            <w:tcMar>
              <w:top w:w="15" w:type="dxa"/>
              <w:left w:w="15" w:type="dxa"/>
              <w:right w:w="15" w:type="dxa"/>
            </w:tcMar>
            <w:vAlign w:val="center"/>
          </w:tcPr>
          <w:p w14:paraId="4F423E1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3</w:t>
            </w:r>
          </w:p>
        </w:tc>
        <w:tc>
          <w:tcPr>
            <w:tcW w:w="227" w:type="dxa"/>
            <w:tcBorders>
              <w:tl2br w:val="nil"/>
              <w:tr2bl w:val="nil"/>
            </w:tcBorders>
            <w:shd w:val="clear" w:color="auto" w:fill="auto"/>
            <w:noWrap w:val="0"/>
            <w:tcMar>
              <w:top w:w="15" w:type="dxa"/>
              <w:left w:w="15" w:type="dxa"/>
              <w:right w:w="15" w:type="dxa"/>
            </w:tcMar>
            <w:vAlign w:val="center"/>
          </w:tcPr>
          <w:p w14:paraId="2D9AF3F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7</w:t>
            </w:r>
          </w:p>
        </w:tc>
        <w:tc>
          <w:tcPr>
            <w:tcW w:w="303" w:type="dxa"/>
            <w:tcBorders>
              <w:tl2br w:val="nil"/>
              <w:tr2bl w:val="nil"/>
            </w:tcBorders>
            <w:shd w:val="clear" w:color="auto" w:fill="auto"/>
            <w:noWrap w:val="0"/>
            <w:tcMar>
              <w:top w:w="15" w:type="dxa"/>
              <w:left w:w="15" w:type="dxa"/>
              <w:right w:w="15" w:type="dxa"/>
            </w:tcMar>
            <w:vAlign w:val="center"/>
          </w:tcPr>
          <w:p w14:paraId="123A783E">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63</w:t>
            </w:r>
          </w:p>
        </w:tc>
        <w:tc>
          <w:tcPr>
            <w:tcW w:w="467" w:type="dxa"/>
            <w:tcBorders>
              <w:tl2br w:val="nil"/>
              <w:tr2bl w:val="nil"/>
            </w:tcBorders>
            <w:shd w:val="clear" w:color="auto" w:fill="auto"/>
            <w:noWrap w:val="0"/>
            <w:tcMar>
              <w:top w:w="15" w:type="dxa"/>
              <w:left w:w="15" w:type="dxa"/>
              <w:right w:w="15" w:type="dxa"/>
            </w:tcMar>
            <w:vAlign w:val="center"/>
          </w:tcPr>
          <w:p w14:paraId="7CBC3907">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2</w:t>
            </w:r>
          </w:p>
        </w:tc>
        <w:tc>
          <w:tcPr>
            <w:tcW w:w="738" w:type="dxa"/>
            <w:tcBorders>
              <w:tl2br w:val="nil"/>
              <w:tr2bl w:val="nil"/>
            </w:tcBorders>
            <w:shd w:val="clear" w:color="auto" w:fill="auto"/>
            <w:noWrap w:val="0"/>
            <w:tcMar>
              <w:top w:w="15" w:type="dxa"/>
              <w:left w:w="15" w:type="dxa"/>
              <w:right w:w="15" w:type="dxa"/>
            </w:tcMar>
            <w:vAlign w:val="center"/>
          </w:tcPr>
          <w:p w14:paraId="63977C50">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安全生产法</w:t>
            </w:r>
          </w:p>
        </w:tc>
        <w:tc>
          <w:tcPr>
            <w:tcW w:w="816" w:type="dxa"/>
            <w:tcBorders>
              <w:tl2br w:val="nil"/>
              <w:tr2bl w:val="nil"/>
            </w:tcBorders>
            <w:shd w:val="clear" w:color="auto" w:fill="auto"/>
            <w:noWrap w:val="0"/>
            <w:tcMar>
              <w:top w:w="15" w:type="dxa"/>
              <w:left w:w="15" w:type="dxa"/>
              <w:right w:w="15" w:type="dxa"/>
            </w:tcMar>
            <w:vAlign w:val="center"/>
          </w:tcPr>
          <w:p w14:paraId="26E898D2">
            <w:pPr>
              <w:widowControl/>
              <w:spacing w:line="240" w:lineRule="exact"/>
              <w:ind w:firstLine="0" w:firstLineChars="0"/>
              <w:jc w:val="center"/>
              <w:textAlignment w:val="center"/>
              <w:rPr>
                <w:rFonts w:ascii="宋体" w:hAnsi="宋体" w:eastAsia="宋体" w:cs="宋体"/>
                <w:color w:val="auto"/>
                <w:kern w:val="2"/>
                <w:sz w:val="18"/>
                <w:szCs w:val="18"/>
                <w:lang w:val="en-US" w:eastAsia="zh-CN" w:bidi="ar-SA"/>
              </w:rPr>
            </w:pPr>
            <w:r>
              <w:rPr>
                <w:rFonts w:hint="eastAsia" w:ascii="宋体" w:hAnsi="宋体" w:cs="宋体"/>
                <w:color w:val="auto"/>
                <w:kern w:val="0"/>
                <w:sz w:val="18"/>
                <w:szCs w:val="18"/>
              </w:rPr>
              <w:t>严格检查，规范使用</w:t>
            </w:r>
          </w:p>
        </w:tc>
      </w:tr>
    </w:tbl>
    <w:p w14:paraId="0829A33A">
      <w:pPr>
        <w:pStyle w:val="11"/>
        <w:ind w:left="0" w:leftChars="0" w:firstLine="0" w:firstLineChars="0"/>
        <w:rPr>
          <w:color w:val="auto"/>
        </w:rPr>
        <w:sectPr>
          <w:headerReference r:id="rId14" w:type="default"/>
          <w:footerReference r:id="rId15"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p w14:paraId="424D2236">
      <w:pPr>
        <w:pStyle w:val="2"/>
        <w:spacing w:before="156" w:after="156"/>
        <w:rPr>
          <w:color w:val="auto"/>
        </w:rPr>
      </w:pPr>
      <w:bookmarkStart w:id="145" w:name="_Toc10729"/>
      <w:r>
        <w:rPr>
          <w:rFonts w:hint="eastAsia"/>
          <w:color w:val="auto"/>
        </w:rPr>
        <w:t>施工危险源辨识及安全保证措施</w:t>
      </w:r>
      <w:bookmarkEnd w:id="140"/>
      <w:bookmarkEnd w:id="145"/>
    </w:p>
    <w:p w14:paraId="203BDCE9">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46" w:name="_Toc4915"/>
      <w:bookmarkStart w:id="147" w:name="_Toc18886"/>
      <w:r>
        <w:rPr>
          <w:rFonts w:hint="eastAsia"/>
          <w:color w:val="auto"/>
        </w:rPr>
        <w:t>危险源辨识及分析</w:t>
      </w:r>
      <w:bookmarkEnd w:id="146"/>
      <w:bookmarkEnd w:id="147"/>
      <w:bookmarkStart w:id="148" w:name="_Toc903"/>
      <w:bookmarkStart w:id="149" w:name="_Toc1775"/>
    </w:p>
    <w:p w14:paraId="2C77281F">
      <w:pPr>
        <w:pStyle w:val="4"/>
        <w:spacing w:before="10" w:after="10" w:line="360" w:lineRule="auto"/>
        <w:rPr>
          <w:color w:val="auto"/>
        </w:rPr>
      </w:pPr>
      <w:bookmarkStart w:id="150" w:name="_Toc12784"/>
      <w:r>
        <w:rPr>
          <w:rFonts w:hint="eastAsia" w:ascii="宋体" w:hAnsi="宋体" w:cs="宋体"/>
          <w:bCs w:val="0"/>
          <w:color w:val="auto"/>
          <w:sz w:val="24"/>
          <w:szCs w:val="24"/>
        </w:rPr>
        <w:t>危险因素辨识及评价</w:t>
      </w:r>
      <w:bookmarkEnd w:id="150"/>
    </w:p>
    <w:p w14:paraId="0D3E68AC">
      <w:pPr>
        <w:numPr>
          <w:ilvl w:val="0"/>
          <w:numId w:val="15"/>
        </w:numPr>
        <w:spacing w:line="336" w:lineRule="auto"/>
        <w:ind w:firstLine="480" w:firstLineChars="200"/>
        <w:rPr>
          <w:rFonts w:hint="eastAsia"/>
          <w:color w:val="auto"/>
          <w:sz w:val="24"/>
          <w:szCs w:val="28"/>
        </w:rPr>
      </w:pPr>
      <w:r>
        <w:rPr>
          <w:rFonts w:hint="eastAsia"/>
          <w:color w:val="auto"/>
          <w:sz w:val="24"/>
          <w:szCs w:val="28"/>
        </w:rPr>
        <w:t>危险源评价方法</w:t>
      </w:r>
    </w:p>
    <w:p w14:paraId="7FD4EDEA">
      <w:pP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按照《中交二航局生产过程危险有害因素辨识及评价管理办法》，结合本项目实际情况参照《中交二航局有害因素辨识及评价一览表（202</w:t>
      </w:r>
      <w:r>
        <w:rPr>
          <w:rFonts w:ascii="宋体" w:hAnsi="宋体" w:cs="宋体"/>
          <w:color w:val="auto"/>
          <w:kern w:val="0"/>
          <w:sz w:val="24"/>
        </w:rPr>
        <w:t>2</w:t>
      </w:r>
      <w:r>
        <w:rPr>
          <w:rFonts w:hint="eastAsia" w:ascii="宋体" w:hAnsi="宋体" w:cs="宋体"/>
          <w:color w:val="auto"/>
          <w:kern w:val="0"/>
          <w:sz w:val="24"/>
        </w:rPr>
        <w:t>指导版）》进行辨识评价。作业条件评价法危险性等级划分标准详下表：</w:t>
      </w:r>
    </w:p>
    <w:p w14:paraId="56C3EA0D">
      <w:pPr>
        <w:spacing w:line="320" w:lineRule="exact"/>
        <w:jc w:val="center"/>
        <w:rPr>
          <w:rFonts w:hint="eastAsia" w:ascii="宋体" w:hAnsi="宋体"/>
          <w:color w:val="auto"/>
          <w:szCs w:val="21"/>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.1-1作业条件评价法危险性等级划分标准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047"/>
        <w:gridCol w:w="3047"/>
      </w:tblGrid>
      <w:tr w14:paraId="3BBD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1E369EEA">
            <w:pPr>
              <w:pStyle w:val="10"/>
              <w:ind w:firstLine="0" w:firstLineChars="0"/>
              <w:jc w:val="center"/>
              <w:rPr>
                <w:rFonts w:hint="eastAsia" w:ascii="宋体" w:hAnsi="宋体" w:cs="宋体"/>
                <w:color w:val="auto"/>
              </w:rPr>
            </w:pPr>
            <w:r>
              <w:rPr>
                <w:rFonts w:hint="eastAsia" w:ascii="宋体" w:hAnsi="宋体" w:cs="宋体"/>
                <w:color w:val="auto"/>
              </w:rPr>
              <w:t>D值区间</w:t>
            </w:r>
          </w:p>
        </w:tc>
        <w:tc>
          <w:tcPr>
            <w:tcW w:w="4740" w:type="dxa"/>
            <w:noWrap w:val="0"/>
            <w:vAlign w:val="top"/>
          </w:tcPr>
          <w:p w14:paraId="50491100">
            <w:pPr>
              <w:pStyle w:val="10"/>
              <w:ind w:firstLine="0" w:firstLineChars="0"/>
              <w:jc w:val="center"/>
              <w:rPr>
                <w:rFonts w:hint="eastAsia" w:ascii="宋体" w:hAnsi="宋体" w:cs="宋体"/>
                <w:color w:val="auto"/>
              </w:rPr>
            </w:pPr>
            <w:r>
              <w:rPr>
                <w:rFonts w:hint="eastAsia" w:ascii="宋体" w:hAnsi="宋体" w:cs="宋体"/>
                <w:color w:val="auto"/>
              </w:rPr>
              <w:t>风险等级</w:t>
            </w:r>
          </w:p>
        </w:tc>
        <w:tc>
          <w:tcPr>
            <w:tcW w:w="4740" w:type="dxa"/>
            <w:noWrap w:val="0"/>
            <w:vAlign w:val="top"/>
          </w:tcPr>
          <w:p w14:paraId="695805C1">
            <w:pPr>
              <w:pStyle w:val="10"/>
              <w:ind w:firstLine="0" w:firstLineChars="0"/>
              <w:jc w:val="center"/>
              <w:rPr>
                <w:rFonts w:hint="eastAsia" w:ascii="宋体" w:hAnsi="宋体" w:cs="宋体"/>
                <w:color w:val="auto"/>
              </w:rPr>
            </w:pPr>
            <w:r>
              <w:rPr>
                <w:rFonts w:hint="eastAsia" w:ascii="宋体" w:hAnsi="宋体" w:cs="宋体"/>
                <w:color w:val="auto"/>
              </w:rPr>
              <w:t>色标</w:t>
            </w:r>
          </w:p>
        </w:tc>
      </w:tr>
      <w:tr w14:paraId="0C8A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067BC7A9">
            <w:pPr>
              <w:pStyle w:val="10"/>
              <w:ind w:firstLine="0" w:firstLineChars="0"/>
              <w:jc w:val="center"/>
              <w:rPr>
                <w:rFonts w:hint="eastAsia" w:ascii="宋体" w:hAnsi="宋体" w:cs="宋体"/>
                <w:color w:val="auto"/>
              </w:rPr>
            </w:pPr>
            <w:r>
              <w:rPr>
                <w:rFonts w:hint="eastAsia" w:ascii="宋体" w:hAnsi="宋体" w:cs="宋体"/>
                <w:color w:val="auto"/>
              </w:rPr>
              <w:t>D&gt;320</w:t>
            </w:r>
          </w:p>
        </w:tc>
        <w:tc>
          <w:tcPr>
            <w:tcW w:w="4740" w:type="dxa"/>
            <w:shd w:val="clear" w:color="auto" w:fill="auto"/>
            <w:noWrap w:val="0"/>
            <w:vAlign w:val="top"/>
          </w:tcPr>
          <w:p w14:paraId="5184D76A">
            <w:pPr>
              <w:pStyle w:val="10"/>
              <w:ind w:firstLine="0" w:firstLineChars="0"/>
              <w:jc w:val="center"/>
              <w:rPr>
                <w:rFonts w:hint="eastAsia" w:ascii="宋体" w:hAnsi="宋体" w:cs="宋体"/>
                <w:color w:val="auto"/>
              </w:rPr>
            </w:pPr>
            <w:r>
              <w:rPr>
                <w:rFonts w:hint="eastAsia" w:ascii="宋体" w:hAnsi="宋体" w:cs="宋体"/>
                <w:color w:val="auto"/>
              </w:rPr>
              <w:t>重大风险</w:t>
            </w:r>
          </w:p>
        </w:tc>
        <w:tc>
          <w:tcPr>
            <w:tcW w:w="4740" w:type="dxa"/>
            <w:shd w:val="clear" w:color="auto" w:fill="FF0000"/>
            <w:noWrap w:val="0"/>
            <w:vAlign w:val="top"/>
          </w:tcPr>
          <w:p w14:paraId="7461F106">
            <w:pPr>
              <w:pStyle w:val="10"/>
              <w:ind w:firstLine="0" w:firstLineChars="0"/>
              <w:jc w:val="center"/>
              <w:rPr>
                <w:rFonts w:hint="eastAsia" w:ascii="宋体" w:hAnsi="宋体" w:cs="宋体"/>
                <w:color w:val="auto"/>
              </w:rPr>
            </w:pPr>
          </w:p>
        </w:tc>
      </w:tr>
      <w:tr w14:paraId="65D7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7A5FA99C">
            <w:pPr>
              <w:pStyle w:val="10"/>
              <w:ind w:firstLine="0" w:firstLineChars="0"/>
              <w:jc w:val="center"/>
              <w:rPr>
                <w:rFonts w:hint="eastAsia" w:ascii="宋体" w:hAnsi="宋体" w:cs="宋体"/>
                <w:color w:val="auto"/>
              </w:rPr>
            </w:pPr>
            <w:r>
              <w:rPr>
                <w:rFonts w:hint="eastAsia" w:ascii="宋体" w:hAnsi="宋体" w:cs="宋体"/>
                <w:color w:val="auto"/>
              </w:rPr>
              <w:t>320≥D&gt;160</w:t>
            </w:r>
          </w:p>
        </w:tc>
        <w:tc>
          <w:tcPr>
            <w:tcW w:w="4740" w:type="dxa"/>
            <w:shd w:val="clear" w:color="auto" w:fill="auto"/>
            <w:noWrap w:val="0"/>
            <w:vAlign w:val="top"/>
          </w:tcPr>
          <w:p w14:paraId="355BEB37">
            <w:pPr>
              <w:pStyle w:val="10"/>
              <w:ind w:firstLine="0" w:firstLineChars="0"/>
              <w:jc w:val="center"/>
              <w:rPr>
                <w:rFonts w:hint="eastAsia" w:ascii="宋体" w:hAnsi="宋体" w:cs="宋体"/>
                <w:color w:val="auto"/>
              </w:rPr>
            </w:pPr>
            <w:r>
              <w:rPr>
                <w:rFonts w:hint="eastAsia" w:ascii="宋体" w:hAnsi="宋体" w:cs="宋体"/>
                <w:color w:val="auto"/>
              </w:rPr>
              <w:t>较大风险</w:t>
            </w:r>
          </w:p>
        </w:tc>
        <w:tc>
          <w:tcPr>
            <w:tcW w:w="4740" w:type="dxa"/>
            <w:shd w:val="clear" w:color="auto" w:fill="FFC000"/>
            <w:noWrap w:val="0"/>
            <w:vAlign w:val="top"/>
          </w:tcPr>
          <w:p w14:paraId="72FB9D7D">
            <w:pPr>
              <w:pStyle w:val="10"/>
              <w:ind w:firstLine="0" w:firstLineChars="0"/>
              <w:jc w:val="center"/>
              <w:rPr>
                <w:rFonts w:hint="eastAsia" w:ascii="宋体" w:hAnsi="宋体" w:cs="宋体"/>
                <w:color w:val="auto"/>
              </w:rPr>
            </w:pPr>
          </w:p>
        </w:tc>
      </w:tr>
      <w:tr w14:paraId="5D0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41C17C8E">
            <w:pPr>
              <w:pStyle w:val="10"/>
              <w:ind w:firstLine="0" w:firstLineChars="0"/>
              <w:jc w:val="center"/>
              <w:rPr>
                <w:rFonts w:hint="eastAsia" w:ascii="宋体" w:hAnsi="宋体" w:cs="宋体"/>
                <w:color w:val="auto"/>
              </w:rPr>
            </w:pPr>
            <w:r>
              <w:rPr>
                <w:rFonts w:hint="eastAsia" w:ascii="宋体" w:hAnsi="宋体" w:cs="宋体"/>
                <w:color w:val="auto"/>
              </w:rPr>
              <w:t>160≥D&gt;70</w:t>
            </w:r>
          </w:p>
        </w:tc>
        <w:tc>
          <w:tcPr>
            <w:tcW w:w="4740" w:type="dxa"/>
            <w:shd w:val="clear" w:color="auto" w:fill="auto"/>
            <w:noWrap w:val="0"/>
            <w:vAlign w:val="top"/>
          </w:tcPr>
          <w:p w14:paraId="2DA94712">
            <w:pPr>
              <w:pStyle w:val="10"/>
              <w:ind w:firstLine="0" w:firstLineChars="0"/>
              <w:jc w:val="center"/>
              <w:rPr>
                <w:rFonts w:hint="eastAsia" w:ascii="宋体" w:hAnsi="宋体" w:cs="宋体"/>
                <w:color w:val="auto"/>
              </w:rPr>
            </w:pPr>
            <w:r>
              <w:rPr>
                <w:rFonts w:hint="eastAsia" w:ascii="宋体" w:hAnsi="宋体" w:cs="宋体"/>
                <w:color w:val="auto"/>
              </w:rPr>
              <w:t>一般风险</w:t>
            </w:r>
          </w:p>
        </w:tc>
        <w:tc>
          <w:tcPr>
            <w:tcW w:w="4740" w:type="dxa"/>
            <w:shd w:val="clear" w:color="auto" w:fill="FFFF00"/>
            <w:noWrap w:val="0"/>
            <w:vAlign w:val="top"/>
          </w:tcPr>
          <w:p w14:paraId="6406A199">
            <w:pPr>
              <w:pStyle w:val="10"/>
              <w:ind w:firstLine="0" w:firstLineChars="0"/>
              <w:jc w:val="center"/>
              <w:rPr>
                <w:rFonts w:hint="eastAsia" w:ascii="宋体" w:hAnsi="宋体" w:cs="宋体"/>
                <w:color w:val="auto"/>
              </w:rPr>
            </w:pPr>
          </w:p>
        </w:tc>
      </w:tr>
      <w:tr w14:paraId="59D1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548F1A22">
            <w:pPr>
              <w:pStyle w:val="10"/>
              <w:ind w:firstLine="0" w:firstLineChars="0"/>
              <w:jc w:val="center"/>
              <w:rPr>
                <w:rFonts w:hint="eastAsia" w:ascii="宋体" w:hAnsi="宋体" w:cs="宋体"/>
                <w:color w:val="auto"/>
              </w:rPr>
            </w:pPr>
            <w:r>
              <w:rPr>
                <w:rFonts w:hint="eastAsia" w:ascii="宋体" w:hAnsi="宋体" w:cs="宋体"/>
                <w:color w:val="auto"/>
              </w:rPr>
              <w:t>D≤70</w:t>
            </w:r>
          </w:p>
        </w:tc>
        <w:tc>
          <w:tcPr>
            <w:tcW w:w="4740" w:type="dxa"/>
            <w:shd w:val="clear" w:color="auto" w:fill="auto"/>
            <w:noWrap w:val="0"/>
            <w:vAlign w:val="top"/>
          </w:tcPr>
          <w:p w14:paraId="4D50CED0">
            <w:pPr>
              <w:pStyle w:val="10"/>
              <w:ind w:firstLine="0" w:firstLineChars="0"/>
              <w:jc w:val="center"/>
              <w:rPr>
                <w:rFonts w:hint="eastAsia" w:ascii="宋体" w:hAnsi="宋体" w:cs="宋体"/>
                <w:color w:val="auto"/>
              </w:rPr>
            </w:pPr>
            <w:r>
              <w:rPr>
                <w:rFonts w:hint="eastAsia" w:ascii="宋体" w:hAnsi="宋体" w:cs="宋体"/>
                <w:color w:val="auto"/>
              </w:rPr>
              <w:t>较小风险</w:t>
            </w:r>
          </w:p>
        </w:tc>
        <w:tc>
          <w:tcPr>
            <w:tcW w:w="4740" w:type="dxa"/>
            <w:shd w:val="clear" w:color="auto" w:fill="00B050"/>
            <w:noWrap w:val="0"/>
            <w:vAlign w:val="top"/>
          </w:tcPr>
          <w:p w14:paraId="4BE549A0">
            <w:pPr>
              <w:pStyle w:val="10"/>
              <w:ind w:firstLine="0" w:firstLineChars="0"/>
              <w:jc w:val="center"/>
              <w:rPr>
                <w:rFonts w:hint="eastAsia" w:ascii="宋体" w:hAnsi="宋体" w:cs="宋体"/>
                <w:color w:val="auto"/>
              </w:rPr>
            </w:pPr>
          </w:p>
        </w:tc>
      </w:tr>
    </w:tbl>
    <w:p w14:paraId="43E4595A">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重大风险由公司组织分子公司、项目部共同管控，公司重点监督检查；较大风险分子公司组织项目部共同管控，分子公司重点监督检查；一般风险由项目部管控；较小风险由班组管控。</w:t>
      </w:r>
    </w:p>
    <w:p w14:paraId="6A347822">
      <w:pPr>
        <w:numPr>
          <w:ilvl w:val="0"/>
          <w:numId w:val="15"/>
        </w:numPr>
        <w:spacing w:line="336" w:lineRule="auto"/>
        <w:ind w:firstLine="480" w:firstLineChars="200"/>
        <w:rPr>
          <w:rFonts w:hint="eastAsia"/>
          <w:color w:val="auto"/>
          <w:sz w:val="24"/>
          <w:szCs w:val="28"/>
        </w:rPr>
      </w:pPr>
      <w:r>
        <w:rPr>
          <w:rFonts w:hint="eastAsia"/>
          <w:color w:val="auto"/>
          <w:sz w:val="24"/>
          <w:szCs w:val="28"/>
        </w:rPr>
        <w:t>危险源辨识与评价</w:t>
      </w:r>
    </w:p>
    <w:p w14:paraId="0A0B89DC">
      <w:pPr>
        <w:pStyle w:val="57"/>
        <w:rPr>
          <w:color w:val="auto"/>
        </w:rPr>
        <w:sectPr>
          <w:pgSz w:w="11906" w:h="16838"/>
          <w:pgMar w:top="1418" w:right="1134" w:bottom="1418" w:left="1701"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p w14:paraId="3B7BED84">
      <w:pPr>
        <w:pStyle w:val="48"/>
        <w:keepNext w:val="0"/>
        <w:keepLines w:val="0"/>
        <w:pageBreakBefore w:val="0"/>
        <w:widowControl/>
        <w:kinsoku/>
        <w:wordWrap/>
        <w:overflowPunct/>
        <w:topLinePunct w:val="0"/>
        <w:autoSpaceDE/>
        <w:autoSpaceDN/>
        <w:bidi w:val="0"/>
        <w:adjustRightInd w:val="0"/>
        <w:snapToGrid w:val="0"/>
        <w:ind w:left="0" w:leftChars="0" w:firstLine="480"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表6.1-2 中交二航局建筑公司危险有害因素辨识及评价表</w:t>
      </w:r>
    </w:p>
    <w:tbl>
      <w:tblPr>
        <w:tblStyle w:val="28"/>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472"/>
        <w:gridCol w:w="3"/>
        <w:gridCol w:w="5242"/>
        <w:gridCol w:w="1204"/>
        <w:gridCol w:w="316"/>
        <w:gridCol w:w="286"/>
        <w:gridCol w:w="481"/>
        <w:gridCol w:w="406"/>
        <w:gridCol w:w="481"/>
        <w:gridCol w:w="587"/>
        <w:gridCol w:w="391"/>
        <w:gridCol w:w="1036"/>
        <w:gridCol w:w="1342"/>
        <w:gridCol w:w="1288"/>
      </w:tblGrid>
      <w:tr w14:paraId="038B1D03">
        <w:tblPrEx>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21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B7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47446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B0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61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78531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F4B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F8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651C8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26D1C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3C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36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3FB0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84A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986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1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7D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C9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16CE0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BE1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F10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41E63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B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EA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ED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4A8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8D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16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0F5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A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28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8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AC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1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6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4478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07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3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30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56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E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6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07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1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07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6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F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6A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3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A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9ABB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FF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EF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DC3F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82F9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EA4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DF3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649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0D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7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9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F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49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B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A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A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72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E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482E7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56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C5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56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F74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54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68B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A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81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E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2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A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C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8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4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9A2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E95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AE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5C4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FF1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20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8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B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78B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0E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0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4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1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2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1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D54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A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3E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97C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4A2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69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80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6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3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C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E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0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D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9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01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0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D4B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D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D2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F64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C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A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4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2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B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9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4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B016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7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E6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D4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8C3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904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E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FA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7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6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A6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4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A1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C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EFF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2FB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63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534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80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8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99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9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F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F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A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6E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A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1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8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34A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B8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CC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2FF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9D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1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2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8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2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0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B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A4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A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9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9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CBA5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6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A6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B0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085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89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6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C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80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E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2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1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3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B0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C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79E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604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C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429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C4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72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2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B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2C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8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E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A5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8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48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F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C171F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85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20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119B3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2D1A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5B11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667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41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38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7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E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38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5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54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8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9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E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2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769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6AB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F19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31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E4C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55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D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6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A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C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8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B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9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B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7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EF0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B4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B6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80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7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21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F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B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A5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B9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9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7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68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D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4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7BEB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0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43E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9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ED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7B4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F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8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B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C3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0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1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D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5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55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FD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8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4F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2B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86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F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A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58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1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A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D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CB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4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8476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9D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843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1C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1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6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D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0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5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4C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D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D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8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8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9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444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4F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15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748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94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274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1D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52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B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11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B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2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6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A7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93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1C6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B1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C4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B7A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0D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CB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3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EF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F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E7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F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F6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EC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4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344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BD7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D3A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52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88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38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BE3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1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68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D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8C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13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D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3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D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0DB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259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F5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5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77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7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D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E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53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80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D4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5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F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E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3D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66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EC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139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09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3A6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6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作业未按照专项方案要求实施。</w:t>
            </w: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前未对</w:t>
            </w: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19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0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4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E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1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0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8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3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C70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10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81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7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4C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EA4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67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B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60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4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F1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8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4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B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AF4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D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F3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31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93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2A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不符合下列规定：1、</w:t>
            </w:r>
            <w:r>
              <w:rPr>
                <w:rFonts w:hint="eastAsia" w:ascii="宋体" w:hAnsi="宋体" w:cs="宋体"/>
                <w:b w:val="0"/>
                <w:bCs w:val="0"/>
                <w:i w:val="0"/>
                <w:iCs w:val="0"/>
                <w:color w:val="auto"/>
                <w:kern w:val="0"/>
                <w:sz w:val="18"/>
                <w:szCs w:val="18"/>
                <w:u w:val="none"/>
                <w:lang w:val="en-US" w:eastAsia="zh-CN" w:bidi="ar"/>
              </w:rPr>
              <w:t>顶升</w:t>
            </w:r>
            <w:r>
              <w:rPr>
                <w:rFonts w:hint="eastAsia" w:ascii="宋体" w:hAnsi="宋体" w:eastAsia="宋体" w:cs="宋体"/>
                <w:b w:val="0"/>
                <w:bCs w:val="0"/>
                <w:i w:val="0"/>
                <w:iCs w:val="0"/>
                <w:color w:val="auto"/>
                <w:kern w:val="0"/>
                <w:sz w:val="18"/>
                <w:szCs w:val="18"/>
                <w:u w:val="none"/>
                <w:lang w:val="en-US" w:eastAsia="zh-CN" w:bidi="ar"/>
              </w:rPr>
              <w:t>系统必须完好，2、结构件必须完好，3、</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前，塔机下支座与顶升套架应可靠连接，4、</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前，应保持顶升横梁搁置正确，5、</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前，应将塔机配平。</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过程中应确保塔机的平衡，6、</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加节的顺序，应符合使用说明书的规定，7、</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过程中，不应进行起升、回转、变幅等动作，8、</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结束后，应将标准节与回转下支座可靠连接，9、塔机</w:t>
            </w:r>
            <w:r>
              <w:rPr>
                <w:rFonts w:hint="eastAsia" w:ascii="宋体" w:hAnsi="宋体" w:cs="宋体"/>
                <w:b w:val="0"/>
                <w:bCs w:val="0"/>
                <w:i w:val="0"/>
                <w:iCs w:val="0"/>
                <w:color w:val="auto"/>
                <w:kern w:val="0"/>
                <w:sz w:val="18"/>
                <w:szCs w:val="18"/>
                <w:u w:val="none"/>
                <w:lang w:val="en-US" w:eastAsia="zh-CN" w:bidi="ar"/>
              </w:rPr>
              <w:t>有</w:t>
            </w:r>
            <w:r>
              <w:rPr>
                <w:rFonts w:hint="eastAsia" w:ascii="宋体" w:hAnsi="宋体" w:eastAsia="宋体" w:cs="宋体"/>
                <w:b w:val="0"/>
                <w:bCs w:val="0"/>
                <w:i w:val="0"/>
                <w:iCs w:val="0"/>
                <w:color w:val="auto"/>
                <w:kern w:val="0"/>
                <w:sz w:val="18"/>
                <w:szCs w:val="18"/>
                <w:u w:val="none"/>
                <w:lang w:val="en-US" w:eastAsia="zh-CN" w:bidi="ar"/>
              </w:rPr>
              <w:t>附着的，应按照先</w:t>
            </w:r>
            <w:r>
              <w:rPr>
                <w:rFonts w:hint="eastAsia" w:ascii="宋体" w:hAnsi="宋体" w:cs="宋体"/>
                <w:b w:val="0"/>
                <w:bCs w:val="0"/>
                <w:i w:val="0"/>
                <w:iCs w:val="0"/>
                <w:color w:val="auto"/>
                <w:kern w:val="0"/>
                <w:sz w:val="18"/>
                <w:szCs w:val="18"/>
                <w:u w:val="none"/>
                <w:lang w:val="en-US" w:eastAsia="zh-CN" w:bidi="ar"/>
              </w:rPr>
              <w:t>拆卸</w:t>
            </w:r>
            <w:r>
              <w:rPr>
                <w:rFonts w:hint="eastAsia" w:ascii="宋体" w:hAnsi="宋体" w:eastAsia="宋体" w:cs="宋体"/>
                <w:b w:val="0"/>
                <w:bCs w:val="0"/>
                <w:i w:val="0"/>
                <w:iCs w:val="0"/>
                <w:color w:val="auto"/>
                <w:kern w:val="0"/>
                <w:sz w:val="18"/>
                <w:szCs w:val="18"/>
                <w:u w:val="none"/>
                <w:lang w:val="en-US" w:eastAsia="zh-CN" w:bidi="ar"/>
              </w:rPr>
              <w:t>附着装置、后</w:t>
            </w:r>
            <w:r>
              <w:rPr>
                <w:rFonts w:hint="eastAsia" w:ascii="宋体" w:hAnsi="宋体" w:cs="宋体"/>
                <w:b w:val="0"/>
                <w:bCs w:val="0"/>
                <w:i w:val="0"/>
                <w:iCs w:val="0"/>
                <w:color w:val="auto"/>
                <w:kern w:val="0"/>
                <w:sz w:val="18"/>
                <w:szCs w:val="18"/>
                <w:u w:val="none"/>
                <w:lang w:val="en-US" w:eastAsia="zh-CN" w:bidi="ar"/>
              </w:rPr>
              <w:t>降节</w:t>
            </w:r>
            <w:r>
              <w:rPr>
                <w:rFonts w:hint="eastAsia" w:ascii="宋体" w:hAnsi="宋体" w:eastAsia="宋体" w:cs="宋体"/>
                <w:b w:val="0"/>
                <w:bCs w:val="0"/>
                <w:i w:val="0"/>
                <w:iCs w:val="0"/>
                <w:color w:val="auto"/>
                <w:kern w:val="0"/>
                <w:sz w:val="18"/>
                <w:szCs w:val="18"/>
                <w:u w:val="none"/>
                <w:lang w:val="en-US" w:eastAsia="zh-CN" w:bidi="ar"/>
              </w:rPr>
              <w:t>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46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B8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97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A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8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8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15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4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6887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B0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07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2C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6B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DD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A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4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FB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4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D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C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1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22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86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3BF0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5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F4EC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81B1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AE03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1F7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CD9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12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9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9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308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42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C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D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7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EF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9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D80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4F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98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AE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536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E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F2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E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29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2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3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AD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3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77B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8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A8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21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64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73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D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8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0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37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4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5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6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E6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F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009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9E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6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F8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1D1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F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4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A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6B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8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4E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E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9C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5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7C2F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85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F2D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6F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A4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DF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0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4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6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F8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4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2F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4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D4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FF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51F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1A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177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1FC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7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6D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5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39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96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3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C1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82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6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5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CBF3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AE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9B0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D9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BCB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B13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1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9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9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19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F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8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B7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04F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C6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9014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77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A8B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43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CB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BC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2E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D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F98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2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F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5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7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4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7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A7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1DE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631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069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954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DC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D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C7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FE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0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2B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4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F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9F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14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52E8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1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61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4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03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54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2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7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E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C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D2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A1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A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7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9DE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5A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E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7A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EF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8A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6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w:t>
            </w: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1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E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6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1A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3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6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6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2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E42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61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98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33F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34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ABF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7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3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5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AF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C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8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1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A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1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7275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533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74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63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2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5D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5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9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32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BEC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A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B6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0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D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7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DD8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4F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69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A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F1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14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E0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4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74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8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E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0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D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7EC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35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DE4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CD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5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AC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C3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CA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6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36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71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B0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D9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3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1D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B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A68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DA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B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AC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61B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1F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E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08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AC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8D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C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92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55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8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80F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EC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E7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A6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3F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D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6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4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2C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8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E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8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2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2F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E0E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BE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B80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72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53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74B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C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F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0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5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B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71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BD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1D2A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6E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71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42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85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3F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F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7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4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27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90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4D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4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A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C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8E9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75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F63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F56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B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5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8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4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F8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F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0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1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5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F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2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E6B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C8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173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7A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87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E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E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5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8F9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0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7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4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9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3E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B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6D7E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B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205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8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D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29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4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1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9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C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46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4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49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9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D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3ED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C1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27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F9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F5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99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0A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7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0A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7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D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9C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4D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A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2700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B1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23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C08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600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509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E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9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5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B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7B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EA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7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4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0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1C5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A4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5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C8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89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EE1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6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E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F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5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7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CD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E7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EDA7F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5E0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3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EF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5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F1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1C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C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1F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42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A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D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B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5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5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FFC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189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F06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ADE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7B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B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3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0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B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9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7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7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F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3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3F4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BF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B4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6CA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24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C4A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DE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02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D6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7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E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B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8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5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339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54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90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07B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7B10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6DBA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5ED5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636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12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36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F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8D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3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5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6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4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F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AD9B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8D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A2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0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B13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7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F4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9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7B8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8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D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73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3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9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A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8A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7A4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B4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68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AE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4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8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F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ED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A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6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0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0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3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D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67C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9A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8AD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A5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3A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F5F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3A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79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36A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A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8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D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8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0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F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0726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F9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70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0E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9F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F7D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8E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D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9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E5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5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6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B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9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F7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A27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1B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81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3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ABB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CAB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09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B5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3C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36F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C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D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9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E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6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13E4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CB4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D4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6A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39D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D9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1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8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B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A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2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3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4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599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D7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953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99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2A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8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EB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1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28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5F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B4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52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9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C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B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833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5D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DC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3A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2A9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6D8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C4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E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8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CB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0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6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9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49E7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8EE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06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E6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4ED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2BF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BA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2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3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6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B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1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0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1B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3C86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34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B31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3DE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89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4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DA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F0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D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55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78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F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B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4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B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C2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D7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54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71925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19CF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1F23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026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C4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3EC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7C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8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7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8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65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C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E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4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4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39C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AE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1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E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5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A2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8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E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F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9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7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8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1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EA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5B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96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BB8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8F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F61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D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BB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6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D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DBE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F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D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C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E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0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2BE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4F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16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5C3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0C2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1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9A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042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C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B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5E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0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8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F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170C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31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2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3E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DE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E0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3F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B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74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75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35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F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C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E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A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1663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E16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08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A8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EA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1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23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F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F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4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E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8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22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8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27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767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E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02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E9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1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B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A8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F4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5A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17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5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3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13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2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5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9DA4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6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6BD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CC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04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8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33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1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5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C7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4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3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B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D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C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6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1AC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55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2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D8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F6B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06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1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12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4C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A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FD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4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8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A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ECC3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F8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A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D9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FAD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25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B0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A4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3EE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F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F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95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7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B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8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ECF8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0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6D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603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D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AE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4D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5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7D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E5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57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B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1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6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8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FCB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B5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79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02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890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E6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5B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C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4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0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28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7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25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6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8D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08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69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3F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51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FF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C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A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AD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77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CCF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3D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1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20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8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DF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F89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24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6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1F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93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B8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46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E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FD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A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4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1D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7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9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C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F1C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5C1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BB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5B8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0D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5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3C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8E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7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D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FF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9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9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0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9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32D4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EE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37B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F2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A3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E4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BD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9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42E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32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5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5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1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7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1E0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AE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5D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458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0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7F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36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0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C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A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5F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7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1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0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C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F9E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B5E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BE8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69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B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5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34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D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18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2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C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E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8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F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51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0E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C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1C3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CBE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3E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6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7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C3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AA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A2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8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5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1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342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B8A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96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68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E0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E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78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02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89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3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6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E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5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CA5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1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60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85E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2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25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B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BE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7A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1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7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A9DF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D8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F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9E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8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62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0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1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A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E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25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34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A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E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8ED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13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28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B92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D014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608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7EA7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555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0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FB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E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8F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C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5E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D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6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C2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BD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D47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91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D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81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9B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4F8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9D1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F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0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11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0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8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F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8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DD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897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C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7D0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6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88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B9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3A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B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5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4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60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4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18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4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253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FD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FF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E60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C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812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D0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7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E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9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0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7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9D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5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34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6EFC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B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148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EA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F9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BC1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FE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1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0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1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F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0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00D7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7C8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7FD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53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9F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3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48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0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57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2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4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F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43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4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1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B9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CB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C5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81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ED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E8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CA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5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C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D6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61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1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65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5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4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9EC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22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B6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A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DE0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3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40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7F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79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C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8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8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F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F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C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23A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4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8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59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24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3A0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5E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2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7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B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A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4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5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2A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B03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10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B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EC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43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84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77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5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C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29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2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3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A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4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F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B6D6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4E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F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4E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BC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B18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09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9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9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9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54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EE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5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A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33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A0A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D3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D1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FCA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1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2E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0D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84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3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2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6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3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7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8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03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C70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6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0C7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76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897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5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7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B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91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BE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6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D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C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32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9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79E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5F7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88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DAB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6C7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56C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75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E4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8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E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F7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8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21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4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7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7A69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45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76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89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70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DD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71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8A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64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54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2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A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0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D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A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E98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F8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1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765D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9CCA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F6579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C89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DF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83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8C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0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102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C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51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9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BF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E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3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C72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3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71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CF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66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5E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791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0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B5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5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F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8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B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F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D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5ADA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D4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8C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3C1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56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CDB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5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E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84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E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4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E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F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0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F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1F9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665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C6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A2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4C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EE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08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9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F0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4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9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8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2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8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C1EC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EC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1F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4EE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1A2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9E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5D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C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72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C9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D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8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F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6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B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EFE4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6F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8D4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6B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9A3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DC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C3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C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B7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0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5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A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E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E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4D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CDF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D89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43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27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707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4E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28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F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0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5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2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9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A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C2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E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060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6D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F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976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10F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0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A4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2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B8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2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42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7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F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E0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D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5D2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A4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7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D7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10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E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97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2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F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C3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A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5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3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7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4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DF7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5D9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B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3F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31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9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E2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5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8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7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F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C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4B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D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4F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0C0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57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1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FC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6D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A70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4F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A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6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D5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F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6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4E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A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178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B23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58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25D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4E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6A2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7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04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E4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B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6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2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6B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D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369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90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1B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EF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17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C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B4F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C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3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BD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6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A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1275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58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A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D4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8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4A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9F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A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1A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BCA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A9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9C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8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1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7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02F0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3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3C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75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B7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EE0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D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25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A6A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8F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D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5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3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6066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E4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62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A06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307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8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9D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57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0E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F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2F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7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0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0750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2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76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5E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AB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4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80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1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0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7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16F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D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D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0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F3A8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55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6C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0D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E6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0A9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DB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2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39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8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D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6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3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0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2D6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9A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10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F9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CA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1B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50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3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D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7F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D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6E8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CA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E6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4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B50C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8F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CF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DC3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7D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A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06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9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8E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B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3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3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5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D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9A6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E00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8C6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29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20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51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54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7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1C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5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87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9F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C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0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4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E4D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3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09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D51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8D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4B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571A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73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3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38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EBD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3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7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B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6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7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231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CF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7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E0A2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E792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327E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8A8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E5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FF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1F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60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0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C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4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C0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39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C053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F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F53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CF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43C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7F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1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4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5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D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6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A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3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C9D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09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2D2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83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25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F52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A9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4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F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7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8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F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4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3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9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173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00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89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09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8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82D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11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A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4E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09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D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BF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E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2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B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F416E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F2C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B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BB5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00E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C63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9F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D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F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0E8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E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C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4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E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41F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A5F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FBA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3A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FF5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03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C6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7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88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C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9E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7E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B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D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3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0B3E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F7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C92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4B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C9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7A2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08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E7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F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26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F3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E1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1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C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A367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50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7F5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6F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12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33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34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A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6F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CD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3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4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6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E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D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5A6A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5C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E3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CB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D3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4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2C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C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C8E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0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C9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F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0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7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C95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5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AA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3F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F9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4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F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8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9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5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3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C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D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5D0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6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14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B5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5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F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C0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E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1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A5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3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8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C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C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3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3C6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69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F6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AB7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45E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8E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9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3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E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B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2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4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15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9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50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C8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1C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2C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9E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1C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E6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7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D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7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59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6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34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9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733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C8B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2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78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95D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9A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5CEA0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3B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87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C8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82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D1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7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9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69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2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AC2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39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04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7159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55854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28E6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2EE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51F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80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5C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B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4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D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E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A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5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F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A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271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D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C54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64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EE7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22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17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5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E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B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3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4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3934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92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FC7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6F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9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3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56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25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4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1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E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B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B5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F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3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2B8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80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75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1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DE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21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87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6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7B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F1E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5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C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5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4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F7E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60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86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BE2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E7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5F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BA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91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9C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78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1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1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EA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E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0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CA4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C8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7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4F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4A4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A3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54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79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E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A8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E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B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30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5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846B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84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26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8FD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F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9F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F9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EE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C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0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0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0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9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5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E65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2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68B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56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B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B4B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6C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F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C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7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F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1C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E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6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A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2F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C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EC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AC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66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6C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A8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6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37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3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0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1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D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1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1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22EF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31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44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68F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F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2B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3E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403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1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7E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6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67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3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A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2C4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76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0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84312A6">
      <w:pPr>
        <w:bidi w:val="0"/>
        <w:outlineLvl w:val="2"/>
        <w:rPr>
          <w:rFonts w:hint="eastAsia" w:ascii="宋体" w:hAnsi="宋体" w:eastAsia="宋体" w:cs="宋体"/>
          <w:b/>
          <w:bCs/>
          <w:color w:val="auto"/>
          <w:sz w:val="24"/>
          <w:szCs w:val="24"/>
          <w:lang w:val="en-US" w:eastAsia="zh-CN"/>
        </w:rPr>
      </w:pPr>
      <w:bookmarkStart w:id="151" w:name="_Toc7455"/>
      <w:r>
        <w:rPr>
          <w:rFonts w:hint="eastAsia" w:ascii="宋体" w:hAnsi="宋体" w:eastAsia="宋体" w:cs="宋体"/>
          <w:b/>
          <w:bCs/>
          <w:color w:val="auto"/>
          <w:sz w:val="24"/>
          <w:szCs w:val="24"/>
          <w:lang w:val="en-US" w:eastAsia="zh-CN"/>
        </w:rPr>
        <w:t>6.1.2针对较大风险和重大分险编制施工安全风险控制措施</w:t>
      </w:r>
      <w:bookmarkEnd w:id="151"/>
    </w:p>
    <w:p w14:paraId="4EC2B8A3">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表6.1-3旋挖及吊装</w:t>
      </w:r>
      <w:r>
        <w:rPr>
          <w:rFonts w:hint="eastAsia" w:ascii="宋体" w:hAnsi="宋体" w:eastAsia="宋体" w:cs="宋体"/>
          <w:b/>
          <w:color w:val="auto"/>
          <w:sz w:val="24"/>
        </w:rPr>
        <w:t>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8"/>
        <w:tblpPr w:leftFromText="181" w:rightFromText="181" w:vertAnchor="text" w:horzAnchor="page" w:tblpX="1401" w:tblpY="114"/>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8"/>
        <w:gridCol w:w="876"/>
        <w:gridCol w:w="5818"/>
        <w:gridCol w:w="1186"/>
        <w:gridCol w:w="2551"/>
        <w:gridCol w:w="1615"/>
        <w:gridCol w:w="1018"/>
      </w:tblGrid>
      <w:tr w14:paraId="78D4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tcBorders>
              <w:top w:val="single" w:color="000000" w:sz="4" w:space="0"/>
              <w:left w:val="single" w:color="000000" w:sz="4" w:space="0"/>
              <w:bottom w:val="single" w:color="000000" w:sz="4" w:space="0"/>
              <w:right w:val="single" w:color="000000" w:sz="4" w:space="0"/>
            </w:tcBorders>
            <w:noWrap w:val="0"/>
            <w:vAlign w:val="center"/>
          </w:tcPr>
          <w:p w14:paraId="0908E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56" w:type="pct"/>
            <w:tcBorders>
              <w:top w:val="single" w:color="000000" w:sz="4" w:space="0"/>
              <w:left w:val="single" w:color="000000" w:sz="4" w:space="0"/>
              <w:bottom w:val="single" w:color="000000" w:sz="4" w:space="0"/>
              <w:right w:val="single" w:color="000000" w:sz="4" w:space="0"/>
            </w:tcBorders>
            <w:noWrap w:val="0"/>
            <w:vAlign w:val="center"/>
          </w:tcPr>
          <w:p w14:paraId="2139B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CA6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46" w:type="pct"/>
            <w:tcBorders>
              <w:top w:val="single" w:color="000000" w:sz="4" w:space="0"/>
              <w:left w:val="single" w:color="000000" w:sz="4" w:space="0"/>
              <w:bottom w:val="single" w:color="000000" w:sz="4" w:space="0"/>
              <w:right w:val="single" w:color="000000" w:sz="4" w:space="0"/>
            </w:tcBorders>
            <w:noWrap w:val="0"/>
            <w:vAlign w:val="center"/>
          </w:tcPr>
          <w:p w14:paraId="1724B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2081D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897" w:type="pct"/>
            <w:tcBorders>
              <w:top w:val="single" w:color="000000" w:sz="4" w:space="0"/>
              <w:left w:val="single" w:color="000000" w:sz="4" w:space="0"/>
              <w:bottom w:val="single" w:color="000000" w:sz="4" w:space="0"/>
              <w:right w:val="single" w:color="000000" w:sz="4" w:space="0"/>
            </w:tcBorders>
            <w:noWrap w:val="0"/>
            <w:vAlign w:val="center"/>
          </w:tcPr>
          <w:p w14:paraId="33B95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76D1E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58" w:type="pct"/>
            <w:tcBorders>
              <w:top w:val="single" w:color="000000" w:sz="4" w:space="0"/>
              <w:left w:val="single" w:color="000000" w:sz="4" w:space="0"/>
              <w:bottom w:val="single" w:color="000000" w:sz="4" w:space="0"/>
              <w:right w:val="single" w:color="000000" w:sz="4" w:space="0"/>
            </w:tcBorders>
            <w:noWrap w:val="0"/>
            <w:vAlign w:val="center"/>
          </w:tcPr>
          <w:p w14:paraId="74843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1332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vMerge w:val="restart"/>
            <w:tcBorders>
              <w:top w:val="single" w:color="000000" w:sz="4" w:space="0"/>
              <w:left w:val="single" w:color="000000" w:sz="4" w:space="0"/>
              <w:right w:val="single" w:color="000000" w:sz="4" w:space="0"/>
            </w:tcBorders>
            <w:shd w:val="clear" w:color="auto" w:fill="auto"/>
            <w:noWrap w:val="0"/>
            <w:vAlign w:val="center"/>
          </w:tcPr>
          <w:p w14:paraId="479468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56" w:type="pct"/>
            <w:vMerge w:val="restart"/>
            <w:tcBorders>
              <w:top w:val="single" w:color="000000" w:sz="4" w:space="0"/>
              <w:left w:val="single" w:color="000000" w:sz="4" w:space="0"/>
              <w:right w:val="single" w:color="000000" w:sz="4" w:space="0"/>
            </w:tcBorders>
            <w:shd w:val="clear" w:color="auto" w:fill="auto"/>
            <w:noWrap w:val="0"/>
            <w:vAlign w:val="center"/>
          </w:tcPr>
          <w:p w14:paraId="4DE67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BE42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restart"/>
            <w:tcBorders>
              <w:top w:val="single" w:color="000000" w:sz="4" w:space="0"/>
              <w:left w:val="single" w:color="000000" w:sz="4" w:space="0"/>
              <w:right w:val="single" w:color="000000" w:sz="4" w:space="0"/>
            </w:tcBorders>
            <w:shd w:val="clear" w:color="auto" w:fill="auto"/>
            <w:noWrap w:val="0"/>
            <w:vAlign w:val="center"/>
          </w:tcPr>
          <w:p w14:paraId="12DB4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00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6C95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897" w:type="pct"/>
            <w:tcBorders>
              <w:top w:val="single" w:color="000000" w:sz="4" w:space="0"/>
              <w:left w:val="single" w:color="000000" w:sz="4" w:space="0"/>
              <w:right w:val="single" w:color="000000" w:sz="4" w:space="0"/>
            </w:tcBorders>
            <w:noWrap w:val="0"/>
            <w:vAlign w:val="center"/>
          </w:tcPr>
          <w:p w14:paraId="37238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68" w:type="pct"/>
            <w:tcBorders>
              <w:top w:val="single" w:color="000000" w:sz="4" w:space="0"/>
              <w:left w:val="single" w:color="000000" w:sz="4" w:space="0"/>
              <w:right w:val="single" w:color="000000" w:sz="4" w:space="0"/>
            </w:tcBorders>
            <w:noWrap w:val="0"/>
            <w:vAlign w:val="center"/>
          </w:tcPr>
          <w:p w14:paraId="0A492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left w:val="single" w:color="000000" w:sz="4" w:space="0"/>
              <w:bottom w:val="single" w:color="auto" w:sz="4" w:space="0"/>
              <w:right w:val="single" w:color="000000" w:sz="4" w:space="0"/>
            </w:tcBorders>
            <w:noWrap w:val="0"/>
            <w:vAlign w:val="center"/>
          </w:tcPr>
          <w:p w14:paraId="3D2EC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B82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46" w:type="pct"/>
            <w:vMerge w:val="continue"/>
            <w:tcBorders>
              <w:left w:val="single" w:color="000000" w:sz="4" w:space="0"/>
              <w:right w:val="single" w:color="000000" w:sz="4" w:space="0"/>
            </w:tcBorders>
            <w:shd w:val="clear" w:color="auto" w:fill="auto"/>
            <w:noWrap w:val="0"/>
            <w:vAlign w:val="center"/>
          </w:tcPr>
          <w:p w14:paraId="597A1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56" w:type="pct"/>
            <w:vMerge w:val="continue"/>
            <w:tcBorders>
              <w:left w:val="single" w:color="000000" w:sz="4" w:space="0"/>
              <w:right w:val="single" w:color="000000" w:sz="4" w:space="0"/>
            </w:tcBorders>
            <w:shd w:val="clear" w:color="auto" w:fill="auto"/>
            <w:noWrap w:val="0"/>
            <w:vAlign w:val="center"/>
          </w:tcPr>
          <w:p w14:paraId="3F7158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10C3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6F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15D9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897" w:type="pct"/>
            <w:tcBorders>
              <w:top w:val="single" w:color="000000" w:sz="4" w:space="0"/>
              <w:left w:val="single" w:color="000000" w:sz="4" w:space="0"/>
              <w:bottom w:val="single" w:color="auto" w:sz="4" w:space="0"/>
              <w:right w:val="single" w:color="000000" w:sz="4" w:space="0"/>
            </w:tcBorders>
            <w:noWrap w:val="0"/>
            <w:vAlign w:val="center"/>
          </w:tcPr>
          <w:p w14:paraId="667838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68" w:type="pct"/>
            <w:tcBorders>
              <w:top w:val="single" w:color="000000" w:sz="4" w:space="0"/>
              <w:left w:val="single" w:color="000000" w:sz="4" w:space="0"/>
              <w:bottom w:val="single" w:color="auto" w:sz="4" w:space="0"/>
              <w:right w:val="single" w:color="000000" w:sz="4" w:space="0"/>
            </w:tcBorders>
            <w:noWrap w:val="0"/>
            <w:vAlign w:val="center"/>
          </w:tcPr>
          <w:p w14:paraId="3B316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5C720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A04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5F7A8A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0547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auto" w:sz="4" w:space="0"/>
              <w:right w:val="single" w:color="000000" w:sz="4" w:space="0"/>
            </w:tcBorders>
            <w:shd w:val="clear" w:color="auto" w:fill="auto"/>
            <w:noWrap w:val="0"/>
            <w:vAlign w:val="center"/>
          </w:tcPr>
          <w:p w14:paraId="78E2F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EA62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6B16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5848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拆除</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C363D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85A5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301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43F52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2AE59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right w:val="single" w:color="000000" w:sz="4" w:space="0"/>
            </w:tcBorders>
            <w:shd w:val="clear" w:color="auto" w:fill="auto"/>
            <w:noWrap w:val="0"/>
            <w:vAlign w:val="center"/>
          </w:tcPr>
          <w:p w14:paraId="0BBDCD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CB66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8D63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21DB8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480C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D390F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F9C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146" w:type="pct"/>
            <w:vMerge w:val="continue"/>
            <w:tcBorders>
              <w:left w:val="single" w:color="000000" w:sz="4" w:space="0"/>
              <w:right w:val="single" w:color="000000" w:sz="4" w:space="0"/>
            </w:tcBorders>
            <w:shd w:val="clear" w:color="auto" w:fill="auto"/>
            <w:noWrap w:val="0"/>
            <w:vAlign w:val="center"/>
          </w:tcPr>
          <w:p w14:paraId="5F937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0B556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72F7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1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EBCD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4DF2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9D072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4B3F15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50E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1FB5F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C50DD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4674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60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1C8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CC62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229F84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5D98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6D1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left w:val="single" w:color="000000" w:sz="4" w:space="0"/>
              <w:right w:val="single" w:color="000000" w:sz="4" w:space="0"/>
            </w:tcBorders>
            <w:shd w:val="clear" w:color="auto" w:fill="auto"/>
            <w:noWrap w:val="0"/>
            <w:vAlign w:val="center"/>
          </w:tcPr>
          <w:p w14:paraId="09371A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left w:val="single" w:color="000000" w:sz="4" w:space="0"/>
              <w:right w:val="single" w:color="000000" w:sz="4" w:space="0"/>
            </w:tcBorders>
            <w:shd w:val="clear" w:color="auto" w:fill="auto"/>
            <w:noWrap w:val="0"/>
            <w:vAlign w:val="center"/>
          </w:tcPr>
          <w:p w14:paraId="7A5556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5BF5F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20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30CD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0385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503D2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11F02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8C3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6122AD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5E65DF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F1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6A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1908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FCF05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DC77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C902A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DFE3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46" w:type="pct"/>
            <w:vMerge w:val="continue"/>
            <w:tcBorders>
              <w:left w:val="single" w:color="000000" w:sz="4" w:space="0"/>
              <w:right w:val="single" w:color="000000" w:sz="4" w:space="0"/>
            </w:tcBorders>
            <w:shd w:val="clear" w:color="auto" w:fill="auto"/>
            <w:noWrap w:val="0"/>
            <w:vAlign w:val="center"/>
          </w:tcPr>
          <w:p w14:paraId="0745B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9F34A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right w:val="single" w:color="000000" w:sz="4" w:space="0"/>
            </w:tcBorders>
            <w:shd w:val="clear" w:color="auto" w:fill="auto"/>
            <w:noWrap w:val="0"/>
            <w:vAlign w:val="center"/>
          </w:tcPr>
          <w:p w14:paraId="02AA9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46" w:type="pct"/>
            <w:tcBorders>
              <w:top w:val="single" w:color="000000" w:sz="4" w:space="0"/>
              <w:left w:val="single" w:color="000000" w:sz="4" w:space="0"/>
              <w:right w:val="single" w:color="000000" w:sz="4" w:space="0"/>
            </w:tcBorders>
            <w:shd w:val="clear" w:color="auto" w:fill="auto"/>
            <w:noWrap w:val="0"/>
            <w:vAlign w:val="center"/>
          </w:tcPr>
          <w:p w14:paraId="4A0D5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17" w:type="pct"/>
            <w:tcBorders>
              <w:top w:val="single" w:color="000000" w:sz="4" w:space="0"/>
              <w:left w:val="single" w:color="000000" w:sz="4" w:space="0"/>
              <w:right w:val="single" w:color="000000" w:sz="4" w:space="0"/>
            </w:tcBorders>
            <w:shd w:val="clear" w:color="auto" w:fill="FFC000"/>
            <w:noWrap w:val="0"/>
            <w:vAlign w:val="center"/>
          </w:tcPr>
          <w:p w14:paraId="4DCDE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B742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05842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right w:val="single" w:color="000000" w:sz="4" w:space="0"/>
            </w:tcBorders>
            <w:noWrap w:val="0"/>
            <w:vAlign w:val="center"/>
          </w:tcPr>
          <w:p w14:paraId="118FA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6DC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bottom w:val="single" w:color="auto" w:sz="4" w:space="0"/>
              <w:right w:val="single" w:color="000000" w:sz="4" w:space="0"/>
            </w:tcBorders>
            <w:shd w:val="clear" w:color="auto" w:fill="auto"/>
            <w:noWrap w:val="0"/>
            <w:vAlign w:val="center"/>
          </w:tcPr>
          <w:p w14:paraId="4895EB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bottom w:val="single" w:color="auto" w:sz="4" w:space="0"/>
              <w:right w:val="single" w:color="000000" w:sz="4" w:space="0"/>
            </w:tcBorders>
            <w:shd w:val="clear" w:color="auto" w:fill="auto"/>
            <w:noWrap w:val="0"/>
            <w:vAlign w:val="center"/>
          </w:tcPr>
          <w:p w14:paraId="4557B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A56F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C4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7189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AF5FC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AC85A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210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BD29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E814C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FBA2A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2951F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4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84A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54CD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62AF9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566C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5D9B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8848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91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B89D4BB">
            <w:pPr>
              <w:keepNext w:val="0"/>
              <w:keepLines w:val="0"/>
              <w:pageBreakBefore w:val="0"/>
              <w:kinsoku/>
              <w:wordWrap/>
              <w:overflowPunct/>
              <w:topLinePunct w:val="0"/>
              <w:autoSpaceDE/>
              <w:autoSpaceDN/>
              <w:bidi w:val="0"/>
              <w:adjustRightInd/>
              <w:snapToGrid/>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55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89AF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restart"/>
            <w:tcBorders>
              <w:top w:val="single" w:color="auto" w:sz="4" w:space="0"/>
              <w:left w:val="single" w:color="000000" w:sz="4" w:space="0"/>
              <w:bottom w:val="single" w:color="auto" w:sz="4" w:space="0"/>
              <w:right w:val="single" w:color="000000" w:sz="4" w:space="0"/>
            </w:tcBorders>
            <w:noWrap w:val="0"/>
            <w:vAlign w:val="center"/>
          </w:tcPr>
          <w:p w14:paraId="53C1C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68" w:type="pct"/>
            <w:vMerge w:val="restart"/>
            <w:tcBorders>
              <w:top w:val="single" w:color="auto" w:sz="4" w:space="0"/>
              <w:left w:val="single" w:color="000000" w:sz="4" w:space="0"/>
              <w:bottom w:val="single" w:color="auto" w:sz="4" w:space="0"/>
              <w:right w:val="single" w:color="000000" w:sz="4" w:space="0"/>
            </w:tcBorders>
            <w:noWrap w:val="0"/>
            <w:vAlign w:val="center"/>
          </w:tcPr>
          <w:p w14:paraId="4DE93A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54DF72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00BB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7F7B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B6B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453D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4173A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7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AF57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B44BA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2CA3A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BFA9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507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5183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8EF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48FC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B2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9629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77C8F7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4678FD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36C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0673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637E0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94F4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E2C4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24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308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1F613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D3A3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6033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36F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B542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080D0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7938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69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B177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9F23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3DA9B0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83B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bl>
    <w:p w14:paraId="4593BB19">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4BEF8A20">
      <w:pPr>
        <w:pStyle w:val="32"/>
        <w:rPr>
          <w:color w:val="auto"/>
        </w:rPr>
        <w:sectPr>
          <w:pgSz w:w="16838" w:h="11906" w:orient="landscape"/>
          <w:pgMar w:top="1701" w:right="1418" w:bottom="1134" w:left="1418"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bookmarkEnd w:id="148"/>
    <w:bookmarkEnd w:id="149"/>
    <w:p w14:paraId="0F279130">
      <w:pPr>
        <w:pStyle w:val="3"/>
        <w:spacing w:line="240" w:lineRule="auto"/>
        <w:rPr>
          <w:rFonts w:hint="eastAsia" w:ascii="宋体" w:hAnsi="宋体" w:eastAsia="宋体" w:cs="宋体"/>
          <w:color w:val="auto"/>
          <w:kern w:val="0"/>
          <w:szCs w:val="28"/>
        </w:rPr>
      </w:pPr>
      <w:bookmarkStart w:id="152" w:name="_Toc23989"/>
      <w:bookmarkStart w:id="153" w:name="_Toc21359"/>
      <w:bookmarkStart w:id="154" w:name="_Toc16351"/>
      <w:bookmarkStart w:id="155" w:name="_Toc5520"/>
      <w:bookmarkStart w:id="156" w:name="_Toc121569420"/>
      <w:bookmarkStart w:id="157" w:name="_Toc23646"/>
      <w:bookmarkStart w:id="158" w:name="_Toc2026"/>
      <w:bookmarkStart w:id="159" w:name="_Toc14971"/>
      <w:bookmarkStart w:id="160" w:name="_Toc11379"/>
      <w:bookmarkStart w:id="161" w:name="_Toc5668"/>
      <w:bookmarkStart w:id="162" w:name="_Toc17347"/>
      <w:bookmarkStart w:id="163" w:name="_Toc40778445"/>
      <w:bookmarkStart w:id="164" w:name="_Toc6917"/>
      <w:r>
        <w:rPr>
          <w:rFonts w:hint="eastAsia" w:ascii="宋体" w:hAnsi="宋体" w:eastAsia="宋体" w:cs="宋体"/>
          <w:color w:val="auto"/>
          <w:kern w:val="0"/>
          <w:szCs w:val="28"/>
        </w:rPr>
        <w:t>组织保障措施</w:t>
      </w:r>
      <w:bookmarkEnd w:id="152"/>
      <w:bookmarkEnd w:id="153"/>
      <w:bookmarkEnd w:id="154"/>
      <w:bookmarkEnd w:id="155"/>
      <w:bookmarkEnd w:id="156"/>
      <w:bookmarkEnd w:id="157"/>
      <w:bookmarkEnd w:id="158"/>
    </w:p>
    <w:p w14:paraId="3FD30DDD">
      <w:pPr>
        <w:pStyle w:val="4"/>
        <w:spacing w:before="0" w:after="0"/>
        <w:rPr>
          <w:rFonts w:hint="eastAsia"/>
          <w:color w:val="auto"/>
          <w:sz w:val="28"/>
          <w:szCs w:val="28"/>
        </w:rPr>
      </w:pPr>
      <w:bookmarkStart w:id="165" w:name="_Toc3510"/>
      <w:bookmarkStart w:id="166" w:name="_Toc8340"/>
      <w:bookmarkStart w:id="167" w:name="_Toc13738"/>
      <w:r>
        <w:rPr>
          <w:rFonts w:hint="eastAsia"/>
          <w:color w:val="auto"/>
          <w:sz w:val="28"/>
          <w:szCs w:val="28"/>
        </w:rPr>
        <w:t>安全组织机构</w:t>
      </w:r>
      <w:bookmarkEnd w:id="165"/>
      <w:bookmarkEnd w:id="166"/>
      <w:bookmarkEnd w:id="167"/>
    </w:p>
    <w:p w14:paraId="3AB54F9F">
      <w:pPr>
        <w:widowControl/>
        <w:ind w:left="0" w:leftChars="0" w:firstLine="0" w:firstLineChars="0"/>
        <w:rPr>
          <w:color w:val="auto"/>
        </w:rPr>
      </w:pPr>
      <w:r>
        <w:rPr>
          <w:color w:val="auto"/>
        </w:rPr>
        <w:drawing>
          <wp:inline distT="0" distB="0" distL="114300" distR="114300">
            <wp:extent cx="5638800" cy="4620895"/>
            <wp:effectExtent l="0" t="0" r="0" b="8255"/>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40"/>
                    <a:stretch>
                      <a:fillRect/>
                    </a:stretch>
                  </pic:blipFill>
                  <pic:spPr>
                    <a:xfrm>
                      <a:off x="0" y="0"/>
                      <a:ext cx="5638800" cy="4620895"/>
                    </a:xfrm>
                    <a:prstGeom prst="rect">
                      <a:avLst/>
                    </a:prstGeom>
                    <a:noFill/>
                    <a:ln>
                      <a:noFill/>
                    </a:ln>
                  </pic:spPr>
                </pic:pic>
              </a:graphicData>
            </a:graphic>
          </wp:inline>
        </w:drawing>
      </w:r>
    </w:p>
    <w:p w14:paraId="51D23FF8">
      <w:pPr>
        <w:ind w:firstLine="420"/>
        <w:jc w:val="center"/>
        <w:rPr>
          <w:rFonts w:hint="eastAsia"/>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.2-1安全管理组织机构图</w:t>
      </w:r>
    </w:p>
    <w:p w14:paraId="39B282F7">
      <w:pPr>
        <w:pStyle w:val="4"/>
        <w:spacing w:before="0" w:after="0"/>
        <w:rPr>
          <w:rFonts w:hint="eastAsia"/>
          <w:color w:val="auto"/>
          <w:sz w:val="28"/>
          <w:szCs w:val="28"/>
        </w:rPr>
      </w:pPr>
      <w:bookmarkStart w:id="168" w:name="_Toc4745"/>
      <w:bookmarkStart w:id="169" w:name="_Toc11636"/>
      <w:bookmarkStart w:id="170" w:name="_Toc25198"/>
      <w:r>
        <w:rPr>
          <w:rFonts w:hint="eastAsia"/>
          <w:color w:val="auto"/>
          <w:sz w:val="28"/>
          <w:szCs w:val="28"/>
        </w:rPr>
        <w:t>安全保证体系</w:t>
      </w:r>
      <w:bookmarkEnd w:id="168"/>
      <w:bookmarkEnd w:id="169"/>
      <w:bookmarkEnd w:id="170"/>
    </w:p>
    <w:p w14:paraId="0BFEDC56">
      <w:pPr>
        <w:pStyle w:val="47"/>
        <w:rPr>
          <w:color w:val="auto"/>
        </w:rPr>
      </w:pPr>
      <w:r>
        <w:rPr>
          <w:color w:val="auto"/>
        </w:rPr>
        <w:drawing>
          <wp:inline distT="0" distB="0" distL="114300" distR="114300">
            <wp:extent cx="5322570" cy="7065645"/>
            <wp:effectExtent l="0" t="0" r="11430" b="1905"/>
            <wp:docPr id="9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47"/>
                    <pic:cNvPicPr>
                      <a:picLocks noChangeAspect="1"/>
                    </pic:cNvPicPr>
                  </pic:nvPicPr>
                  <pic:blipFill>
                    <a:blip r:embed="rId41"/>
                    <a:stretch>
                      <a:fillRect/>
                    </a:stretch>
                  </pic:blipFill>
                  <pic:spPr>
                    <a:xfrm>
                      <a:off x="0" y="0"/>
                      <a:ext cx="5322570" cy="7065645"/>
                    </a:xfrm>
                    <a:prstGeom prst="rect">
                      <a:avLst/>
                    </a:prstGeom>
                    <a:noFill/>
                    <a:ln>
                      <a:noFill/>
                    </a:ln>
                  </pic:spPr>
                </pic:pic>
              </a:graphicData>
            </a:graphic>
          </wp:inline>
        </w:drawing>
      </w:r>
    </w:p>
    <w:p w14:paraId="3A839E7B">
      <w:pPr>
        <w:ind w:firstLine="422"/>
        <w:jc w:val="center"/>
        <w:rPr>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.2-2安全保证体系图</w:t>
      </w:r>
    </w:p>
    <w:p w14:paraId="69681FB1">
      <w:pPr>
        <w:pStyle w:val="4"/>
        <w:spacing w:before="0" w:after="0"/>
        <w:rPr>
          <w:rFonts w:ascii="宋体" w:hAnsi="宋体" w:cs="宋体"/>
          <w:b/>
          <w:bCs/>
          <w:color w:val="auto"/>
          <w:sz w:val="24"/>
        </w:rPr>
      </w:pPr>
      <w:bookmarkStart w:id="171" w:name="_Toc25413"/>
      <w:bookmarkStart w:id="172" w:name="_Toc10525"/>
      <w:bookmarkStart w:id="173" w:name="_Toc18221"/>
      <w:r>
        <w:rPr>
          <w:rFonts w:hint="eastAsia"/>
          <w:color w:val="auto"/>
          <w:sz w:val="28"/>
          <w:szCs w:val="28"/>
        </w:rPr>
        <w:t>安全生产职责</w:t>
      </w:r>
      <w:bookmarkEnd w:id="171"/>
      <w:bookmarkEnd w:id="172"/>
      <w:bookmarkEnd w:id="173"/>
    </w:p>
    <w:p w14:paraId="7F156FB9">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hint="eastAsia" w:ascii="宋体" w:hAnsi="宋体" w:cs="宋体"/>
          <w:b/>
          <w:bCs/>
          <w:color w:val="auto"/>
          <w:sz w:val="24"/>
          <w:lang w:val="en-US" w:eastAsia="zh-CN"/>
        </w:rPr>
        <w:t>.3</w:t>
      </w:r>
      <w:r>
        <w:rPr>
          <w:rFonts w:hint="eastAsia" w:ascii="宋体" w:hAnsi="宋体" w:cs="宋体"/>
          <w:b/>
          <w:bCs/>
          <w:color w:val="auto"/>
          <w:sz w:val="24"/>
        </w:rPr>
        <w:t>-1安全生产职责表</w:t>
      </w:r>
    </w:p>
    <w:tbl>
      <w:tblPr>
        <w:tblStyle w:val="28"/>
        <w:tblpPr w:leftFromText="180" w:rightFromText="180" w:vertAnchor="text" w:horzAnchor="page" w:tblpX="1423" w:tblpY="285"/>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67"/>
        <w:gridCol w:w="7530"/>
      </w:tblGrid>
      <w:tr w14:paraId="6CC2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4F81BD"/>
            <w:noWrap w:val="0"/>
            <w:vAlign w:val="center"/>
          </w:tcPr>
          <w:p w14:paraId="7C83F36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1067" w:type="dxa"/>
            <w:shd w:val="clear" w:color="auto" w:fill="4F81BD"/>
            <w:noWrap w:val="0"/>
            <w:vAlign w:val="center"/>
          </w:tcPr>
          <w:p w14:paraId="107E781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岗位/部门</w:t>
            </w:r>
          </w:p>
        </w:tc>
        <w:tc>
          <w:tcPr>
            <w:tcW w:w="7530" w:type="dxa"/>
            <w:shd w:val="clear" w:color="auto" w:fill="4F81BD"/>
            <w:noWrap w:val="0"/>
            <w:vAlign w:val="center"/>
          </w:tcPr>
          <w:p w14:paraId="6B9D78D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rPr>
              <w:t>职业健康安全生产职责</w:t>
            </w:r>
          </w:p>
        </w:tc>
      </w:tr>
      <w:tr w14:paraId="315F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3C6BBB18">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1</w:t>
            </w:r>
          </w:p>
        </w:tc>
        <w:tc>
          <w:tcPr>
            <w:tcW w:w="1067" w:type="dxa"/>
            <w:noWrap w:val="0"/>
            <w:vAlign w:val="center"/>
          </w:tcPr>
          <w:p w14:paraId="210FD31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各项目职能部门通用</w:t>
            </w:r>
          </w:p>
        </w:tc>
        <w:tc>
          <w:tcPr>
            <w:tcW w:w="7530" w:type="dxa"/>
            <w:noWrap w:val="0"/>
            <w:vAlign w:val="center"/>
          </w:tcPr>
          <w:p w14:paraId="562D597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（1）各部门主要负责人是本部门职业健康安全生产第一责任人，负责建立健全本部门员工的岗位职业健康安全生产职责，做到责任到岗，措施到位，落实到人。</w:t>
            </w:r>
          </w:p>
          <w:p w14:paraId="08DED10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（2）部门各岗位按照“谁主管谁负责”，“谁审批谁负责”，“谁签字谁负责”，“谁并表谁负责”的原则，对各自职责范围内的职业健康安全生产工作负责。</w:t>
            </w:r>
          </w:p>
          <w:p w14:paraId="44B280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（3）认真贯彻执行国家有关职业健康安全生产的方针、政策、法律法规、标准规范及公司、项目部职业健康安全生产管理制度。</w:t>
            </w:r>
          </w:p>
          <w:p w14:paraId="50343C39">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（4）配合做好项目职业健康安全生产规章制度制定、修订与发布等相关工作及本部门人员日常的安全教育。</w:t>
            </w:r>
          </w:p>
          <w:p w14:paraId="5896202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（5）参与全面安全风险辨识评价，充分辨识本部门职能及管理范围涉及到的安全风险，做好风险管控及隐患排查治理。</w:t>
            </w:r>
          </w:p>
          <w:p w14:paraId="322BD4E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（6）组织本部门培训将职业健康安全生产的知识纳入培训内容。</w:t>
            </w:r>
          </w:p>
          <w:p w14:paraId="25159A8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（7）负责本部门业务范围内安全生产费用的预算编制、执行。</w:t>
            </w:r>
          </w:p>
          <w:p w14:paraId="5EFFB98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（8）负责部门职责范围内的其他职业健康安全生产相关工作。</w:t>
            </w:r>
          </w:p>
        </w:tc>
      </w:tr>
      <w:tr w14:paraId="52C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04AC21FB">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2</w:t>
            </w:r>
          </w:p>
        </w:tc>
        <w:tc>
          <w:tcPr>
            <w:tcW w:w="1067" w:type="dxa"/>
            <w:noWrap w:val="0"/>
            <w:vAlign w:val="center"/>
          </w:tcPr>
          <w:p w14:paraId="55EDB5F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项目经理</w:t>
            </w:r>
          </w:p>
        </w:tc>
        <w:tc>
          <w:tcPr>
            <w:tcW w:w="7530" w:type="dxa"/>
            <w:noWrap w:val="0"/>
            <w:vAlign w:val="center"/>
          </w:tcPr>
          <w:p w14:paraId="16F299E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（1）项目经理为项目部主要负责人，按照国家有关职业健康安全的法律、法规的规定履行项目主要负责人的职责，包括：</w:t>
            </w:r>
          </w:p>
          <w:p w14:paraId="7FC3631C">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1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①</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.建立健全并落实项目全员职业健康安全责任制，加强职业健康安全生产标准化建设。</w:t>
            </w:r>
          </w:p>
          <w:p w14:paraId="6CD1C53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2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②</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.组织制定并实施项目职业健康安全规章制度和操作规程。</w:t>
            </w:r>
          </w:p>
          <w:p w14:paraId="1C52A8F9">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3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③</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.组织制定并实施项目职业健康安全教育和培训计划。</w:t>
            </w:r>
          </w:p>
          <w:p w14:paraId="56340FC5">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4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④</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.保证项目职业健康安全生产投入的有效实施。</w:t>
            </w:r>
          </w:p>
          <w:p w14:paraId="24DAE24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5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⑤</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.组织建立并落实安全风险分级管控和隐患排查治理双重预防工作机制，督促、检查项目的职业健康安全工作，及时消除生产安全事故隐患。</w:t>
            </w:r>
          </w:p>
          <w:p w14:paraId="57375FC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6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⑥</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.组织制定并实施项目的生产安全事故应急救援预案。</w:t>
            </w:r>
          </w:p>
          <w:p w14:paraId="685F84E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7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⑦</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.及时、如实报告职业健康生产安全事故。</w:t>
            </w:r>
          </w:p>
          <w:p w14:paraId="492F2A7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（2）建立健全安全生产管理机构，并足额配备合格的安全管理人员。</w:t>
            </w:r>
          </w:p>
          <w:p w14:paraId="44F20D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（3）在计划、布置、检查、总结、评比生产时，同时计划、布置、检查、总结、评比安全生产工作。</w:t>
            </w:r>
          </w:p>
          <w:p w14:paraId="76BA6D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（4）组织编制项目班子成员带班值班计划，并按计划进行带班值班。</w:t>
            </w:r>
          </w:p>
          <w:p w14:paraId="4924D7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（5）加强分包管理，确保进场的分包单位及设备设施等符合法规及公司有关要求。</w:t>
            </w:r>
          </w:p>
          <w:p w14:paraId="536BE4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（6）组织进行项目风险评估，制定重大风险（隐患）控制措施。</w:t>
            </w:r>
          </w:p>
          <w:p w14:paraId="3884DD4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（7）自觉接受行业主管部门和公司组织的职业健康安全生产教育，并取得项目负责人安全生产考核合格证书。</w:t>
            </w:r>
          </w:p>
        </w:tc>
      </w:tr>
      <w:tr w14:paraId="2144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0453C847">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3</w:t>
            </w:r>
          </w:p>
        </w:tc>
        <w:tc>
          <w:tcPr>
            <w:tcW w:w="1067" w:type="dxa"/>
            <w:noWrap w:val="0"/>
            <w:vAlign w:val="center"/>
          </w:tcPr>
          <w:p w14:paraId="5D58A2A0">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项目书记</w:t>
            </w:r>
          </w:p>
        </w:tc>
        <w:tc>
          <w:tcPr>
            <w:tcW w:w="7530" w:type="dxa"/>
            <w:noWrap w:val="0"/>
            <w:vAlign w:val="center"/>
          </w:tcPr>
          <w:p w14:paraId="7094A12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（1）项目书记按照“党政同责”的要求履行项目主要负责人安全生产职责。包括：</w:t>
            </w:r>
          </w:p>
          <w:p w14:paraId="73B984B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1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①</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.建立健全并落实项目全员职业健康安全责任制，加强职业健康安全生产标准化建设。</w:t>
            </w:r>
          </w:p>
          <w:p w14:paraId="19F22BD1">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2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②</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.组织制定并实施项目职业健康安全规章制度和操作规程。</w:t>
            </w:r>
          </w:p>
          <w:p w14:paraId="6A59CF7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3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③</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.组织制定并实施项目职业健康安全教育和培训计划。</w:t>
            </w:r>
          </w:p>
          <w:p w14:paraId="492A269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4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④</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.保证项目职业健康安全生产投入的有效实施。</w:t>
            </w:r>
          </w:p>
          <w:p w14:paraId="739E7FA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5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⑤</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.组织建立并落实安全风险分级管控和隐患排查治理双重预防工作机制，督促、检查项目的职业健康安全工作，及时消除生产安全事故隐患。</w:t>
            </w:r>
          </w:p>
          <w:p w14:paraId="53E61EF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6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⑥</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.组织制定并实施项目的生产安全事故应急救援预案。</w:t>
            </w:r>
          </w:p>
          <w:p w14:paraId="1334865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fldChar w:fldCharType="begin"/>
            </w:r>
            <w:r>
              <w:rPr>
                <w:rFonts w:hint="eastAsia" w:ascii="宋体" w:hAnsi="宋体" w:eastAsia="宋体" w:cs="宋体"/>
                <w:color w:val="auto"/>
                <w:kern w:val="2"/>
                <w:sz w:val="18"/>
                <w:szCs w:val="18"/>
                <w:lang w:val="en-US" w:eastAsia="zh-CN" w:bidi="ar-SA"/>
              </w:rPr>
              <w:instrText xml:space="preserve"> = 7 \* GB3 \* MERGEFORMAT </w:instrText>
            </w:r>
            <w:r>
              <w:rPr>
                <w:rFonts w:hint="eastAsia" w:ascii="宋体" w:hAnsi="宋体" w:eastAsia="宋体" w:cs="宋体"/>
                <w:color w:val="auto"/>
                <w:kern w:val="2"/>
                <w:sz w:val="18"/>
                <w:szCs w:val="18"/>
                <w:lang w:val="en-US" w:eastAsia="zh-CN" w:bidi="ar-SA"/>
              </w:rPr>
              <w:fldChar w:fldCharType="separate"/>
            </w:r>
            <w:r>
              <w:rPr>
                <w:rFonts w:hint="eastAsia" w:ascii="宋体" w:hAnsi="宋体" w:eastAsia="宋体" w:cs="宋体"/>
                <w:color w:val="auto"/>
                <w:kern w:val="2"/>
                <w:sz w:val="18"/>
                <w:szCs w:val="18"/>
                <w:lang w:val="en-US" w:eastAsia="zh-CN" w:bidi="ar-SA"/>
              </w:rPr>
              <w:t>⑦</w:t>
            </w:r>
            <w:r>
              <w:rPr>
                <w:rFonts w:hint="eastAsia" w:ascii="宋体" w:hAnsi="宋体" w:eastAsia="宋体" w:cs="宋体"/>
                <w:color w:val="auto"/>
                <w:kern w:val="2"/>
                <w:sz w:val="18"/>
                <w:szCs w:val="18"/>
                <w:lang w:val="en-US" w:eastAsia="zh-CN" w:bidi="ar-SA"/>
              </w:rPr>
              <w:fldChar w:fldCharType="end"/>
            </w:r>
            <w:r>
              <w:rPr>
                <w:rFonts w:hint="eastAsia" w:ascii="宋体" w:hAnsi="宋体" w:eastAsia="宋体" w:cs="宋体"/>
                <w:color w:val="auto"/>
                <w:kern w:val="2"/>
                <w:sz w:val="18"/>
                <w:szCs w:val="18"/>
                <w:lang w:val="en-US" w:eastAsia="zh-CN" w:bidi="ar-SA"/>
              </w:rPr>
              <w:t>.及时、如实报告职业健康生产安全事故。</w:t>
            </w:r>
          </w:p>
          <w:p w14:paraId="6853C4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（2）将安全生产方针政策和法律法规纳入党支部或党总支学习内容和干部培训内容。</w:t>
            </w:r>
          </w:p>
          <w:p w14:paraId="235245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（3）将安全生产工作列入党支部或党总支的重要议事日程，及时组织研究解决安全生产重大问题。</w:t>
            </w:r>
          </w:p>
          <w:p w14:paraId="05801F8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（4）结合安全生产工作开展党建活动，加强安全生产考核。</w:t>
            </w:r>
          </w:p>
          <w:p w14:paraId="2E6E61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（5）加强后勤管理，将产业工人住宿、食堂、交通车辆纳入统一管理，统筹开展食品安全、消防安全、交通安全隐患检查。</w:t>
            </w:r>
          </w:p>
          <w:p w14:paraId="3B9632C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（6）负责项目综合治理工作。</w:t>
            </w:r>
          </w:p>
        </w:tc>
      </w:tr>
      <w:tr w14:paraId="3A36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48C46AD4">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4</w:t>
            </w:r>
          </w:p>
        </w:tc>
        <w:tc>
          <w:tcPr>
            <w:tcW w:w="1067" w:type="dxa"/>
            <w:noWrap w:val="0"/>
            <w:vAlign w:val="center"/>
          </w:tcPr>
          <w:p w14:paraId="7806635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项目总工</w:t>
            </w:r>
          </w:p>
        </w:tc>
        <w:tc>
          <w:tcPr>
            <w:tcW w:w="7530" w:type="dxa"/>
            <w:noWrap w:val="0"/>
            <w:vAlign w:val="center"/>
          </w:tcPr>
          <w:p w14:paraId="6E9EE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（1）组织编制施工组织设计、危险性较大分部分项工程专项施工方案，一般方案，审查一般方案，对安全技术措施、防护设施进行技术把关。督促技术部门按规定完成专项方案的报审、专家论证流程。</w:t>
            </w:r>
          </w:p>
          <w:p w14:paraId="06B8234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（2）协助项目经理按规定要求开展实施项目的安全风险评估工作。</w:t>
            </w:r>
          </w:p>
          <w:p w14:paraId="334093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（3）对照图纸及设计说明的有关要求，组织对项目周围环境、地质条件、地下管线等因素进行调查复核。</w:t>
            </w:r>
          </w:p>
          <w:p w14:paraId="4FB694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（4）督促技术部门牵头对分部分项工程施工进行技术交底。</w:t>
            </w:r>
          </w:p>
          <w:p w14:paraId="591467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（5）动态关注危险性较大分部分项工程实施过程中施工边界条件的变化，经评估适时调整专项施工方案。</w:t>
            </w:r>
          </w:p>
          <w:p w14:paraId="650C44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（6）针对项目应用的新材料、新工艺、新技术、新设备，组织编制并督促按安全技术规程实施。</w:t>
            </w:r>
          </w:p>
          <w:p w14:paraId="0387AE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（7）负责对项目自行设计的临时设施进行计算、复核。</w:t>
            </w:r>
          </w:p>
          <w:p w14:paraId="1AACF9B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（8）组织临时结构、方案落实等情况的专项隐患排查，必要时组织制定工程技术隐患治理方案。</w:t>
            </w:r>
          </w:p>
          <w:p w14:paraId="224200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（9）分管试验检测工作，对试验检测的安全管理工作负技术领导责任。</w:t>
            </w:r>
          </w:p>
          <w:p w14:paraId="2F31D4D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（10）分管测量工作，对测量的安全管理工作负技术领导责任。</w:t>
            </w:r>
          </w:p>
          <w:p w14:paraId="1F5C89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）参加生产安全事故（重大隐患）的调查处理。</w:t>
            </w:r>
          </w:p>
          <w:p w14:paraId="3A3F4D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（12）自觉接受行业主管部门和公司组织的职业健康安全生产教育，并取得项目负责人安全生产考核合格证书。</w:t>
            </w:r>
          </w:p>
        </w:tc>
      </w:tr>
      <w:tr w14:paraId="615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3A0BD0EE">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5</w:t>
            </w:r>
          </w:p>
        </w:tc>
        <w:tc>
          <w:tcPr>
            <w:tcW w:w="1067" w:type="dxa"/>
            <w:noWrap w:val="0"/>
            <w:vAlign w:val="center"/>
          </w:tcPr>
          <w:p w14:paraId="2525BF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项目生产副经理</w:t>
            </w:r>
          </w:p>
        </w:tc>
        <w:tc>
          <w:tcPr>
            <w:tcW w:w="7530" w:type="dxa"/>
            <w:noWrap w:val="0"/>
            <w:vAlign w:val="center"/>
          </w:tcPr>
          <w:p w14:paraId="764E7B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（1）在计划、布置、检查、总结、评比生产工作的同时，计划、布置、检查、总结、评比安全生产工作。</w:t>
            </w:r>
          </w:p>
          <w:p w14:paraId="75E102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（2）督促生产管理部门严格按照批复的方案组织施工，合理安排安全生产，及时落实防护措施。</w:t>
            </w:r>
          </w:p>
          <w:p w14:paraId="16BF25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（3）组织开展危险作业施工许可验收。</w:t>
            </w:r>
          </w:p>
          <w:p w14:paraId="1078DDC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（4）负责划分作业班组，明确班组长以及跟班管理人员，明确各班组作业任务和作业地点，核实班前喊话内容，参与班前喊话点评。</w:t>
            </w:r>
          </w:p>
          <w:p w14:paraId="683498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（5）牵头组织对项目大、小临设施及施工现场临时设施（结构）投入使用前的验收。</w:t>
            </w:r>
          </w:p>
          <w:p w14:paraId="1D6799E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（6）处理好进度与安全生产的关系，不违章指挥，不强令冒险作业。发现或接到险情报告，应立即组织停工并撤离人员。</w:t>
            </w:r>
          </w:p>
          <w:p w14:paraId="0639E2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（7）组织或参加月度安全生产大检查、安全专项检查等活动。</w:t>
            </w:r>
          </w:p>
          <w:p w14:paraId="0B947B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（8）组织落实重大安全生产风险应急预控措施。</w:t>
            </w:r>
          </w:p>
          <w:p w14:paraId="0B16FE9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（9）督促生产管理部门制定作业人员培训、学习计划，并监督实施。</w:t>
            </w:r>
          </w:p>
          <w:p w14:paraId="568C8F5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（10）组织分包商评价时，把分包商的安全绩效纳入重点评价指标。</w:t>
            </w:r>
          </w:p>
          <w:p w14:paraId="06CB9AC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）负责施工现场的文明施工工作。</w:t>
            </w:r>
          </w:p>
          <w:p w14:paraId="5AB4100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（12）协助项目经理做好应急救援工作。</w:t>
            </w:r>
          </w:p>
          <w:p w14:paraId="5B8B9D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（13）参与生产安全事故（重大隐患）的调查处理。</w:t>
            </w:r>
          </w:p>
          <w:p w14:paraId="30C124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（14）自觉接受行业主管部门和公司组织的职业健康安全生产教育，并取得项目负责人安全生产考核合格证书。</w:t>
            </w:r>
          </w:p>
        </w:tc>
      </w:tr>
      <w:tr w14:paraId="4F58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76B9E89C">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6</w:t>
            </w:r>
          </w:p>
        </w:tc>
        <w:tc>
          <w:tcPr>
            <w:tcW w:w="1067" w:type="dxa"/>
            <w:noWrap w:val="0"/>
            <w:vAlign w:val="center"/>
          </w:tcPr>
          <w:p w14:paraId="29F4D96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安全总监</w:t>
            </w:r>
          </w:p>
        </w:tc>
        <w:tc>
          <w:tcPr>
            <w:tcW w:w="7530" w:type="dxa"/>
            <w:noWrap w:val="0"/>
            <w:vAlign w:val="center"/>
          </w:tcPr>
          <w:p w14:paraId="136FE8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（1）协助项目生产副经理落实施工组织设计、专项施工方案等的安全管控措施。</w:t>
            </w:r>
          </w:p>
          <w:p w14:paraId="5BAF034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（2）内容负责项目工段（工区、架子队）施工现场管理工作。</w:t>
            </w:r>
          </w:p>
          <w:p w14:paraId="4CDBB8F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（3）配合组织调配现场人员、材料、设备时，应对其职业健康安全生产教育培训情况、验收合格情况进行严格把关。</w:t>
            </w:r>
          </w:p>
          <w:p w14:paraId="3DA7AD6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（3）负责项目工段（工区、架子队）施工班组和分包队伍的管理，组织施工班组和分包队伍按施工工序和施工计划完成施工任务。</w:t>
            </w:r>
          </w:p>
          <w:p w14:paraId="7C24C93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（4）掌握各施工班组专业工种的特点、能力、素质，组织好各工序的衔接，确保施工生产安全有序进行；</w:t>
            </w:r>
          </w:p>
          <w:p w14:paraId="60BF800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（5）负责监督劳务工人的考勤管理，组织班组班前会，督促施工班组按本专业操作规程进行施工生产</w:t>
            </w:r>
          </w:p>
          <w:p w14:paraId="279C22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（6）及时掌握施工现场情况，主动安全部门沟通，协商解决施工生产中发现的问题，督促整改落实现场隐患。</w:t>
            </w:r>
          </w:p>
          <w:p w14:paraId="796E005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（7）及时如果报告职业健康生产安全事故，按要求开展现场处置。</w:t>
            </w:r>
          </w:p>
          <w:p w14:paraId="03B498F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p>
        </w:tc>
      </w:tr>
      <w:tr w14:paraId="557B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6E1C57D1">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7</w:t>
            </w:r>
          </w:p>
        </w:tc>
        <w:tc>
          <w:tcPr>
            <w:tcW w:w="1067" w:type="dxa"/>
            <w:noWrap w:val="0"/>
            <w:vAlign w:val="center"/>
          </w:tcPr>
          <w:p w14:paraId="47723F9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工程管理部</w:t>
            </w:r>
          </w:p>
        </w:tc>
        <w:tc>
          <w:tcPr>
            <w:tcW w:w="7530" w:type="dxa"/>
            <w:noWrap w:val="0"/>
            <w:vAlign w:val="center"/>
          </w:tcPr>
          <w:p w14:paraId="2A8F7E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技术口：</w:t>
            </w:r>
          </w:p>
          <w:p w14:paraId="5DD1510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（1）牵头建立项目危险性较大分部分项工程清单，参与编制危险性较大分部分项工程专项施工方案及一般方案，并按要求及时完成方案报批、论证工作。</w:t>
            </w:r>
          </w:p>
          <w:p w14:paraId="1756745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（2）组织分部分项工程的二级技术交底。</w:t>
            </w:r>
          </w:p>
          <w:p w14:paraId="65C1CF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（3）对危险性较大分部分项工程专项施工方案在现场的实施情况进行检查和技术指导。</w:t>
            </w:r>
          </w:p>
          <w:p w14:paraId="6986891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(4)新技术、新工艺、新材料、新设备投入使用前，负责编制、审核技术方案的安全可行性，并组织对实施新技术、新工艺的操作人员进行技术培训和指导。</w:t>
            </w:r>
          </w:p>
          <w:p w14:paraId="01A07C3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(5)组织制定安全生产重大隐患治理技术方案。</w:t>
            </w:r>
          </w:p>
          <w:p w14:paraId="494F2FD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(6)参与现场相关临时设施的验收。</w:t>
            </w:r>
          </w:p>
          <w:p w14:paraId="26C01C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(7)参与协助班组长组织开展班前喊话，参与班前喊话点评及考核。</w:t>
            </w:r>
          </w:p>
          <w:p w14:paraId="5977C5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(8)参与安全生产检查，查找安全技术隐患。</w:t>
            </w:r>
          </w:p>
          <w:p w14:paraId="14BA133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(9)参与事故（重大隐患）的调查处理。</w:t>
            </w:r>
          </w:p>
          <w:p w14:paraId="035A7F9E">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生产口：</w:t>
            </w:r>
          </w:p>
          <w:p w14:paraId="032E2E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（1）应合理编制、下达生产计划，当计划超出正常功效及能力时，应组织编制落实安全保障措施。</w:t>
            </w:r>
          </w:p>
          <w:p w14:paraId="16DAB4C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（2）严格按照批复的危险性较大分部分项工程组织施工，落实安全技术措施。</w:t>
            </w:r>
          </w:p>
          <w:p w14:paraId="0913DE7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（3）落实危险作业施工许可，对投入生产的人员进场教育情况、设备物资进场验收情况进行核验，不得使用未经过进场教育的人员、未经进场验收的设备、物资。</w:t>
            </w:r>
          </w:p>
          <w:p w14:paraId="0498E5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（4）合理设置现场生产过程的人行通道、作业平台、临边洞口防护，组织相关简易设计验算及使用前验收。</w:t>
            </w:r>
          </w:p>
          <w:p w14:paraId="457715D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（5）按事故隐患整改要求组织责任范围内的整改工作。参加隐患排查治理，从生产组织上分析原因，提出改进措施。</w:t>
            </w:r>
          </w:p>
          <w:p w14:paraId="116FB92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（6）根据生产安排制定劳务人员进场计划，对进场劳务人员进行动态管理，合理划分作业班组。</w:t>
            </w:r>
          </w:p>
          <w:p w14:paraId="5F9CDA9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（7）统筹协助班组长组织开展班前喊话，组织班前喊话点评，参与班前喊话考核。</w:t>
            </w:r>
          </w:p>
          <w:p w14:paraId="6CC07F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（8）发现或接到险情报告，应立即向领导报告，并视情况组织人员撤离。</w:t>
            </w:r>
          </w:p>
          <w:p w14:paraId="0AEDE0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（9）每月定期收集分包队伍退场人员信息，协助综合办公室对进（退）场劳务人员进行登记造册。</w:t>
            </w:r>
          </w:p>
          <w:p w14:paraId="6ABE52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（10）组织施工工序第三级技术交底及安全技术交底工作。</w:t>
            </w:r>
          </w:p>
          <w:p w14:paraId="3E944B7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）参与事故（重大隐患）的调查处理。</w:t>
            </w:r>
          </w:p>
          <w:p w14:paraId="2FE09DCB">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测量口：</w:t>
            </w:r>
          </w:p>
          <w:p w14:paraId="494010B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（1）定期对测量部门员工进行安全教育。</w:t>
            </w:r>
          </w:p>
          <w:p w14:paraId="7B76481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（2）按照监控量测方案的要求，做好监控量测工作，并及时向生产、技术、安全等管理部门及相关领导反馈真实的测量数据。</w:t>
            </w:r>
          </w:p>
          <w:p w14:paraId="7ECF80E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（3）按照标准、规范规定为委托部门提供真实测量放样数据。</w:t>
            </w:r>
          </w:p>
        </w:tc>
      </w:tr>
      <w:tr w14:paraId="1D5C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473ED383">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8</w:t>
            </w:r>
          </w:p>
        </w:tc>
        <w:tc>
          <w:tcPr>
            <w:tcW w:w="1067" w:type="dxa"/>
            <w:noWrap w:val="0"/>
            <w:vAlign w:val="center"/>
          </w:tcPr>
          <w:p w14:paraId="776F82A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安全监督部</w:t>
            </w:r>
          </w:p>
        </w:tc>
        <w:tc>
          <w:tcPr>
            <w:tcW w:w="7530" w:type="dxa"/>
            <w:noWrap w:val="0"/>
            <w:vAlign w:val="center"/>
          </w:tcPr>
          <w:p w14:paraId="433D6A6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（1）及时获取、识别适用于本项目的职业健康安全生产法律法规及标准规范，并及时对从业人员进行宣贯培训。</w:t>
            </w:r>
          </w:p>
          <w:p w14:paraId="2AE0C96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（2）协助项目经理及分管领导制定以责任制为核心的职业健康安全生产规章制度、安全操作规程，并督促落实。</w:t>
            </w:r>
          </w:p>
          <w:p w14:paraId="38AF573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（3）牵头编制安全生产保证计划、年（季）度安全生产工作计划，并定期检查计划实施情况。</w:t>
            </w:r>
          </w:p>
          <w:p w14:paraId="060F84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（4）组织编制项目应急预案，组织应急预案培训、交底，适时开展应急演练。</w:t>
            </w:r>
          </w:p>
          <w:p w14:paraId="51BBAE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（5）参与编制、会审专项施工方案。参与危险作业施工许可验收及施工现场安全设施、临时设施的验收、检查、维护工作。</w:t>
            </w:r>
          </w:p>
          <w:p w14:paraId="2E58855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（6）根据需求编制年度安全教育培训计划，组织对新进场人员的“三级安全教育”、进场教育等教育培训，参与新工艺、新设备、新技术、新材料使用的教育培训。</w:t>
            </w:r>
          </w:p>
          <w:p w14:paraId="78EC240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（7）参与分部分项工程安全技术交底，组织或参与特种作业人员的安全操作规程交底和培训。</w:t>
            </w:r>
          </w:p>
          <w:p w14:paraId="6BAAE9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（8）通过交底或培训，书面告知作业人员项目存在的危险因素、防范措施及事故应急措施。</w:t>
            </w:r>
          </w:p>
          <w:p w14:paraId="2776D5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1475204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（10）组织开展日常安全生产检查及消防、安全防护设施专项检查，参与月度安全生产大检查。监督事故隐患的整改落实情况，对查出的重大隐患登记建档，督促制定重大隐患治理方案，并报相关部门备案。</w:t>
            </w:r>
          </w:p>
          <w:p w14:paraId="6CA041B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）组织开展“安全生产月”、“隐患排查治理”、各类安全专项整治等活动，活动有方案，有记录、有总结。</w:t>
            </w:r>
          </w:p>
          <w:p w14:paraId="6BB5BB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（12）牵头编制项目安全生产费用使用总计划、年度计划及月度计划，统计安全生产费用投入情况，配合合同管理部门向业主计量安全生产费用。</w:t>
            </w:r>
          </w:p>
          <w:p w14:paraId="5490152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（13）监督班组长开展班前喊话，参与班前喊话点评及考核。</w:t>
            </w:r>
          </w:p>
          <w:p w14:paraId="2AC6CF2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（14）建立特种作业人员花名册，并动态更新。</w:t>
            </w:r>
          </w:p>
          <w:p w14:paraId="73EB71D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（15）对行业主管部门或上级单位的安全投诉及时处理。针对业主、监理及上级主管部门在检查中提出的隐患整改意见，督促相关部门、责任人落实整改闭合。。</w:t>
            </w:r>
          </w:p>
          <w:p w14:paraId="3AA28C3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（16）及时参与事故现场处置，及时向有关部门报告。配合事故调查处理，及时落实整改措施。</w:t>
            </w:r>
          </w:p>
          <w:p w14:paraId="4E41D9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（17）协助上级安全管理部门落实国家注册安全工程师、国家要求取证的安全生产管理人员的继续教育、取证换证工作，严格执行有关人员持证上岗的规定。</w:t>
            </w:r>
          </w:p>
          <w:p w14:paraId="2AAEC84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自觉接受行业主管部门和公司组织的职业健康安全生产教育，并取得专职安全管理人员安全生产考核合格证书。</w:t>
            </w:r>
          </w:p>
        </w:tc>
      </w:tr>
      <w:tr w14:paraId="122C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06B327BC">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9</w:t>
            </w:r>
          </w:p>
        </w:tc>
        <w:tc>
          <w:tcPr>
            <w:tcW w:w="1067" w:type="dxa"/>
            <w:noWrap w:val="0"/>
            <w:vAlign w:val="center"/>
          </w:tcPr>
          <w:p w14:paraId="0994C28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技术质量部</w:t>
            </w:r>
          </w:p>
        </w:tc>
        <w:tc>
          <w:tcPr>
            <w:tcW w:w="7530" w:type="dxa"/>
            <w:noWrap w:val="0"/>
            <w:vAlign w:val="center"/>
          </w:tcPr>
          <w:p w14:paraId="673D442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（1）检查质量时，应同时检查项目部制作加工的安全设施的质量，并监督责任单位及时整改可能导致生产安全事故的质量隐患。</w:t>
            </w:r>
          </w:p>
          <w:p w14:paraId="5C31FD5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（2）参与安全设施材料的进场验收，负责材料的抽样检测和不合格材料处理。</w:t>
            </w:r>
          </w:p>
          <w:p w14:paraId="6069B10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（3）参与对施工现场的基坑支护、脚手架搭拆，施工用电、搅拌站安拆、模板支撑、洞口临边防护等的验收。</w:t>
            </w:r>
          </w:p>
          <w:p w14:paraId="21EB0A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（3）参与安全生产检查和隐患排查治理，从质量问题方面查找安全技术隐患，提出整改建议。</w:t>
            </w:r>
          </w:p>
          <w:p w14:paraId="50A0B06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（4）参与协助班组长组织开展班前喊话，参与班前喊话点评及考核。</w:t>
            </w:r>
          </w:p>
          <w:p w14:paraId="3E23D6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（5）参与事故（重大隐患）的调查处理。</w:t>
            </w:r>
          </w:p>
          <w:p w14:paraId="1F2DD1EE">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试验口：</w:t>
            </w:r>
          </w:p>
          <w:p w14:paraId="49A0CA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（1）建立健全试验室管理制度及主要试验检测设备操作规程，并贯彻落实。</w:t>
            </w:r>
          </w:p>
          <w:p w14:paraId="43D9838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（2）定期对试验室员工进行安全教育。</w:t>
            </w:r>
          </w:p>
          <w:p w14:paraId="495815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（3）依法合规开展试验检测工作，为生产、质量等委托部门出具数据真实的书面试验检测报告。</w:t>
            </w:r>
          </w:p>
          <w:p w14:paraId="526B0A7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（4）配合做好安全设施材料的抽样检测工作。</w:t>
            </w:r>
          </w:p>
          <w:p w14:paraId="553A2BC7">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（5）负责检验检测设备检定/校准工作，做好检验检测设备的安全防护。</w:t>
            </w:r>
          </w:p>
        </w:tc>
      </w:tr>
      <w:tr w14:paraId="0458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0327797E">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10</w:t>
            </w:r>
          </w:p>
        </w:tc>
        <w:tc>
          <w:tcPr>
            <w:tcW w:w="1067" w:type="dxa"/>
            <w:noWrap w:val="0"/>
            <w:vAlign w:val="center"/>
          </w:tcPr>
          <w:p w14:paraId="6CD683D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物资设备部</w:t>
            </w:r>
          </w:p>
        </w:tc>
        <w:tc>
          <w:tcPr>
            <w:tcW w:w="7530" w:type="dxa"/>
            <w:noWrap w:val="0"/>
            <w:vAlign w:val="center"/>
          </w:tcPr>
          <w:p w14:paraId="6274B3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设备口：</w:t>
            </w:r>
          </w:p>
          <w:p w14:paraId="481BD7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（1）履行设备管理职责，检查设备管理制度、特种设备操作规程执行落实情况。</w:t>
            </w:r>
          </w:p>
          <w:p w14:paraId="6C0E81C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（2）根据项目实际情况编制、完善设备操作规程。</w:t>
            </w:r>
          </w:p>
          <w:p w14:paraId="3A3A43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（3）组织对进场船机设备进行验收。</w:t>
            </w:r>
          </w:p>
          <w:p w14:paraId="70369F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（4）负责船机设备的日常维护保养、检查及隐患整改。</w:t>
            </w:r>
          </w:p>
          <w:p w14:paraId="3319F65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（5）——船机设备管理台账准确、账物相符，维修保养记录齐全、规范，安全技术档案资料完善，法定安全准用手续齐全、有效。</w:t>
            </w:r>
          </w:p>
          <w:p w14:paraId="4A516A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（6）参与特种设备</w:t>
            </w:r>
            <w:r>
              <w:rPr>
                <w:rFonts w:hint="eastAsia" w:ascii="宋体" w:hAnsi="宋体" w:cs="宋体"/>
                <w:color w:val="auto"/>
                <w:sz w:val="18"/>
                <w:szCs w:val="18"/>
                <w:lang w:eastAsia="zh-CN"/>
              </w:rPr>
              <w:t>拆除</w:t>
            </w:r>
            <w:r>
              <w:rPr>
                <w:rFonts w:hint="eastAsia" w:ascii="宋体" w:hAnsi="宋体" w:cs="宋体"/>
                <w:color w:val="auto"/>
                <w:sz w:val="18"/>
                <w:szCs w:val="18"/>
              </w:rPr>
              <w:t>作业、起重吊装作业的安全技术交底，协助生产管理部门按照批复的方案组织实施特种设备</w:t>
            </w:r>
            <w:r>
              <w:rPr>
                <w:rFonts w:hint="eastAsia" w:ascii="宋体" w:hAnsi="宋体" w:cs="宋体"/>
                <w:color w:val="auto"/>
                <w:sz w:val="18"/>
                <w:szCs w:val="18"/>
                <w:lang w:eastAsia="zh-CN"/>
              </w:rPr>
              <w:t>拆除</w:t>
            </w:r>
            <w:r>
              <w:rPr>
                <w:rFonts w:hint="eastAsia" w:ascii="宋体" w:hAnsi="宋体" w:cs="宋体"/>
                <w:color w:val="auto"/>
                <w:sz w:val="18"/>
                <w:szCs w:val="18"/>
              </w:rPr>
              <w:t>作业。</w:t>
            </w:r>
          </w:p>
          <w:p w14:paraId="225A5F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（7）严格管理外租及分包单位自带设备,特种设备严格执行一体化管理。</w:t>
            </w:r>
          </w:p>
          <w:p w14:paraId="333180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（8）参与协助班组长组织开展班前喊话，参与班前喊话点评及考核。</w:t>
            </w:r>
          </w:p>
          <w:p w14:paraId="223819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（9）组织编制施工现场临时用电方案，并组织对电工进行技术交底。</w:t>
            </w:r>
          </w:p>
          <w:p w14:paraId="7C447D2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（10）负责临时用电管理，组织对施工用电设施的检查与验收。确保电工巡检、维修记录完整，定期进行接地电阻、绝缘电阻检测。</w:t>
            </w:r>
          </w:p>
          <w:p w14:paraId="4DFD17E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）设备管理部门应建立特种设备作业人员、船员、电工及大型设备司操人员台账，并实行动态管理。组织特种设备及大型设备司操人员、船员、电工及大型设备司操人员的教育和培训。</w:t>
            </w:r>
          </w:p>
          <w:p w14:paraId="2338B30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组织突发情况下的设备应急处置，及时落实设备防风抗滑等措施。</w:t>
            </w:r>
          </w:p>
          <w:p w14:paraId="3BEE5C9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（12）组织临时用电、船机设备专项检查，参与安全生产检查，查找临电、设备使用过程中存在的事故隐患，并及时整改。</w:t>
            </w:r>
          </w:p>
          <w:p w14:paraId="197E103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（13）参与事故（重大隐患）的调查处理。</w:t>
            </w:r>
          </w:p>
          <w:p w14:paraId="2BF361A4">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物资口：</w:t>
            </w:r>
          </w:p>
          <w:p w14:paraId="011CEFD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（1）确保采购的各类物资材料检验合格，对分包单位自带的物资材料，涉及到结构和使用安全的，应按照规范要求进行抽检，确保符合国家、行业主管部门颁布的安全质量标准。</w:t>
            </w:r>
          </w:p>
          <w:p w14:paraId="31F61B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（2）严格执行国家及地方关于易燃易爆、有毒有害等危险物品的运输、储存、保管、收发等管理方法，严格各环节的管理。</w:t>
            </w:r>
          </w:p>
          <w:p w14:paraId="7068C5B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（3）组织对采购的安全防护设施材料、劳动防护用品、消防器材等物资进行进场验收。做好验收、发放、报废等记录。</w:t>
            </w:r>
          </w:p>
          <w:p w14:paraId="2540B40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（4）对在用的安全带、安全帽、救生衣、救生筏、救生圈及消防设施等按规定定期进行检验。</w:t>
            </w:r>
          </w:p>
          <w:p w14:paraId="7E2889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（5）及时提供安全技术措施计划所需材料及项目应急救援所需的物资、设备配件。</w:t>
            </w:r>
          </w:p>
          <w:p w14:paraId="7097C97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（6）在组织石料等物资运输时，应选择符合国家规定、持有有效证书的车辆或船舶。</w:t>
            </w:r>
          </w:p>
          <w:p w14:paraId="50A0508C">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做好易燃易爆危化品仓库、油库、库房等物资存储场所的防火、防爆、防盗等安全管控。</w:t>
            </w:r>
          </w:p>
        </w:tc>
      </w:tr>
      <w:tr w14:paraId="1335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18B3F6BC">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p>
        </w:tc>
        <w:tc>
          <w:tcPr>
            <w:tcW w:w="1067" w:type="dxa"/>
            <w:noWrap w:val="0"/>
            <w:vAlign w:val="center"/>
          </w:tcPr>
          <w:p w14:paraId="20720F1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商务合约部</w:t>
            </w:r>
          </w:p>
        </w:tc>
        <w:tc>
          <w:tcPr>
            <w:tcW w:w="7530" w:type="dxa"/>
            <w:noWrap w:val="0"/>
            <w:vAlign w:val="center"/>
          </w:tcPr>
          <w:p w14:paraId="485DCF7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（1）组织分包招议标及合同审查，确保分包单位具有独立法人资格和相应的资质等级资格。</w:t>
            </w:r>
          </w:p>
          <w:p w14:paraId="035E4A1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（2）在签订有效的分包合同时，必须同时签订安全生产协议书。</w:t>
            </w:r>
          </w:p>
          <w:p w14:paraId="1A1BA4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（3）协助生产管理部门、安全管理部门做好分包队伍安全管理。</w:t>
            </w:r>
          </w:p>
          <w:p w14:paraId="0F762B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（4）做好安全生产费用的计量。</w:t>
            </w:r>
          </w:p>
          <w:p w14:paraId="0A9CEE0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（5）使用、管理好本企业安全生产方面的资质证书。</w:t>
            </w:r>
          </w:p>
          <w:p w14:paraId="77D67F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（6）协助综合办公室对进（退）场劳务人员进行登记造册。</w:t>
            </w:r>
          </w:p>
        </w:tc>
      </w:tr>
      <w:tr w14:paraId="6A5D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30391A77">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11</w:t>
            </w:r>
          </w:p>
        </w:tc>
        <w:tc>
          <w:tcPr>
            <w:tcW w:w="1067" w:type="dxa"/>
            <w:noWrap w:val="0"/>
            <w:vAlign w:val="center"/>
          </w:tcPr>
          <w:p w14:paraId="6C31DF5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财务部</w:t>
            </w:r>
          </w:p>
        </w:tc>
        <w:tc>
          <w:tcPr>
            <w:tcW w:w="7530" w:type="dxa"/>
            <w:noWrap w:val="0"/>
            <w:vAlign w:val="center"/>
          </w:tcPr>
          <w:p w14:paraId="130028B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（1）按规定计提安全生产费用，列入年度计划，按时提供资金，并监督专款专用，建立专项台帐。</w:t>
            </w:r>
          </w:p>
          <w:p w14:paraId="6AF8F3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（2）按规定核算各项安全生产费用，与安全管理部门、合同管理部门定期核对安全生产费用的使用及计量情况。</w:t>
            </w:r>
          </w:p>
          <w:p w14:paraId="1FB9CBA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（3）负责办理项目安责险等安全生产相关保险工作，根据安全部门需求计划，组织确定保险方案，转移相关风险损失</w:t>
            </w:r>
          </w:p>
          <w:p w14:paraId="581599B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（4）协助安全管理部门按规定收取罚款和扣、发安全奖金及其它款项。</w:t>
            </w:r>
          </w:p>
        </w:tc>
      </w:tr>
      <w:tr w14:paraId="2A2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5640E489">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p>
        </w:tc>
        <w:tc>
          <w:tcPr>
            <w:tcW w:w="1067" w:type="dxa"/>
            <w:noWrap w:val="0"/>
            <w:vAlign w:val="center"/>
          </w:tcPr>
          <w:p w14:paraId="2BAD3B0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综合办公室</w:t>
            </w:r>
          </w:p>
        </w:tc>
        <w:tc>
          <w:tcPr>
            <w:tcW w:w="7530" w:type="dxa"/>
            <w:noWrap w:val="0"/>
            <w:vAlign w:val="center"/>
          </w:tcPr>
          <w:p w14:paraId="0C59E6D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（1）协助分管领导做好项目的综合治理、维稳工作。</w:t>
            </w:r>
          </w:p>
          <w:p w14:paraId="4E76E9F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（2）统筹协调国家注册安全工程师、国家要求取证的安全生产管理人员、特种作业人员的再教育、取证换证工作，严格执行有关人员持证上岗的规定。</w:t>
            </w:r>
          </w:p>
          <w:p w14:paraId="7CF0A0E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（3）定期对全体职工及从事有毒有害和特种作业人员进行体检，对患有职业禁忌病、症的职工，要调换适当工作，保护职工身体健康。</w:t>
            </w:r>
          </w:p>
          <w:p w14:paraId="2521002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（4）负责办理食堂卫生许可证，食堂工作人员持有健康证；定期对卫生间、浴室及员工宿舍进行消毒；按规定处理生活区的生活垃圾及固体废弃物。将协作单位生活区、食堂等区域纳入统一管理。</w:t>
            </w:r>
          </w:p>
          <w:p w14:paraId="4FC2B9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（5）加强食堂管理，饮食物品按规定留样，防止发生集体食物中毒事件；租用合格的天然气瓶，督促食堂工作人员规范使用气瓶。</w:t>
            </w:r>
          </w:p>
          <w:p w14:paraId="4A5AB4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（6）负责生活区、办公区的日常消防、用电及卫生防疫检查及整改。</w:t>
            </w:r>
          </w:p>
          <w:p w14:paraId="172D1A6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（7）加强人力资源管理，严格控制加班加点，保障职工的休息，做到劳逸结合。</w:t>
            </w:r>
          </w:p>
          <w:p w14:paraId="3CCFAC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（8）把安全生产教育培训纳入全员培训计划，督促安全管理部门落实培训计划。</w:t>
            </w:r>
          </w:p>
          <w:p w14:paraId="18AF8F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（9）负责公务车辆及驾驶员的管理及驾驶员的日常交通安全学习工作。</w:t>
            </w:r>
          </w:p>
          <w:p w14:paraId="7500FD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（10）负责工伤鉴定，申报工伤保险。参与工伤事故的调查及善后处理。</w:t>
            </w:r>
          </w:p>
        </w:tc>
      </w:tr>
      <w:tr w14:paraId="6B8A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56384785">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13</w:t>
            </w:r>
          </w:p>
        </w:tc>
        <w:tc>
          <w:tcPr>
            <w:tcW w:w="1067" w:type="dxa"/>
            <w:noWrap w:val="0"/>
            <w:vAlign w:val="center"/>
          </w:tcPr>
          <w:p w14:paraId="316F4D3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班组长</w:t>
            </w:r>
          </w:p>
        </w:tc>
        <w:tc>
          <w:tcPr>
            <w:tcW w:w="7530" w:type="dxa"/>
            <w:noWrap w:val="0"/>
            <w:vAlign w:val="center"/>
          </w:tcPr>
          <w:p w14:paraId="3EC1914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班组长是本班组职业健康安全生产的第一责任人，全面落实本班组的各项职业健康安全生产管理工作，其职责如下：</w:t>
            </w:r>
          </w:p>
          <w:p w14:paraId="1E6B6C0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（1）根据国家安全生产相关法律法规、标准规范及公司、项目部各项规章制度，自觉履行班组长职业健康安全生产管理职责应尽的义务和权利，确保安全生产。</w:t>
            </w:r>
          </w:p>
          <w:p w14:paraId="325FA3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（2）组织本班组参加安全教育培训、安全技术交底。</w:t>
            </w:r>
          </w:p>
          <w:p w14:paraId="61E1F7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（3）负责完善和维护施工现场安全防护设施，报告并消除现场发现的事故隐患。对项目检查发现的问题严格按要求整改落实到位。</w:t>
            </w:r>
          </w:p>
          <w:p w14:paraId="7FA7A74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（4）按规定组织开展班前喊话及积分制管理活动。</w:t>
            </w:r>
          </w:p>
          <w:p w14:paraId="4D9CE41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（5）督促指导班组人员正确佩戴和使用劳动防护用品，遵守操作规程。</w:t>
            </w:r>
          </w:p>
          <w:p w14:paraId="7472A6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（6）服从项目部职业健康安全生产管理，按方案、交底组织班组人员作业，不违章指挥、不强令冒险作业。</w:t>
            </w:r>
          </w:p>
          <w:p w14:paraId="673DAE1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（7）及时如实报告生产安全事故，按要求做好应急处置工作。</w:t>
            </w:r>
          </w:p>
        </w:tc>
      </w:tr>
      <w:tr w14:paraId="2D7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auto"/>
            <w:noWrap w:val="0"/>
            <w:vAlign w:val="center"/>
          </w:tcPr>
          <w:p w14:paraId="746BE2C3">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4</w:t>
            </w:r>
          </w:p>
        </w:tc>
        <w:tc>
          <w:tcPr>
            <w:tcW w:w="1067" w:type="dxa"/>
            <w:noWrap w:val="0"/>
            <w:vAlign w:val="center"/>
          </w:tcPr>
          <w:p w14:paraId="76BBA1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全体参建者</w:t>
            </w:r>
          </w:p>
        </w:tc>
        <w:tc>
          <w:tcPr>
            <w:tcW w:w="7530" w:type="dxa"/>
            <w:noWrap w:val="0"/>
            <w:vAlign w:val="center"/>
          </w:tcPr>
          <w:p w14:paraId="0D4DE2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01759B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（2）自觉接受公司组织的各类职业健康安全生产教育培训，认真学习职业健康安全生产法律、法规、规章和公司制度，积极参加职业健康安全活动，提高自我保护意识与能力。</w:t>
            </w:r>
          </w:p>
          <w:p w14:paraId="0C339E1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（3）遵章守纪，服从分配，坚守岗位，听从领导和安全生产管理人员的指挥，认真履行岗位职责，不违章指挥、不违章操作、不违反劳动纪律，特种作业人员持证上岗。</w:t>
            </w:r>
          </w:p>
          <w:p w14:paraId="2539D8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（4）正确使用个人劳动防护用品、用具，维护职业健康安全生产设施和防护装置，爱护安全标志。</w:t>
            </w:r>
          </w:p>
          <w:p w14:paraId="4EBA1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（5）发现职业健康安全生产隐患，应立即向上级领导报告，在确保自身安全的前提下，采取有效措施、消除隐患。</w:t>
            </w:r>
          </w:p>
          <w:p w14:paraId="69C6DF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（6）发生事故后，应立即上报，在确保自身安全的前提下，积极抢救人员和财产，减少事故损失。</w:t>
            </w:r>
          </w:p>
          <w:p w14:paraId="59CD27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（7）积极向有关部门或领导提出职业健康安全生产合理化建议，有权越级反映有关职业健康安全生产的隐患和问题。</w:t>
            </w:r>
          </w:p>
          <w:p w14:paraId="73B1CCB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（8）有权拒绝违章作业，有责任劝阻、纠正和制止他人违章作业。</w:t>
            </w:r>
          </w:p>
        </w:tc>
      </w:tr>
    </w:tbl>
    <w:p w14:paraId="58D1DEEA">
      <w:pPr>
        <w:rPr>
          <w:rFonts w:hint="eastAsia" w:ascii="宋体" w:hAnsi="宋体" w:cs="宋体"/>
          <w:b/>
          <w:bCs/>
          <w:color w:val="auto"/>
          <w:sz w:val="24"/>
        </w:rPr>
      </w:pPr>
    </w:p>
    <w:p w14:paraId="4EA161B8">
      <w:pPr>
        <w:outlineLvl w:val="2"/>
        <w:rPr>
          <w:rFonts w:hint="eastAsia" w:ascii="宋体" w:hAnsi="宋体" w:cs="宋体"/>
          <w:b/>
          <w:bCs/>
          <w:color w:val="auto"/>
          <w:sz w:val="24"/>
        </w:rPr>
      </w:pPr>
      <w:bookmarkStart w:id="174" w:name="_Toc32534"/>
      <w:r>
        <w:rPr>
          <w:rFonts w:hint="eastAsia" w:ascii="宋体" w:hAnsi="宋体" w:cs="宋体"/>
          <w:b/>
          <w:bCs/>
          <w:color w:val="auto"/>
          <w:sz w:val="24"/>
          <w:lang w:val="en-US" w:eastAsia="zh-CN"/>
        </w:rPr>
        <w:t>6</w:t>
      </w:r>
      <w:r>
        <w:rPr>
          <w:rFonts w:hint="eastAsia" w:ascii="宋体" w:hAnsi="宋体" w:cs="宋体"/>
          <w:b/>
          <w:bCs/>
          <w:color w:val="auto"/>
          <w:sz w:val="24"/>
        </w:rPr>
        <w:t>.2.4制度保证措施</w:t>
      </w:r>
      <w:bookmarkEnd w:id="174"/>
    </w:p>
    <w:p w14:paraId="71DDA8D8">
      <w:pPr>
        <w:pStyle w:val="25"/>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ascii="宋体" w:hAnsi="宋体" w:cs="宋体"/>
          <w:b/>
          <w:bCs/>
          <w:color w:val="auto"/>
          <w:szCs w:val="24"/>
        </w:rPr>
      </w:pPr>
      <w:r>
        <w:rPr>
          <w:rFonts w:hint="eastAsia" w:ascii="宋体" w:hAnsi="宋体" w:cs="宋体"/>
          <w:b/>
          <w:bCs/>
          <w:color w:val="auto"/>
          <w:szCs w:val="24"/>
          <w:lang w:val="en-US" w:eastAsia="zh-CN"/>
        </w:rPr>
        <w:t>6</w:t>
      </w:r>
      <w:r>
        <w:rPr>
          <w:rFonts w:hint="eastAsia" w:ascii="宋体" w:hAnsi="宋体" w:cs="宋体"/>
          <w:b/>
          <w:bCs/>
          <w:color w:val="auto"/>
          <w:szCs w:val="24"/>
        </w:rPr>
        <w:t>.2.4.1安全文明施工管理制度</w:t>
      </w:r>
    </w:p>
    <w:p w14:paraId="5AED5DE4">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w:t>
      </w:r>
      <w:r>
        <w:rPr>
          <w:rFonts w:hint="eastAsia" w:ascii="宋体" w:hAnsi="宋体" w:cs="宋体"/>
          <w:b/>
          <w:bCs/>
          <w:color w:val="auto"/>
          <w:sz w:val="24"/>
          <w:lang w:val="en-US" w:eastAsia="zh-CN"/>
        </w:rPr>
        <w:t>2.4.1</w:t>
      </w:r>
      <w:r>
        <w:rPr>
          <w:rFonts w:hint="eastAsia" w:ascii="宋体" w:hAnsi="宋体" w:cs="宋体"/>
          <w:b/>
          <w:bCs/>
          <w:color w:val="auto"/>
          <w:sz w:val="24"/>
        </w:rPr>
        <w:t>安全文明施工管理制度</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963"/>
        <w:gridCol w:w="6605"/>
      </w:tblGrid>
      <w:tr w14:paraId="1D36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194541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序号</w:t>
            </w:r>
          </w:p>
        </w:tc>
        <w:tc>
          <w:tcPr>
            <w:tcW w:w="1963" w:type="dxa"/>
            <w:noWrap w:val="0"/>
            <w:vAlign w:val="center"/>
          </w:tcPr>
          <w:p w14:paraId="7EFCBB06">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制度名称</w:t>
            </w:r>
          </w:p>
        </w:tc>
        <w:tc>
          <w:tcPr>
            <w:tcW w:w="6605" w:type="dxa"/>
            <w:noWrap w:val="0"/>
            <w:vAlign w:val="center"/>
          </w:tcPr>
          <w:p w14:paraId="27C5619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制度内容</w:t>
            </w:r>
          </w:p>
        </w:tc>
      </w:tr>
      <w:tr w14:paraId="62BD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034333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w:t>
            </w:r>
          </w:p>
        </w:tc>
        <w:tc>
          <w:tcPr>
            <w:tcW w:w="1963" w:type="dxa"/>
            <w:noWrap w:val="0"/>
            <w:vAlign w:val="center"/>
          </w:tcPr>
          <w:p w14:paraId="783FEF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安全生产责任制</w:t>
            </w:r>
          </w:p>
        </w:tc>
        <w:tc>
          <w:tcPr>
            <w:tcW w:w="6605" w:type="dxa"/>
            <w:noWrap w:val="0"/>
            <w:vAlign w:val="center"/>
          </w:tcPr>
          <w:p w14:paraId="68015530">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明确各级人员的安全责任，各级职能部门、人员在各自的业务范围内，对实现安全生产要求负责，做到安全生产工作责任横向到边，层层负责；竖向到底，一环不漏。</w:t>
            </w:r>
          </w:p>
        </w:tc>
      </w:tr>
      <w:tr w14:paraId="6D2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379261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2</w:t>
            </w:r>
          </w:p>
        </w:tc>
        <w:tc>
          <w:tcPr>
            <w:tcW w:w="1963" w:type="dxa"/>
            <w:noWrap w:val="0"/>
            <w:vAlign w:val="center"/>
          </w:tcPr>
          <w:p w14:paraId="0ED163CA">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安全专项方案编制及审查制</w:t>
            </w:r>
          </w:p>
        </w:tc>
        <w:tc>
          <w:tcPr>
            <w:tcW w:w="6605" w:type="dxa"/>
            <w:noWrap w:val="0"/>
            <w:vAlign w:val="center"/>
          </w:tcPr>
          <w:p w14:paraId="45268CC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根据建设部《危险性较大工程安全专项施工方案编制及专家论证审查办法》及单位技术手册的规定，编写相关专项安全施工方案，并报相关部门论证、审批；做到使编写的方案具有可操作性、可指导性。</w:t>
            </w:r>
          </w:p>
        </w:tc>
      </w:tr>
      <w:tr w14:paraId="0356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D2676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3</w:t>
            </w:r>
          </w:p>
        </w:tc>
        <w:tc>
          <w:tcPr>
            <w:tcW w:w="1963" w:type="dxa"/>
            <w:noWrap w:val="0"/>
            <w:vAlign w:val="center"/>
          </w:tcPr>
          <w:p w14:paraId="4050D4E0">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安全专项资金保障制度</w:t>
            </w:r>
          </w:p>
        </w:tc>
        <w:tc>
          <w:tcPr>
            <w:tcW w:w="6605" w:type="dxa"/>
            <w:noWrap w:val="0"/>
            <w:vAlign w:val="center"/>
          </w:tcPr>
          <w:p w14:paraId="6B19ABB7">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项目经理部落实安全劳保用品资金、安全教育培训专项资金以及保障安全生产的技术措施资金。</w:t>
            </w:r>
          </w:p>
        </w:tc>
      </w:tr>
      <w:tr w14:paraId="7017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2F9E882">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4</w:t>
            </w:r>
          </w:p>
        </w:tc>
        <w:tc>
          <w:tcPr>
            <w:tcW w:w="1963" w:type="dxa"/>
            <w:noWrap w:val="0"/>
            <w:vAlign w:val="center"/>
          </w:tcPr>
          <w:p w14:paraId="7A238E0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安全技术交底制</w:t>
            </w:r>
          </w:p>
        </w:tc>
        <w:tc>
          <w:tcPr>
            <w:tcW w:w="6605" w:type="dxa"/>
            <w:noWrap w:val="0"/>
            <w:vAlign w:val="center"/>
          </w:tcPr>
          <w:p w14:paraId="50F64EC5">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根据安全技术方案要求和现场实际情况，各级管理人员需逐级进行书面交底，并在施工过程中进行指导，检查技术交底的实施情况。</w:t>
            </w:r>
          </w:p>
        </w:tc>
      </w:tr>
      <w:tr w14:paraId="5BF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66832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5</w:t>
            </w:r>
          </w:p>
        </w:tc>
        <w:tc>
          <w:tcPr>
            <w:tcW w:w="1963" w:type="dxa"/>
            <w:noWrap w:val="0"/>
            <w:vAlign w:val="center"/>
          </w:tcPr>
          <w:p w14:paraId="7B2AA215">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安全活动制</w:t>
            </w:r>
          </w:p>
        </w:tc>
        <w:tc>
          <w:tcPr>
            <w:tcW w:w="6605" w:type="dxa"/>
            <w:noWrap w:val="0"/>
            <w:vAlign w:val="center"/>
          </w:tcPr>
          <w:p w14:paraId="1288A2AB">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全体工人进行安全教育，对上一周安全方面存在的问题进行总结，对本周的安全重点和注意事项作必要的交底。安全责任工程师每天督促与检查作业班组班前是否落实安全防护措施。</w:t>
            </w:r>
          </w:p>
        </w:tc>
      </w:tr>
      <w:tr w14:paraId="2BD6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6A7706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6</w:t>
            </w:r>
          </w:p>
        </w:tc>
        <w:tc>
          <w:tcPr>
            <w:tcW w:w="1963" w:type="dxa"/>
            <w:noWrap w:val="0"/>
            <w:vAlign w:val="center"/>
          </w:tcPr>
          <w:p w14:paraId="0E4837C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定期检查与隐患整改制</w:t>
            </w:r>
          </w:p>
        </w:tc>
        <w:tc>
          <w:tcPr>
            <w:tcW w:w="6605" w:type="dxa"/>
            <w:noWrap w:val="0"/>
            <w:vAlign w:val="center"/>
          </w:tcPr>
          <w:p w14:paraId="32C97B3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安全及文明施工管理部每周组织一次由各施工配属队伍安全生产责任人共同参加的安全生产联合检查，对查出的安全隐患必须定措施、定时间、定人员整改，并作好隐患整改及消项记录。</w:t>
            </w:r>
          </w:p>
        </w:tc>
      </w:tr>
      <w:tr w14:paraId="5E0E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F514723">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7</w:t>
            </w:r>
          </w:p>
        </w:tc>
        <w:tc>
          <w:tcPr>
            <w:tcW w:w="1963" w:type="dxa"/>
            <w:noWrap w:val="0"/>
            <w:vAlign w:val="center"/>
          </w:tcPr>
          <w:p w14:paraId="5763E87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机械设备安装验收制</w:t>
            </w:r>
          </w:p>
        </w:tc>
        <w:tc>
          <w:tcPr>
            <w:tcW w:w="6605" w:type="dxa"/>
            <w:noWrap w:val="0"/>
            <w:vAlign w:val="center"/>
          </w:tcPr>
          <w:p w14:paraId="1213966F">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塔吊等大中型机械设备安装实行验收制，凡未经验收的一律不得投入使用。</w:t>
            </w:r>
          </w:p>
        </w:tc>
      </w:tr>
      <w:tr w14:paraId="56B4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D89A83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8</w:t>
            </w:r>
          </w:p>
        </w:tc>
        <w:tc>
          <w:tcPr>
            <w:tcW w:w="1963" w:type="dxa"/>
            <w:noWrap w:val="0"/>
            <w:vAlign w:val="center"/>
          </w:tcPr>
          <w:p w14:paraId="0154527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持证上岗制</w:t>
            </w:r>
          </w:p>
        </w:tc>
        <w:tc>
          <w:tcPr>
            <w:tcW w:w="6605" w:type="dxa"/>
            <w:noWrap w:val="0"/>
            <w:vAlign w:val="center"/>
          </w:tcPr>
          <w:p w14:paraId="163795DE">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进场工人和调换工种的职工，必须按规定进行安全教育和技术培训，特殊工种必需持有上岗操作证，严禁无证操作。</w:t>
            </w:r>
          </w:p>
        </w:tc>
      </w:tr>
      <w:tr w14:paraId="5EE5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15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9</w:t>
            </w:r>
          </w:p>
        </w:tc>
        <w:tc>
          <w:tcPr>
            <w:tcW w:w="1963" w:type="dxa"/>
            <w:noWrap w:val="0"/>
            <w:vAlign w:val="center"/>
          </w:tcPr>
          <w:p w14:paraId="4EB2BBFB">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特殊工种证书年审制</w:t>
            </w:r>
          </w:p>
        </w:tc>
        <w:tc>
          <w:tcPr>
            <w:tcW w:w="6605" w:type="dxa"/>
            <w:noWrap w:val="0"/>
            <w:vAlign w:val="center"/>
          </w:tcPr>
          <w:p w14:paraId="782EF896">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每年由单位统一组织进行，加强施工管理人员的安全考核，增强安全意识，避免违章指挥、违章作业。</w:t>
            </w:r>
          </w:p>
        </w:tc>
      </w:tr>
      <w:tr w14:paraId="3B47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9D545A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10</w:t>
            </w:r>
          </w:p>
        </w:tc>
        <w:tc>
          <w:tcPr>
            <w:tcW w:w="1963" w:type="dxa"/>
            <w:noWrap w:val="0"/>
            <w:vAlign w:val="center"/>
          </w:tcPr>
          <w:p w14:paraId="6A40DF4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安全生产奖罚制与事故报告制</w:t>
            </w:r>
          </w:p>
        </w:tc>
        <w:tc>
          <w:tcPr>
            <w:tcW w:w="6605" w:type="dxa"/>
            <w:noWrap w:val="0"/>
            <w:vAlign w:val="center"/>
          </w:tcPr>
          <w:p w14:paraId="73A0262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对施工生产中安全工作做得好的单位进行奖励，对施工过程中，不按安全生产管理制度、方案措施执行的将进行处罚，以督促整改，对事故将按程序及时进行通报。</w:t>
            </w:r>
          </w:p>
        </w:tc>
      </w:tr>
      <w:tr w14:paraId="4A00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318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11</w:t>
            </w:r>
          </w:p>
        </w:tc>
        <w:tc>
          <w:tcPr>
            <w:tcW w:w="1963" w:type="dxa"/>
            <w:noWrap w:val="0"/>
            <w:vAlign w:val="center"/>
          </w:tcPr>
          <w:p w14:paraId="4B620D7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危急情况停工制</w:t>
            </w:r>
          </w:p>
        </w:tc>
        <w:tc>
          <w:tcPr>
            <w:tcW w:w="6605" w:type="dxa"/>
            <w:noWrap w:val="0"/>
            <w:vAlign w:val="center"/>
          </w:tcPr>
          <w:p w14:paraId="7728F05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一旦出现危及职工生命财产安全险情，要立即停工，及时采取措施排除险情，同时即刻报告单位、业主及监理。</w:t>
            </w:r>
          </w:p>
        </w:tc>
      </w:tr>
      <w:tr w14:paraId="228D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504A75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12</w:t>
            </w:r>
          </w:p>
        </w:tc>
        <w:tc>
          <w:tcPr>
            <w:tcW w:w="1963" w:type="dxa"/>
            <w:noWrap w:val="0"/>
            <w:vAlign w:val="center"/>
          </w:tcPr>
          <w:p w14:paraId="69E777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责任领导值班制</w:t>
            </w:r>
          </w:p>
        </w:tc>
        <w:tc>
          <w:tcPr>
            <w:tcW w:w="6605" w:type="dxa"/>
            <w:noWrap w:val="0"/>
            <w:vAlign w:val="center"/>
          </w:tcPr>
          <w:p w14:paraId="140168A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组织施工过程中，必须保证有本单位施工人员施工作业，有领导在现场值班，不得空岗、失控。</w:t>
            </w:r>
          </w:p>
        </w:tc>
      </w:tr>
    </w:tbl>
    <w:p w14:paraId="6E80364D">
      <w:pPr>
        <w:pStyle w:val="25"/>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6.2.4.2消防管理制度</w:t>
      </w:r>
    </w:p>
    <w:p w14:paraId="42DECE9E">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w:t>
      </w:r>
      <w:r>
        <w:rPr>
          <w:rFonts w:hint="eastAsia" w:ascii="宋体" w:hAnsi="宋体" w:cs="宋体"/>
          <w:b/>
          <w:bCs/>
          <w:color w:val="auto"/>
          <w:sz w:val="24"/>
          <w:lang w:val="en-US" w:eastAsia="zh-CN"/>
        </w:rPr>
        <w:t>2.4.2</w:t>
      </w:r>
      <w:r>
        <w:rPr>
          <w:rFonts w:hint="eastAsia" w:ascii="宋体" w:hAnsi="宋体" w:cs="宋体"/>
          <w:b/>
          <w:bCs/>
          <w:color w:val="auto"/>
          <w:sz w:val="24"/>
        </w:rPr>
        <w:t>消防管理制度</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8568"/>
      </w:tblGrid>
      <w:tr w14:paraId="2AC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9" w:type="dxa"/>
            <w:noWrap w:val="0"/>
            <w:vAlign w:val="center"/>
          </w:tcPr>
          <w:p w14:paraId="46C242F8">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568" w:type="dxa"/>
            <w:noWrap w:val="0"/>
            <w:vAlign w:val="center"/>
          </w:tcPr>
          <w:p w14:paraId="351C566B">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消防管理制度</w:t>
            </w:r>
          </w:p>
        </w:tc>
      </w:tr>
      <w:tr w14:paraId="4E93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38AE9D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568" w:type="dxa"/>
            <w:noWrap w:val="0"/>
            <w:vAlign w:val="center"/>
          </w:tcPr>
          <w:p w14:paraId="7DA4EE1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编制消防管理方案和消防预案，坚持消防安全交底制度。</w:t>
            </w:r>
          </w:p>
        </w:tc>
      </w:tr>
      <w:tr w14:paraId="3DC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4DE322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568" w:type="dxa"/>
            <w:noWrap w:val="0"/>
            <w:vAlign w:val="center"/>
          </w:tcPr>
          <w:p w14:paraId="4CD66035">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建立消防保卫机构，组建义务消防队，开展消防演习，确保项目处理火灾的应急能力。</w:t>
            </w:r>
          </w:p>
        </w:tc>
      </w:tr>
      <w:tr w14:paraId="01CA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55E17C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568" w:type="dxa"/>
            <w:noWrap w:val="0"/>
            <w:vAlign w:val="center"/>
          </w:tcPr>
          <w:p w14:paraId="52E5F0D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现场消防道路畅通，禁止在临时消防车道上堆物、堆料或挤占消防车道。</w:t>
            </w:r>
          </w:p>
        </w:tc>
      </w:tr>
      <w:tr w14:paraId="3DC5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23226C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568" w:type="dxa"/>
            <w:noWrap w:val="0"/>
            <w:vAlign w:val="center"/>
          </w:tcPr>
          <w:p w14:paraId="040CA80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消防设施、器材齐全、有效，并全面覆盖现场。消防设施、器材做明显标识，除发生火灾和检修、更新消防设施、器材，任何情况下不得动用消防设施、器材。</w:t>
            </w:r>
          </w:p>
        </w:tc>
      </w:tr>
      <w:tr w14:paraId="5D0D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85235A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568" w:type="dxa"/>
            <w:noWrap w:val="0"/>
            <w:vAlign w:val="center"/>
          </w:tcPr>
          <w:p w14:paraId="6E4EB978">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消防泵配专用配电线路。消防供水保证足够水源和水压，楼层安装临时消防竖管。严禁消防竖管作为施工用水管线。</w:t>
            </w:r>
          </w:p>
        </w:tc>
      </w:tr>
      <w:tr w14:paraId="4C7C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77236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568" w:type="dxa"/>
            <w:noWrap w:val="0"/>
            <w:vAlign w:val="center"/>
          </w:tcPr>
          <w:p w14:paraId="16B73CEA">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设立从作业楼层通往室外地面的紧急疏散通道，配备应急电源。</w:t>
            </w:r>
          </w:p>
        </w:tc>
      </w:tr>
      <w:tr w14:paraId="089A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D7CC55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568" w:type="dxa"/>
            <w:noWrap w:val="0"/>
            <w:vAlign w:val="center"/>
          </w:tcPr>
          <w:p w14:paraId="32D0278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施工现场使用的各类安全网、保温材料，必须符合消防安全规定，不得使用易燃、可燃材料。</w:t>
            </w:r>
          </w:p>
        </w:tc>
      </w:tr>
      <w:tr w14:paraId="349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82D66D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568" w:type="dxa"/>
            <w:noWrap w:val="0"/>
            <w:vAlign w:val="center"/>
          </w:tcPr>
          <w:p w14:paraId="55CB0CEF">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施工材料分类存放，做好防火措施；易燃易爆物品专库分类单独存放，保持通风，严格执行领退料手续。</w:t>
            </w:r>
          </w:p>
        </w:tc>
      </w:tr>
      <w:tr w14:paraId="28D3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F3B71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9</w:t>
            </w:r>
          </w:p>
        </w:tc>
        <w:tc>
          <w:tcPr>
            <w:tcW w:w="8568" w:type="dxa"/>
            <w:noWrap w:val="0"/>
            <w:vAlign w:val="center"/>
          </w:tcPr>
          <w:p w14:paraId="7773BA3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使用电气设备和易燃易爆物品，指定防火负责人，配备灭火器材，确保施工安全。</w:t>
            </w:r>
          </w:p>
        </w:tc>
      </w:tr>
      <w:tr w14:paraId="1582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81C39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10</w:t>
            </w:r>
          </w:p>
        </w:tc>
        <w:tc>
          <w:tcPr>
            <w:tcW w:w="8568" w:type="dxa"/>
            <w:noWrap w:val="0"/>
            <w:vAlign w:val="center"/>
          </w:tcPr>
          <w:p w14:paraId="7518966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电气焊操作工人必须持特种作业操作证，明火作业要办理动火手续，办理动火证，动火证当日有效，安排专人看火，并配灭火器。</w:t>
            </w:r>
          </w:p>
        </w:tc>
      </w:tr>
      <w:tr w14:paraId="16F2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AADEF3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11</w:t>
            </w:r>
          </w:p>
        </w:tc>
        <w:tc>
          <w:tcPr>
            <w:tcW w:w="8568" w:type="dxa"/>
            <w:noWrap w:val="0"/>
            <w:vAlign w:val="center"/>
          </w:tcPr>
          <w:p w14:paraId="1C6786A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施工现场禁止吸烟。</w:t>
            </w:r>
          </w:p>
        </w:tc>
      </w:tr>
    </w:tbl>
    <w:p w14:paraId="59E52E5A">
      <w:pPr>
        <w:pStyle w:val="25"/>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6.2.4.3环境管理制度</w:t>
      </w:r>
    </w:p>
    <w:p w14:paraId="733A93A6">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hint="eastAsia" w:ascii="宋体" w:hAnsi="宋体" w:cs="宋体"/>
          <w:b/>
          <w:bCs/>
          <w:color w:val="auto"/>
          <w:sz w:val="24"/>
          <w:lang w:val="en-US" w:eastAsia="zh-CN"/>
        </w:rPr>
        <w:t>.</w:t>
      </w:r>
      <w:r>
        <w:rPr>
          <w:rFonts w:ascii="宋体" w:hAnsi="宋体" w:cs="宋体"/>
          <w:b/>
          <w:bCs/>
          <w:color w:val="auto"/>
          <w:sz w:val="24"/>
        </w:rPr>
        <w:t>4</w:t>
      </w:r>
      <w:r>
        <w:rPr>
          <w:rFonts w:hint="eastAsia" w:ascii="宋体" w:hAnsi="宋体" w:cs="宋体"/>
          <w:b/>
          <w:bCs/>
          <w:color w:val="auto"/>
          <w:sz w:val="24"/>
          <w:lang w:val="en-US" w:eastAsia="zh-CN"/>
        </w:rPr>
        <w:t>.3</w:t>
      </w:r>
      <w:r>
        <w:rPr>
          <w:rFonts w:hint="eastAsia" w:ascii="宋体" w:hAnsi="宋体" w:cs="宋体"/>
          <w:b/>
          <w:bCs/>
          <w:color w:val="auto"/>
          <w:sz w:val="24"/>
        </w:rPr>
        <w:t>环境管理制度</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6"/>
        <w:gridCol w:w="8611"/>
      </w:tblGrid>
      <w:tr w14:paraId="698B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40422397">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611" w:type="dxa"/>
            <w:noWrap w:val="0"/>
            <w:vAlign w:val="center"/>
          </w:tcPr>
          <w:p w14:paraId="4BF66EAE">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环境保护管理制度主要内容</w:t>
            </w:r>
          </w:p>
        </w:tc>
      </w:tr>
      <w:tr w14:paraId="5CC0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C77778D">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611" w:type="dxa"/>
            <w:noWrap w:val="0"/>
            <w:vAlign w:val="center"/>
          </w:tcPr>
          <w:p w14:paraId="1D0C7727">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建立环境保护管理体系，对从开工准备到完工期间所有的施工过程、运作和管理过程中可能产生的环境因素进行充分的识别和评估，并制订针对性的预防和改进措施，落实到人、实施到位。</w:t>
            </w:r>
          </w:p>
        </w:tc>
      </w:tr>
      <w:tr w14:paraId="6345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16CF029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611" w:type="dxa"/>
            <w:noWrap w:val="0"/>
            <w:vAlign w:val="center"/>
          </w:tcPr>
          <w:p w14:paraId="6B4718D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采取多种形式的环保宣传、教育活动，不断提高职工的环保意识和法制观念。</w:t>
            </w:r>
          </w:p>
        </w:tc>
      </w:tr>
      <w:tr w14:paraId="4038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65C8720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611" w:type="dxa"/>
            <w:noWrap w:val="0"/>
            <w:vAlign w:val="center"/>
          </w:tcPr>
          <w:p w14:paraId="33CB26D4">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施工过程中针对扬尘、遗撒、噪音、污水等环境因素开展自检活动，发现问题即使采取措施进行整改。</w:t>
            </w:r>
          </w:p>
        </w:tc>
      </w:tr>
      <w:tr w14:paraId="2F7E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74D52C8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611" w:type="dxa"/>
            <w:noWrap w:val="0"/>
            <w:vAlign w:val="center"/>
          </w:tcPr>
          <w:p w14:paraId="24B87803">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现场使用商品混凝土，减少噪音、污水等。</w:t>
            </w:r>
          </w:p>
        </w:tc>
      </w:tr>
      <w:tr w14:paraId="5D1C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5DF84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611" w:type="dxa"/>
            <w:noWrap w:val="0"/>
            <w:vAlign w:val="center"/>
          </w:tcPr>
          <w:p w14:paraId="0A25CBB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施工垃圾和生活垃圾分类封闭存放，一日一清，将现场废料、垃圾控制在最少范围内。</w:t>
            </w:r>
          </w:p>
        </w:tc>
      </w:tr>
      <w:tr w14:paraId="667F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B4A87B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611" w:type="dxa"/>
            <w:noWrap w:val="0"/>
            <w:vAlign w:val="center"/>
          </w:tcPr>
          <w:p w14:paraId="6A4FDCE2">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施工现场进行硬化处理，周边设置排水沟，经分级沉淀，检查合格后，排入市政管网。</w:t>
            </w:r>
          </w:p>
        </w:tc>
      </w:tr>
      <w:tr w14:paraId="5E2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EB87B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611" w:type="dxa"/>
            <w:noWrap w:val="0"/>
            <w:vAlign w:val="center"/>
          </w:tcPr>
          <w:p w14:paraId="221F6E1E">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各类油料专库存放，并对库房进行防渗漏处理，严格执行领退料制度，按需领料，并采取措施防止油料跑、冒、滴、楼，污染水体和大地。</w:t>
            </w:r>
          </w:p>
        </w:tc>
      </w:tr>
      <w:tr w14:paraId="09BC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55BFA84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611" w:type="dxa"/>
            <w:noWrap w:val="0"/>
            <w:vAlign w:val="center"/>
          </w:tcPr>
          <w:p w14:paraId="4E5C0BD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使用环保材料，尽最大可能减少钢材、木材、水资源、燃料资源消耗。</w:t>
            </w:r>
          </w:p>
        </w:tc>
      </w:tr>
    </w:tbl>
    <w:p w14:paraId="7D74BA46">
      <w:pPr>
        <w:pStyle w:val="3"/>
        <w:outlineLvl w:val="1"/>
        <w:rPr>
          <w:color w:val="auto"/>
        </w:rPr>
      </w:pPr>
      <w:bookmarkStart w:id="175" w:name="_Toc17380"/>
      <w:bookmarkStart w:id="176" w:name="_Toc14410"/>
      <w:r>
        <w:rPr>
          <w:rFonts w:hint="eastAsia"/>
          <w:color w:val="auto"/>
        </w:rPr>
        <w:t>监管措施</w:t>
      </w:r>
      <w:bookmarkEnd w:id="175"/>
    </w:p>
    <w:p w14:paraId="5C7A9464">
      <w:pPr>
        <w:pStyle w:val="48"/>
        <w:ind w:firstLine="480"/>
        <w:rPr>
          <w:rFonts w:ascii="Times New Roman" w:hAnsi="Times New Roman"/>
          <w:color w:val="auto"/>
        </w:rPr>
      </w:pPr>
      <w:r>
        <w:rPr>
          <w:rFonts w:hint="eastAsia" w:ascii="Times New Roman" w:hAnsi="Times New Roman"/>
          <w:color w:val="auto"/>
        </w:rPr>
        <w:t>为落实塔式起重机</w:t>
      </w:r>
      <w:r>
        <w:rPr>
          <w:rFonts w:hint="eastAsia" w:ascii="Times New Roman" w:hAnsi="Times New Roman"/>
          <w:color w:val="auto"/>
          <w:lang w:val="en-US" w:eastAsia="zh-CN"/>
        </w:rPr>
        <w:t>拆除</w:t>
      </w:r>
      <w:r>
        <w:rPr>
          <w:rFonts w:hint="eastAsia" w:ascii="Times New Roman" w:hAnsi="Times New Roman"/>
          <w:color w:val="auto"/>
        </w:rPr>
        <w:t>安全管理工作，项目部采取以下监控措施：</w:t>
      </w:r>
    </w:p>
    <w:p w14:paraId="6A7968DE">
      <w:pPr>
        <w:pStyle w:val="48"/>
        <w:ind w:left="480" w:leftChars="200" w:firstLine="0" w:firstLineChars="0"/>
        <w:rPr>
          <w:color w:val="auto"/>
        </w:rPr>
      </w:pPr>
      <w:r>
        <w:rPr>
          <w:rFonts w:hint="eastAsia"/>
          <w:color w:val="auto"/>
        </w:rPr>
        <w:t>1）现场安全、技术管理人员必须参与作业施工方案的编制，熟悉方案。</w:t>
      </w:r>
    </w:p>
    <w:p w14:paraId="0AA2C0D4">
      <w:pPr>
        <w:pStyle w:val="48"/>
        <w:keepNext w:val="0"/>
        <w:keepLines w:val="0"/>
        <w:pageBreakBefore w:val="0"/>
        <w:widowControl/>
        <w:kinsoku/>
        <w:wordWrap/>
        <w:overflowPunct/>
        <w:topLinePunct w:val="0"/>
        <w:autoSpaceDE/>
        <w:autoSpaceDN/>
        <w:bidi w:val="0"/>
        <w:adjustRightInd w:val="0"/>
        <w:snapToGrid w:val="0"/>
        <w:ind w:left="0" w:firstLine="480" w:firstLineChars="200"/>
        <w:textAlignment w:val="auto"/>
        <w:rPr>
          <w:rFonts w:hint="eastAsia"/>
          <w:color w:val="auto"/>
        </w:rPr>
      </w:pPr>
      <w:r>
        <w:rPr>
          <w:rFonts w:hint="eastAsia"/>
          <w:color w:val="auto"/>
        </w:rPr>
        <w:t>2）</w:t>
      </w:r>
      <w:r>
        <w:rPr>
          <w:rFonts w:hint="eastAsia"/>
          <w:color w:val="auto"/>
          <w:lang w:val="en-US" w:eastAsia="zh-CN"/>
        </w:rPr>
        <w:t>拆除</w:t>
      </w:r>
      <w:r>
        <w:rPr>
          <w:rFonts w:hint="eastAsia"/>
          <w:color w:val="auto"/>
        </w:rPr>
        <w:t>作业时必须按施工组织设备要求配置相关人员。现场安全员监督操作人员是否按施工方案几安全操作规程进行操作，并督促操作人员按规定正确使用安全防护用品。</w:t>
      </w:r>
    </w:p>
    <w:p w14:paraId="51F468BC">
      <w:pPr>
        <w:pStyle w:val="48"/>
        <w:ind w:left="480" w:firstLine="0" w:firstLineChars="0"/>
        <w:rPr>
          <w:color w:val="auto"/>
        </w:rPr>
      </w:pPr>
      <w:r>
        <w:rPr>
          <w:rFonts w:hint="eastAsia"/>
          <w:color w:val="auto"/>
        </w:rPr>
        <w:t>3）专职安全人员对操作人员的操作实施全程监控，发现不良行为及时制</w:t>
      </w:r>
    </w:p>
    <w:p w14:paraId="784A1229">
      <w:pPr>
        <w:pStyle w:val="48"/>
        <w:ind w:firstLine="0" w:firstLineChars="0"/>
        <w:rPr>
          <w:color w:val="auto"/>
        </w:rPr>
      </w:pPr>
      <w:r>
        <w:rPr>
          <w:rFonts w:hint="eastAsia"/>
          <w:color w:val="auto"/>
        </w:rPr>
        <w:t>止纠正。</w:t>
      </w:r>
    </w:p>
    <w:p w14:paraId="1F437C55">
      <w:pPr>
        <w:pStyle w:val="48"/>
        <w:ind w:left="480" w:leftChars="200" w:firstLine="0" w:firstLineChars="0"/>
        <w:rPr>
          <w:color w:val="auto"/>
        </w:rPr>
      </w:pPr>
      <w:r>
        <w:rPr>
          <w:rFonts w:hint="eastAsia"/>
          <w:color w:val="auto"/>
        </w:rPr>
        <w:t>4）现场管理人员必须留存影像、图片、纸质资料并建立每日汇报机制。</w:t>
      </w:r>
    </w:p>
    <w:p w14:paraId="2077428B">
      <w:pPr>
        <w:pStyle w:val="48"/>
        <w:ind w:left="480" w:leftChars="200" w:firstLine="0" w:firstLineChars="0"/>
        <w:rPr>
          <w:color w:val="auto"/>
        </w:rPr>
      </w:pPr>
      <w:r>
        <w:rPr>
          <w:rFonts w:hint="eastAsia"/>
          <w:color w:val="auto"/>
        </w:rPr>
        <w:t>5）带班领导随机抽查现场落实情况。</w:t>
      </w:r>
    </w:p>
    <w:p w14:paraId="7CAD757A">
      <w:pPr>
        <w:pStyle w:val="48"/>
        <w:ind w:left="480" w:leftChars="200" w:firstLine="0" w:firstLineChars="0"/>
        <w:rPr>
          <w:color w:val="auto"/>
        </w:rPr>
      </w:pPr>
      <w:r>
        <w:rPr>
          <w:rFonts w:hint="eastAsia"/>
          <w:color w:val="auto"/>
        </w:rPr>
        <w:t>6）每项工作完成后必须进行验收后方可开展下道工序。</w:t>
      </w:r>
    </w:p>
    <w:p w14:paraId="3FFFFAC0">
      <w:pPr>
        <w:pStyle w:val="3"/>
        <w:spacing w:before="156" w:after="156"/>
        <w:ind w:left="480" w:leftChars="0" w:firstLineChars="0"/>
        <w:rPr>
          <w:color w:val="auto"/>
        </w:rPr>
      </w:pPr>
      <w:bookmarkStart w:id="177" w:name="_Toc11946"/>
      <w:r>
        <w:rPr>
          <w:rFonts w:hint="eastAsia"/>
          <w:color w:val="auto"/>
          <w:lang w:val="en-US" w:eastAsia="zh-CN"/>
        </w:rPr>
        <w:t>施工安全控制</w:t>
      </w:r>
      <w:r>
        <w:rPr>
          <w:rFonts w:hint="eastAsia"/>
          <w:color w:val="auto"/>
        </w:rPr>
        <w:t>措施</w:t>
      </w:r>
      <w:bookmarkEnd w:id="176"/>
      <w:bookmarkEnd w:id="177"/>
    </w:p>
    <w:p w14:paraId="7B2626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6</w:t>
      </w:r>
      <w:r>
        <w:rPr>
          <w:rFonts w:hint="eastAsia"/>
          <w:color w:val="auto"/>
        </w:rPr>
        <w:t>.4.1安全方针及基本要求</w:t>
      </w:r>
    </w:p>
    <w:p w14:paraId="0D2FE1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1）认真贯彻执行、落实国家“安全第一、预防为主、综合治理”的方针，严格执行国家、地方及企业安全技术规范、规章、制度，牢固树立“安全第一”的思想，坚持预防为主的方针，落实安全生产责任制。</w:t>
      </w:r>
    </w:p>
    <w:p w14:paraId="0DDD8CA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2）建立落实安全技术交底制度，各级交底必须履行签字手续。认真做好安全检查，做到有制度，有记录。</w:t>
      </w:r>
    </w:p>
    <w:p w14:paraId="5FAD79B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作业人员必须持证上岗。</w:t>
      </w:r>
    </w:p>
    <w:p w14:paraId="0111FCC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施工区域必须有安全距离，并设安全警示标志，专人负责危险区域警戒告示。</w:t>
      </w:r>
    </w:p>
    <w:p w14:paraId="1345CC0E">
      <w:pPr>
        <w:tabs>
          <w:tab w:val="right" w:pos="8312"/>
        </w:tabs>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5）确保文明施工，实行统一领导，分工责任，做到现场文明施工。</w:t>
      </w:r>
    </w:p>
    <w:p w14:paraId="533C3ED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8" w:name="_Toc530055690"/>
      <w:r>
        <w:rPr>
          <w:rFonts w:hint="eastAsia" w:ascii="宋体" w:hAnsi="宋体" w:eastAsia="宋体" w:cs="Times New Roman"/>
          <w:color w:val="auto"/>
          <w:lang w:val="en-US" w:eastAsia="zh-CN"/>
        </w:rPr>
        <w:t>6.4.2作业安全规定</w:t>
      </w:r>
    </w:p>
    <w:bookmarkEnd w:id="178"/>
    <w:p w14:paraId="0D9C017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1）患高血压、心脏病、贫血病、癫痫病以及其它不适于高空作业的不得从事高空作业；</w:t>
      </w:r>
    </w:p>
    <w:p w14:paraId="0327050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2）高空作业衣着要灵便，禁止穿硬底和带钉易滑的鞋。衣服袖口、裤脚口要扎紧。</w:t>
      </w:r>
    </w:p>
    <w:p w14:paraId="767C43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3）在2m以上登高作业时，应使用安全带栓牢在固定物上，使用安全带前必须仔细检查绳带是否够力，带环是否牢固。</w:t>
      </w:r>
    </w:p>
    <w:p w14:paraId="510BC45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4）登高作业注意力要集中，不得开玩笑，不得快跑急跳，以防失足，从高空中滑落。</w:t>
      </w:r>
    </w:p>
    <w:p w14:paraId="43975B8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5）有雷雨、暴雨和风速超过10.8-13.8m/s（6级风）时，不允许进行</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工作。</w:t>
      </w:r>
    </w:p>
    <w:p w14:paraId="161C7A5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6）高空作业用材料要堆放平稳，工具应随手放入工具袋内，同时用细绳联接工具与作业人员，上下递物件禁止抛掷。螺栓等各种小件物品放入小铁桶。</w:t>
      </w:r>
    </w:p>
    <w:p w14:paraId="5405B4E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9" w:name="_Toc530055691"/>
      <w:r>
        <w:rPr>
          <w:rFonts w:hint="eastAsia" w:ascii="宋体" w:hAnsi="宋体" w:eastAsia="宋体" w:cs="Times New Roman"/>
          <w:color w:val="auto"/>
          <w:lang w:val="en-US" w:eastAsia="zh-CN"/>
        </w:rPr>
        <w:t>6.4.3安全防护措施</w:t>
      </w:r>
    </w:p>
    <w:bookmarkEnd w:id="179"/>
    <w:p w14:paraId="4ECB48B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1）吊装工作区内禁止非工作人员进入，起重臂下严禁站人；</w:t>
      </w:r>
    </w:p>
    <w:p w14:paraId="152099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2）身体不适的工人不能进行高空作业，作业前全体作业人员必须明确重点措施方法，按既定的施工方案进行作业；</w:t>
      </w:r>
    </w:p>
    <w:p w14:paraId="27DE94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起重机大臂、套架、平衡臂、回转总成及电器系统时，高空作业人员必须带好安全带；</w:t>
      </w:r>
    </w:p>
    <w:p w14:paraId="6E66D0E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4）不准超负荷吊装，吊装人员必须戴安全帽，穿防滑鞋，带工具袋，不能在工作中嬉闹，必须认真作业；</w:t>
      </w:r>
    </w:p>
    <w:p w14:paraId="5830B150">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5）严禁工人站在被吊运的构件上，构件上也不能摆放零星物件；</w:t>
      </w:r>
    </w:p>
    <w:p w14:paraId="761C3EB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6）吊运时，绑扎方法要可靠，以防止中途落下伤人和起重机因失重而倾翻；</w:t>
      </w:r>
    </w:p>
    <w:p w14:paraId="767AA44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7）吊装过程应由专人负责指挥，信号要求准确、明确到位；</w:t>
      </w:r>
    </w:p>
    <w:p w14:paraId="708BDFE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8）电工须穿绝缘鞋，戴好绝缘手套，不违章操作；</w:t>
      </w:r>
    </w:p>
    <w:p w14:paraId="58BFB68C">
      <w:pPr>
        <w:spacing w:line="360" w:lineRule="auto"/>
        <w:ind w:firstLine="480"/>
        <w:rPr>
          <w:rFonts w:ascii="宋体" w:hAnsi="宋体" w:eastAsia="宋体" w:cs="宋体"/>
          <w:color w:val="auto"/>
          <w:sz w:val="24"/>
          <w:szCs w:val="24"/>
        </w:rPr>
      </w:pPr>
      <w:bookmarkStart w:id="180" w:name="_Toc3803_WPSOffice_Level2"/>
      <w:r>
        <w:rPr>
          <w:rFonts w:hint="eastAsia" w:ascii="宋体" w:hAnsi="宋体" w:eastAsia="宋体" w:cs="宋体"/>
          <w:color w:val="auto"/>
          <w:sz w:val="24"/>
          <w:szCs w:val="24"/>
        </w:rPr>
        <w:t>9）构件吊装到位后要</w:t>
      </w:r>
      <w:bookmarkEnd w:id="180"/>
      <w:r>
        <w:rPr>
          <w:rFonts w:hint="eastAsia" w:ascii="宋体" w:hAnsi="宋体" w:eastAsia="宋体" w:cs="宋体"/>
          <w:color w:val="auto"/>
          <w:sz w:val="24"/>
          <w:szCs w:val="24"/>
        </w:rPr>
        <w:t>求固定可靠，再进入下一步操作，严禁将构件浮放在某一处，以免落下发生意外。</w:t>
      </w:r>
    </w:p>
    <w:p w14:paraId="6C832A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10）设备工具摆放整齐、合理，做到安全、有序；</w:t>
      </w:r>
    </w:p>
    <w:p w14:paraId="08C09F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作业中，应严格按</w:t>
      </w:r>
      <w:r>
        <w:rPr>
          <w:rFonts w:hint="eastAsia" w:ascii="宋体" w:hAnsi="宋体" w:cs="宋体"/>
          <w:color w:val="auto"/>
          <w:sz w:val="24"/>
          <w:szCs w:val="24"/>
          <w:lang w:val="en-US" w:eastAsia="zh-CN"/>
        </w:rPr>
        <w:t>拆除</w:t>
      </w:r>
      <w:r>
        <w:rPr>
          <w:rFonts w:hint="eastAsia" w:ascii="宋体" w:hAnsi="宋体" w:eastAsia="宋体" w:cs="宋体"/>
          <w:color w:val="auto"/>
          <w:sz w:val="24"/>
          <w:szCs w:val="24"/>
        </w:rPr>
        <w:t>顺序进行，作业时严禁抛掷物件。</w:t>
      </w:r>
    </w:p>
    <w:p w14:paraId="2CF8A4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1" w:name="_Toc14333"/>
      <w:bookmarkStart w:id="182" w:name="_Toc170739310"/>
      <w:bookmarkStart w:id="183" w:name="_Toc17383806"/>
      <w:r>
        <w:rPr>
          <w:rFonts w:hint="eastAsia" w:ascii="宋体" w:hAnsi="宋体" w:eastAsia="宋体" w:cs="Times New Roman"/>
          <w:color w:val="auto"/>
          <w:lang w:val="en-US" w:eastAsia="zh-CN"/>
        </w:rPr>
        <w:t>6.4.4</w:t>
      </w:r>
      <w:r>
        <w:rPr>
          <w:rFonts w:hint="eastAsia" w:cs="Times New Roman"/>
          <w:color w:val="auto"/>
          <w:lang w:val="en-US" w:eastAsia="zh-CN"/>
        </w:rPr>
        <w:t>拆除</w:t>
      </w:r>
      <w:r>
        <w:rPr>
          <w:rFonts w:hint="eastAsia" w:ascii="宋体" w:hAnsi="宋体" w:eastAsia="宋体" w:cs="Times New Roman"/>
          <w:color w:val="auto"/>
          <w:lang w:val="en-US" w:eastAsia="zh-CN"/>
        </w:rPr>
        <w:t>安全警戒措施</w:t>
      </w:r>
      <w:bookmarkEnd w:id="181"/>
      <w:bookmarkEnd w:id="182"/>
    </w:p>
    <w:p w14:paraId="457A71C4">
      <w:pPr>
        <w:rPr>
          <w:color w:val="auto"/>
        </w:rPr>
      </w:pPr>
      <w:r>
        <w:rPr>
          <w:rFonts w:hint="eastAsia"/>
          <w:color w:val="auto"/>
        </w:rPr>
        <w:t>（1）在整个施工区域内，设置围挡，进行封闭施工。</w:t>
      </w:r>
    </w:p>
    <w:p w14:paraId="47F9DD1C">
      <w:pPr>
        <w:rPr>
          <w:color w:val="auto"/>
        </w:rPr>
      </w:pPr>
      <w:r>
        <w:rPr>
          <w:rFonts w:hint="eastAsia"/>
          <w:color w:val="auto"/>
        </w:rPr>
        <w:t>（</w:t>
      </w:r>
      <w:r>
        <w:rPr>
          <w:rFonts w:hint="eastAsia"/>
          <w:color w:val="auto"/>
          <w:lang w:val="en-US" w:eastAsia="zh-CN"/>
        </w:rPr>
        <w:t>2</w:t>
      </w:r>
      <w:r>
        <w:rPr>
          <w:rFonts w:hint="eastAsia"/>
          <w:color w:val="auto"/>
        </w:rPr>
        <w:t>）在施工区域，设置警戒人员进行</w:t>
      </w:r>
      <w:r>
        <w:rPr>
          <w:color w:val="auto"/>
        </w:rPr>
        <w:t>24</w:t>
      </w:r>
      <w:r>
        <w:rPr>
          <w:rFonts w:hint="eastAsia"/>
          <w:color w:val="auto"/>
        </w:rPr>
        <w:t>小时巡检，如发现非施工作业人员进入施工现场，则要求其立即离开施工区域，对不听劝导则，立即通知当地派出所进行协调。</w:t>
      </w:r>
    </w:p>
    <w:p w14:paraId="244E108B">
      <w:pPr>
        <w:rPr>
          <w:color w:val="auto"/>
        </w:rPr>
      </w:pPr>
      <w:r>
        <w:rPr>
          <w:rFonts w:hint="eastAsia"/>
          <w:color w:val="auto"/>
        </w:rPr>
        <w:t>（</w:t>
      </w:r>
      <w:r>
        <w:rPr>
          <w:rFonts w:hint="eastAsia"/>
          <w:color w:val="auto"/>
          <w:lang w:val="en-US" w:eastAsia="zh-CN"/>
        </w:rPr>
        <w:t>3</w:t>
      </w:r>
      <w:r>
        <w:rPr>
          <w:rFonts w:hint="eastAsia"/>
          <w:color w:val="auto"/>
        </w:rPr>
        <w:t>）在施工区域四周，设置安全警示标语、标牌，告诫行人及车辆不要闯入施工区域。</w:t>
      </w:r>
    </w:p>
    <w:p w14:paraId="45FF7907">
      <w:pPr>
        <w:rPr>
          <w:color w:val="auto"/>
        </w:rPr>
      </w:pPr>
      <w:r>
        <w:rPr>
          <w:rFonts w:hint="eastAsia"/>
          <w:color w:val="auto"/>
        </w:rPr>
        <w:t>（</w:t>
      </w:r>
      <w:r>
        <w:rPr>
          <w:rFonts w:hint="eastAsia"/>
          <w:color w:val="auto"/>
          <w:lang w:val="en-US" w:eastAsia="zh-CN"/>
        </w:rPr>
        <w:t>4</w:t>
      </w:r>
      <w:r>
        <w:rPr>
          <w:rFonts w:hint="eastAsia"/>
          <w:color w:val="auto"/>
        </w:rPr>
        <w:t>）现场夜间增加照明设施，防止他人进入施工区域。</w:t>
      </w:r>
    </w:p>
    <w:p w14:paraId="0DF85546">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4" w:name="_Toc14631"/>
      <w:bookmarkStart w:id="185" w:name="_Toc577430778"/>
      <w:r>
        <w:rPr>
          <w:rFonts w:hint="eastAsia" w:ascii="宋体" w:hAnsi="宋体" w:eastAsia="宋体" w:cs="Times New Roman"/>
          <w:color w:val="auto"/>
          <w:lang w:val="en-US" w:eastAsia="zh-CN"/>
        </w:rPr>
        <w:t>6.4.5雨雪天气安全措施</w:t>
      </w:r>
      <w:bookmarkEnd w:id="184"/>
      <w:bookmarkEnd w:id="185"/>
    </w:p>
    <w:p w14:paraId="397AEB90">
      <w:pPr>
        <w:rPr>
          <w:color w:val="auto"/>
        </w:rPr>
      </w:pPr>
      <w:r>
        <w:rPr>
          <w:rFonts w:hint="eastAsia"/>
          <w:color w:val="auto"/>
        </w:rPr>
        <w:t>在</w:t>
      </w:r>
      <w:r>
        <w:rPr>
          <w:rFonts w:hint="eastAsia"/>
          <w:color w:val="auto"/>
          <w:lang w:val="en-US" w:eastAsia="zh-CN"/>
        </w:rPr>
        <w:t>冬</w:t>
      </w:r>
      <w:r>
        <w:rPr>
          <w:rFonts w:hint="eastAsia"/>
          <w:color w:val="auto"/>
        </w:rPr>
        <w:t>季雨</w:t>
      </w:r>
      <w:r>
        <w:rPr>
          <w:rFonts w:hint="eastAsia"/>
          <w:color w:val="auto"/>
          <w:lang w:val="en-US" w:eastAsia="zh-CN"/>
        </w:rPr>
        <w:t>雪</w:t>
      </w:r>
      <w:r>
        <w:rPr>
          <w:rFonts w:hint="eastAsia"/>
          <w:color w:val="auto"/>
        </w:rPr>
        <w:t>天多发时期，项目经理部办公室、安</w:t>
      </w:r>
      <w:r>
        <w:rPr>
          <w:rFonts w:hint="eastAsia"/>
          <w:color w:val="auto"/>
          <w:lang w:val="en-US" w:eastAsia="zh-CN"/>
        </w:rPr>
        <w:t>全</w:t>
      </w:r>
      <w:r>
        <w:rPr>
          <w:rFonts w:hint="eastAsia"/>
          <w:color w:val="auto"/>
        </w:rPr>
        <w:t>部应做到：</w:t>
      </w:r>
    </w:p>
    <w:p w14:paraId="32038E73">
      <w:pPr>
        <w:rPr>
          <w:rFonts w:hint="eastAsia" w:eastAsia="宋体"/>
          <w:color w:val="auto"/>
          <w:lang w:eastAsia="zh-CN"/>
        </w:rPr>
      </w:pPr>
      <w:r>
        <w:rPr>
          <w:rFonts w:hint="eastAsia"/>
          <w:color w:val="auto"/>
        </w:rPr>
        <w:t>（</w:t>
      </w:r>
      <w:r>
        <w:rPr>
          <w:rFonts w:hint="eastAsia"/>
          <w:color w:val="auto"/>
          <w:lang w:val="en-US" w:eastAsia="zh-CN"/>
        </w:rPr>
        <w:t>1</w:t>
      </w:r>
      <w:r>
        <w:rPr>
          <w:rFonts w:hint="eastAsia"/>
          <w:color w:val="auto"/>
        </w:rPr>
        <w:t>）加强与气象部门的联系，随时掌握天气的变化情况，及时向施工现场发布雷雨消息</w:t>
      </w:r>
      <w:r>
        <w:rPr>
          <w:rFonts w:hint="eastAsia"/>
          <w:color w:val="auto"/>
          <w:lang w:eastAsia="zh-CN"/>
        </w:rPr>
        <w:t>。</w:t>
      </w:r>
    </w:p>
    <w:p w14:paraId="3FFB1FBC">
      <w:pPr>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）做好防雷电的监督、检查和指导工作；随时注意各工段的施工情况，遇异常情况及时向安全领导小组汇报</w:t>
      </w:r>
      <w:r>
        <w:rPr>
          <w:rFonts w:hint="eastAsia"/>
          <w:color w:val="auto"/>
          <w:lang w:eastAsia="zh-CN"/>
        </w:rPr>
        <w:t>。</w:t>
      </w:r>
    </w:p>
    <w:p w14:paraId="2A8F5F5D">
      <w:pPr>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）在此期间应注重组织人员对火灾急救的演习</w:t>
      </w:r>
      <w:r>
        <w:rPr>
          <w:rFonts w:hint="eastAsia"/>
          <w:color w:val="auto"/>
          <w:lang w:eastAsia="zh-CN"/>
        </w:rPr>
        <w:t>。</w:t>
      </w:r>
    </w:p>
    <w:p w14:paraId="5BBE1B78">
      <w:pPr>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）雷电雨中避免高空作业、带电作业</w:t>
      </w:r>
      <w:r>
        <w:rPr>
          <w:rFonts w:hint="eastAsia"/>
          <w:color w:val="auto"/>
          <w:lang w:eastAsia="zh-CN"/>
        </w:rPr>
        <w:t>。</w:t>
      </w:r>
    </w:p>
    <w:p w14:paraId="382061C1">
      <w:pPr>
        <w:rPr>
          <w:color w:val="auto"/>
        </w:rPr>
      </w:pPr>
      <w:r>
        <w:rPr>
          <w:rFonts w:hint="eastAsia"/>
          <w:color w:val="auto"/>
        </w:rPr>
        <w:t>（</w:t>
      </w:r>
      <w:r>
        <w:rPr>
          <w:rFonts w:hint="eastAsia"/>
          <w:color w:val="auto"/>
          <w:lang w:val="en-US" w:eastAsia="zh-CN"/>
        </w:rPr>
        <w:t>5</w:t>
      </w:r>
      <w:r>
        <w:rPr>
          <w:rFonts w:hint="eastAsia"/>
          <w:color w:val="auto"/>
        </w:rPr>
        <w:t>）当气候十分恶劣时，应根据施工情况及时向安全小组请求停止施工，做好设施的防护工作。注意天气变化，当天气好转后及时向安全小组汇报，请求恢复施工。</w:t>
      </w:r>
    </w:p>
    <w:p w14:paraId="6DEEA8A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6" w:name="_Toc30424"/>
      <w:bookmarkStart w:id="187" w:name="_Toc400485053"/>
      <w:r>
        <w:rPr>
          <w:rFonts w:hint="eastAsia" w:ascii="宋体" w:hAnsi="宋体" w:eastAsia="宋体" w:cs="Times New Roman"/>
          <w:color w:val="auto"/>
          <w:lang w:val="en-US" w:eastAsia="zh-CN"/>
        </w:rPr>
        <w:t>6.4.6塔式起重机</w:t>
      </w:r>
      <w:r>
        <w:rPr>
          <w:rFonts w:hint="eastAsia" w:cs="Times New Roman"/>
          <w:color w:val="auto"/>
          <w:lang w:val="en-US" w:eastAsia="zh-CN"/>
        </w:rPr>
        <w:t>拆除</w:t>
      </w:r>
      <w:r>
        <w:rPr>
          <w:rFonts w:hint="eastAsia" w:ascii="宋体" w:hAnsi="宋体" w:eastAsia="宋体" w:cs="Times New Roman"/>
          <w:color w:val="auto"/>
          <w:lang w:val="en-US" w:eastAsia="zh-CN"/>
        </w:rPr>
        <w:t>安全技术措施</w:t>
      </w:r>
      <w:bookmarkEnd w:id="183"/>
      <w:bookmarkEnd w:id="186"/>
      <w:bookmarkEnd w:id="187"/>
    </w:p>
    <w:p w14:paraId="79FC380B">
      <w:pPr>
        <w:numPr>
          <w:ilvl w:val="0"/>
          <w:numId w:val="16"/>
        </w:numPr>
        <w:ind w:left="480" w:leftChars="200" w:firstLine="0" w:firstLineChars="0"/>
        <w:jc w:val="left"/>
        <w:rPr>
          <w:rFonts w:hint="eastAsia"/>
          <w:color w:val="auto"/>
          <w:lang w:val="en-US" w:eastAsia="zh-CN"/>
        </w:rPr>
      </w:pPr>
      <w:r>
        <w:rPr>
          <w:rFonts w:hint="eastAsia"/>
          <w:color w:val="auto"/>
        </w:rPr>
        <w:t>塔</w:t>
      </w:r>
      <w:r>
        <w:rPr>
          <w:rFonts w:hint="eastAsia"/>
          <w:color w:val="auto"/>
          <w:lang w:val="en-US" w:eastAsia="zh-CN"/>
        </w:rPr>
        <w:t>机拆除</w:t>
      </w:r>
      <w:r>
        <w:rPr>
          <w:rFonts w:hint="eastAsia"/>
          <w:color w:val="auto"/>
        </w:rPr>
        <w:t>之前</w:t>
      </w:r>
      <w:r>
        <w:rPr>
          <w:rFonts w:hint="eastAsia"/>
          <w:color w:val="auto"/>
          <w:lang w:val="en-US" w:eastAsia="zh-CN"/>
        </w:rPr>
        <w:t>拆除方案需通过评审。</w:t>
      </w:r>
    </w:p>
    <w:p w14:paraId="71C8C069">
      <w:pPr>
        <w:numPr>
          <w:ilvl w:val="0"/>
          <w:numId w:val="16"/>
        </w:numPr>
        <w:ind w:left="480" w:leftChars="200" w:firstLine="0" w:firstLineChars="0"/>
        <w:jc w:val="left"/>
        <w:rPr>
          <w:rFonts w:hint="eastAsia"/>
          <w:color w:val="auto"/>
        </w:rPr>
      </w:pPr>
      <w:r>
        <w:rPr>
          <w:rFonts w:hint="eastAsia"/>
          <w:color w:val="auto"/>
        </w:rPr>
        <w:t>塔吊在</w:t>
      </w:r>
      <w:r>
        <w:rPr>
          <w:rFonts w:hint="eastAsia"/>
          <w:color w:val="auto"/>
          <w:lang w:val="en-US" w:eastAsia="zh-CN"/>
        </w:rPr>
        <w:t>拆除</w:t>
      </w:r>
      <w:r>
        <w:rPr>
          <w:rFonts w:hint="eastAsia"/>
          <w:color w:val="auto"/>
        </w:rPr>
        <w:t>前由生产副经理</w:t>
      </w:r>
      <w:r>
        <w:rPr>
          <w:rFonts w:hint="eastAsia"/>
          <w:color w:val="auto"/>
          <w:lang w:val="en-US" w:eastAsia="zh-CN"/>
        </w:rPr>
        <w:t>参加</w:t>
      </w:r>
      <w:r>
        <w:rPr>
          <w:rFonts w:hint="eastAsia"/>
          <w:color w:val="auto"/>
          <w:lang w:eastAsia="zh-CN"/>
        </w:rPr>
        <w:t>，</w:t>
      </w:r>
      <w:r>
        <w:rPr>
          <w:rFonts w:hint="eastAsia"/>
          <w:color w:val="auto"/>
          <w:lang w:val="en-US" w:eastAsia="zh-CN"/>
        </w:rPr>
        <w:t>工程、设备及</w:t>
      </w:r>
      <w:r>
        <w:rPr>
          <w:rFonts w:hint="eastAsia"/>
          <w:color w:val="auto"/>
        </w:rPr>
        <w:t>安全</w:t>
      </w:r>
      <w:r>
        <w:rPr>
          <w:rFonts w:hint="eastAsia"/>
          <w:color w:val="auto"/>
          <w:lang w:val="en-US" w:eastAsia="zh-CN"/>
        </w:rPr>
        <w:t>等部门</w:t>
      </w:r>
      <w:r>
        <w:rPr>
          <w:rFonts w:hint="eastAsia"/>
          <w:color w:val="auto"/>
        </w:rPr>
        <w:t>组织</w:t>
      </w:r>
      <w:r>
        <w:rPr>
          <w:rFonts w:hint="eastAsia"/>
          <w:color w:val="auto"/>
          <w:lang w:val="en-US" w:eastAsia="zh-CN"/>
        </w:rPr>
        <w:t>拆除</w:t>
      </w:r>
      <w:r>
        <w:rPr>
          <w:rFonts w:hint="eastAsia"/>
          <w:color w:val="auto"/>
        </w:rPr>
        <w:t>人员进行</w:t>
      </w:r>
      <w:r>
        <w:rPr>
          <w:rFonts w:hint="eastAsia"/>
          <w:color w:val="auto"/>
          <w:lang w:val="en-US" w:eastAsia="zh-CN"/>
        </w:rPr>
        <w:t>技术</w:t>
      </w:r>
      <w:r>
        <w:rPr>
          <w:rFonts w:hint="eastAsia"/>
          <w:color w:val="auto"/>
        </w:rPr>
        <w:t>交底和</w:t>
      </w:r>
      <w:r>
        <w:rPr>
          <w:rFonts w:hint="eastAsia"/>
          <w:color w:val="auto"/>
          <w:lang w:val="en-US" w:eastAsia="zh-CN"/>
        </w:rPr>
        <w:t>危险源告知。</w:t>
      </w:r>
    </w:p>
    <w:p w14:paraId="5D9A3CC7">
      <w:pPr>
        <w:jc w:val="left"/>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拆除</w:t>
      </w:r>
      <w:r>
        <w:rPr>
          <w:rFonts w:hint="eastAsia"/>
          <w:color w:val="auto"/>
        </w:rPr>
        <w:t>人员必须了解塔机性能、</w:t>
      </w:r>
      <w:r>
        <w:rPr>
          <w:rFonts w:hint="eastAsia"/>
          <w:color w:val="auto"/>
          <w:lang w:val="en-US" w:eastAsia="zh-CN"/>
        </w:rPr>
        <w:t>拆除</w:t>
      </w:r>
      <w:r>
        <w:rPr>
          <w:rFonts w:hint="eastAsia"/>
          <w:color w:val="auto"/>
        </w:rPr>
        <w:t>程序、各部件位置和正确吊点</w:t>
      </w:r>
      <w:r>
        <w:rPr>
          <w:rFonts w:hint="eastAsia"/>
          <w:color w:val="auto"/>
          <w:lang w:eastAsia="zh-CN"/>
        </w:rPr>
        <w:t>。</w:t>
      </w:r>
    </w:p>
    <w:p w14:paraId="44B8E4E9">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）合理安排</w:t>
      </w:r>
      <w:r>
        <w:rPr>
          <w:rFonts w:hint="eastAsia"/>
          <w:color w:val="auto"/>
          <w:lang w:val="en-US" w:eastAsia="zh-CN"/>
        </w:rPr>
        <w:t>拆除</w:t>
      </w:r>
      <w:r>
        <w:rPr>
          <w:rFonts w:hint="eastAsia"/>
          <w:color w:val="auto"/>
        </w:rPr>
        <w:t>人员，明确分工，责任落实到每个人</w:t>
      </w:r>
      <w:r>
        <w:rPr>
          <w:rFonts w:hint="eastAsia"/>
          <w:color w:val="auto"/>
          <w:lang w:eastAsia="zh-CN"/>
        </w:rPr>
        <w:t>。</w:t>
      </w:r>
    </w:p>
    <w:p w14:paraId="3D3A44DA">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拆除</w:t>
      </w:r>
      <w:r>
        <w:rPr>
          <w:rFonts w:hint="eastAsia"/>
          <w:color w:val="auto"/>
        </w:rPr>
        <w:t>过程中要统一指挥，一切程序都必须通过指挥实施</w:t>
      </w:r>
      <w:r>
        <w:rPr>
          <w:rFonts w:hint="eastAsia"/>
          <w:color w:val="auto"/>
          <w:lang w:eastAsia="zh-CN"/>
        </w:rPr>
        <w:t>。</w:t>
      </w:r>
    </w:p>
    <w:p w14:paraId="1F95F5F4">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拆除</w:t>
      </w:r>
      <w:r>
        <w:rPr>
          <w:rFonts w:hint="eastAsia"/>
          <w:color w:val="auto"/>
        </w:rPr>
        <w:t>人员进入施工现场必须戴合格的安全帽、系好下额带，锁好带扣，高空作业人员登高（2米以上）作业时必须系合格的安全带，系挂牢固，高挂低用，穿防滑鞋，以防高空坠落</w:t>
      </w:r>
      <w:r>
        <w:rPr>
          <w:rFonts w:hint="eastAsia"/>
          <w:color w:val="auto"/>
          <w:lang w:eastAsia="zh-CN"/>
        </w:rPr>
        <w:t>。</w:t>
      </w:r>
    </w:p>
    <w:p w14:paraId="7E50CBA3">
      <w:pPr>
        <w:jc w:val="left"/>
        <w:rPr>
          <w:rFonts w:hint="eastAsia" w:eastAsia="宋体"/>
          <w:color w:val="auto"/>
          <w:lang w:eastAsia="zh-CN"/>
        </w:rPr>
      </w:pPr>
      <w:r>
        <w:rPr>
          <w:rFonts w:hint="eastAsia"/>
          <w:color w:val="auto"/>
        </w:rPr>
        <w:t>（</w:t>
      </w:r>
      <w:r>
        <w:rPr>
          <w:rFonts w:hint="eastAsia"/>
          <w:color w:val="auto"/>
          <w:lang w:val="en-US" w:eastAsia="zh-CN"/>
        </w:rPr>
        <w:t>7</w:t>
      </w:r>
      <w:r>
        <w:rPr>
          <w:rFonts w:hint="eastAsia"/>
          <w:color w:val="auto"/>
        </w:rPr>
        <w:t>）拆卸前要对机械进行检查，是否存在安全问题，确认后才能进行拆卸</w:t>
      </w:r>
      <w:r>
        <w:rPr>
          <w:rFonts w:hint="eastAsia"/>
          <w:color w:val="auto"/>
          <w:lang w:eastAsia="zh-CN"/>
        </w:rPr>
        <w:t>。</w:t>
      </w:r>
    </w:p>
    <w:p w14:paraId="257635E1">
      <w:pPr>
        <w:jc w:val="left"/>
        <w:rPr>
          <w:rFonts w:hint="eastAsia" w:eastAsia="宋体"/>
          <w:color w:val="auto"/>
          <w:lang w:eastAsia="zh-CN"/>
        </w:rPr>
      </w:pPr>
      <w:r>
        <w:rPr>
          <w:rFonts w:hint="eastAsia"/>
          <w:color w:val="auto"/>
        </w:rPr>
        <w:t>（</w:t>
      </w:r>
      <w:r>
        <w:rPr>
          <w:rFonts w:hint="eastAsia"/>
          <w:color w:val="auto"/>
          <w:lang w:val="en-US" w:eastAsia="zh-CN"/>
        </w:rPr>
        <w:t>8</w:t>
      </w:r>
      <w:r>
        <w:rPr>
          <w:rFonts w:hint="eastAsia"/>
          <w:color w:val="auto"/>
        </w:rPr>
        <w:t>）检查钢丝绳规格是否正确达到报废标准，润滑系统是否良好</w:t>
      </w:r>
      <w:r>
        <w:rPr>
          <w:rFonts w:hint="eastAsia"/>
          <w:color w:val="auto"/>
          <w:lang w:eastAsia="zh-CN"/>
        </w:rPr>
        <w:t>。</w:t>
      </w:r>
    </w:p>
    <w:p w14:paraId="3E1C9DFD">
      <w:pPr>
        <w:jc w:val="left"/>
        <w:rPr>
          <w:rFonts w:hint="eastAsia" w:eastAsia="宋体"/>
          <w:color w:val="auto"/>
          <w:lang w:eastAsia="zh-CN"/>
        </w:rPr>
      </w:pP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塔机</w:t>
      </w:r>
      <w:r>
        <w:rPr>
          <w:rFonts w:hint="eastAsia"/>
          <w:color w:val="auto"/>
        </w:rPr>
        <w:t>拆</w:t>
      </w:r>
      <w:r>
        <w:rPr>
          <w:rFonts w:hint="eastAsia"/>
          <w:color w:val="auto"/>
          <w:lang w:val="en-US" w:eastAsia="zh-CN"/>
        </w:rPr>
        <w:t>除</w:t>
      </w:r>
      <w:r>
        <w:rPr>
          <w:rFonts w:hint="eastAsia"/>
          <w:color w:val="auto"/>
        </w:rPr>
        <w:t>由上往下按技术要求进行拆卸，不得违章作业</w:t>
      </w:r>
      <w:r>
        <w:rPr>
          <w:rFonts w:hint="eastAsia"/>
          <w:color w:val="auto"/>
          <w:lang w:eastAsia="zh-CN"/>
        </w:rPr>
        <w:t>。</w:t>
      </w:r>
    </w:p>
    <w:p w14:paraId="78163E01">
      <w:pPr>
        <w:jc w:val="left"/>
        <w:rPr>
          <w:rFonts w:hint="eastAsia" w:eastAsia="宋体"/>
          <w:color w:val="auto"/>
          <w:lang w:eastAsia="zh-CN"/>
        </w:rPr>
      </w:pPr>
      <w:r>
        <w:rPr>
          <w:rFonts w:hint="eastAsia"/>
          <w:color w:val="auto"/>
        </w:rPr>
        <w:t>（1</w:t>
      </w:r>
      <w:r>
        <w:rPr>
          <w:rFonts w:hint="eastAsia"/>
          <w:color w:val="auto"/>
          <w:lang w:val="en-US" w:eastAsia="zh-CN"/>
        </w:rPr>
        <w:t>0</w:t>
      </w:r>
      <w:r>
        <w:rPr>
          <w:rFonts w:hint="eastAsia"/>
          <w:color w:val="auto"/>
        </w:rPr>
        <w:t>）在</w:t>
      </w:r>
      <w:r>
        <w:rPr>
          <w:rFonts w:hint="eastAsia"/>
          <w:color w:val="auto"/>
          <w:lang w:val="en-US" w:eastAsia="zh-CN"/>
        </w:rPr>
        <w:t>拆除</w:t>
      </w:r>
      <w:r>
        <w:rPr>
          <w:rFonts w:hint="eastAsia"/>
          <w:color w:val="auto"/>
        </w:rPr>
        <w:t>吊运过程中，要选好吊物的中心，吊索正确挂在吊点上，要确保安全</w:t>
      </w:r>
      <w:r>
        <w:rPr>
          <w:rFonts w:hint="eastAsia"/>
          <w:color w:val="auto"/>
          <w:lang w:eastAsia="zh-CN"/>
        </w:rPr>
        <w:t>。</w:t>
      </w:r>
    </w:p>
    <w:p w14:paraId="002C86C6">
      <w:pPr>
        <w:jc w:val="left"/>
        <w:rPr>
          <w:rFonts w:hint="eastAsia" w:eastAsia="宋体"/>
          <w:color w:val="auto"/>
          <w:lang w:eastAsia="zh-CN"/>
        </w:rPr>
      </w:pPr>
      <w:r>
        <w:rPr>
          <w:rFonts w:hint="eastAsia"/>
          <w:color w:val="auto"/>
        </w:rPr>
        <w:t>（1</w:t>
      </w:r>
      <w:r>
        <w:rPr>
          <w:rFonts w:hint="eastAsia"/>
          <w:color w:val="auto"/>
          <w:lang w:val="en-US" w:eastAsia="zh-CN"/>
        </w:rPr>
        <w:t>1</w:t>
      </w:r>
      <w:r>
        <w:rPr>
          <w:rFonts w:hint="eastAsia"/>
          <w:color w:val="auto"/>
        </w:rPr>
        <w:t>）</w:t>
      </w:r>
      <w:r>
        <w:rPr>
          <w:rFonts w:hint="eastAsia"/>
          <w:color w:val="auto"/>
          <w:lang w:val="en-US" w:eastAsia="zh-CN"/>
        </w:rPr>
        <w:t>安拆</w:t>
      </w:r>
      <w:r>
        <w:rPr>
          <w:rFonts w:hint="eastAsia"/>
          <w:color w:val="auto"/>
        </w:rPr>
        <w:t>塔</w:t>
      </w:r>
      <w:r>
        <w:rPr>
          <w:rFonts w:hint="eastAsia"/>
          <w:color w:val="auto"/>
          <w:lang w:val="en-US" w:eastAsia="zh-CN"/>
        </w:rPr>
        <w:t>吊</w:t>
      </w:r>
      <w:r>
        <w:rPr>
          <w:rFonts w:hint="eastAsia"/>
          <w:color w:val="auto"/>
        </w:rPr>
        <w:t>时，严禁只安装一个臂或只拆</w:t>
      </w:r>
      <w:r>
        <w:rPr>
          <w:rFonts w:hint="eastAsia"/>
          <w:color w:val="auto"/>
          <w:lang w:val="en-US" w:eastAsia="zh-CN"/>
        </w:rPr>
        <w:t>除</w:t>
      </w:r>
      <w:r>
        <w:rPr>
          <w:rFonts w:hint="eastAsia"/>
          <w:color w:val="auto"/>
        </w:rPr>
        <w:t>一个臂就中断作业</w:t>
      </w:r>
      <w:r>
        <w:rPr>
          <w:rFonts w:hint="eastAsia"/>
          <w:color w:val="auto"/>
          <w:lang w:eastAsia="zh-CN"/>
        </w:rPr>
        <w:t>。</w:t>
      </w:r>
    </w:p>
    <w:p w14:paraId="5D2AB46C">
      <w:pPr>
        <w:jc w:val="left"/>
        <w:rPr>
          <w:rFonts w:hint="eastAsia" w:eastAsia="宋体"/>
          <w:color w:val="auto"/>
          <w:lang w:eastAsia="zh-CN"/>
        </w:rPr>
      </w:pPr>
      <w:r>
        <w:rPr>
          <w:rFonts w:hint="eastAsia"/>
          <w:color w:val="auto"/>
        </w:rPr>
        <w:t>（1</w:t>
      </w:r>
      <w:r>
        <w:rPr>
          <w:rFonts w:hint="eastAsia"/>
          <w:color w:val="auto"/>
          <w:lang w:val="en-US" w:eastAsia="zh-CN"/>
        </w:rPr>
        <w:t>2</w:t>
      </w:r>
      <w:r>
        <w:rPr>
          <w:rFonts w:hint="eastAsia"/>
          <w:color w:val="auto"/>
        </w:rPr>
        <w:t>）塔吊顶升前，先检查液压系统有无泄漏，标准节有无变形和开焊，型号是否正确，检查电缆长度和有无破损。并进行试顶，确保顶升平稳和安全</w:t>
      </w:r>
      <w:r>
        <w:rPr>
          <w:rFonts w:hint="eastAsia"/>
          <w:color w:val="auto"/>
          <w:lang w:eastAsia="zh-CN"/>
        </w:rPr>
        <w:t>。</w:t>
      </w:r>
    </w:p>
    <w:p w14:paraId="6756BA52">
      <w:pPr>
        <w:jc w:val="left"/>
        <w:rPr>
          <w:rFonts w:hint="eastAsia" w:eastAsia="宋体"/>
          <w:color w:val="auto"/>
          <w:lang w:eastAsia="zh-CN"/>
        </w:rPr>
      </w:pPr>
      <w:r>
        <w:rPr>
          <w:rFonts w:hint="eastAsia"/>
          <w:color w:val="auto"/>
        </w:rPr>
        <w:t>（1</w:t>
      </w:r>
      <w:r>
        <w:rPr>
          <w:rFonts w:hint="eastAsia"/>
          <w:color w:val="auto"/>
          <w:lang w:val="en-US" w:eastAsia="zh-CN"/>
        </w:rPr>
        <w:t>3</w:t>
      </w:r>
      <w:r>
        <w:rPr>
          <w:rFonts w:hint="eastAsia"/>
          <w:color w:val="auto"/>
        </w:rPr>
        <w:t>）</w:t>
      </w:r>
      <w:r>
        <w:rPr>
          <w:rFonts w:hint="eastAsia"/>
          <w:color w:val="auto"/>
          <w:lang w:val="en-US" w:eastAsia="zh-CN"/>
        </w:rPr>
        <w:t>降塔</w:t>
      </w:r>
      <w:r>
        <w:rPr>
          <w:rFonts w:hint="eastAsia"/>
          <w:color w:val="auto"/>
        </w:rPr>
        <w:t>过程中，要求按</w:t>
      </w:r>
      <w:r>
        <w:rPr>
          <w:rFonts w:hint="eastAsia"/>
          <w:color w:val="auto"/>
          <w:lang w:val="en-US" w:eastAsia="zh-CN"/>
        </w:rPr>
        <w:t>降塔</w:t>
      </w:r>
      <w:r>
        <w:rPr>
          <w:rFonts w:hint="eastAsia"/>
          <w:color w:val="auto"/>
        </w:rPr>
        <w:t>工艺进行，各部销子安装正确，开口销打开，注意查看支承轮间隙是否一致</w:t>
      </w:r>
      <w:r>
        <w:rPr>
          <w:rFonts w:hint="eastAsia"/>
          <w:color w:val="auto"/>
          <w:lang w:eastAsia="zh-CN"/>
        </w:rPr>
        <w:t>。</w:t>
      </w:r>
    </w:p>
    <w:p w14:paraId="0F3FDA7A">
      <w:pPr>
        <w:jc w:val="left"/>
        <w:rPr>
          <w:rFonts w:hint="eastAsia" w:eastAsia="宋体"/>
          <w:color w:val="auto"/>
          <w:lang w:eastAsia="zh-CN"/>
        </w:rPr>
      </w:pPr>
      <w:r>
        <w:rPr>
          <w:rFonts w:hint="eastAsia"/>
          <w:color w:val="auto"/>
        </w:rPr>
        <w:t>（1</w:t>
      </w:r>
      <w:r>
        <w:rPr>
          <w:rFonts w:hint="eastAsia"/>
          <w:color w:val="auto"/>
          <w:lang w:val="en-US" w:eastAsia="zh-CN"/>
        </w:rPr>
        <w:t>4</w:t>
      </w:r>
      <w:r>
        <w:rPr>
          <w:rFonts w:hint="eastAsia"/>
          <w:color w:val="auto"/>
        </w:rPr>
        <w:t>）顶升塔吊作业4级风不得进行顶升，顶升过程中不得转臂，并将回转左右打眼固定</w:t>
      </w:r>
      <w:r>
        <w:rPr>
          <w:rFonts w:hint="eastAsia"/>
          <w:color w:val="auto"/>
          <w:lang w:eastAsia="zh-CN"/>
        </w:rPr>
        <w:t>。</w:t>
      </w:r>
    </w:p>
    <w:p w14:paraId="7294D860">
      <w:pPr>
        <w:jc w:val="left"/>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）塔吊附着锚固之前检查框架、锚杆等是否有开焊、变形和裂缝现象，锚杆长度和结构形式是否符合附着要求</w:t>
      </w:r>
      <w:r>
        <w:rPr>
          <w:rFonts w:hint="eastAsia"/>
          <w:color w:val="auto"/>
          <w:lang w:eastAsia="zh-CN"/>
        </w:rPr>
        <w:t>。</w:t>
      </w:r>
    </w:p>
    <w:p w14:paraId="0F9B28D0">
      <w:pPr>
        <w:jc w:val="left"/>
        <w:rPr>
          <w:rFonts w:hint="eastAsia" w:eastAsia="宋体"/>
          <w:color w:val="auto"/>
          <w:lang w:eastAsia="zh-CN"/>
        </w:rPr>
      </w:pPr>
      <w:r>
        <w:rPr>
          <w:rFonts w:hint="eastAsia"/>
          <w:color w:val="auto"/>
        </w:rPr>
        <w:t>（1</w:t>
      </w:r>
      <w:r>
        <w:rPr>
          <w:rFonts w:hint="eastAsia"/>
          <w:color w:val="auto"/>
          <w:lang w:val="en-US" w:eastAsia="zh-CN"/>
        </w:rPr>
        <w:t>8</w:t>
      </w:r>
      <w:r>
        <w:rPr>
          <w:rFonts w:hint="eastAsia"/>
          <w:color w:val="auto"/>
        </w:rPr>
        <w:t>）最高附着点以下塔身轴线对支承面垂直度不得大于相应高度的2‰。要求最高附着点以上塔身轴线对支承面垂直度不得大于相应高度的4‰</w:t>
      </w:r>
      <w:r>
        <w:rPr>
          <w:rFonts w:hint="eastAsia"/>
          <w:color w:val="auto"/>
          <w:lang w:eastAsia="zh-CN"/>
        </w:rPr>
        <w:t>。</w:t>
      </w:r>
    </w:p>
    <w:p w14:paraId="4C768D25">
      <w:pPr>
        <w:jc w:val="left"/>
        <w:rPr>
          <w:rFonts w:hint="eastAsia" w:eastAsia="宋体"/>
          <w:color w:val="auto"/>
          <w:lang w:eastAsia="zh-CN"/>
        </w:rPr>
      </w:pPr>
      <w:r>
        <w:rPr>
          <w:rFonts w:hint="eastAsia"/>
          <w:color w:val="auto"/>
        </w:rPr>
        <w:t>（1</w:t>
      </w:r>
      <w:r>
        <w:rPr>
          <w:rFonts w:hint="eastAsia"/>
          <w:color w:val="auto"/>
          <w:lang w:val="en-US" w:eastAsia="zh-CN"/>
        </w:rPr>
        <w:t>9</w:t>
      </w:r>
      <w:r>
        <w:rPr>
          <w:rFonts w:hint="eastAsia"/>
          <w:color w:val="auto"/>
        </w:rPr>
        <w:t>）锚固点以上塔机自由高度不得大于规定要求</w:t>
      </w:r>
      <w:r>
        <w:rPr>
          <w:rFonts w:hint="eastAsia"/>
          <w:color w:val="auto"/>
          <w:lang w:eastAsia="zh-CN"/>
        </w:rPr>
        <w:t>。</w:t>
      </w:r>
    </w:p>
    <w:p w14:paraId="743E6817">
      <w:pPr>
        <w:jc w:val="left"/>
        <w:rPr>
          <w:rFonts w:hint="eastAsia" w:eastAsia="宋体"/>
          <w:color w:val="auto"/>
          <w:lang w:eastAsia="zh-CN"/>
        </w:rPr>
      </w:pPr>
      <w:r>
        <w:rPr>
          <w:rFonts w:hint="eastAsia"/>
          <w:color w:val="auto"/>
        </w:rPr>
        <w:t>（</w:t>
      </w:r>
      <w:r>
        <w:rPr>
          <w:rFonts w:hint="eastAsia"/>
          <w:color w:val="auto"/>
          <w:lang w:val="en-US" w:eastAsia="zh-CN"/>
        </w:rPr>
        <w:t>20</w:t>
      </w:r>
      <w:r>
        <w:rPr>
          <w:rFonts w:hint="eastAsia"/>
          <w:color w:val="auto"/>
        </w:rPr>
        <w:t>）</w:t>
      </w:r>
      <w:r>
        <w:rPr>
          <w:rFonts w:hint="eastAsia"/>
          <w:color w:val="auto"/>
          <w:lang w:val="en-US" w:eastAsia="zh-CN"/>
        </w:rPr>
        <w:t>拆除</w:t>
      </w:r>
      <w:r>
        <w:rPr>
          <w:rFonts w:hint="eastAsia"/>
          <w:color w:val="auto"/>
        </w:rPr>
        <w:t>人员必须服从</w:t>
      </w:r>
      <w:r>
        <w:rPr>
          <w:rFonts w:hint="eastAsia"/>
          <w:color w:val="auto"/>
          <w:lang w:val="en-US" w:eastAsia="zh-CN"/>
        </w:rPr>
        <w:t>作业班组长</w:t>
      </w:r>
      <w:r>
        <w:rPr>
          <w:rFonts w:hint="eastAsia"/>
          <w:color w:val="auto"/>
        </w:rPr>
        <w:t>指挥和安全人员监督，如有违章作业或违反操作规程要立即制止</w:t>
      </w:r>
      <w:r>
        <w:rPr>
          <w:rFonts w:hint="eastAsia"/>
          <w:color w:val="auto"/>
          <w:lang w:eastAsia="zh-CN"/>
        </w:rPr>
        <w:t>。</w:t>
      </w:r>
    </w:p>
    <w:p w14:paraId="3EBC8E4F">
      <w:pPr>
        <w:jc w:val="left"/>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1）禁止酒后作业和打闹，</w:t>
      </w:r>
      <w:r>
        <w:rPr>
          <w:rFonts w:hint="eastAsia"/>
          <w:color w:val="auto"/>
          <w:lang w:val="en-US" w:eastAsia="zh-CN"/>
        </w:rPr>
        <w:t>拆除</w:t>
      </w:r>
      <w:r>
        <w:rPr>
          <w:rFonts w:hint="eastAsia"/>
          <w:color w:val="auto"/>
        </w:rPr>
        <w:t>人员必须持证上岗</w:t>
      </w:r>
      <w:r>
        <w:rPr>
          <w:rFonts w:hint="eastAsia"/>
          <w:color w:val="auto"/>
          <w:lang w:eastAsia="zh-CN"/>
        </w:rPr>
        <w:t>。</w:t>
      </w:r>
    </w:p>
    <w:p w14:paraId="7A361DDB">
      <w:pPr>
        <w:jc w:val="left"/>
        <w:rPr>
          <w:rFonts w:hint="eastAsia" w:eastAsia="宋体"/>
          <w:color w:val="auto"/>
          <w:lang w:eastAsia="zh-CN"/>
        </w:rPr>
      </w:pPr>
      <w:r>
        <w:rPr>
          <w:rFonts w:hint="eastAsia"/>
          <w:color w:val="auto"/>
        </w:rPr>
        <w:t>（</w:t>
      </w:r>
      <w:r>
        <w:rPr>
          <w:rFonts w:hint="eastAsia"/>
          <w:color w:val="auto"/>
          <w:lang w:val="en-US" w:eastAsia="zh-CN"/>
        </w:rPr>
        <w:t>22</w:t>
      </w:r>
      <w:r>
        <w:rPr>
          <w:rFonts w:hint="eastAsia"/>
          <w:color w:val="auto"/>
        </w:rPr>
        <w:t>）安全员要坚守岗位，对违反安全规定的人员，有权停止其工作，认真施行职责</w:t>
      </w:r>
      <w:r>
        <w:rPr>
          <w:rFonts w:hint="eastAsia"/>
          <w:color w:val="auto"/>
          <w:lang w:eastAsia="zh-CN"/>
        </w:rPr>
        <w:t>。</w:t>
      </w:r>
    </w:p>
    <w:p w14:paraId="3E31EBA5">
      <w:pPr>
        <w:jc w:val="left"/>
        <w:rPr>
          <w:rFonts w:hint="eastAsia" w:eastAsia="宋体"/>
          <w:color w:val="auto"/>
          <w:lang w:eastAsia="zh-CN"/>
        </w:rPr>
      </w:pPr>
      <w:r>
        <w:rPr>
          <w:rFonts w:hint="eastAsia"/>
          <w:color w:val="auto"/>
        </w:rPr>
        <w:t>（</w:t>
      </w:r>
      <w:r>
        <w:rPr>
          <w:rFonts w:hint="eastAsia"/>
          <w:color w:val="auto"/>
          <w:lang w:val="en-US" w:eastAsia="zh-CN"/>
        </w:rPr>
        <w:t>23</w:t>
      </w:r>
      <w:r>
        <w:rPr>
          <w:rFonts w:hint="eastAsia"/>
          <w:color w:val="auto"/>
        </w:rPr>
        <w:t>）参加高空作业的人员，应进行严格的体格检查，不合格者，不准进行高空作业</w:t>
      </w:r>
      <w:r>
        <w:rPr>
          <w:rFonts w:hint="eastAsia"/>
          <w:color w:val="auto"/>
          <w:lang w:eastAsia="zh-CN"/>
        </w:rPr>
        <w:t>。</w:t>
      </w:r>
    </w:p>
    <w:p w14:paraId="7FEBFF4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8" w:name="_Toc18916"/>
      <w:bookmarkStart w:id="189" w:name="_Toc738536073"/>
      <w:bookmarkStart w:id="190" w:name="_Toc17383808"/>
      <w:r>
        <w:rPr>
          <w:rFonts w:hint="eastAsia" w:ascii="宋体" w:hAnsi="宋体" w:eastAsia="宋体" w:cs="Times New Roman"/>
          <w:color w:val="auto"/>
          <w:lang w:val="en-US" w:eastAsia="zh-CN"/>
        </w:rPr>
        <w:t>6.4.7塔身升降施工安全保障措施</w:t>
      </w:r>
      <w:bookmarkEnd w:id="188"/>
      <w:bookmarkEnd w:id="189"/>
    </w:p>
    <w:p w14:paraId="45F4C0BC">
      <w:pPr>
        <w:ind w:firstLine="480"/>
        <w:rPr>
          <w:rFonts w:hAnsi="宋体"/>
          <w:color w:val="auto"/>
          <w:kern w:val="0"/>
        </w:rPr>
      </w:pPr>
      <w:r>
        <w:rPr>
          <w:rFonts w:hint="eastAsia"/>
          <w:color w:val="auto"/>
        </w:rPr>
        <w:t>为保证塔身升降过程中，人员及其塔吊的安全，</w:t>
      </w:r>
      <w:r>
        <w:rPr>
          <w:rFonts w:hint="eastAsia" w:hAnsi="宋体"/>
          <w:color w:val="auto"/>
          <w:kern w:val="0"/>
        </w:rPr>
        <w:t>对顶升横梁、爬爪与踏步位置关系、塔机下支座与套架、标准节“四角”接口连接进行监控检测</w:t>
      </w:r>
    </w:p>
    <w:p w14:paraId="6162C977">
      <w:pPr>
        <w:pStyle w:val="51"/>
        <w:bidi w:val="0"/>
        <w:rPr>
          <w:color w:val="auto"/>
        </w:rPr>
      </w:pPr>
      <w:r>
        <w:rPr>
          <w:rFonts w:hint="eastAsia"/>
          <w:color w:val="auto"/>
        </w:rPr>
        <w:t xml:space="preserve">表 </w:t>
      </w:r>
      <w:r>
        <w:rPr>
          <w:color w:val="auto"/>
        </w:rPr>
        <w:fldChar w:fldCharType="begin"/>
      </w:r>
      <w:r>
        <w:rPr>
          <w:rFonts w:hint="eastAsia"/>
          <w:color w:val="auto"/>
        </w:rPr>
        <w:instrText xml:space="preserve">STYLEREF 2 \s</w:instrText>
      </w:r>
      <w:r>
        <w:rPr>
          <w:color w:val="auto"/>
        </w:rPr>
        <w:fldChar w:fldCharType="separate"/>
      </w:r>
      <w:r>
        <w:rPr>
          <w:color w:val="auto"/>
        </w:rPr>
        <w:t>6.</w:t>
      </w:r>
      <w:r>
        <w:rPr>
          <w:rFonts w:hint="eastAsia"/>
          <w:color w:val="auto"/>
          <w:lang w:val="en-US" w:eastAsia="zh-CN"/>
        </w:rPr>
        <w:t>4</w:t>
      </w:r>
      <w:r>
        <w:rPr>
          <w:color w:val="auto"/>
        </w:rPr>
        <w:fldChar w:fldCharType="end"/>
      </w:r>
      <w:r>
        <w:rPr>
          <w:rFonts w:hint="eastAsia"/>
          <w:color w:val="auto"/>
          <w:lang w:val="en-US" w:eastAsia="zh-CN"/>
        </w:rPr>
        <w:t>.7-</w:t>
      </w:r>
      <w:r>
        <w:rPr>
          <w:color w:val="auto"/>
        </w:rPr>
        <w:fldChar w:fldCharType="begin"/>
      </w:r>
      <w:r>
        <w:rPr>
          <w:rFonts w:hint="eastAsia"/>
          <w:color w:val="auto"/>
        </w:rPr>
        <w:instrText xml:space="preserve">SEQ 表 \* ARABIC \s 2</w:instrText>
      </w:r>
      <w:r>
        <w:rPr>
          <w:color w:val="auto"/>
        </w:rPr>
        <w:fldChar w:fldCharType="separate"/>
      </w:r>
      <w:r>
        <w:rPr>
          <w:rFonts w:hint="eastAsia"/>
          <w:color w:val="auto"/>
        </w:rPr>
        <w:t>1</w:t>
      </w:r>
      <w:r>
        <w:rPr>
          <w:color w:val="auto"/>
        </w:rPr>
        <w:fldChar w:fldCharType="end"/>
      </w:r>
      <w:r>
        <w:rPr>
          <w:rFonts w:hint="eastAsia"/>
          <w:color w:val="auto"/>
        </w:rPr>
        <w:t>塔身升降监控清单</w:t>
      </w:r>
    </w:p>
    <w:tbl>
      <w:tblPr>
        <w:tblStyle w:val="29"/>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96"/>
        <w:gridCol w:w="1084"/>
        <w:gridCol w:w="683"/>
        <w:gridCol w:w="2263"/>
        <w:gridCol w:w="2059"/>
      </w:tblGrid>
      <w:tr w14:paraId="2B7158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shd w:val="clear" w:color="auto" w:fill="DCE6F2" w:themeFill="accent1" w:themeFillTint="32"/>
            <w:noWrap w:val="0"/>
            <w:vAlign w:val="center"/>
          </w:tcPr>
          <w:p w14:paraId="58BA7F37">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96" w:type="dxa"/>
            <w:tcBorders>
              <w:tl2br w:val="nil"/>
              <w:tr2bl w:val="nil"/>
            </w:tcBorders>
            <w:shd w:val="clear" w:color="auto" w:fill="DCE6F2" w:themeFill="accent1" w:themeFillTint="32"/>
            <w:noWrap w:val="0"/>
            <w:vAlign w:val="center"/>
          </w:tcPr>
          <w:p w14:paraId="4082C1D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检查项目</w:t>
            </w:r>
          </w:p>
        </w:tc>
        <w:tc>
          <w:tcPr>
            <w:tcW w:w="1084" w:type="dxa"/>
            <w:tcBorders>
              <w:tl2br w:val="nil"/>
              <w:tr2bl w:val="nil"/>
            </w:tcBorders>
            <w:shd w:val="clear" w:color="auto" w:fill="DCE6F2" w:themeFill="accent1" w:themeFillTint="32"/>
            <w:noWrap w:val="0"/>
            <w:vAlign w:val="center"/>
          </w:tcPr>
          <w:p w14:paraId="7E999925">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监测人员</w:t>
            </w:r>
          </w:p>
        </w:tc>
        <w:tc>
          <w:tcPr>
            <w:tcW w:w="683" w:type="dxa"/>
            <w:tcBorders>
              <w:tl2br w:val="nil"/>
              <w:tr2bl w:val="nil"/>
            </w:tcBorders>
            <w:shd w:val="clear" w:color="auto" w:fill="DCE6F2" w:themeFill="accent1" w:themeFillTint="32"/>
            <w:noWrap w:val="0"/>
            <w:vAlign w:val="center"/>
          </w:tcPr>
          <w:p w14:paraId="453C69B3">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频率</w:t>
            </w:r>
          </w:p>
        </w:tc>
        <w:tc>
          <w:tcPr>
            <w:tcW w:w="2263" w:type="dxa"/>
            <w:tcBorders>
              <w:tl2br w:val="nil"/>
              <w:tr2bl w:val="nil"/>
            </w:tcBorders>
            <w:shd w:val="clear" w:color="auto" w:fill="DCE6F2" w:themeFill="accent1" w:themeFillTint="32"/>
            <w:noWrap w:val="0"/>
            <w:vAlign w:val="center"/>
          </w:tcPr>
          <w:p w14:paraId="2039C76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预警内容</w:t>
            </w:r>
          </w:p>
        </w:tc>
        <w:tc>
          <w:tcPr>
            <w:tcW w:w="2059" w:type="dxa"/>
            <w:tcBorders>
              <w:tl2br w:val="nil"/>
              <w:tr2bl w:val="nil"/>
            </w:tcBorders>
            <w:shd w:val="clear" w:color="auto" w:fill="DCE6F2" w:themeFill="accent1" w:themeFillTint="32"/>
            <w:noWrap w:val="0"/>
            <w:vAlign w:val="center"/>
          </w:tcPr>
          <w:p w14:paraId="085316CE">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控制措施</w:t>
            </w:r>
          </w:p>
        </w:tc>
      </w:tr>
      <w:tr w14:paraId="4FF539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2D51E07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6" w:type="dxa"/>
            <w:tcBorders>
              <w:tl2br w:val="nil"/>
              <w:tr2bl w:val="nil"/>
            </w:tcBorders>
            <w:noWrap w:val="0"/>
            <w:vAlign w:val="center"/>
          </w:tcPr>
          <w:p w14:paraId="60388F43">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顶升横梁、爬爪与踏步位置关系是否正确</w:t>
            </w:r>
          </w:p>
        </w:tc>
        <w:tc>
          <w:tcPr>
            <w:tcW w:w="1084" w:type="dxa"/>
            <w:tcBorders>
              <w:tl2br w:val="nil"/>
              <w:tr2bl w:val="nil"/>
            </w:tcBorders>
            <w:noWrap w:val="0"/>
            <w:vAlign w:val="center"/>
          </w:tcPr>
          <w:p w14:paraId="3ADE9D4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188CF60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restart"/>
            <w:tcBorders>
              <w:tl2br w:val="nil"/>
              <w:tr2bl w:val="nil"/>
            </w:tcBorders>
            <w:noWrap w:val="0"/>
            <w:vAlign w:val="center"/>
          </w:tcPr>
          <w:p w14:paraId="5BCFE4F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升降整个过程</w:t>
            </w:r>
          </w:p>
        </w:tc>
        <w:tc>
          <w:tcPr>
            <w:tcW w:w="2263" w:type="dxa"/>
            <w:tcBorders>
              <w:tl2br w:val="nil"/>
              <w:tr2bl w:val="nil"/>
            </w:tcBorders>
            <w:noWrap w:val="0"/>
            <w:vAlign w:val="center"/>
          </w:tcPr>
          <w:p w14:paraId="54C86840">
            <w:pPr>
              <w:numPr>
                <w:ilvl w:val="0"/>
                <w:numId w:val="17"/>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顶升横梁未放入塔身凸耳内；</w:t>
            </w:r>
          </w:p>
          <w:p w14:paraId="54FBDEFA">
            <w:pPr>
              <w:numPr>
                <w:ilvl w:val="0"/>
                <w:numId w:val="17"/>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止动靴未吊挂于凸耳上予以锁固。</w:t>
            </w:r>
          </w:p>
        </w:tc>
        <w:tc>
          <w:tcPr>
            <w:tcW w:w="2059" w:type="dxa"/>
            <w:tcBorders>
              <w:tl2br w:val="nil"/>
              <w:tr2bl w:val="nil"/>
            </w:tcBorders>
            <w:noWrap w:val="0"/>
            <w:vAlign w:val="center"/>
          </w:tcPr>
          <w:p w14:paraId="4CDAF35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1、每班作业前进行针对性的技术交底</w:t>
            </w:r>
          </w:p>
          <w:p w14:paraId="5765AF8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2、顶升时该道工序由班长负责检查，确认无误后方可进行下道工序操作。</w:t>
            </w:r>
          </w:p>
          <w:p w14:paraId="424B4D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3、设备安全员全程旁站监督。</w:t>
            </w:r>
          </w:p>
        </w:tc>
      </w:tr>
      <w:tr w14:paraId="6E0696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64E4F2D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6" w:type="dxa"/>
            <w:tcBorders>
              <w:tl2br w:val="nil"/>
              <w:tr2bl w:val="nil"/>
            </w:tcBorders>
            <w:noWrap w:val="0"/>
            <w:vAlign w:val="center"/>
          </w:tcPr>
          <w:p w14:paraId="71D22F1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塔机下支座与套架、标准节“四角”连接是否正确</w:t>
            </w:r>
          </w:p>
        </w:tc>
        <w:tc>
          <w:tcPr>
            <w:tcW w:w="1084" w:type="dxa"/>
            <w:tcBorders>
              <w:tl2br w:val="nil"/>
              <w:tr2bl w:val="nil"/>
            </w:tcBorders>
            <w:noWrap w:val="0"/>
            <w:vAlign w:val="center"/>
          </w:tcPr>
          <w:p w14:paraId="17BFA49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0723D5B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continue"/>
            <w:tcBorders>
              <w:tl2br w:val="nil"/>
              <w:tr2bl w:val="nil"/>
            </w:tcBorders>
            <w:noWrap w:val="0"/>
            <w:vAlign w:val="center"/>
          </w:tcPr>
          <w:p w14:paraId="23841684">
            <w:pPr>
              <w:spacing w:line="240" w:lineRule="auto"/>
              <w:ind w:firstLine="0" w:firstLineChars="0"/>
              <w:rPr>
                <w:rFonts w:hint="eastAsia" w:ascii="宋体" w:hAnsi="宋体" w:eastAsia="宋体" w:cs="宋体"/>
                <w:color w:val="auto"/>
                <w:sz w:val="21"/>
                <w:szCs w:val="21"/>
              </w:rPr>
            </w:pPr>
          </w:p>
        </w:tc>
        <w:tc>
          <w:tcPr>
            <w:tcW w:w="2263" w:type="dxa"/>
            <w:tcBorders>
              <w:tl2br w:val="nil"/>
              <w:tr2bl w:val="nil"/>
            </w:tcBorders>
            <w:noWrap w:val="0"/>
            <w:vAlign w:val="center"/>
          </w:tcPr>
          <w:p w14:paraId="5E2E820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1、下支座与套架、标准节四角主弦杆连接销轴、开口销数量，安装质量。</w:t>
            </w:r>
          </w:p>
          <w:p w14:paraId="13A18F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2、下支座与标准节主弦杆接触状况</w:t>
            </w:r>
          </w:p>
        </w:tc>
        <w:tc>
          <w:tcPr>
            <w:tcW w:w="2059" w:type="dxa"/>
            <w:tcBorders>
              <w:tl2br w:val="nil"/>
              <w:tr2bl w:val="nil"/>
            </w:tcBorders>
            <w:noWrap w:val="0"/>
            <w:vAlign w:val="center"/>
          </w:tcPr>
          <w:p w14:paraId="48C75E1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1、作业前进行技术交底</w:t>
            </w:r>
          </w:p>
          <w:p w14:paraId="41D246F1">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2、顶升作业后组织相关部门进行验收。</w:t>
            </w:r>
          </w:p>
        </w:tc>
      </w:tr>
    </w:tbl>
    <w:p w14:paraId="0D55F0FE">
      <w:pPr>
        <w:rPr>
          <w:color w:val="auto"/>
        </w:rPr>
      </w:pPr>
    </w:p>
    <w:p w14:paraId="11124D5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1" w:name="_Toc120299251"/>
      <w:bookmarkStart w:id="192" w:name="_Toc32082"/>
      <w:r>
        <w:rPr>
          <w:rFonts w:hint="eastAsia" w:ascii="宋体" w:hAnsi="宋体" w:eastAsia="宋体" w:cs="Times New Roman"/>
          <w:color w:val="auto"/>
          <w:lang w:val="en-US" w:eastAsia="zh-CN"/>
        </w:rPr>
        <w:t>6.4.8起重作业安全技术措施</w:t>
      </w:r>
      <w:bookmarkEnd w:id="190"/>
      <w:bookmarkEnd w:id="191"/>
      <w:bookmarkEnd w:id="192"/>
    </w:p>
    <w:p w14:paraId="06F34B87">
      <w:pPr>
        <w:ind w:firstLine="480"/>
        <w:rPr>
          <w:color w:val="auto"/>
        </w:rPr>
      </w:pPr>
      <w:r>
        <w:rPr>
          <w:rFonts w:hint="eastAsia"/>
          <w:color w:val="auto"/>
        </w:rPr>
        <w:t>（1）吊装前进行地基承载力试验，确保地基承载力合格吊装；有强风禁止吊装，防止起重机械发生倾覆。</w:t>
      </w:r>
    </w:p>
    <w:p w14:paraId="3ED4436D">
      <w:pPr>
        <w:ind w:firstLine="480"/>
        <w:rPr>
          <w:color w:val="auto"/>
        </w:rPr>
      </w:pPr>
      <w:r>
        <w:rPr>
          <w:rFonts w:hint="eastAsia"/>
          <w:color w:val="auto"/>
        </w:rPr>
        <w:t>（2）吊装作业设隔离区并安放安全警示标志，设专职安全员防护及指挥交通，防止闲杂人员入内。</w:t>
      </w:r>
    </w:p>
    <w:p w14:paraId="40AE5C84">
      <w:pPr>
        <w:ind w:firstLine="480"/>
        <w:rPr>
          <w:color w:val="auto"/>
        </w:rPr>
      </w:pPr>
      <w:r>
        <w:rPr>
          <w:rFonts w:hint="eastAsia"/>
          <w:color w:val="auto"/>
        </w:rPr>
        <w:t>（3）必须持证作业，熟知吊装方案、指挥信号、安全技术要求及起重机械的操作。</w:t>
      </w:r>
    </w:p>
    <w:p w14:paraId="7050C6CB">
      <w:pPr>
        <w:ind w:firstLine="480"/>
        <w:rPr>
          <w:color w:val="auto"/>
        </w:rPr>
      </w:pPr>
      <w:r>
        <w:rPr>
          <w:rFonts w:hint="eastAsia"/>
          <w:color w:val="auto"/>
        </w:rPr>
        <w:t>（4）起吊前要认真检查起重机具、工具是否合格、牢靠，确保安全施工。</w:t>
      </w:r>
    </w:p>
    <w:p w14:paraId="118348DC">
      <w:pPr>
        <w:ind w:firstLine="480"/>
        <w:rPr>
          <w:color w:val="auto"/>
        </w:rPr>
      </w:pPr>
      <w:r>
        <w:rPr>
          <w:rFonts w:hint="eastAsia"/>
          <w:color w:val="auto"/>
        </w:rPr>
        <w:t>（5）坚持“十不吊”原则，有权拒绝违章指令。</w:t>
      </w:r>
    </w:p>
    <w:p w14:paraId="373740FD">
      <w:pPr>
        <w:ind w:firstLine="480"/>
        <w:rPr>
          <w:color w:val="auto"/>
        </w:rPr>
      </w:pPr>
      <w:r>
        <w:rPr>
          <w:rFonts w:hint="eastAsia"/>
          <w:color w:val="auto"/>
        </w:rPr>
        <w:t>（6）起吊前，必须正确掌握吊件重量，不允许起重机具超载使用。</w:t>
      </w:r>
    </w:p>
    <w:p w14:paraId="02B3C2C9">
      <w:pPr>
        <w:ind w:firstLine="480"/>
        <w:rPr>
          <w:color w:val="auto"/>
        </w:rPr>
      </w:pPr>
      <w:r>
        <w:rPr>
          <w:rFonts w:hint="eastAsia"/>
          <w:color w:val="auto"/>
        </w:rPr>
        <w:t>（7）立式设备的吊装，应捆绑在重物的重心以上，如需捆绑在重心以下时，必须采取有效的安全措施，并经有关技术负责人批准。</w:t>
      </w:r>
    </w:p>
    <w:p w14:paraId="0771B651">
      <w:pPr>
        <w:ind w:firstLine="480"/>
        <w:rPr>
          <w:color w:val="auto"/>
        </w:rPr>
      </w:pPr>
      <w:r>
        <w:rPr>
          <w:rFonts w:hint="eastAsia"/>
          <w:color w:val="auto"/>
        </w:rPr>
        <w:t>（8）起吊物不宜在空中长时间停留，若须停留应采取可靠的安全措施。</w:t>
      </w:r>
    </w:p>
    <w:p w14:paraId="1BDF7D65">
      <w:pPr>
        <w:ind w:firstLine="480"/>
        <w:rPr>
          <w:color w:val="auto"/>
        </w:rPr>
      </w:pPr>
      <w:r>
        <w:rPr>
          <w:rFonts w:hint="eastAsia"/>
          <w:color w:val="auto"/>
        </w:rPr>
        <w:t>（9）信号指挥人员要站在得当，旗语（或手势）明显准确，哨声清晰洪亮，与旗语（手势）配合协调一致。上下信号密切联系，应当清楚注视吊物起、运转、就位的全过程。</w:t>
      </w:r>
    </w:p>
    <w:p w14:paraId="104CC1AF">
      <w:pPr>
        <w:ind w:firstLine="480"/>
        <w:rPr>
          <w:color w:val="auto"/>
        </w:rPr>
      </w:pPr>
      <w:r>
        <w:rPr>
          <w:rFonts w:hint="eastAsia"/>
          <w:color w:val="auto"/>
        </w:rPr>
        <w:t>（10）信号指挥者应当站在有利于保护自身安全，又能正常指挥作业的有效位置。</w:t>
      </w:r>
    </w:p>
    <w:p w14:paraId="431A42A9">
      <w:pPr>
        <w:ind w:firstLine="480"/>
        <w:rPr>
          <w:color w:val="auto"/>
        </w:rPr>
      </w:pPr>
      <w:r>
        <w:rPr>
          <w:rFonts w:hint="eastAsia"/>
          <w:color w:val="auto"/>
        </w:rPr>
        <w:t>（11）吊物起吊20~30cm高度时，应停钩检查，待妥当后再行吊运。</w:t>
      </w:r>
    </w:p>
    <w:p w14:paraId="37944F3A">
      <w:pPr>
        <w:ind w:firstLine="480"/>
        <w:rPr>
          <w:color w:val="auto"/>
        </w:rPr>
      </w:pPr>
      <w:r>
        <w:rPr>
          <w:rFonts w:hint="eastAsia"/>
          <w:color w:val="auto"/>
        </w:rPr>
        <w:t>（12）吊物悬空运转后空发异常时，指挥者应迅速视情况判断，紧急通告危险部位人员撤退。指挥吊车司机将吊物慢慢放下，排除险情后，再行起吊。</w:t>
      </w:r>
    </w:p>
    <w:p w14:paraId="0456B640">
      <w:pPr>
        <w:ind w:firstLine="480"/>
        <w:rPr>
          <w:color w:val="auto"/>
        </w:rPr>
      </w:pPr>
      <w:r>
        <w:rPr>
          <w:rFonts w:hint="eastAsia"/>
          <w:color w:val="auto"/>
        </w:rPr>
        <w:t>（13）吊运中若突然停电或机械故障，重物不准长时间悬挂高空，应想办法将重物落放到稳妥的位置并垫好。</w:t>
      </w:r>
    </w:p>
    <w:p w14:paraId="389627A2">
      <w:pPr>
        <w:ind w:firstLine="480"/>
        <w:rPr>
          <w:color w:val="auto"/>
        </w:rPr>
      </w:pPr>
      <w:r>
        <w:rPr>
          <w:rFonts w:hint="eastAsia"/>
          <w:color w:val="auto"/>
        </w:rPr>
        <w:t>（14）吊物时，严禁超低空从人的头顶位置越过，要保证吊物与人的头顶最小的安全距离不小于1m。</w:t>
      </w:r>
    </w:p>
    <w:p w14:paraId="66305914">
      <w:pPr>
        <w:ind w:firstLine="480"/>
        <w:rPr>
          <w:color w:val="auto"/>
        </w:rPr>
      </w:pPr>
      <w:r>
        <w:rPr>
          <w:rFonts w:hint="eastAsia"/>
          <w:color w:val="auto"/>
        </w:rPr>
        <w:t>（15）吊物时，确保起重机和相邻建筑物的安全距离，安全距离不小于1.5m。</w:t>
      </w:r>
    </w:p>
    <w:p w14:paraId="720AA4F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3" w:name="_Toc1087399730"/>
      <w:bookmarkStart w:id="194" w:name="_Toc10885"/>
      <w:bookmarkStart w:id="195" w:name="_Toc17383809"/>
      <w:r>
        <w:rPr>
          <w:rFonts w:hint="eastAsia" w:ascii="宋体" w:hAnsi="宋体" w:eastAsia="宋体" w:cs="Times New Roman"/>
          <w:color w:val="auto"/>
          <w:lang w:val="en-US" w:eastAsia="zh-CN"/>
        </w:rPr>
        <w:t>6.4.9施工用电安全技术措施</w:t>
      </w:r>
      <w:bookmarkEnd w:id="193"/>
      <w:bookmarkEnd w:id="194"/>
      <w:bookmarkEnd w:id="195"/>
    </w:p>
    <w:p w14:paraId="71116F26">
      <w:pPr>
        <w:ind w:firstLine="480"/>
        <w:rPr>
          <w:color w:val="auto"/>
        </w:rPr>
      </w:pPr>
      <w:r>
        <w:rPr>
          <w:rFonts w:hint="eastAsia"/>
          <w:color w:val="auto"/>
        </w:rPr>
        <w:t>（1）施工现场配电必须设置保护接零系统，实行三相五线制，杜绝疏漏。所有接零接地处必须保证可靠的电气连接。保护线PE必须采用绿/黄双色线。严格与相线、工作零线相区别，严禁混用。</w:t>
      </w:r>
    </w:p>
    <w:p w14:paraId="2EBEDD9C">
      <w:pPr>
        <w:ind w:firstLine="480"/>
        <w:rPr>
          <w:color w:val="auto"/>
        </w:rPr>
      </w:pPr>
      <w:r>
        <w:rPr>
          <w:rFonts w:hint="eastAsia"/>
          <w:color w:val="auto"/>
        </w:rPr>
        <w:t>（2）设置总配电箱，门向外开，配锁。</w:t>
      </w:r>
    </w:p>
    <w:p w14:paraId="193CA162">
      <w:pPr>
        <w:ind w:firstLine="480"/>
        <w:rPr>
          <w:color w:val="auto"/>
        </w:rPr>
      </w:pPr>
      <w:r>
        <w:rPr>
          <w:rFonts w:hint="eastAsia"/>
          <w:color w:val="auto"/>
        </w:rPr>
        <w:t>（3）配电箱、开关箱应有防雨措施，安装位置周围不得有杂物，便于操作。</w:t>
      </w:r>
    </w:p>
    <w:p w14:paraId="4D9C7EF3">
      <w:pPr>
        <w:ind w:firstLine="480"/>
        <w:rPr>
          <w:color w:val="auto"/>
        </w:rPr>
      </w:pPr>
      <w:r>
        <w:rPr>
          <w:rFonts w:hint="eastAsia"/>
          <w:color w:val="auto"/>
        </w:rPr>
        <w:t>（4）由总配电箱引至工地各分配电箱电源回路，采用BV铜芯导线架空或套钢管埋地敷设。</w:t>
      </w:r>
    </w:p>
    <w:p w14:paraId="7FCCC63B">
      <w:pPr>
        <w:ind w:firstLine="480"/>
        <w:rPr>
          <w:color w:val="auto"/>
        </w:rPr>
      </w:pPr>
      <w:r>
        <w:rPr>
          <w:rFonts w:hint="eastAsia"/>
          <w:color w:val="auto"/>
        </w:rPr>
        <w:t>（5）大风或雨后启用电器前，要由专业人员检查，电路电闸要严格防潮防雨</w:t>
      </w:r>
    </w:p>
    <w:p w14:paraId="37F7F22B">
      <w:pPr>
        <w:ind w:firstLine="480"/>
        <w:rPr>
          <w:color w:val="auto"/>
        </w:rPr>
      </w:pPr>
      <w:r>
        <w:rPr>
          <w:rFonts w:hint="eastAsia"/>
          <w:color w:val="auto"/>
        </w:rPr>
        <w:t>（6）配电箱、开关箱应统一编号，喷上危险标志和施工单位名称。</w:t>
      </w:r>
    </w:p>
    <w:p w14:paraId="389213FE">
      <w:pPr>
        <w:ind w:firstLine="480"/>
        <w:rPr>
          <w:color w:val="auto"/>
        </w:rPr>
      </w:pPr>
      <w:r>
        <w:rPr>
          <w:rFonts w:hint="eastAsia"/>
          <w:color w:val="auto"/>
        </w:rPr>
        <w:t>（7）作防雷接地的电气设备，必须同时作重复接地，同一台电气设备的重复接地与防雷接地可使用并联于基础防雷接地网，所有接地电阻值≤4Ω。</w:t>
      </w:r>
    </w:p>
    <w:p w14:paraId="22291060">
      <w:pPr>
        <w:ind w:firstLine="480"/>
        <w:rPr>
          <w:color w:val="auto"/>
        </w:rPr>
      </w:pPr>
      <w:r>
        <w:rPr>
          <w:rFonts w:hint="eastAsia"/>
          <w:color w:val="auto"/>
        </w:rPr>
        <w:t>（8）保护零线不得装设开关或熔断器,保护零线的截面应不小于工作零线的截面。同时必须满足机械强度要求。</w:t>
      </w:r>
    </w:p>
    <w:p w14:paraId="4E3B6D7D">
      <w:pPr>
        <w:ind w:firstLine="480"/>
        <w:rPr>
          <w:color w:val="auto"/>
        </w:rPr>
      </w:pPr>
      <w:r>
        <w:rPr>
          <w:rFonts w:hint="eastAsia"/>
          <w:color w:val="auto"/>
        </w:rPr>
        <w:t>（9）每台用电设备应有各自专用的开关箱，必须实行“一机、一闸、一漏”制（含插座）。</w:t>
      </w:r>
    </w:p>
    <w:p w14:paraId="3FC192EB">
      <w:pPr>
        <w:ind w:firstLine="480"/>
        <w:rPr>
          <w:color w:val="auto"/>
        </w:rPr>
      </w:pPr>
      <w:r>
        <w:rPr>
          <w:rFonts w:hint="eastAsia"/>
          <w:color w:val="auto"/>
        </w:rPr>
        <w:t>（10）配电箱、开关箱的进线和出线口应设在箱体的下底面，严禁设在箱体的上顶面、侧面、后面或门处。移动式配电箱的进、出线必须采用橡胶套绝缘电缆。</w:t>
      </w:r>
    </w:p>
    <w:p w14:paraId="1DBCEBDC">
      <w:pPr>
        <w:ind w:firstLine="480"/>
        <w:rPr>
          <w:color w:val="auto"/>
        </w:rPr>
      </w:pPr>
      <w:r>
        <w:rPr>
          <w:rFonts w:hint="eastAsia"/>
          <w:color w:val="auto"/>
        </w:rPr>
        <w:t>（11）所有配电箱门应配锁、配电箱和开关箱应由现场电工专人管理。</w:t>
      </w:r>
    </w:p>
    <w:p w14:paraId="31208478">
      <w:pPr>
        <w:ind w:firstLine="480"/>
        <w:rPr>
          <w:color w:val="auto"/>
        </w:rPr>
      </w:pPr>
      <w:r>
        <w:rPr>
          <w:rFonts w:hint="eastAsia"/>
          <w:color w:val="auto"/>
        </w:rPr>
        <w:t>（12）所有配电箱、开关箱应每天检查一次，维修人员必须是专业电工，检查维修时必须按规定穿戴绝缘鞋、手套，必须使用电工绝缘工具。</w:t>
      </w:r>
    </w:p>
    <w:p w14:paraId="365EE82B">
      <w:pPr>
        <w:ind w:firstLine="480"/>
        <w:rPr>
          <w:color w:val="auto"/>
        </w:rPr>
      </w:pPr>
      <w:r>
        <w:rPr>
          <w:rFonts w:hint="eastAsia"/>
          <w:color w:val="auto"/>
        </w:rPr>
        <w:t>（13）手持式电动工具的外壳、手柄、负荷线，插头开关等，必须完好无损，使用前必须作空载检查，运转正常方可使用。</w:t>
      </w:r>
    </w:p>
    <w:p w14:paraId="79D3EE14">
      <w:pPr>
        <w:ind w:firstLine="480"/>
        <w:rPr>
          <w:color w:val="auto"/>
        </w:rPr>
      </w:pPr>
      <w:r>
        <w:rPr>
          <w:rFonts w:hint="eastAsia"/>
          <w:color w:val="auto"/>
        </w:rPr>
        <w:t>（14）电气设备所用保险丝的额定电流应与其负荷容量相适应，禁止用其它金属代替保险丝。</w:t>
      </w:r>
    </w:p>
    <w:p w14:paraId="08B3070C">
      <w:pPr>
        <w:ind w:firstLine="480"/>
        <w:rPr>
          <w:color w:val="auto"/>
        </w:rPr>
      </w:pPr>
      <w:r>
        <w:rPr>
          <w:rFonts w:hint="eastAsia"/>
          <w:color w:val="auto"/>
        </w:rPr>
        <w:t>（15）在潮湿和易触及带电体场所的照明电源不得大于24伏，在特别潮湿的场所，导电良好的地面工作的电源电压不得大于12伏。</w:t>
      </w:r>
    </w:p>
    <w:p w14:paraId="3EC4746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6" w:name="_Toc17383810"/>
      <w:bookmarkStart w:id="197" w:name="_Toc9450"/>
      <w:bookmarkStart w:id="198" w:name="_Toc841426140"/>
      <w:r>
        <w:rPr>
          <w:rFonts w:hint="eastAsia" w:ascii="宋体" w:hAnsi="宋体" w:eastAsia="宋体" w:cs="Times New Roman"/>
          <w:color w:val="auto"/>
          <w:lang w:val="en-US" w:eastAsia="zh-CN"/>
        </w:rPr>
        <w:t>6.4.10现场防火技术措施</w:t>
      </w:r>
      <w:bookmarkEnd w:id="196"/>
      <w:bookmarkEnd w:id="197"/>
      <w:bookmarkEnd w:id="198"/>
    </w:p>
    <w:p w14:paraId="6394E29B">
      <w:pPr>
        <w:ind w:firstLine="480"/>
        <w:rPr>
          <w:color w:val="auto"/>
        </w:rPr>
      </w:pPr>
      <w:r>
        <w:rPr>
          <w:rFonts w:hint="eastAsia"/>
          <w:color w:val="auto"/>
        </w:rPr>
        <w:t>（1）根据施工现场实际情况，配置一定数量的干粉灭火器，消防水龙头。</w:t>
      </w:r>
    </w:p>
    <w:p w14:paraId="03EEB2F4">
      <w:pPr>
        <w:ind w:firstLine="480"/>
        <w:rPr>
          <w:color w:val="auto"/>
        </w:rPr>
      </w:pPr>
      <w:r>
        <w:rPr>
          <w:rFonts w:hint="eastAsia"/>
          <w:color w:val="auto"/>
        </w:rPr>
        <w:t>（2）对油库、仓库、配电箱要重点防治，在配置消防设施外，还应安装防爆灯、静电保护开关；严禁烟火，安排专人负责，保持清洁卫生。</w:t>
      </w:r>
    </w:p>
    <w:p w14:paraId="5B1278AA">
      <w:pPr>
        <w:ind w:firstLine="480"/>
        <w:rPr>
          <w:color w:val="auto"/>
        </w:rPr>
      </w:pPr>
      <w:r>
        <w:rPr>
          <w:rFonts w:hint="eastAsia"/>
          <w:color w:val="auto"/>
        </w:rPr>
        <w:t>（3）加强对氧气、乙炔的管理和使用，按规定氧气、乙炔要分开摆放（保证5米以上的距离）；在夏季要搭设遮阳棚，防止氧气、乙炔暴晒发生事故。</w:t>
      </w:r>
    </w:p>
    <w:p w14:paraId="7DEDFDEB">
      <w:pPr>
        <w:ind w:firstLine="480"/>
        <w:rPr>
          <w:color w:val="auto"/>
        </w:rPr>
      </w:pPr>
      <w:r>
        <w:rPr>
          <w:rFonts w:hint="eastAsia"/>
          <w:color w:val="auto"/>
        </w:rPr>
        <w:t>（4）施工现场，严禁乱拉乱搭电线和随意安装用电插座。</w:t>
      </w:r>
    </w:p>
    <w:p w14:paraId="2EAA9C44">
      <w:pPr>
        <w:ind w:firstLine="480"/>
        <w:rPr>
          <w:color w:val="auto"/>
        </w:rPr>
      </w:pPr>
      <w:r>
        <w:rPr>
          <w:rFonts w:hint="eastAsia"/>
          <w:color w:val="auto"/>
        </w:rPr>
        <w:t>（5）电线线路破旧要及时更换，严禁用铜线、铁丝代替保险丝，严禁超负荷用电。</w:t>
      </w:r>
    </w:p>
    <w:p w14:paraId="29D99C2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9" w:name="_Toc669319485"/>
      <w:bookmarkStart w:id="200" w:name="_Toc26223"/>
      <w:bookmarkStart w:id="201" w:name="_Toc17383811"/>
      <w:r>
        <w:rPr>
          <w:rFonts w:hint="eastAsia" w:ascii="宋体" w:hAnsi="宋体" w:eastAsia="宋体" w:cs="Times New Roman"/>
          <w:color w:val="auto"/>
          <w:lang w:val="en-US" w:eastAsia="zh-CN"/>
        </w:rPr>
        <w:t>6.4.11高空作业安全技术措施</w:t>
      </w:r>
      <w:bookmarkEnd w:id="199"/>
      <w:bookmarkEnd w:id="200"/>
      <w:bookmarkEnd w:id="201"/>
    </w:p>
    <w:p w14:paraId="25180D36">
      <w:pPr>
        <w:ind w:firstLine="480"/>
        <w:rPr>
          <w:color w:val="auto"/>
        </w:rPr>
      </w:pPr>
      <w:r>
        <w:rPr>
          <w:rFonts w:hint="eastAsia"/>
          <w:color w:val="auto"/>
        </w:rPr>
        <w:t>（1）高空作业时，应使用安全带或安全绳拴牢在固定物上，如工作流动性较大，不便于使用安全带时，需用外脚手架封檐及安全网等设备。</w:t>
      </w:r>
    </w:p>
    <w:p w14:paraId="1FA681B5">
      <w:pPr>
        <w:ind w:firstLine="480"/>
        <w:rPr>
          <w:color w:val="auto"/>
        </w:rPr>
      </w:pPr>
      <w:r>
        <w:rPr>
          <w:rFonts w:hint="eastAsia"/>
          <w:color w:val="auto"/>
        </w:rPr>
        <w:t>(2）使用安全带前，必须仔细检查安全带是否完好，带环是否牢固，发现有损坏腐蚀情形，不得使用。</w:t>
      </w:r>
    </w:p>
    <w:p w14:paraId="3A79660B">
      <w:pPr>
        <w:ind w:firstLine="480"/>
        <w:rPr>
          <w:color w:val="auto"/>
        </w:rPr>
      </w:pPr>
      <w:r>
        <w:rPr>
          <w:rFonts w:hint="eastAsia"/>
          <w:color w:val="auto"/>
        </w:rPr>
        <w:t>(3）高空作业不准穿硬底鞋，衣服袖口、裤脚口要扎紧。</w:t>
      </w:r>
    </w:p>
    <w:p w14:paraId="06B15B06">
      <w:pPr>
        <w:ind w:firstLine="480"/>
        <w:rPr>
          <w:color w:val="auto"/>
        </w:rPr>
      </w:pPr>
      <w:r>
        <w:rPr>
          <w:rFonts w:hint="eastAsia"/>
          <w:color w:val="auto"/>
        </w:rPr>
        <w:t>(4）有雷雨、大雨、大雾和风力在六级以上时，均不可高空作业。</w:t>
      </w:r>
    </w:p>
    <w:p w14:paraId="0B045E08">
      <w:pPr>
        <w:ind w:firstLine="480"/>
        <w:rPr>
          <w:color w:val="auto"/>
        </w:rPr>
      </w:pPr>
      <w:r>
        <w:rPr>
          <w:rFonts w:hint="eastAsia"/>
          <w:color w:val="auto"/>
        </w:rPr>
        <w:t>(5）高空作业的工具，应仔细检查，如发现绳索有断痕，工具柄松脱，应及时修理或更换，严禁高空作业向下掉落物体。</w:t>
      </w:r>
    </w:p>
    <w:p w14:paraId="0A8420A3">
      <w:pPr>
        <w:ind w:firstLine="480"/>
        <w:rPr>
          <w:color w:val="auto"/>
        </w:rPr>
      </w:pPr>
      <w:r>
        <w:rPr>
          <w:rFonts w:hint="eastAsia"/>
          <w:color w:val="auto"/>
        </w:rPr>
        <w:t xml:space="preserve">(6）小型工具要放入工具袋内，大型工具用完后，应立刻放到地面；递送工具、机件和材料等不准抛掷，下方应设置警戒线，安排专人警戒，防止意外发生。 </w:t>
      </w:r>
    </w:p>
    <w:p w14:paraId="2F7E4318">
      <w:pPr>
        <w:ind w:firstLine="480"/>
        <w:rPr>
          <w:color w:val="auto"/>
        </w:rPr>
      </w:pPr>
      <w:r>
        <w:rPr>
          <w:rFonts w:hint="eastAsia"/>
          <w:color w:val="auto"/>
        </w:rPr>
        <w:t>(7）高空作业的临边要设置防护栏和安全网，确保施工人员的作业安全。</w:t>
      </w:r>
    </w:p>
    <w:p w14:paraId="5D31FD84">
      <w:pPr>
        <w:ind w:firstLine="480"/>
        <w:rPr>
          <w:color w:val="auto"/>
        </w:rPr>
      </w:pPr>
      <w:r>
        <w:rPr>
          <w:rFonts w:hint="eastAsia"/>
          <w:color w:val="auto"/>
        </w:rPr>
        <w:t>(8）夜间作业必须设置足够的照明设施。</w:t>
      </w:r>
    </w:p>
    <w:p w14:paraId="38FE071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2" w:name="_Toc11183"/>
      <w:bookmarkStart w:id="203" w:name="_Toc733241409"/>
      <w:bookmarkStart w:id="204" w:name="_Toc17383813"/>
      <w:r>
        <w:rPr>
          <w:rFonts w:hint="eastAsia" w:ascii="宋体" w:hAnsi="宋体" w:eastAsia="宋体" w:cs="Times New Roman"/>
          <w:color w:val="auto"/>
          <w:lang w:val="en-US" w:eastAsia="zh-CN"/>
        </w:rPr>
        <w:t>6.4.12防强风安全技术措施</w:t>
      </w:r>
      <w:bookmarkEnd w:id="202"/>
      <w:bookmarkEnd w:id="203"/>
      <w:bookmarkEnd w:id="204"/>
    </w:p>
    <w:p w14:paraId="0507B16B">
      <w:pPr>
        <w:keepNext w:val="0"/>
        <w:keepLines w:val="0"/>
        <w:pageBreakBefore w:val="0"/>
        <w:widowControl w:val="0"/>
        <w:kinsoku/>
        <w:wordWrap/>
        <w:overflowPunct/>
        <w:topLinePunct w:val="0"/>
        <w:bidi w:val="0"/>
        <w:snapToGri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安全防风是一项非常重要的日常工作，必须设有专人监督和检查。</w:t>
      </w:r>
      <w:r>
        <w:rPr>
          <w:rFonts w:hint="eastAsia" w:ascii="宋体" w:hAnsi="宋体" w:eastAsia="宋体" w:cs="宋体"/>
          <w:color w:val="auto"/>
          <w:lang w:eastAsia="zh-CN"/>
        </w:rPr>
        <w:t>现场管理员和操作人员</w:t>
      </w:r>
      <w:r>
        <w:rPr>
          <w:rFonts w:hint="eastAsia" w:ascii="宋体" w:hAnsi="宋体" w:eastAsia="宋体" w:cs="宋体"/>
          <w:color w:val="auto"/>
        </w:rPr>
        <w:t>必须了解</w:t>
      </w:r>
      <w:r>
        <w:rPr>
          <w:rFonts w:hint="eastAsia" w:ascii="宋体" w:hAnsi="宋体" w:eastAsia="宋体" w:cs="宋体"/>
          <w:color w:val="auto"/>
          <w:lang w:eastAsia="zh-CN"/>
        </w:rPr>
        <w:t>塔机</w:t>
      </w:r>
      <w:r>
        <w:rPr>
          <w:rFonts w:hint="eastAsia" w:ascii="宋体" w:hAnsi="宋体" w:eastAsia="宋体" w:cs="宋体"/>
          <w:color w:val="auto"/>
        </w:rPr>
        <w:t>的构造和防风操作要点，严格执行操作规程。</w:t>
      </w:r>
    </w:p>
    <w:p w14:paraId="47BC0257">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（1）塔机安装拆除施工过程中防</w:t>
      </w:r>
      <w:r>
        <w:rPr>
          <w:rFonts w:hint="default" w:ascii="宋体" w:hAnsi="宋体" w:cs="宋体"/>
          <w:color w:val="auto"/>
          <w:lang w:eastAsia="zh-CN"/>
        </w:rPr>
        <w:t>强</w:t>
      </w:r>
      <w:r>
        <w:rPr>
          <w:rFonts w:hint="eastAsia" w:ascii="宋体" w:hAnsi="宋体" w:eastAsia="宋体" w:cs="宋体"/>
          <w:color w:val="auto"/>
          <w:lang w:val="en-US" w:eastAsia="zh-CN"/>
        </w:rPr>
        <w:t>风措施</w:t>
      </w:r>
    </w:p>
    <w:p w14:paraId="08C6E15D">
      <w:pPr>
        <w:pStyle w:val="32"/>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当塔机安装拆除施工过程中接到</w:t>
      </w:r>
      <w:r>
        <w:rPr>
          <w:rFonts w:hint="default" w:hAnsi="宋体" w:cs="宋体"/>
          <w:color w:val="auto"/>
          <w:lang w:eastAsia="zh-CN"/>
        </w:rPr>
        <w:t>强风</w:t>
      </w:r>
      <w:r>
        <w:rPr>
          <w:rFonts w:hint="eastAsia" w:ascii="宋体" w:hAnsi="宋体" w:eastAsia="宋体" w:cs="宋体"/>
          <w:color w:val="auto"/>
          <w:lang w:val="en-US" w:eastAsia="zh-CN"/>
        </w:rPr>
        <w:t>预报后，如预报风力达到10级（24.5-28.5m/s）时，应提前2天作好防护工作，</w:t>
      </w:r>
      <w:r>
        <w:rPr>
          <w:rFonts w:hint="eastAsia" w:ascii="宋体" w:hAnsi="宋体" w:cs="宋体"/>
          <w:color w:val="auto"/>
          <w:lang w:val="en-US" w:eastAsia="zh-CN"/>
        </w:rPr>
        <w:t>具体措施是：</w:t>
      </w:r>
      <w:r>
        <w:rPr>
          <w:rFonts w:hint="eastAsia" w:ascii="宋体" w:hAnsi="宋体" w:eastAsia="宋体" w:cs="宋体"/>
          <w:color w:val="auto"/>
          <w:lang w:val="en-US" w:eastAsia="zh-CN"/>
        </w:rPr>
        <w:t>首先检查塔机的所有连接构件</w:t>
      </w:r>
      <w:r>
        <w:rPr>
          <w:rFonts w:hint="eastAsia" w:ascii="宋体" w:hAnsi="宋体" w:cs="宋体"/>
          <w:color w:val="auto"/>
          <w:lang w:val="en-US" w:eastAsia="zh-CN"/>
        </w:rPr>
        <w:t>连接</w:t>
      </w:r>
      <w:r>
        <w:rPr>
          <w:rFonts w:hint="eastAsia" w:ascii="宋体" w:hAnsi="宋体" w:eastAsia="宋体" w:cs="宋体"/>
          <w:color w:val="auto"/>
          <w:lang w:val="en-US" w:eastAsia="zh-CN"/>
        </w:rPr>
        <w:t>等</w:t>
      </w:r>
      <w:r>
        <w:rPr>
          <w:rFonts w:hint="eastAsia" w:ascii="宋体" w:hAnsi="宋体" w:cs="宋体"/>
          <w:color w:val="auto"/>
          <w:lang w:val="en-US" w:eastAsia="zh-CN"/>
        </w:rPr>
        <w:t>必须</w:t>
      </w:r>
      <w:r>
        <w:rPr>
          <w:rFonts w:hint="eastAsia" w:ascii="宋体" w:hAnsi="宋体" w:eastAsia="宋体" w:cs="宋体"/>
          <w:color w:val="auto"/>
          <w:lang w:val="en-US" w:eastAsia="zh-CN"/>
        </w:rPr>
        <w:t>完善，连接销、连接螺栓等完善，停止任何</w:t>
      </w:r>
      <w:r>
        <w:rPr>
          <w:rFonts w:hint="eastAsia" w:hAnsi="宋体" w:cs="宋体"/>
          <w:color w:val="auto"/>
          <w:lang w:val="en-US" w:eastAsia="zh-CN"/>
        </w:rPr>
        <w:t>拆除</w:t>
      </w:r>
      <w:r>
        <w:rPr>
          <w:rFonts w:hint="eastAsia" w:ascii="宋体" w:hAnsi="宋体" w:eastAsia="宋体" w:cs="宋体"/>
          <w:color w:val="auto"/>
          <w:lang w:val="en-US" w:eastAsia="zh-CN"/>
        </w:rPr>
        <w:t>、吊装等施工，</w:t>
      </w:r>
      <w:r>
        <w:rPr>
          <w:rFonts w:hint="eastAsia" w:ascii="宋体" w:hAnsi="宋体" w:cs="宋体"/>
          <w:color w:val="auto"/>
          <w:lang w:val="en-US" w:eastAsia="zh-CN"/>
        </w:rPr>
        <w:t>然后</w:t>
      </w:r>
      <w:r>
        <w:rPr>
          <w:rFonts w:hint="eastAsia" w:ascii="宋体" w:hAnsi="宋体" w:eastAsia="宋体" w:cs="宋体"/>
          <w:color w:val="auto"/>
        </w:rPr>
        <w:t>打开回转制动器和制动锁</w:t>
      </w:r>
      <w:r>
        <w:rPr>
          <w:rFonts w:hint="eastAsia" w:ascii="宋体" w:hAnsi="宋体" w:cs="宋体"/>
          <w:color w:val="auto"/>
          <w:lang w:eastAsia="zh-CN"/>
        </w:rPr>
        <w:t>止</w:t>
      </w:r>
      <w:r>
        <w:rPr>
          <w:rFonts w:hint="eastAsia" w:ascii="宋体" w:hAnsi="宋体" w:eastAsia="宋体" w:cs="宋体"/>
          <w:color w:val="auto"/>
        </w:rPr>
        <w:t>装置，使其回转系统处于自由状态</w:t>
      </w:r>
      <w:r>
        <w:rPr>
          <w:rFonts w:hint="eastAsia" w:ascii="宋体" w:hAnsi="宋体" w:cs="宋体"/>
          <w:color w:val="auto"/>
          <w:lang w:val="en-US" w:eastAsia="zh-CN"/>
        </w:rPr>
        <w:t>。</w:t>
      </w:r>
    </w:p>
    <w:p w14:paraId="38F47A04">
      <w:pPr>
        <w:pStyle w:val="32"/>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塔机在安装拆除、顶升加节或者降节施工的过程中，当风力大于</w:t>
      </w:r>
      <w:r>
        <w:rPr>
          <w:rFonts w:hint="eastAsia" w:ascii="宋体" w:hAnsi="宋体" w:cs="宋体"/>
          <w:color w:val="auto"/>
          <w:lang w:val="en-US" w:eastAsia="zh-CN"/>
        </w:rPr>
        <w:t>6</w:t>
      </w:r>
      <w:r>
        <w:rPr>
          <w:rFonts w:hint="eastAsia" w:ascii="宋体" w:hAnsi="宋体" w:eastAsia="宋体" w:cs="宋体"/>
          <w:color w:val="auto"/>
          <w:lang w:val="en-US" w:eastAsia="zh-CN"/>
        </w:rPr>
        <w:t>级（</w:t>
      </w:r>
      <w:r>
        <w:rPr>
          <w:rFonts w:hint="eastAsia" w:ascii="宋体" w:hAnsi="宋体" w:cs="宋体"/>
          <w:color w:val="auto"/>
          <w:lang w:val="en-US" w:eastAsia="zh-CN"/>
        </w:rPr>
        <w:t>10</w:t>
      </w:r>
      <w:r>
        <w:rPr>
          <w:rFonts w:hint="eastAsia" w:ascii="宋体" w:hAnsi="宋体" w:eastAsia="宋体" w:cs="宋体"/>
          <w:color w:val="auto"/>
          <w:lang w:val="en-US"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w:t>
      </w:r>
      <w:r>
        <w:rPr>
          <w:rFonts w:hint="eastAsia" w:ascii="宋体" w:hAnsi="宋体" w:cs="宋体"/>
          <w:color w:val="auto"/>
          <w:lang w:val="en-US" w:eastAsia="zh-CN"/>
        </w:rPr>
        <w:t>13.</w:t>
      </w:r>
      <w:r>
        <w:rPr>
          <w:rFonts w:hint="eastAsia" w:ascii="宋体" w:hAnsi="宋体" w:eastAsia="宋体" w:cs="宋体"/>
          <w:color w:val="auto"/>
          <w:lang w:val="en-US" w:eastAsia="zh-CN"/>
        </w:rPr>
        <w:t>8m/s）时，禁止进行任何的吊装、</w:t>
      </w:r>
      <w:r>
        <w:rPr>
          <w:rFonts w:hint="eastAsia" w:hAnsi="宋体" w:cs="宋体"/>
          <w:color w:val="auto"/>
          <w:lang w:val="en-US" w:eastAsia="zh-CN"/>
        </w:rPr>
        <w:t>拆除</w:t>
      </w:r>
      <w:r>
        <w:rPr>
          <w:rFonts w:hint="eastAsia" w:ascii="宋体" w:hAnsi="宋体" w:eastAsia="宋体" w:cs="宋体"/>
          <w:color w:val="auto"/>
          <w:lang w:val="en-US" w:eastAsia="zh-CN"/>
        </w:rPr>
        <w:t>施工，尤其是顶升加节或者降节施工。</w:t>
      </w:r>
    </w:p>
    <w:p w14:paraId="40B6F45F">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（2）塔机在使用过程中的防风措施</w:t>
      </w:r>
    </w:p>
    <w:p w14:paraId="1D72FB3B">
      <w:pPr>
        <w:ind w:left="0" w:leftChars="0" w:firstLine="480" w:firstLineChars="2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eastAsia" w:ascii="宋体" w:hAnsi="宋体" w:eastAsia="宋体" w:cs="宋体"/>
          <w:color w:val="auto"/>
        </w:rPr>
        <w:t>①</w:t>
      </w:r>
      <w:r>
        <w:rPr>
          <w:rFonts w:hint="eastAsia" w:ascii="宋体" w:hAnsi="宋体" w:eastAsia="宋体" w:cs="宋体"/>
          <w:color w:val="auto"/>
        </w:rPr>
        <w:fldChar w:fldCharType="end"/>
      </w:r>
      <w:r>
        <w:rPr>
          <w:rFonts w:hint="eastAsia" w:ascii="宋体" w:hAnsi="宋体" w:eastAsia="宋体" w:cs="宋体"/>
          <w:color w:val="auto"/>
        </w:rPr>
        <w:t>日常防风</w:t>
      </w:r>
      <w:r>
        <w:rPr>
          <w:rFonts w:hint="eastAsia" w:ascii="宋体" w:hAnsi="宋体" w:eastAsia="宋体" w:cs="宋体"/>
          <w:color w:val="auto"/>
          <w:lang w:eastAsia="zh-CN"/>
        </w:rPr>
        <w:t>。塔机平时停止使用时，应将吊钩上吊装绳取掉、将吊钩起升至最高处、将小车收回至根部、将起重臂旋转至顶升方向（顺桥向、朝岸侧）即可，</w:t>
      </w:r>
      <w:r>
        <w:rPr>
          <w:rFonts w:hint="eastAsia" w:ascii="宋体" w:hAnsi="宋体" w:eastAsia="宋体" w:cs="宋体"/>
          <w:color w:val="auto"/>
        </w:rPr>
        <w:t>切断电源</w:t>
      </w:r>
      <w:r>
        <w:rPr>
          <w:rFonts w:hint="eastAsia" w:ascii="宋体" w:hAnsi="宋体" w:eastAsia="宋体" w:cs="宋体"/>
          <w:color w:val="auto"/>
          <w:lang w:eastAsia="zh-CN"/>
        </w:rPr>
        <w:t>、关好门窗。</w:t>
      </w:r>
    </w:p>
    <w:p w14:paraId="5CC43B70">
      <w:pPr>
        <w:ind w:left="0" w:leftChars="0" w:firstLine="480" w:firstLineChars="200"/>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2 \* GB3 \* MERGEFORMAT </w:instrText>
      </w:r>
      <w:r>
        <w:rPr>
          <w:rFonts w:hint="eastAsia" w:ascii="宋体" w:hAnsi="宋体" w:eastAsia="宋体" w:cs="宋体"/>
          <w:color w:val="auto"/>
        </w:rPr>
        <w:fldChar w:fldCharType="separate"/>
      </w:r>
      <w:r>
        <w:rPr>
          <w:rFonts w:hint="eastAsia" w:ascii="宋体" w:hAnsi="宋体" w:eastAsia="宋体" w:cs="宋体"/>
          <w:color w:val="auto"/>
        </w:rPr>
        <w:t>②</w:t>
      </w:r>
      <w:r>
        <w:rPr>
          <w:rFonts w:hint="eastAsia" w:ascii="宋体" w:hAnsi="宋体" w:eastAsia="宋体" w:cs="宋体"/>
          <w:color w:val="auto"/>
        </w:rPr>
        <w:fldChar w:fldCharType="end"/>
      </w:r>
      <w:r>
        <w:rPr>
          <w:rFonts w:hint="default" w:ascii="宋体" w:hAnsi="宋体" w:cs="宋体"/>
          <w:color w:val="auto"/>
        </w:rPr>
        <w:t>强</w:t>
      </w:r>
      <w:r>
        <w:rPr>
          <w:rFonts w:hint="eastAsia" w:ascii="宋体" w:hAnsi="宋体" w:eastAsia="宋体" w:cs="宋体"/>
          <w:color w:val="auto"/>
        </w:rPr>
        <w:t>风防风</w:t>
      </w:r>
      <w:r>
        <w:rPr>
          <w:rFonts w:hint="eastAsia" w:ascii="宋体" w:hAnsi="宋体" w:eastAsia="宋体" w:cs="宋体"/>
          <w:color w:val="auto"/>
          <w:lang w:eastAsia="zh-CN"/>
        </w:rPr>
        <w:t>。</w:t>
      </w:r>
      <w:r>
        <w:rPr>
          <w:rFonts w:hint="eastAsia" w:ascii="宋体" w:hAnsi="宋体" w:eastAsia="宋体" w:cs="宋体"/>
          <w:color w:val="auto"/>
        </w:rPr>
        <w:t>当遇</w:t>
      </w:r>
      <w:r>
        <w:rPr>
          <w:rFonts w:hint="default" w:ascii="宋体" w:hAnsi="宋体" w:cs="宋体"/>
          <w:color w:val="auto"/>
        </w:rPr>
        <w:t>强</w:t>
      </w:r>
      <w:r>
        <w:rPr>
          <w:rFonts w:hint="eastAsia" w:ascii="宋体" w:hAnsi="宋体" w:eastAsia="宋体" w:cs="宋体"/>
          <w:color w:val="auto"/>
        </w:rPr>
        <w:t>风</w:t>
      </w:r>
      <w:r>
        <w:rPr>
          <w:rFonts w:hint="eastAsia" w:ascii="宋体" w:hAnsi="宋体" w:eastAsia="宋体" w:cs="宋体"/>
          <w:color w:val="auto"/>
          <w:lang w:val="en-US" w:eastAsia="zh-CN"/>
        </w:rPr>
        <w:t>如预报风力达到（28.5-32.6m/s）11级以上时，</w:t>
      </w:r>
      <w:r>
        <w:rPr>
          <w:rFonts w:hint="eastAsia" w:ascii="宋体" w:hAnsi="宋体" w:eastAsia="宋体" w:cs="宋体"/>
          <w:color w:val="auto"/>
        </w:rPr>
        <w:t>应</w:t>
      </w:r>
      <w:r>
        <w:rPr>
          <w:rFonts w:hint="eastAsia" w:ascii="宋体" w:hAnsi="宋体" w:eastAsia="宋体" w:cs="宋体"/>
          <w:color w:val="auto"/>
          <w:lang w:eastAsia="zh-CN"/>
        </w:rPr>
        <w:t>首先将塔机降节至不妨碍桥墩、能全旋转的高度，再将爬升架降至最低处（本次降到桥面的高度），</w:t>
      </w:r>
      <w:r>
        <w:rPr>
          <w:rFonts w:hint="eastAsia" w:ascii="宋体" w:hAnsi="宋体" w:cs="宋体"/>
          <w:color w:val="auto"/>
          <w:lang w:eastAsia="zh-CN"/>
        </w:rPr>
        <w:t>然后</w:t>
      </w:r>
      <w:r>
        <w:rPr>
          <w:rFonts w:hint="eastAsia" w:ascii="宋体" w:hAnsi="宋体" w:eastAsia="宋体" w:cs="宋体"/>
          <w:color w:val="auto"/>
        </w:rPr>
        <w:t>打开回转制动器和制动锁止装置，使其回转系统处于自由状态</w:t>
      </w:r>
      <w:r>
        <w:rPr>
          <w:rFonts w:hint="eastAsia" w:ascii="宋体" w:hAnsi="宋体" w:eastAsia="宋体" w:cs="宋体"/>
          <w:color w:val="auto"/>
          <w:lang w:eastAsia="zh-CN"/>
        </w:rPr>
        <w:t>，再用铁丝将配电柜、操作室等捆绑、加固</w:t>
      </w:r>
      <w:r>
        <w:rPr>
          <w:rFonts w:hint="eastAsia" w:ascii="宋体" w:hAnsi="宋体" w:eastAsia="宋体" w:cs="宋体"/>
          <w:color w:val="auto"/>
        </w:rPr>
        <w:t>。</w:t>
      </w:r>
    </w:p>
    <w:p w14:paraId="24E2C04A">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5" w:name="_Toc10936"/>
      <w:bookmarkStart w:id="206" w:name="_Toc17383814"/>
      <w:bookmarkStart w:id="207" w:name="_Toc1327194577"/>
      <w:r>
        <w:rPr>
          <w:rFonts w:hint="eastAsia" w:ascii="宋体" w:hAnsi="宋体" w:eastAsia="宋体" w:cs="Times New Roman"/>
          <w:color w:val="auto"/>
          <w:lang w:val="en-US" w:eastAsia="zh-CN"/>
        </w:rPr>
        <w:t>6.4.13焊接与切割安全措施</w:t>
      </w:r>
    </w:p>
    <w:p w14:paraId="4C176548">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1）电源端接线必须由专业电工进行，焊机或供电线路出现故障，焊工要及时联系动力电工进行处理</w:t>
      </w:r>
      <w:r>
        <w:rPr>
          <w:rFonts w:hint="eastAsia" w:ascii="Times New Roman" w:hAnsi="Times New Roman"/>
          <w:color w:val="auto"/>
          <w:szCs w:val="24"/>
          <w:lang w:eastAsia="zh-CN"/>
        </w:rPr>
        <w:t>。</w:t>
      </w:r>
    </w:p>
    <w:p w14:paraId="75076995">
      <w:pPr>
        <w:ind w:firstLine="480"/>
        <w:rPr>
          <w:rFonts w:hint="eastAsia" w:ascii="Times New Roman" w:hAnsi="Times New Roman" w:eastAsia="宋体"/>
          <w:color w:val="auto"/>
          <w:szCs w:val="24"/>
          <w:lang w:eastAsia="zh-CN"/>
        </w:rPr>
      </w:pPr>
      <w:r>
        <w:rPr>
          <w:rFonts w:ascii="Times New Roman" w:hAnsi="Times New Roman"/>
          <w:color w:val="auto"/>
          <w:szCs w:val="24"/>
        </w:rPr>
        <w:t>2</w:t>
      </w:r>
      <w:r>
        <w:rPr>
          <w:rFonts w:hint="eastAsia" w:ascii="Times New Roman" w:hAnsi="Times New Roman"/>
          <w:color w:val="auto"/>
          <w:szCs w:val="24"/>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r>
        <w:rPr>
          <w:rFonts w:hint="eastAsia" w:ascii="Times New Roman" w:hAnsi="Times New Roman"/>
          <w:color w:val="auto"/>
          <w:szCs w:val="24"/>
          <w:lang w:eastAsia="zh-CN"/>
        </w:rPr>
        <w:t>。</w:t>
      </w:r>
    </w:p>
    <w:p w14:paraId="4ED98FE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3）检查作场所周围是否有易燃物，如有，应清除或采取可靠的隔离、防护措施，并设专人监护</w:t>
      </w:r>
      <w:r>
        <w:rPr>
          <w:rFonts w:hint="eastAsia" w:ascii="Times New Roman" w:hAnsi="Times New Roman"/>
          <w:color w:val="auto"/>
          <w:szCs w:val="24"/>
          <w:lang w:eastAsia="zh-CN"/>
        </w:rPr>
        <w:t>。</w:t>
      </w:r>
    </w:p>
    <w:p w14:paraId="0F89140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4）不宜在雨、雪及大风天气进行露天焊接作业。如确实需要时，应采取遮蔽雨雪、防止触电和火花飞溅等措施</w:t>
      </w:r>
      <w:r>
        <w:rPr>
          <w:rFonts w:hint="eastAsia" w:ascii="Times New Roman" w:hAnsi="Times New Roman"/>
          <w:color w:val="auto"/>
          <w:szCs w:val="24"/>
          <w:lang w:eastAsia="zh-CN"/>
        </w:rPr>
        <w:t>。</w:t>
      </w:r>
    </w:p>
    <w:p w14:paraId="5872AC0E">
      <w:pPr>
        <w:ind w:firstLine="480"/>
        <w:rPr>
          <w:rFonts w:hint="eastAsia" w:ascii="Times New Roman" w:hAnsi="Times New Roman"/>
          <w:color w:val="auto"/>
          <w:szCs w:val="24"/>
          <w:lang w:eastAsia="zh-CN"/>
        </w:rPr>
      </w:pPr>
      <w:r>
        <w:rPr>
          <w:rFonts w:hint="eastAsia" w:ascii="Times New Roman" w:hAnsi="Times New Roman"/>
          <w:color w:val="auto"/>
          <w:szCs w:val="24"/>
        </w:rPr>
        <w:t>5）焊接时，焊工不要接触焊接物件或其它导电物件</w:t>
      </w:r>
      <w:r>
        <w:rPr>
          <w:rFonts w:hint="eastAsia" w:ascii="Times New Roman" w:hAnsi="Times New Roman"/>
          <w:color w:val="auto"/>
          <w:szCs w:val="24"/>
          <w:lang w:eastAsia="zh-CN"/>
        </w:rPr>
        <w:t>。</w:t>
      </w:r>
    </w:p>
    <w:p w14:paraId="4D22018B">
      <w:pPr>
        <w:ind w:firstLine="480"/>
        <w:rPr>
          <w:rFonts w:hint="eastAsia" w:ascii="Times New Roman" w:hAnsi="Times New Roman" w:eastAsia="宋体"/>
          <w:color w:val="auto"/>
          <w:szCs w:val="24"/>
          <w:lang w:eastAsia="zh-CN"/>
        </w:rPr>
      </w:pPr>
      <w:r>
        <w:rPr>
          <w:rFonts w:ascii="Times New Roman" w:hAnsi="Times New Roman"/>
          <w:color w:val="auto"/>
          <w:szCs w:val="24"/>
        </w:rPr>
        <w:t>6</w:t>
      </w:r>
      <w:r>
        <w:rPr>
          <w:rFonts w:hint="eastAsia" w:ascii="Times New Roman" w:hAnsi="Times New Roman"/>
          <w:color w:val="auto"/>
          <w:szCs w:val="24"/>
        </w:rPr>
        <w:t>）焊接完工后，焊接位置应予以隔离或设专人监护，防止烫伤其他人员及火灾事故发生</w:t>
      </w:r>
      <w:r>
        <w:rPr>
          <w:rFonts w:hint="eastAsia" w:ascii="Times New Roman" w:hAnsi="Times New Roman"/>
          <w:color w:val="auto"/>
          <w:szCs w:val="24"/>
          <w:lang w:eastAsia="zh-CN"/>
        </w:rPr>
        <w:t>。</w:t>
      </w:r>
    </w:p>
    <w:p w14:paraId="1A7398F5">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7</w:t>
      </w:r>
      <w:r>
        <w:rPr>
          <w:rFonts w:hint="eastAsia" w:ascii="Times New Roman" w:hAnsi="Times New Roman"/>
          <w:color w:val="auto"/>
          <w:szCs w:val="24"/>
        </w:rPr>
        <w:t>）焊工在工作前必须检查好回火防止器及一切工具是否良好</w:t>
      </w:r>
      <w:r>
        <w:rPr>
          <w:rFonts w:hint="eastAsia" w:ascii="Times New Roman" w:hAnsi="Times New Roman"/>
          <w:color w:val="auto"/>
          <w:szCs w:val="24"/>
          <w:lang w:eastAsia="zh-CN"/>
        </w:rPr>
        <w:t>。</w:t>
      </w:r>
    </w:p>
    <w:p w14:paraId="0ADDF8F1">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8</w:t>
      </w:r>
      <w:r>
        <w:rPr>
          <w:rFonts w:hint="eastAsia" w:ascii="Times New Roman" w:hAnsi="Times New Roman"/>
          <w:color w:val="auto"/>
          <w:szCs w:val="24"/>
        </w:rPr>
        <w:t>）乙炔瓶、氧气瓶、胶管接头、阀塔的紧固件应坚固牢靠，不准有松动、破损和漏气。氧气瓶及其附件以及胶管工具上禁止沾油</w:t>
      </w:r>
      <w:r>
        <w:rPr>
          <w:rFonts w:hint="eastAsia" w:ascii="Times New Roman" w:hAnsi="Times New Roman"/>
          <w:color w:val="auto"/>
          <w:szCs w:val="24"/>
          <w:lang w:eastAsia="zh-CN"/>
        </w:rPr>
        <w:t>。</w:t>
      </w:r>
    </w:p>
    <w:p w14:paraId="3812C9F7">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9</w:t>
      </w:r>
      <w:r>
        <w:rPr>
          <w:rFonts w:hint="eastAsia" w:ascii="Times New Roman" w:hAnsi="Times New Roman"/>
          <w:color w:val="auto"/>
          <w:szCs w:val="24"/>
        </w:rPr>
        <w:t>）工作前必须检查氧气管、乙炔管，如有漏气、老化、鼓包和变质时，不准使用，管内应保持清洁，不得有异物，氧气管、乙炔管不得互换使用</w:t>
      </w:r>
      <w:r>
        <w:rPr>
          <w:rFonts w:hint="eastAsia" w:ascii="Times New Roman" w:hAnsi="Times New Roman"/>
          <w:color w:val="auto"/>
          <w:szCs w:val="24"/>
          <w:lang w:eastAsia="zh-CN"/>
        </w:rPr>
        <w:t>。</w:t>
      </w:r>
    </w:p>
    <w:p w14:paraId="526B015E">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10</w:t>
      </w:r>
      <w:r>
        <w:rPr>
          <w:rFonts w:hint="eastAsia" w:ascii="Times New Roman" w:hAnsi="Times New Roman"/>
          <w:color w:val="auto"/>
          <w:szCs w:val="24"/>
        </w:rPr>
        <w:t>）工作前应检查作场所周围是否有易燃物，如有，应清除或采取可靠的隔离、防护措施，并设专人监护</w:t>
      </w:r>
      <w:r>
        <w:rPr>
          <w:rFonts w:hint="eastAsia" w:ascii="Times New Roman" w:hAnsi="Times New Roman"/>
          <w:color w:val="auto"/>
          <w:szCs w:val="24"/>
          <w:lang w:eastAsia="zh-CN"/>
        </w:rPr>
        <w:t>。</w:t>
      </w:r>
    </w:p>
    <w:p w14:paraId="6A45AF46">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11</w:t>
      </w:r>
      <w:r>
        <w:rPr>
          <w:rFonts w:hint="eastAsia" w:ascii="Times New Roman" w:hAnsi="Times New Roman"/>
          <w:color w:val="auto"/>
          <w:szCs w:val="24"/>
        </w:rPr>
        <w:t>）在连接氧气表（减压器）之前，要用专用扳手将氧气瓶阀塔微开，放出一些氧气，吹净瓶口污物和杂质，随后关闭。操作时工作人员应站在气口侧面，并闪开。开气时，气塔不可朝下</w:t>
      </w:r>
      <w:r>
        <w:rPr>
          <w:rFonts w:hint="eastAsia" w:ascii="Times New Roman" w:hAnsi="Times New Roman"/>
          <w:color w:val="auto"/>
          <w:szCs w:val="24"/>
          <w:lang w:eastAsia="zh-CN"/>
        </w:rPr>
        <w:t>。</w:t>
      </w:r>
    </w:p>
    <w:p w14:paraId="4D4C135A">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12</w:t>
      </w:r>
      <w:r>
        <w:rPr>
          <w:rFonts w:hint="eastAsia" w:ascii="Times New Roman" w:hAnsi="Times New Roman"/>
          <w:color w:val="auto"/>
          <w:szCs w:val="24"/>
        </w:rPr>
        <w:t>）乙炔、氧气瓶应垂直放置，防止倾倒，严禁与氧气瓶等易燃品同时存放</w:t>
      </w:r>
      <w:r>
        <w:rPr>
          <w:rFonts w:hint="eastAsia" w:ascii="Times New Roman" w:hAnsi="Times New Roman"/>
          <w:color w:val="auto"/>
          <w:szCs w:val="24"/>
          <w:lang w:eastAsia="zh-CN"/>
        </w:rPr>
        <w:t>。</w:t>
      </w:r>
    </w:p>
    <w:p w14:paraId="4FAA03B5">
      <w:pPr>
        <w:ind w:firstLine="480"/>
        <w:rPr>
          <w:rFonts w:hint="eastAsia" w:ascii="Times New Roman" w:hAnsi="Times New Roman"/>
          <w:color w:val="auto"/>
          <w:szCs w:val="24"/>
          <w:lang w:eastAsia="zh-CN"/>
        </w:rPr>
      </w:pPr>
      <w:r>
        <w:rPr>
          <w:rFonts w:hint="eastAsia" w:ascii="Times New Roman" w:hAnsi="Times New Roman"/>
          <w:color w:val="auto"/>
          <w:szCs w:val="24"/>
          <w:lang w:val="en-US" w:eastAsia="zh-CN"/>
        </w:rPr>
        <w:t>13</w:t>
      </w:r>
      <w:r>
        <w:rPr>
          <w:rFonts w:hint="eastAsia" w:ascii="Times New Roman" w:hAnsi="Times New Roman"/>
          <w:color w:val="auto"/>
          <w:szCs w:val="24"/>
        </w:rPr>
        <w:t>）开启氧气或乙炔瓶阀塔时，禁止用铁器敲击，应用专用工具，动作要缓慢，防止产生火花，严禁面对减压器站立</w:t>
      </w:r>
      <w:r>
        <w:rPr>
          <w:rFonts w:hint="eastAsia" w:ascii="Times New Roman" w:hAnsi="Times New Roman"/>
          <w:color w:val="auto"/>
          <w:szCs w:val="24"/>
          <w:lang w:eastAsia="zh-CN"/>
        </w:rPr>
        <w:t>。</w:t>
      </w:r>
    </w:p>
    <w:p w14:paraId="5A150371">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4</w:t>
      </w:r>
      <w:r>
        <w:rPr>
          <w:rFonts w:hint="eastAsia" w:ascii="Times New Roman" w:hAnsi="Times New Roman"/>
          <w:color w:val="auto"/>
          <w:szCs w:val="24"/>
        </w:rPr>
        <w:t>）在机械上（或高处）作业时，应在切割部件下部搭设安全保护装置以防金属溶液落下引起火灾或烧伤其他人员</w:t>
      </w:r>
      <w:r>
        <w:rPr>
          <w:rFonts w:hint="eastAsia" w:ascii="Times New Roman" w:hAnsi="Times New Roman"/>
          <w:color w:val="auto"/>
          <w:szCs w:val="24"/>
          <w:lang w:eastAsia="zh-CN"/>
        </w:rPr>
        <w:t>。</w:t>
      </w:r>
    </w:p>
    <w:p w14:paraId="39BABC19">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5</w:t>
      </w:r>
      <w:r>
        <w:rPr>
          <w:rFonts w:hint="eastAsia" w:ascii="Times New Roman" w:hAnsi="Times New Roman"/>
          <w:color w:val="auto"/>
          <w:szCs w:val="24"/>
        </w:rPr>
        <w:t>）了解设备的消防器材状况，并保证在焊接地点周围有2个以上干粉灭火器；切割工作结束后，应检查地面，灭绝火种</w:t>
      </w:r>
      <w:r>
        <w:rPr>
          <w:rFonts w:hint="eastAsia" w:ascii="Times New Roman" w:hAnsi="Times New Roman"/>
          <w:color w:val="auto"/>
          <w:szCs w:val="24"/>
          <w:lang w:eastAsia="zh-CN"/>
        </w:rPr>
        <w:t>。</w:t>
      </w:r>
    </w:p>
    <w:p w14:paraId="2EC5E428">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lang w:val="en-US" w:eastAsia="zh-CN"/>
        </w:rPr>
        <w:t>6</w:t>
      </w:r>
      <w:r>
        <w:rPr>
          <w:rFonts w:hint="eastAsia" w:ascii="Times New Roman" w:hAnsi="Times New Roman"/>
          <w:color w:val="auto"/>
          <w:szCs w:val="24"/>
        </w:rPr>
        <w:t>）使用时，必须保证氧气瓶、乙炔瓶距明火不得小于10m。</w:t>
      </w:r>
    </w:p>
    <w:p w14:paraId="5F1DCA0E">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7</w:t>
      </w:r>
      <w:r>
        <w:rPr>
          <w:rFonts w:hint="eastAsia" w:ascii="Times New Roman" w:hAnsi="Times New Roman"/>
          <w:color w:val="auto"/>
          <w:szCs w:val="24"/>
        </w:rPr>
        <w:t>）工作地点不固定、移动较频繁时，应装在专用小车上，严禁将乙炔瓶和氧气瓶放在一起</w:t>
      </w:r>
      <w:r>
        <w:rPr>
          <w:rFonts w:hint="eastAsia" w:ascii="Times New Roman" w:hAnsi="Times New Roman"/>
          <w:color w:val="auto"/>
          <w:szCs w:val="24"/>
          <w:lang w:eastAsia="zh-CN"/>
        </w:rPr>
        <w:t>。</w:t>
      </w:r>
    </w:p>
    <w:p w14:paraId="5FC2484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6.4.14安装防倾覆措施</w:t>
      </w:r>
    </w:p>
    <w:p w14:paraId="3B7143C5">
      <w:pPr>
        <w:ind w:firstLine="480"/>
        <w:rPr>
          <w:rFonts w:ascii="Times New Roman" w:hAnsi="Times New Roman"/>
          <w:color w:val="auto"/>
          <w:szCs w:val="24"/>
        </w:rPr>
      </w:pPr>
      <w:r>
        <w:rPr>
          <w:rFonts w:hint="eastAsia" w:ascii="Times New Roman" w:hAnsi="Times New Roman"/>
          <w:color w:val="auto"/>
          <w:szCs w:val="24"/>
        </w:rPr>
        <w:t>1）起吊构件时，吊索要保持垂直，不得超出起重机回转半径斜向拖拉，以免超负荷和钢丝绳滑脱或拉断绳索而使起重机失稳。起吊重型构件时应设牵拉绳。</w:t>
      </w:r>
    </w:p>
    <w:p w14:paraId="0514E87C">
      <w:pPr>
        <w:ind w:firstLine="480"/>
        <w:rPr>
          <w:rFonts w:ascii="Times New Roman" w:hAnsi="Times New Roman"/>
          <w:color w:val="auto"/>
          <w:szCs w:val="24"/>
        </w:rPr>
      </w:pPr>
      <w:r>
        <w:rPr>
          <w:rFonts w:hint="eastAsia" w:ascii="Times New Roman" w:hAnsi="Times New Roman"/>
          <w:color w:val="auto"/>
          <w:szCs w:val="24"/>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107C09CF">
      <w:pPr>
        <w:ind w:firstLine="480"/>
        <w:rPr>
          <w:rFonts w:ascii="Times New Roman" w:hAnsi="Times New Roman"/>
          <w:color w:val="auto"/>
          <w:szCs w:val="24"/>
        </w:rPr>
      </w:pPr>
      <w:r>
        <w:rPr>
          <w:rFonts w:hint="eastAsia" w:ascii="Times New Roman" w:hAnsi="Times New Roman"/>
          <w:color w:val="auto"/>
          <w:szCs w:val="24"/>
        </w:rPr>
        <w:t>3）塔机应尽量避免满负荷行驶；在满负荷或接近满负荷时，严禁同时进行提升与回转（起升与回转或小车变幅）两种动作，以免因惯性力等原因引塔机超负荷而酿成倾覆事故。</w:t>
      </w:r>
    </w:p>
    <w:p w14:paraId="0C9F3A5C">
      <w:pPr>
        <w:ind w:firstLine="480"/>
        <w:rPr>
          <w:rFonts w:ascii="Times New Roman" w:hAnsi="Times New Roman"/>
          <w:color w:val="auto"/>
          <w:szCs w:val="24"/>
        </w:rPr>
      </w:pPr>
      <w:r>
        <w:rPr>
          <w:rFonts w:ascii="Times New Roman" w:hAnsi="Times New Roman"/>
          <w:color w:val="auto"/>
          <w:szCs w:val="24"/>
        </w:rPr>
        <w:t>4</w:t>
      </w:r>
      <w:r>
        <w:rPr>
          <w:rFonts w:hint="eastAsia" w:ascii="Times New Roman" w:hAnsi="Times New Roman"/>
          <w:color w:val="auto"/>
          <w:szCs w:val="24"/>
        </w:rP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23EB6D57">
      <w:pPr>
        <w:ind w:firstLine="480"/>
        <w:rPr>
          <w:rFonts w:ascii="Times New Roman" w:hAnsi="Times New Roman"/>
          <w:color w:val="auto"/>
          <w:szCs w:val="24"/>
        </w:rPr>
      </w:pPr>
      <w:r>
        <w:rPr>
          <w:rFonts w:hint="eastAsia" w:ascii="Times New Roman" w:hAnsi="Times New Roman"/>
          <w:color w:val="auto"/>
          <w:szCs w:val="24"/>
        </w:rPr>
        <w:t>5）在顶升降塔作业时，必须先将塔机酌配平，回转下支承必须与爬升架与塔身可靠连接。</w:t>
      </w:r>
    </w:p>
    <w:p w14:paraId="7C9FC156">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）塔机停止工作时，回转机构因处于自由状态，吊钩上不得悬挂构件，以免摆动伤人和造成塔机失稳。</w:t>
      </w:r>
    </w:p>
    <w:p w14:paraId="6099C20B">
      <w:pPr>
        <w:ind w:firstLine="480"/>
        <w:rPr>
          <w:rFonts w:ascii="Times New Roman" w:hAnsi="Times New Roman"/>
          <w:color w:val="auto"/>
          <w:szCs w:val="24"/>
        </w:rPr>
      </w:pPr>
      <w:r>
        <w:rPr>
          <w:rFonts w:hint="eastAsia" w:ascii="Times New Roman" w:hAnsi="Times New Roman"/>
          <w:color w:val="auto"/>
          <w:szCs w:val="24"/>
        </w:rPr>
        <w:t>7）</w:t>
      </w:r>
      <w:r>
        <w:rPr>
          <w:rFonts w:ascii="Times New Roman" w:hAnsi="Times New Roman"/>
          <w:color w:val="auto"/>
          <w:szCs w:val="24"/>
        </w:rPr>
        <w:t>严格遵守《特种设备安全监察条例</w:t>
      </w:r>
      <w:r>
        <w:rPr>
          <w:rFonts w:hint="eastAsia" w:ascii="Times New Roman" w:hAnsi="Times New Roman"/>
          <w:color w:val="auto"/>
          <w:szCs w:val="24"/>
          <w:lang w:val="en-US" w:eastAsia="zh-CN"/>
        </w:rPr>
        <w:t xml:space="preserve"> 第549号</w:t>
      </w:r>
      <w:r>
        <w:rPr>
          <w:rFonts w:ascii="Times New Roman" w:hAnsi="Times New Roman"/>
          <w:color w:val="auto"/>
          <w:szCs w:val="24"/>
        </w:rPr>
        <w:t>》等法律、法规的要求，驾驶员须持证上岗，并对</w:t>
      </w:r>
      <w:r>
        <w:rPr>
          <w:rFonts w:hint="eastAsia" w:ascii="Times New Roman" w:hAnsi="Times New Roman"/>
          <w:color w:val="auto"/>
          <w:szCs w:val="24"/>
        </w:rPr>
        <w:t>塔机</w:t>
      </w:r>
      <w:r>
        <w:rPr>
          <w:rFonts w:ascii="Times New Roman" w:hAnsi="Times New Roman"/>
          <w:color w:val="auto"/>
          <w:szCs w:val="24"/>
        </w:rPr>
        <w:t>定期检查、维修等</w:t>
      </w:r>
      <w:r>
        <w:rPr>
          <w:rFonts w:hint="eastAsia" w:ascii="Times New Roman" w:hAnsi="Times New Roman"/>
          <w:color w:val="auto"/>
          <w:szCs w:val="24"/>
        </w:rPr>
        <w:t>。</w:t>
      </w:r>
    </w:p>
    <w:p w14:paraId="7F8BED5D">
      <w:pPr>
        <w:ind w:firstLine="480"/>
        <w:rPr>
          <w:rFonts w:ascii="Times New Roman" w:hAnsi="Times New Roman"/>
          <w:color w:val="auto"/>
          <w:szCs w:val="24"/>
        </w:rPr>
      </w:pPr>
      <w:r>
        <w:rPr>
          <w:rFonts w:ascii="Times New Roman" w:hAnsi="Times New Roman"/>
          <w:color w:val="auto"/>
          <w:szCs w:val="24"/>
        </w:rPr>
        <w:t>8</w:t>
      </w:r>
      <w:r>
        <w:rPr>
          <w:rFonts w:hint="eastAsia" w:ascii="Times New Roman" w:hAnsi="Times New Roman"/>
          <w:color w:val="auto"/>
          <w:szCs w:val="24"/>
        </w:rPr>
        <w:t>）</w:t>
      </w:r>
      <w:r>
        <w:rPr>
          <w:rFonts w:ascii="Times New Roman" w:hAnsi="Times New Roman"/>
          <w:color w:val="auto"/>
          <w:szCs w:val="24"/>
        </w:rPr>
        <w:t>对露天场地作业的起重机械应针对在各种季节中的气象特点，建立不同的工作制度和相应的预防措施。</w:t>
      </w:r>
    </w:p>
    <w:p w14:paraId="0791AB30">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6.4.15夜间施工措施</w:t>
      </w:r>
    </w:p>
    <w:p w14:paraId="63EA1AA5">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）在信号不明和作业现场光线阴暗时，严禁进行起吊作业。</w:t>
      </w:r>
    </w:p>
    <w:p w14:paraId="58E70378">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）作业人员必须穿戴有应急反光的服装。</w:t>
      </w:r>
    </w:p>
    <w:p w14:paraId="1B634617">
      <w:pPr>
        <w:ind w:firstLine="480"/>
        <w:rPr>
          <w:rFonts w:ascii="Times New Roman" w:hAnsi="Times New Roman"/>
          <w:color w:val="auto"/>
          <w:szCs w:val="24"/>
        </w:rPr>
      </w:pPr>
      <w:r>
        <w:rPr>
          <w:rFonts w:hint="eastAsia" w:ascii="Times New Roman" w:hAnsi="Times New Roman"/>
          <w:color w:val="auto"/>
          <w:szCs w:val="24"/>
        </w:rPr>
        <w:t>3）夜间不得进行吊装作业，如已进行但未进行完毕的，应采取措施尽快完成，并确保夜间施工照明及指挥。</w:t>
      </w:r>
    </w:p>
    <w:p w14:paraId="6399A160">
      <w:pPr>
        <w:ind w:firstLine="480"/>
        <w:rPr>
          <w:rFonts w:ascii="Times New Roman" w:hAnsi="Times New Roman"/>
          <w:color w:val="auto"/>
          <w:szCs w:val="24"/>
        </w:rPr>
      </w:pPr>
      <w:r>
        <w:rPr>
          <w:rFonts w:hint="eastAsia" w:ascii="Times New Roman" w:hAnsi="Times New Roman"/>
          <w:color w:val="auto"/>
          <w:szCs w:val="24"/>
        </w:rPr>
        <w:t>4）夜间作业做好作业区的安全警示。</w:t>
      </w:r>
    </w:p>
    <w:p w14:paraId="5BA0E7A1">
      <w:pPr>
        <w:ind w:firstLine="48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5）夜间作业时清楚场地内的障碍物及杂物，确保施工安全顺利。</w:t>
      </w:r>
    </w:p>
    <w:p w14:paraId="4CADE99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6.4.16其他安全技术措施</w:t>
      </w:r>
      <w:bookmarkEnd w:id="205"/>
      <w:bookmarkEnd w:id="206"/>
      <w:bookmarkEnd w:id="207"/>
    </w:p>
    <w:p w14:paraId="61F9822F">
      <w:pPr>
        <w:ind w:firstLine="480"/>
        <w:rPr>
          <w:color w:val="auto"/>
        </w:rPr>
      </w:pPr>
      <w:r>
        <w:rPr>
          <w:rFonts w:hint="eastAsia"/>
          <w:color w:val="auto"/>
        </w:rPr>
        <w:t>（1）起重</w:t>
      </w:r>
      <w:r>
        <w:rPr>
          <w:rFonts w:hint="eastAsia"/>
          <w:color w:val="auto"/>
          <w:lang w:val="en-US" w:eastAsia="zh-CN"/>
        </w:rPr>
        <w:t>卷扬机</w:t>
      </w:r>
      <w:r>
        <w:rPr>
          <w:rFonts w:hint="eastAsia"/>
          <w:color w:val="auto"/>
        </w:rPr>
        <w:t>、</w:t>
      </w:r>
      <w:r>
        <w:rPr>
          <w:rFonts w:hint="eastAsia"/>
          <w:color w:val="auto"/>
          <w:lang w:val="en-US" w:eastAsia="zh-CN"/>
        </w:rPr>
        <w:t>电动葫芦</w:t>
      </w:r>
      <w:r>
        <w:rPr>
          <w:rFonts w:hint="eastAsia"/>
          <w:color w:val="auto"/>
        </w:rPr>
        <w:t>防风防雨保证措施</w:t>
      </w:r>
    </w:p>
    <w:p w14:paraId="73AB5587">
      <w:pPr>
        <w:ind w:firstLine="480"/>
        <w:rPr>
          <w:color w:val="auto"/>
        </w:rPr>
      </w:pPr>
      <w:r>
        <w:rPr>
          <w:rFonts w:hint="eastAsia"/>
          <w:color w:val="auto"/>
        </w:rPr>
        <w:t>①起重</w:t>
      </w:r>
      <w:r>
        <w:rPr>
          <w:rFonts w:hint="eastAsia"/>
          <w:color w:val="auto"/>
          <w:lang w:val="en-US" w:eastAsia="zh-CN"/>
        </w:rPr>
        <w:t>卷扬机</w:t>
      </w:r>
      <w:r>
        <w:rPr>
          <w:rFonts w:hint="eastAsia"/>
          <w:color w:val="auto"/>
        </w:rPr>
        <w:t>需加装防雨盖，对起重、行走电机进行保护。</w:t>
      </w:r>
    </w:p>
    <w:p w14:paraId="0DDDCE5B">
      <w:pPr>
        <w:ind w:firstLine="480"/>
        <w:rPr>
          <w:color w:val="auto"/>
        </w:rPr>
      </w:pPr>
      <w:r>
        <w:rPr>
          <w:rFonts w:hint="eastAsia"/>
          <w:color w:val="auto"/>
        </w:rPr>
        <w:t>②防雨盖两端用螺栓检拧紧固定，防雨盖支腿</w:t>
      </w:r>
      <w:r>
        <w:rPr>
          <w:rFonts w:hint="eastAsia"/>
          <w:color w:val="auto"/>
          <w:lang w:val="en-US" w:eastAsia="zh-CN"/>
        </w:rPr>
        <w:t>与连接部位</w:t>
      </w:r>
      <w:r>
        <w:rPr>
          <w:rFonts w:hint="eastAsia"/>
          <w:color w:val="auto"/>
        </w:rPr>
        <w:t>间的间隙涂抹玻璃胶。</w:t>
      </w:r>
    </w:p>
    <w:p w14:paraId="24947602">
      <w:pPr>
        <w:ind w:firstLine="480"/>
        <w:rPr>
          <w:color w:val="auto"/>
        </w:rPr>
      </w:pPr>
      <w:r>
        <w:rPr>
          <w:rFonts w:hint="eastAsia"/>
          <w:color w:val="auto"/>
        </w:rPr>
        <w:t>③大风大雨前，操作人员需仔细检查防雨盖的螺栓紧固情况及玻璃胶涂抹情况，防止雨水渗入电机，造成电机损坏及触电事故。</w:t>
      </w:r>
    </w:p>
    <w:p w14:paraId="65FD4D53">
      <w:pPr>
        <w:ind w:firstLine="480"/>
        <w:rPr>
          <w:color w:val="auto"/>
        </w:rPr>
      </w:pPr>
      <w:r>
        <w:rPr>
          <w:rFonts w:hint="eastAsia"/>
          <w:color w:val="auto"/>
        </w:rPr>
        <w:t>（2）</w:t>
      </w:r>
      <w:r>
        <w:rPr>
          <w:rFonts w:hint="eastAsia"/>
          <w:color w:val="auto"/>
          <w:lang w:val="en-US" w:eastAsia="zh-CN"/>
        </w:rPr>
        <w:t>电动葫芦及</w:t>
      </w:r>
      <w:r>
        <w:rPr>
          <w:rFonts w:hint="eastAsia"/>
          <w:color w:val="auto"/>
        </w:rPr>
        <w:t>滑动电缆保证措施</w:t>
      </w:r>
    </w:p>
    <w:p w14:paraId="0244E36A">
      <w:pPr>
        <w:ind w:firstLine="480"/>
        <w:rPr>
          <w:color w:val="auto"/>
        </w:rPr>
      </w:pPr>
      <w:r>
        <w:rPr>
          <w:rFonts w:hint="eastAsia"/>
          <w:color w:val="auto"/>
        </w:rPr>
        <w:t>①维修人员、操作人员需经常检查电缆与滑轮连接处螺栓连接情况，防止电缆松动。</w:t>
      </w:r>
    </w:p>
    <w:p w14:paraId="4F161D43">
      <w:pPr>
        <w:ind w:firstLine="480"/>
        <w:rPr>
          <w:color w:val="auto"/>
        </w:rPr>
      </w:pPr>
      <w:r>
        <w:rPr>
          <w:rFonts w:hint="eastAsia"/>
          <w:color w:val="auto"/>
        </w:rPr>
        <w:t>②维修人员、操作人员需经常检查滑轮磨损情况，防止造成电缆破损，造成触电事故。</w:t>
      </w:r>
    </w:p>
    <w:p w14:paraId="24871DAD">
      <w:pPr>
        <w:ind w:firstLine="480"/>
        <w:rPr>
          <w:color w:val="auto"/>
        </w:rPr>
      </w:pPr>
      <w:r>
        <w:rPr>
          <w:rFonts w:hint="eastAsia"/>
          <w:color w:val="auto"/>
        </w:rPr>
        <w:t>（3）限位装置保证措施</w:t>
      </w:r>
    </w:p>
    <w:p w14:paraId="160EFF27">
      <w:pPr>
        <w:ind w:firstLine="480"/>
        <w:rPr>
          <w:color w:val="auto"/>
        </w:rPr>
      </w:pPr>
      <w:r>
        <w:rPr>
          <w:rFonts w:hint="eastAsia"/>
          <w:color w:val="auto"/>
        </w:rPr>
        <w:t>①限位装置需动作灵敏有效，每班作业前需对行走限位、起升限位进行试车，动作可靠方可作业。限位装置失效或损坏需及时整改更换。</w:t>
      </w:r>
    </w:p>
    <w:p w14:paraId="4C0A571C">
      <w:pPr>
        <w:ind w:firstLine="480"/>
        <w:rPr>
          <w:color w:val="auto"/>
        </w:rPr>
      </w:pPr>
      <w:r>
        <w:rPr>
          <w:rFonts w:hint="eastAsia"/>
          <w:color w:val="auto"/>
        </w:rPr>
        <w:t>②重量限位需每周进行一次检测、自校，防止失效发生超载使用。</w:t>
      </w:r>
    </w:p>
    <w:p w14:paraId="3C22B510">
      <w:pPr>
        <w:ind w:firstLine="480"/>
        <w:rPr>
          <w:color w:val="auto"/>
        </w:rPr>
      </w:pPr>
      <w:r>
        <w:rPr>
          <w:rFonts w:hint="eastAsia"/>
          <w:color w:val="auto"/>
        </w:rPr>
        <w:t>（4）吊装钢丝绳保证措施</w:t>
      </w:r>
    </w:p>
    <w:p w14:paraId="66180920">
      <w:pPr>
        <w:ind w:firstLine="480"/>
        <w:rPr>
          <w:color w:val="auto"/>
        </w:rPr>
      </w:pPr>
      <w:r>
        <w:rPr>
          <w:rFonts w:hint="eastAsia"/>
          <w:color w:val="auto"/>
        </w:rPr>
        <w:t>①吊装钢丝绳每班作业前应进行检查，按规定进行保养。</w:t>
      </w:r>
    </w:p>
    <w:p w14:paraId="6D329079">
      <w:pPr>
        <w:ind w:firstLine="480"/>
        <w:rPr>
          <w:color w:val="auto"/>
        </w:rPr>
      </w:pPr>
      <w:r>
        <w:rPr>
          <w:rFonts w:hint="eastAsia"/>
          <w:color w:val="auto"/>
        </w:rPr>
        <w:t>②在使用过程中发现使用老化、断丝严重、断股等，应停止使用，更换新钢丝绳。</w:t>
      </w:r>
    </w:p>
    <w:p w14:paraId="3EF6CAE1">
      <w:pPr>
        <w:ind w:firstLine="480"/>
        <w:rPr>
          <w:color w:val="auto"/>
        </w:rPr>
      </w:pPr>
      <w:r>
        <w:rPr>
          <w:rFonts w:hint="eastAsia"/>
          <w:color w:val="auto"/>
        </w:rPr>
        <w:t>（5）上下安全爬梯、防护栏杆保证措施</w:t>
      </w:r>
    </w:p>
    <w:p w14:paraId="2CA9BAB8">
      <w:pPr>
        <w:ind w:firstLine="480"/>
        <w:rPr>
          <w:rFonts w:hint="eastAsia"/>
          <w:color w:val="auto"/>
        </w:rPr>
      </w:pPr>
      <w:r>
        <w:rPr>
          <w:rFonts w:hint="eastAsia"/>
          <w:color w:val="auto"/>
        </w:rPr>
        <w:t>上下爬梯、防护栏杆每月应对爬梯的连接状况，焊接情况进行检查，防止在使用过程中螺栓松动、脱焊等现象。</w:t>
      </w:r>
    </w:p>
    <w:p w14:paraId="4A325A92">
      <w:pPr>
        <w:pStyle w:val="3"/>
        <w:spacing w:before="156" w:after="156"/>
        <w:ind w:left="480" w:leftChars="0" w:firstLineChars="0"/>
        <w:rPr>
          <w:rFonts w:hint="eastAsia" w:eastAsia="宋体"/>
          <w:color w:val="auto"/>
          <w:lang w:val="en-US" w:eastAsia="zh-CN"/>
        </w:rPr>
      </w:pPr>
      <w:bookmarkStart w:id="208" w:name="_Toc19610"/>
      <w:r>
        <w:rPr>
          <w:rFonts w:hint="eastAsia" w:eastAsia="宋体"/>
          <w:color w:val="auto"/>
          <w:lang w:val="en-US" w:eastAsia="zh-CN"/>
        </w:rPr>
        <w:t>监测监控措施</w:t>
      </w:r>
      <w:bookmarkEnd w:id="208"/>
    </w:p>
    <w:p w14:paraId="59B76F7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6E95C5C9">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5F7E88D6">
      <w:pPr>
        <w:pStyle w:val="3"/>
        <w:spacing w:before="156" w:after="156"/>
        <w:ind w:left="480" w:leftChars="0" w:firstLineChars="0"/>
        <w:rPr>
          <w:rFonts w:hint="eastAsia" w:eastAsia="宋体"/>
          <w:color w:val="auto"/>
          <w:lang w:val="en-US" w:eastAsia="zh-CN"/>
        </w:rPr>
      </w:pPr>
      <w:bookmarkStart w:id="209" w:name="_Toc24566"/>
      <w:bookmarkStart w:id="210" w:name="_Toc530055697"/>
      <w:bookmarkStart w:id="211" w:name="_Toc24745_WPSOffice_Level2"/>
      <w:r>
        <w:rPr>
          <w:rFonts w:hint="eastAsia" w:eastAsia="宋体"/>
          <w:color w:val="auto"/>
          <w:lang w:val="en-US" w:eastAsia="zh-CN"/>
        </w:rPr>
        <w:t>电气设备</w:t>
      </w:r>
      <w:bookmarkEnd w:id="209"/>
    </w:p>
    <w:bookmarkEnd w:id="210"/>
    <w:bookmarkEnd w:id="211"/>
    <w:p w14:paraId="3CC96C9F">
      <w:pPr>
        <w:spacing w:line="360" w:lineRule="auto"/>
        <w:ind w:firstLine="482" w:firstLineChars="200"/>
        <w:rPr>
          <w:rFonts w:ascii="宋体" w:hAnsi="宋体" w:eastAsia="宋体" w:cs="宋体"/>
          <w:b/>
          <w:color w:val="auto"/>
          <w:sz w:val="24"/>
          <w:szCs w:val="24"/>
        </w:rPr>
      </w:pPr>
      <w:bookmarkStart w:id="212"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212"/>
    </w:p>
    <w:p w14:paraId="24EB0EA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6231F7DE">
      <w:pPr>
        <w:spacing w:line="360" w:lineRule="auto"/>
        <w:ind w:firstLine="482" w:firstLineChars="200"/>
        <w:rPr>
          <w:rFonts w:ascii="宋体" w:hAnsi="宋体" w:eastAsia="宋体" w:cs="宋体"/>
          <w:b/>
          <w:color w:val="auto"/>
          <w:sz w:val="24"/>
          <w:szCs w:val="24"/>
        </w:rPr>
      </w:pPr>
      <w:bookmarkStart w:id="213"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213"/>
    </w:p>
    <w:p w14:paraId="75A276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5EBC538D">
      <w:pPr>
        <w:spacing w:line="360" w:lineRule="auto"/>
        <w:ind w:firstLine="482" w:firstLineChars="200"/>
        <w:rPr>
          <w:rFonts w:ascii="宋体" w:hAnsi="宋体" w:eastAsia="宋体" w:cs="宋体"/>
          <w:b/>
          <w:color w:val="auto"/>
          <w:sz w:val="24"/>
          <w:szCs w:val="24"/>
        </w:rPr>
      </w:pPr>
      <w:bookmarkStart w:id="214"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214"/>
    </w:p>
    <w:p w14:paraId="3E76A8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62EC96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215" w:name="_Toc20258_WPSOffice_Level2"/>
      <w:r>
        <w:rPr>
          <w:rFonts w:hint="eastAsia" w:ascii="宋体" w:hAnsi="宋体" w:eastAsia="宋体" w:cs="宋体"/>
          <w:color w:val="auto"/>
          <w:sz w:val="24"/>
          <w:szCs w:val="24"/>
        </w:rPr>
        <w:t>人机安全的目的。</w:t>
      </w:r>
      <w:bookmarkEnd w:id="215"/>
    </w:p>
    <w:p w14:paraId="21EFFBB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6408C79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216" w:name="_Toc12226_WPSOffice_Level2"/>
      <w:r>
        <w:rPr>
          <w:rFonts w:hint="eastAsia" w:ascii="宋体" w:hAnsi="宋体" w:eastAsia="宋体" w:cs="宋体"/>
          <w:color w:val="auto"/>
          <w:sz w:val="24"/>
          <w:szCs w:val="24"/>
        </w:rPr>
        <w:t>作为失压保护</w:t>
      </w:r>
      <w:bookmarkEnd w:id="216"/>
      <w:r>
        <w:rPr>
          <w:rFonts w:hint="eastAsia" w:ascii="宋体" w:hAnsi="宋体" w:eastAsia="宋体" w:cs="宋体"/>
          <w:color w:val="auto"/>
          <w:sz w:val="24"/>
          <w:szCs w:val="24"/>
        </w:rPr>
        <w:t>装置，当供电电源中断时,能够自动断开电源。</w:t>
      </w:r>
    </w:p>
    <w:p w14:paraId="12F75D7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0E018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217" w:name="_Toc29864_WPSOffice_Level1"/>
      <w:r>
        <w:rPr>
          <w:rFonts w:hint="eastAsia" w:ascii="宋体" w:hAnsi="宋体" w:eastAsia="宋体" w:cs="宋体"/>
          <w:color w:val="auto"/>
          <w:sz w:val="24"/>
          <w:szCs w:val="24"/>
        </w:rPr>
        <w:t>的电动机才能启动工作。</w:t>
      </w:r>
      <w:bookmarkEnd w:id="217"/>
    </w:p>
    <w:p w14:paraId="394FF6E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594A38A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688E10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3F1FEB8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218" w:name="_Toc27220_WPSOffice_Level2"/>
      <w:r>
        <w:rPr>
          <w:rFonts w:hint="eastAsia" w:ascii="宋体" w:hAnsi="宋体" w:eastAsia="宋体" w:cs="宋体"/>
          <w:color w:val="auto"/>
          <w:sz w:val="24"/>
          <w:szCs w:val="24"/>
        </w:rPr>
        <w:t>车的目的，确保起重机的</w:t>
      </w:r>
      <w:bookmarkEnd w:id="218"/>
      <w:r>
        <w:rPr>
          <w:rFonts w:hint="eastAsia" w:ascii="宋体" w:hAnsi="宋体" w:eastAsia="宋体" w:cs="宋体"/>
          <w:color w:val="auto"/>
          <w:sz w:val="24"/>
          <w:szCs w:val="24"/>
        </w:rPr>
        <w:t>安全运行。</w:t>
      </w:r>
    </w:p>
    <w:p w14:paraId="3858599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53809C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EAC83A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0D302959">
      <w:pPr>
        <w:spacing w:line="360" w:lineRule="auto"/>
        <w:ind w:firstLine="482" w:firstLineChars="200"/>
        <w:rPr>
          <w:rFonts w:ascii="宋体" w:hAnsi="宋体" w:eastAsia="宋体" w:cs="宋体"/>
          <w:b/>
          <w:color w:val="auto"/>
          <w:sz w:val="24"/>
          <w:szCs w:val="24"/>
        </w:rPr>
      </w:pPr>
      <w:bookmarkStart w:id="219" w:name="_Toc530055703"/>
      <w:bookmarkStart w:id="220"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219"/>
    </w:p>
    <w:p w14:paraId="61C372E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153CA5CB">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2838F6E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220"/>
    </w:p>
    <w:p w14:paraId="3A811E9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73481A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367793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3EBB7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53BA3E20">
      <w:pPr>
        <w:spacing w:line="360" w:lineRule="auto"/>
        <w:ind w:firstLine="482" w:firstLineChars="200"/>
        <w:rPr>
          <w:rFonts w:ascii="宋体" w:hAnsi="宋体" w:eastAsia="宋体" w:cs="宋体"/>
          <w:b/>
          <w:color w:val="auto"/>
          <w:sz w:val="24"/>
          <w:szCs w:val="24"/>
        </w:rPr>
      </w:pPr>
      <w:bookmarkStart w:id="221"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221"/>
    </w:p>
    <w:p w14:paraId="4705B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7DD770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9FB59CB">
      <w:pPr>
        <w:spacing w:line="360" w:lineRule="auto"/>
        <w:ind w:firstLine="482" w:firstLineChars="200"/>
        <w:rPr>
          <w:rFonts w:ascii="宋体" w:hAnsi="宋体" w:eastAsia="宋体" w:cs="宋体"/>
          <w:b/>
          <w:color w:val="auto"/>
          <w:sz w:val="24"/>
          <w:szCs w:val="24"/>
        </w:rPr>
      </w:pPr>
      <w:bookmarkStart w:id="222"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222"/>
    </w:p>
    <w:p w14:paraId="298C1E8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3A83EB4F">
      <w:pPr>
        <w:pStyle w:val="81"/>
        <w:jc w:val="left"/>
        <w:rPr>
          <w:rFonts w:hint="eastAsia"/>
          <w:color w:val="auto"/>
        </w:rPr>
      </w:pPr>
      <w:r>
        <w:rPr>
          <w:rFonts w:hint="eastAsia"/>
          <w:color w:val="auto"/>
        </w:rPr>
        <w:t>2）总受电屏和各机构控制屏中的布线采用铜导线和铜排。</w:t>
      </w:r>
    </w:p>
    <w:bookmarkEnd w:id="159"/>
    <w:bookmarkEnd w:id="160"/>
    <w:bookmarkEnd w:id="161"/>
    <w:bookmarkEnd w:id="162"/>
    <w:bookmarkEnd w:id="163"/>
    <w:bookmarkEnd w:id="164"/>
    <w:p w14:paraId="6769ED84">
      <w:pPr>
        <w:pStyle w:val="2"/>
        <w:spacing w:before="156" w:after="156"/>
        <w:rPr>
          <w:color w:val="auto"/>
        </w:rPr>
      </w:pPr>
      <w:bookmarkStart w:id="223" w:name="_Toc40778447"/>
      <w:bookmarkStart w:id="224" w:name="_Toc1676"/>
      <w:bookmarkStart w:id="225" w:name="_Toc15539"/>
      <w:bookmarkStart w:id="226" w:name="_Toc2870"/>
      <w:r>
        <w:rPr>
          <w:rFonts w:hint="eastAsia"/>
          <w:color w:val="auto"/>
        </w:rPr>
        <w:t>施工管理及作业人员配备和分工</w:t>
      </w:r>
      <w:bookmarkEnd w:id="223"/>
      <w:bookmarkEnd w:id="224"/>
      <w:bookmarkEnd w:id="225"/>
      <w:bookmarkEnd w:id="226"/>
    </w:p>
    <w:p w14:paraId="56E43FD4">
      <w:pPr>
        <w:pStyle w:val="3"/>
        <w:numPr>
          <w:ilvl w:val="0"/>
          <w:numId w:val="0"/>
        </w:numPr>
        <w:ind w:left="420" w:leftChars="0"/>
        <w:rPr>
          <w:color w:val="auto"/>
        </w:rPr>
      </w:pPr>
      <w:bookmarkStart w:id="227" w:name="_Toc14394"/>
      <w:r>
        <w:rPr>
          <w:rFonts w:hint="eastAsia"/>
          <w:color w:val="auto"/>
          <w:lang w:val="en-US" w:eastAsia="zh-CN"/>
        </w:rPr>
        <w:t>7.1</w:t>
      </w:r>
      <w:r>
        <w:rPr>
          <w:rFonts w:hint="eastAsia"/>
          <w:color w:val="auto"/>
        </w:rPr>
        <w:t>施工组织机构</w:t>
      </w:r>
      <w:bookmarkEnd w:id="227"/>
    </w:p>
    <w:p w14:paraId="41F4C9F4">
      <w:pPr>
        <w:pStyle w:val="72"/>
        <w:spacing w:before="156"/>
        <w:ind w:firstLine="422"/>
        <w:jc w:val="center"/>
        <w:rPr>
          <w:rFonts w:ascii="宋体" w:hAnsi="宋体" w:eastAsia="宋体" w:cs="黑体"/>
          <w:b/>
          <w:color w:val="auto"/>
          <w:sz w:val="21"/>
          <w:szCs w:val="21"/>
        </w:rPr>
      </w:pPr>
      <w:r>
        <w:rPr>
          <w:color w:val="auto"/>
        </w:rPr>
        <w:drawing>
          <wp:inline distT="0" distB="0" distL="0" distR="0">
            <wp:extent cx="5168900" cy="2391410"/>
            <wp:effectExtent l="0" t="0" r="12700" b="8890"/>
            <wp:docPr id="128" name="图片 1124"/>
            <wp:cNvGraphicFramePr/>
            <a:graphic xmlns:a="http://schemas.openxmlformats.org/drawingml/2006/main">
              <a:graphicData uri="http://schemas.openxmlformats.org/drawingml/2006/picture">
                <pic:pic xmlns:pic="http://schemas.openxmlformats.org/drawingml/2006/picture">
                  <pic:nvPicPr>
                    <pic:cNvPr id="128" name="图片 1124"/>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168900" cy="2391410"/>
                    </a:xfrm>
                    <a:prstGeom prst="rect">
                      <a:avLst/>
                    </a:prstGeom>
                    <a:noFill/>
                    <a:ln>
                      <a:noFill/>
                    </a:ln>
                  </pic:spPr>
                </pic:pic>
              </a:graphicData>
            </a:graphic>
          </wp:inline>
        </w:drawing>
      </w:r>
      <w:r>
        <w:rPr>
          <w:rFonts w:hint="eastAsia" w:ascii="宋体" w:hAnsi="宋体" w:eastAsia="宋体" w:cs="黑体"/>
          <w:b/>
          <w:color w:val="auto"/>
          <w:sz w:val="21"/>
          <w:szCs w:val="21"/>
        </w:rPr>
        <w:t>图</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.1</w:t>
      </w:r>
      <w:r>
        <w:rPr>
          <w:rFonts w:hint="eastAsia" w:ascii="宋体" w:hAnsi="宋体" w:eastAsia="宋体" w:cs="黑体"/>
          <w:b/>
          <w:color w:val="auto"/>
          <w:sz w:val="21"/>
          <w:szCs w:val="21"/>
        </w:rPr>
        <w:t>-</w:t>
      </w:r>
      <w:r>
        <w:rPr>
          <w:rFonts w:ascii="宋体" w:hAnsi="宋体" w:eastAsia="宋体" w:cs="黑体"/>
          <w:b/>
          <w:color w:val="auto"/>
          <w:sz w:val="21"/>
          <w:szCs w:val="21"/>
        </w:rPr>
        <w:t xml:space="preserve">1 </w:t>
      </w:r>
      <w:r>
        <w:rPr>
          <w:rFonts w:hint="eastAsia" w:ascii="宋体" w:hAnsi="宋体" w:eastAsia="宋体" w:cs="黑体"/>
          <w:b/>
          <w:color w:val="auto"/>
          <w:sz w:val="21"/>
          <w:szCs w:val="21"/>
        </w:rPr>
        <w:t>施工组织机构图</w:t>
      </w:r>
    </w:p>
    <w:p w14:paraId="762A42B1">
      <w:pPr>
        <w:pStyle w:val="3"/>
        <w:numPr>
          <w:ilvl w:val="0"/>
          <w:numId w:val="0"/>
        </w:numPr>
        <w:ind w:left="420" w:leftChars="0"/>
        <w:rPr>
          <w:color w:val="auto"/>
        </w:rPr>
      </w:pPr>
      <w:bookmarkStart w:id="228" w:name="_Toc25769"/>
      <w:bookmarkStart w:id="229" w:name="_Toc29137"/>
      <w:bookmarkStart w:id="230" w:name="_Toc4255"/>
      <w:bookmarkStart w:id="231" w:name="_Toc40778457"/>
      <w:bookmarkStart w:id="232" w:name="_Toc365"/>
      <w:r>
        <w:rPr>
          <w:rFonts w:hint="eastAsia"/>
          <w:color w:val="auto"/>
          <w:lang w:val="en-US" w:eastAsia="zh-CN"/>
        </w:rPr>
        <w:t>7</w:t>
      </w:r>
      <w:r>
        <w:rPr>
          <w:rFonts w:hint="eastAsia" w:eastAsia="宋体"/>
          <w:color w:val="auto"/>
          <w:lang w:val="en-US" w:eastAsia="zh-CN"/>
        </w:rPr>
        <w:t>.2人员配置</w:t>
      </w:r>
    </w:p>
    <w:p w14:paraId="30751284">
      <w:pPr>
        <w:pStyle w:val="13"/>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32C28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themeFill="text2" w:themeFillTint="32"/>
            <w:vAlign w:val="center"/>
          </w:tcPr>
          <w:p w14:paraId="773BE4CE">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themeFill="text2" w:themeFillTint="32"/>
            <w:vAlign w:val="center"/>
          </w:tcPr>
          <w:p w14:paraId="0CEEC543">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themeFill="text2" w:themeFillTint="32"/>
            <w:vAlign w:val="center"/>
          </w:tcPr>
          <w:p w14:paraId="272A1B3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614E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D77B05A">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384BB41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ascii="Times New Roman" w:hAnsi="Times New Roman" w:eastAsia="宋体" w:cs="Times New Roman"/>
                <w:snapToGrid/>
                <w:color w:val="auto"/>
                <w:kern w:val="2"/>
                <w:sz w:val="21"/>
                <w:szCs w:val="21"/>
                <w:lang w:val="en-US" w:eastAsia="zh-CN" w:bidi="ar-SA"/>
              </w:rPr>
              <w:t>明兴富</w:t>
            </w:r>
          </w:p>
        </w:tc>
        <w:tc>
          <w:tcPr>
            <w:tcW w:w="6353" w:type="dxa"/>
            <w:tcBorders>
              <w:tl2br w:val="nil"/>
              <w:tr2bl w:val="nil"/>
            </w:tcBorders>
            <w:vAlign w:val="center"/>
          </w:tcPr>
          <w:p w14:paraId="146546D8">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57E29B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77BBF37D">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433941F6">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3B143FBB">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2ABDB58">
      <w:pPr>
        <w:pStyle w:val="49"/>
        <w:rPr>
          <w:rFonts w:hint="eastAsia"/>
          <w:color w:val="auto"/>
        </w:rPr>
      </w:pPr>
    </w:p>
    <w:p w14:paraId="161A70DF">
      <w:pPr>
        <w:pStyle w:val="13"/>
        <w:ind w:firstLine="422"/>
        <w:jc w:val="center"/>
        <w:rPr>
          <w:rFonts w:hint="eastAsia" w:ascii="Times New Roman" w:hAnsi="Times New Roman" w:eastAsia="宋体"/>
          <w:b/>
          <w:color w:val="auto"/>
          <w:sz w:val="21"/>
          <w:szCs w:val="24"/>
          <w:lang w:val="en-US" w:eastAsia="zh-CN"/>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w:t>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lang w:val="en-US" w:eastAsia="zh-CN"/>
        </w:rPr>
        <w:t>2</w:t>
      </w:r>
      <w:r>
        <w:rPr>
          <w:rFonts w:hint="eastAsia" w:ascii="Times New Roman" w:hAnsi="Times New Roman" w:eastAsia="宋体"/>
          <w:b/>
          <w:color w:val="auto"/>
          <w:sz w:val="21"/>
          <w:szCs w:val="24"/>
          <w:lang w:eastAsia="zh-CN"/>
        </w:rPr>
        <w:t>-</w:t>
      </w:r>
      <w:r>
        <w:rPr>
          <w:rFonts w:hint="eastAsia" w:ascii="Times New Roman" w:hAnsi="Times New Roman" w:eastAsia="宋体"/>
          <w:b/>
          <w:color w:val="auto"/>
          <w:sz w:val="21"/>
          <w:szCs w:val="24"/>
          <w:lang w:val="en-US" w:eastAsia="zh-CN"/>
        </w:rPr>
        <w:t>2拆除单位人员分工一览表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417A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5ECB788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0F9B0FE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7653D9A0">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575C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088BBD4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项目负责人</w:t>
            </w:r>
          </w:p>
        </w:tc>
        <w:tc>
          <w:tcPr>
            <w:tcW w:w="1221" w:type="dxa"/>
            <w:noWrap w:val="0"/>
            <w:vAlign w:val="center"/>
          </w:tcPr>
          <w:p w14:paraId="7BCC376C">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Times New Roman" w:hAnsi="Times New Roman" w:eastAsia="宋体" w:cs="Times New Roman"/>
                <w:color w:val="auto"/>
                <w:sz w:val="21"/>
                <w:szCs w:val="21"/>
                <w:lang w:val="en-US" w:eastAsia="zh-CN"/>
              </w:rPr>
              <w:t>明兴富</w:t>
            </w:r>
          </w:p>
        </w:tc>
        <w:tc>
          <w:tcPr>
            <w:tcW w:w="6270" w:type="dxa"/>
            <w:tcBorders>
              <w:right w:val="single" w:color="auto" w:sz="12" w:space="0"/>
            </w:tcBorders>
            <w:noWrap w:val="0"/>
            <w:vAlign w:val="center"/>
          </w:tcPr>
          <w:p w14:paraId="1A6D50FB">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全过程的安全负全责</w:t>
            </w:r>
          </w:p>
        </w:tc>
      </w:tr>
      <w:tr w14:paraId="0906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26193AD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技术负责人</w:t>
            </w:r>
          </w:p>
        </w:tc>
        <w:tc>
          <w:tcPr>
            <w:tcW w:w="1221" w:type="dxa"/>
            <w:noWrap w:val="0"/>
            <w:vAlign w:val="top"/>
          </w:tcPr>
          <w:p w14:paraId="02CF9D02">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温涛</w:t>
            </w:r>
          </w:p>
        </w:tc>
        <w:tc>
          <w:tcPr>
            <w:tcW w:w="6270" w:type="dxa"/>
            <w:tcBorders>
              <w:right w:val="single" w:color="auto" w:sz="12" w:space="0"/>
            </w:tcBorders>
            <w:noWrap w:val="0"/>
            <w:vAlign w:val="center"/>
          </w:tcPr>
          <w:p w14:paraId="56CEE982">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6ED7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248FBF45">
            <w:pPr>
              <w:adjustRightInd w:val="0"/>
              <w:spacing w:line="240" w:lineRule="auto"/>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专职安全员</w:t>
            </w:r>
          </w:p>
        </w:tc>
        <w:tc>
          <w:tcPr>
            <w:tcW w:w="1221" w:type="dxa"/>
            <w:noWrap w:val="0"/>
            <w:vAlign w:val="top"/>
          </w:tcPr>
          <w:p w14:paraId="0FBABA09">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02CC8396">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701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26B7D199">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7089C3AA">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7CB3F495">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、升降塔过程中对塔机进行操作。严守操作规程，严格按照日常保养维护检查，确保塔吊处于良好状态。</w:t>
            </w:r>
          </w:p>
        </w:tc>
      </w:tr>
      <w:tr w14:paraId="45F8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648D2D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拆除人员</w:t>
            </w:r>
          </w:p>
        </w:tc>
        <w:tc>
          <w:tcPr>
            <w:tcW w:w="1221" w:type="dxa"/>
            <w:noWrap w:val="0"/>
            <w:vAlign w:val="top"/>
          </w:tcPr>
          <w:p w14:paraId="71B4750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33F45B87">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485B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8D9B53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拆除人员</w:t>
            </w:r>
          </w:p>
        </w:tc>
        <w:tc>
          <w:tcPr>
            <w:tcW w:w="1221" w:type="dxa"/>
            <w:noWrap w:val="0"/>
            <w:vAlign w:val="top"/>
          </w:tcPr>
          <w:p w14:paraId="1B165D51">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2F98A20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1FCA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AB4F27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拆除人员</w:t>
            </w:r>
          </w:p>
        </w:tc>
        <w:tc>
          <w:tcPr>
            <w:tcW w:w="1221" w:type="dxa"/>
            <w:noWrap w:val="0"/>
            <w:vAlign w:val="top"/>
          </w:tcPr>
          <w:p w14:paraId="35C655E0">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王祯权</w:t>
            </w:r>
          </w:p>
        </w:tc>
        <w:tc>
          <w:tcPr>
            <w:tcW w:w="6270" w:type="dxa"/>
            <w:tcBorders>
              <w:right w:val="single" w:color="auto" w:sz="12" w:space="0"/>
            </w:tcBorders>
            <w:noWrap w:val="0"/>
            <w:vAlign w:val="center"/>
          </w:tcPr>
          <w:p w14:paraId="18974057">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CD5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F29F84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拆除人员</w:t>
            </w:r>
          </w:p>
        </w:tc>
        <w:tc>
          <w:tcPr>
            <w:tcW w:w="1221" w:type="dxa"/>
            <w:noWrap w:val="0"/>
            <w:vAlign w:val="top"/>
          </w:tcPr>
          <w:p w14:paraId="177D0574">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02EF09C">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cs="宋体"/>
                <w:bCs/>
                <w:color w:val="auto"/>
                <w:sz w:val="21"/>
                <w:szCs w:val="21"/>
                <w:lang w:eastAsia="zh-CN"/>
              </w:rPr>
              <w:t>拆除</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E0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33E04E4D">
            <w:pPr>
              <w:adjustRightInd w:val="0"/>
              <w:spacing w:line="240" w:lineRule="auto"/>
              <w:ind w:firstLine="0" w:firstLineChars="0"/>
              <w:jc w:val="center"/>
              <w:rPr>
                <w:rFonts w:hint="eastAsia" w:ascii="宋体" w:hAnsi="宋体" w:eastAsia="宋体" w:cs="宋体"/>
                <w:bCs/>
                <w:color w:val="auto"/>
                <w:sz w:val="21"/>
                <w:szCs w:val="21"/>
              </w:rPr>
            </w:pPr>
            <w:r>
              <w:rPr>
                <w:rStyle w:val="79"/>
                <w:rFonts w:hint="eastAsia" w:cstheme="minorBidi"/>
                <w:b w:val="0"/>
                <w:color w:val="000000"/>
                <w:lang w:val="en-US" w:eastAsia="zh-CN"/>
              </w:rPr>
              <w:t>信号司索工</w:t>
            </w:r>
          </w:p>
        </w:tc>
        <w:tc>
          <w:tcPr>
            <w:tcW w:w="1221" w:type="dxa"/>
            <w:noWrap w:val="0"/>
            <w:vAlign w:val="top"/>
          </w:tcPr>
          <w:p w14:paraId="222234DF">
            <w:pPr>
              <w:ind w:left="0" w:leftChars="0" w:firstLine="0" w:firstLineChars="0"/>
              <w:jc w:val="center"/>
              <w:rPr>
                <w:rFonts w:hint="default" w:ascii="Times New Roman" w:hAnsi="Times New Roman" w:cs="Times New Roman"/>
                <w:color w:val="auto"/>
                <w:sz w:val="21"/>
                <w:szCs w:val="21"/>
                <w:lang w:val="en-US" w:eastAsia="zh-CN"/>
              </w:rPr>
            </w:pPr>
            <w:r>
              <w:rPr>
                <w:rFonts w:hint="eastAsia"/>
              </w:rPr>
              <w:t>张全超</w:t>
            </w:r>
          </w:p>
        </w:tc>
        <w:tc>
          <w:tcPr>
            <w:tcW w:w="6270" w:type="dxa"/>
            <w:tcBorders>
              <w:right w:val="single" w:color="auto" w:sz="12" w:space="0"/>
            </w:tcBorders>
            <w:noWrap w:val="0"/>
            <w:vAlign w:val="center"/>
          </w:tcPr>
          <w:p w14:paraId="5D0D25F2">
            <w:pPr>
              <w:adjustRightInd w:val="0"/>
              <w:spacing w:line="240" w:lineRule="auto"/>
              <w:ind w:firstLine="0" w:firstLineChars="0"/>
              <w:jc w:val="center"/>
              <w:rPr>
                <w:rFonts w:hint="eastAsia" w:ascii="宋体" w:hAnsi="宋体" w:eastAsia="宋体" w:cs="宋体"/>
                <w:bCs/>
                <w:color w:val="auto"/>
                <w:sz w:val="21"/>
                <w:szCs w:val="21"/>
                <w:lang w:eastAsia="zh-CN"/>
              </w:rPr>
            </w:pPr>
            <w:r>
              <w:rPr>
                <w:rStyle w:val="79"/>
                <w:rFonts w:cstheme="minorBidi"/>
                <w:b w:val="0"/>
                <w:color w:val="000000"/>
              </w:rPr>
              <w:t>负责吊具、索具的操作</w:t>
            </w:r>
            <w:r>
              <w:rPr>
                <w:rStyle w:val="79"/>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3A63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D0199DD">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2466216A">
            <w:pPr>
              <w:ind w:left="0" w:leftChars="0" w:firstLine="0" w:firstLineChars="0"/>
              <w:jc w:val="center"/>
              <w:rPr>
                <w:rFonts w:hint="eastAsia" w:ascii="宋体" w:hAnsi="宋体" w:eastAsia="宋体" w:cs="宋体"/>
                <w:bCs/>
                <w:color w:val="auto"/>
                <w:sz w:val="21"/>
                <w:szCs w:val="21"/>
                <w:lang w:eastAsia="zh-CN"/>
              </w:rPr>
            </w:pPr>
            <w:r>
              <w:rPr>
                <w:rFonts w:hint="default" w:ascii="Times New Roman" w:hAnsi="Times New Roman" w:cs="Times New Roman"/>
                <w:color w:val="auto"/>
                <w:sz w:val="21"/>
                <w:szCs w:val="21"/>
                <w:lang w:val="en-US" w:eastAsia="zh-CN"/>
              </w:rPr>
              <w:t>蒲贵良</w:t>
            </w:r>
          </w:p>
        </w:tc>
        <w:tc>
          <w:tcPr>
            <w:tcW w:w="6270" w:type="dxa"/>
            <w:tcBorders>
              <w:right w:val="single" w:color="auto" w:sz="12" w:space="0"/>
            </w:tcBorders>
            <w:noWrap w:val="0"/>
            <w:vAlign w:val="center"/>
          </w:tcPr>
          <w:p w14:paraId="5E1BAF8C">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tbl>
    <w:p w14:paraId="269B4FAF">
      <w:pPr>
        <w:pStyle w:val="72"/>
        <w:spacing w:before="156"/>
        <w:ind w:left="0" w:leftChars="0" w:firstLine="0" w:firstLineChars="0"/>
        <w:jc w:val="both"/>
        <w:rPr>
          <w:rFonts w:hint="eastAsia" w:ascii="宋体" w:hAnsi="宋体" w:eastAsia="宋体" w:cs="宋体"/>
          <w:b/>
          <w:color w:val="auto"/>
          <w:sz w:val="21"/>
          <w:szCs w:val="21"/>
          <w:lang w:val="en-US" w:eastAsia="zh-CN"/>
        </w:rPr>
      </w:pPr>
    </w:p>
    <w:p w14:paraId="12380856">
      <w:pPr>
        <w:pStyle w:val="72"/>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w:t>
      </w:r>
      <w:r>
        <w:rPr>
          <w:rFonts w:hint="eastAsia" w:ascii="宋体" w:hAnsi="宋体" w:eastAsia="宋体" w:cs="黑体"/>
          <w:b/>
          <w:color w:val="auto"/>
          <w:sz w:val="21"/>
          <w:szCs w:val="21"/>
          <w:lang w:val="en-US" w:eastAsia="zh-CN"/>
        </w:rPr>
        <w:t>2</w:t>
      </w:r>
      <w:r>
        <w:rPr>
          <w:rFonts w:ascii="宋体" w:hAnsi="宋体" w:eastAsia="宋体" w:cs="黑体"/>
          <w:b/>
          <w:color w:val="auto"/>
          <w:sz w:val="21"/>
          <w:szCs w:val="21"/>
        </w:rPr>
        <w:t>-</w:t>
      </w:r>
      <w:r>
        <w:rPr>
          <w:rFonts w:hint="eastAsia" w:ascii="宋体" w:hAnsi="宋体" w:eastAsia="宋体" w:cs="黑体"/>
          <w:b/>
          <w:color w:val="auto"/>
          <w:sz w:val="21"/>
          <w:szCs w:val="21"/>
          <w:lang w:val="en-US" w:eastAsia="zh-CN"/>
        </w:rPr>
        <w:t>3拆除</w:t>
      </w:r>
      <w:r>
        <w:rPr>
          <w:rFonts w:ascii="宋体" w:hAnsi="宋体" w:eastAsia="宋体" w:cs="黑体"/>
          <w:b/>
          <w:color w:val="auto"/>
          <w:sz w:val="21"/>
          <w:szCs w:val="21"/>
        </w:rPr>
        <w:t>作业人员</w:t>
      </w:r>
    </w:p>
    <w:tbl>
      <w:tblPr>
        <w:tblStyle w:val="29"/>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30BC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35DC421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68B19A91">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18FE12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15022D4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44E991F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093276F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22CF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7E211CE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tcPr>
          <w:p w14:paraId="7709D2F7">
            <w:pPr>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lang w:val="en-US" w:eastAsia="zh-CN"/>
              </w:rPr>
              <w:t>明兴富</w:t>
            </w:r>
          </w:p>
        </w:tc>
        <w:tc>
          <w:tcPr>
            <w:tcW w:w="975" w:type="dxa"/>
          </w:tcPr>
          <w:p w14:paraId="054DD75D">
            <w:pPr>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男</w:t>
            </w:r>
          </w:p>
        </w:tc>
        <w:tc>
          <w:tcPr>
            <w:tcW w:w="1845" w:type="dxa"/>
          </w:tcPr>
          <w:p w14:paraId="49AE8DA2">
            <w:pPr>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tcPr>
          <w:p w14:paraId="2A416A22">
            <w:pPr>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sz w:val="22"/>
                <w:szCs w:val="20"/>
              </w:rPr>
              <w:t>川建安C3(202</w:t>
            </w:r>
            <w:r>
              <w:rPr>
                <w:rFonts w:hint="eastAsia"/>
                <w:sz w:val="22"/>
                <w:szCs w:val="20"/>
                <w:lang w:val="en-US" w:eastAsia="zh-CN"/>
              </w:rPr>
              <w:t>2</w:t>
            </w:r>
            <w:r>
              <w:rPr>
                <w:rFonts w:hint="eastAsia"/>
                <w:sz w:val="22"/>
                <w:szCs w:val="20"/>
              </w:rPr>
              <w:t>)</w:t>
            </w:r>
            <w:r>
              <w:rPr>
                <w:rFonts w:hint="eastAsia"/>
                <w:sz w:val="22"/>
                <w:szCs w:val="20"/>
                <w:lang w:val="en-US" w:eastAsia="zh-CN"/>
              </w:rPr>
              <w:t>1005225</w:t>
            </w:r>
          </w:p>
        </w:tc>
        <w:tc>
          <w:tcPr>
            <w:tcW w:w="2475" w:type="dxa"/>
          </w:tcPr>
          <w:p w14:paraId="19D0A843">
            <w:pPr>
              <w:ind w:left="0" w:leftChars="0" w:firstLine="0" w:firstLineChars="0"/>
              <w:jc w:val="center"/>
              <w:rPr>
                <w:rFonts w:hint="default" w:ascii="Times New Roman" w:hAnsi="Times New Roman" w:cs="Times New Roman"/>
                <w:color w:val="auto"/>
                <w:sz w:val="21"/>
                <w:szCs w:val="21"/>
                <w:highlight w:val="green"/>
                <w:lang w:val="en-US" w:eastAsia="zh-CN"/>
              </w:rPr>
            </w:pPr>
            <w:r>
              <w:rPr>
                <w:rFonts w:hint="eastAsia"/>
                <w:sz w:val="22"/>
                <w:szCs w:val="20"/>
                <w:lang w:val="en-US" w:eastAsia="zh-CN"/>
              </w:rPr>
              <w:t>510322197807274712</w:t>
            </w:r>
          </w:p>
        </w:tc>
      </w:tr>
      <w:tr w14:paraId="0143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558FB2D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tcPr>
          <w:p w14:paraId="267953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温涛</w:t>
            </w:r>
          </w:p>
        </w:tc>
        <w:tc>
          <w:tcPr>
            <w:tcW w:w="975" w:type="dxa"/>
          </w:tcPr>
          <w:p w14:paraId="371A4F4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7E11B29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tcPr>
          <w:p w14:paraId="3082928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鲁200100033201097</w:t>
            </w:r>
          </w:p>
        </w:tc>
        <w:tc>
          <w:tcPr>
            <w:tcW w:w="2475" w:type="dxa"/>
          </w:tcPr>
          <w:p w14:paraId="7BCD4466">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412801198705060316</w:t>
            </w:r>
          </w:p>
        </w:tc>
      </w:tr>
      <w:tr w14:paraId="11EF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6CBFCC1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tcPr>
          <w:p w14:paraId="791D06E8">
            <w:pPr>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白美富</w:t>
            </w:r>
          </w:p>
        </w:tc>
        <w:tc>
          <w:tcPr>
            <w:tcW w:w="975" w:type="dxa"/>
          </w:tcPr>
          <w:p w14:paraId="150FF084">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tcPr>
          <w:p w14:paraId="00AC6768">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tcPr>
          <w:p w14:paraId="652C564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川建安C3（2023）0080797</w:t>
            </w:r>
          </w:p>
        </w:tc>
        <w:tc>
          <w:tcPr>
            <w:tcW w:w="2475" w:type="dxa"/>
          </w:tcPr>
          <w:p w14:paraId="44443816">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510113198801248019</w:t>
            </w:r>
          </w:p>
        </w:tc>
      </w:tr>
      <w:tr w14:paraId="485D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226F98F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tcPr>
          <w:p w14:paraId="0DD6E032">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彭兴华</w:t>
            </w:r>
          </w:p>
        </w:tc>
        <w:tc>
          <w:tcPr>
            <w:tcW w:w="975" w:type="dxa"/>
          </w:tcPr>
          <w:p w14:paraId="1572289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571E18E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tcPr>
          <w:p w14:paraId="2687BBC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川M052019700224</w:t>
            </w:r>
          </w:p>
        </w:tc>
        <w:tc>
          <w:tcPr>
            <w:tcW w:w="2475" w:type="dxa"/>
            <w:vAlign w:val="top"/>
          </w:tcPr>
          <w:p w14:paraId="3369FEE8">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510923198703045214</w:t>
            </w:r>
          </w:p>
        </w:tc>
      </w:tr>
      <w:tr w14:paraId="4A01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89" w:type="dxa"/>
          </w:tcPr>
          <w:p w14:paraId="11464DA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top"/>
          </w:tcPr>
          <w:p w14:paraId="5FCB71A1">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黄科</w:t>
            </w:r>
          </w:p>
        </w:tc>
        <w:tc>
          <w:tcPr>
            <w:tcW w:w="975" w:type="dxa"/>
          </w:tcPr>
          <w:p w14:paraId="2E778BD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0C7E6D2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top"/>
          </w:tcPr>
          <w:p w14:paraId="4DE459F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川A082023006932</w:t>
            </w:r>
          </w:p>
        </w:tc>
        <w:tc>
          <w:tcPr>
            <w:tcW w:w="2475" w:type="dxa"/>
            <w:vAlign w:val="top"/>
          </w:tcPr>
          <w:p w14:paraId="4F74EE23">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510113198609247470</w:t>
            </w:r>
          </w:p>
        </w:tc>
      </w:tr>
      <w:tr w14:paraId="010F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577E690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top"/>
          </w:tcPr>
          <w:p w14:paraId="0FBC4A23">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徐刚</w:t>
            </w:r>
          </w:p>
        </w:tc>
        <w:tc>
          <w:tcPr>
            <w:tcW w:w="975" w:type="dxa"/>
          </w:tcPr>
          <w:p w14:paraId="2ACCF136">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5D52692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top"/>
          </w:tcPr>
          <w:p w14:paraId="7F9F80F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川A082023007219</w:t>
            </w:r>
          </w:p>
        </w:tc>
        <w:tc>
          <w:tcPr>
            <w:tcW w:w="2475" w:type="dxa"/>
            <w:vAlign w:val="top"/>
          </w:tcPr>
          <w:p w14:paraId="7EB4EFD8">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500226198809275711</w:t>
            </w:r>
          </w:p>
        </w:tc>
      </w:tr>
      <w:tr w14:paraId="1BF7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5B57A66E">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vAlign w:val="top"/>
          </w:tcPr>
          <w:p w14:paraId="76DEB0F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王祯权</w:t>
            </w:r>
          </w:p>
        </w:tc>
        <w:tc>
          <w:tcPr>
            <w:tcW w:w="975" w:type="dxa"/>
          </w:tcPr>
          <w:p w14:paraId="4BE4F0D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7D3CF538">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top"/>
          </w:tcPr>
          <w:p w14:paraId="6E131B4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川A082023006934</w:t>
            </w:r>
          </w:p>
        </w:tc>
        <w:tc>
          <w:tcPr>
            <w:tcW w:w="2475" w:type="dxa"/>
            <w:vAlign w:val="top"/>
          </w:tcPr>
          <w:p w14:paraId="463784AF">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51012119840518667X</w:t>
            </w:r>
          </w:p>
        </w:tc>
      </w:tr>
      <w:tr w14:paraId="4AF7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196A4702">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vAlign w:val="top"/>
          </w:tcPr>
          <w:p w14:paraId="3F841D41">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黄仁训</w:t>
            </w:r>
          </w:p>
        </w:tc>
        <w:tc>
          <w:tcPr>
            <w:tcW w:w="975" w:type="dxa"/>
          </w:tcPr>
          <w:p w14:paraId="45FE12E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6A9BA4F0">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拆除</w:t>
            </w:r>
            <w:r>
              <w:rPr>
                <w:rFonts w:hint="default" w:ascii="Times New Roman" w:hAnsi="Times New Roman" w:cs="Times New Roman"/>
                <w:color w:val="auto"/>
                <w:sz w:val="21"/>
                <w:szCs w:val="21"/>
                <w:lang w:val="en-US" w:eastAsia="zh-CN"/>
              </w:rPr>
              <w:t>人员</w:t>
            </w:r>
          </w:p>
        </w:tc>
        <w:tc>
          <w:tcPr>
            <w:tcW w:w="2745" w:type="dxa"/>
            <w:vAlign w:val="top"/>
          </w:tcPr>
          <w:p w14:paraId="3EB0BC93">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川K082019700001</w:t>
            </w:r>
          </w:p>
        </w:tc>
        <w:tc>
          <w:tcPr>
            <w:tcW w:w="2475" w:type="dxa"/>
            <w:vAlign w:val="top"/>
          </w:tcPr>
          <w:p w14:paraId="43283633">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510113198608137413</w:t>
            </w:r>
          </w:p>
        </w:tc>
      </w:tr>
      <w:tr w14:paraId="1CAC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58452DE3">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vAlign w:val="top"/>
          </w:tcPr>
          <w:p w14:paraId="654FF874">
            <w:pPr>
              <w:ind w:left="0" w:leftChars="0" w:firstLine="0" w:firstLineChars="0"/>
              <w:jc w:val="center"/>
              <w:rPr>
                <w:rFonts w:hint="default" w:ascii="Times New Roman" w:hAnsi="Times New Roman" w:cs="Times New Roman"/>
                <w:color w:val="auto"/>
                <w:sz w:val="21"/>
                <w:szCs w:val="21"/>
                <w:lang w:val="en-US" w:eastAsia="zh-CN"/>
              </w:rPr>
            </w:pPr>
            <w:r>
              <w:rPr>
                <w:rFonts w:hint="eastAsia"/>
              </w:rPr>
              <w:t>张全超</w:t>
            </w:r>
          </w:p>
        </w:tc>
        <w:tc>
          <w:tcPr>
            <w:tcW w:w="975" w:type="dxa"/>
          </w:tcPr>
          <w:p w14:paraId="123815E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tcPr>
          <w:p w14:paraId="337E551B">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heme="minorBidi"/>
                <w:b w:val="0"/>
                <w:color w:val="000000"/>
                <w:lang w:val="en-US" w:eastAsia="zh-CN"/>
              </w:rPr>
              <w:t>信号司索工</w:t>
            </w:r>
          </w:p>
        </w:tc>
        <w:tc>
          <w:tcPr>
            <w:tcW w:w="2745" w:type="dxa"/>
            <w:vAlign w:val="top"/>
          </w:tcPr>
          <w:p w14:paraId="0DC7E403">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川A042023006936</w:t>
            </w:r>
          </w:p>
        </w:tc>
        <w:tc>
          <w:tcPr>
            <w:tcW w:w="2475" w:type="dxa"/>
            <w:vAlign w:val="top"/>
          </w:tcPr>
          <w:p w14:paraId="2C79376C">
            <w:pPr>
              <w:ind w:left="0" w:leftChars="0" w:firstLine="0" w:firstLineChars="0"/>
              <w:jc w:val="center"/>
              <w:rPr>
                <w:rFonts w:hint="eastAsia"/>
                <w:sz w:val="22"/>
                <w:szCs w:val="20"/>
              </w:rPr>
            </w:pPr>
            <w:r>
              <w:rPr>
                <w:rFonts w:hint="eastAsia"/>
                <w:sz w:val="22"/>
                <w:szCs w:val="20"/>
              </w:rPr>
              <w:t>510112197804090711</w:t>
            </w:r>
          </w:p>
        </w:tc>
      </w:tr>
      <w:tr w14:paraId="4AEB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28B866BB">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vAlign w:val="top"/>
          </w:tcPr>
          <w:p w14:paraId="6552A42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蒲贵良</w:t>
            </w:r>
          </w:p>
        </w:tc>
        <w:tc>
          <w:tcPr>
            <w:tcW w:w="975" w:type="dxa"/>
          </w:tcPr>
          <w:p w14:paraId="39112AD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tcPr>
          <w:p w14:paraId="50CC5FB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top"/>
          </w:tcPr>
          <w:p w14:paraId="1F33505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川A012023006940</w:t>
            </w:r>
          </w:p>
        </w:tc>
        <w:tc>
          <w:tcPr>
            <w:tcW w:w="2475" w:type="dxa"/>
            <w:vAlign w:val="top"/>
          </w:tcPr>
          <w:p w14:paraId="09ED3EAE">
            <w:pPr>
              <w:ind w:left="0" w:leftChars="0" w:firstLine="0" w:firstLineChars="0"/>
              <w:jc w:val="center"/>
              <w:rPr>
                <w:rFonts w:hint="default" w:ascii="Times New Roman" w:hAnsi="Times New Roman" w:cs="Times New Roman"/>
                <w:color w:val="auto"/>
                <w:sz w:val="21"/>
                <w:szCs w:val="21"/>
                <w:lang w:val="en-US" w:eastAsia="zh-CN"/>
              </w:rPr>
            </w:pPr>
            <w:r>
              <w:rPr>
                <w:rFonts w:hint="eastAsia"/>
                <w:sz w:val="22"/>
                <w:szCs w:val="20"/>
              </w:rPr>
              <w:t>510122196709181015</w:t>
            </w:r>
          </w:p>
        </w:tc>
      </w:tr>
    </w:tbl>
    <w:p w14:paraId="6D0D69F4">
      <w:pPr>
        <w:bidi w:val="0"/>
        <w:rPr>
          <w:rFonts w:hint="eastAsia"/>
          <w:lang w:val="en-US" w:eastAsia="zh-CN"/>
        </w:rPr>
      </w:pPr>
    </w:p>
    <w:bookmarkEnd w:id="228"/>
    <w:bookmarkEnd w:id="229"/>
    <w:p w14:paraId="23E10082">
      <w:pPr>
        <w:bidi w:val="0"/>
      </w:pPr>
    </w:p>
    <w:p w14:paraId="0B42193D">
      <w:pPr>
        <w:bidi w:val="0"/>
        <w:sectPr>
          <w:headerReference r:id="rId16" w:type="default"/>
          <w:footerReference r:id="rId17" w:type="default"/>
          <w:pgSz w:w="11906" w:h="16838"/>
          <w:pgMar w:top="1440" w:right="1800" w:bottom="1440" w:left="1800" w:header="851" w:footer="992" w:gutter="0"/>
          <w:pgNumType w:fmt="decimal"/>
          <w:cols w:space="425" w:num="1"/>
          <w:docGrid w:type="lines" w:linePitch="312" w:charSpace="0"/>
        </w:sectPr>
      </w:pPr>
      <w:bookmarkStart w:id="233" w:name="_Toc4766"/>
      <w:bookmarkStart w:id="234" w:name="_Toc32162"/>
      <w:bookmarkStart w:id="235" w:name="_Toc10409838"/>
    </w:p>
    <w:p w14:paraId="2D4D097F">
      <w:pPr>
        <w:pStyle w:val="2"/>
        <w:numPr>
          <w:ilvl w:val="0"/>
          <w:numId w:val="0"/>
        </w:numPr>
        <w:ind w:leftChars="0"/>
        <w:jc w:val="center"/>
        <w:outlineLvl w:val="0"/>
        <w:rPr>
          <w:rFonts w:hint="eastAsia"/>
          <w:color w:val="auto"/>
          <w:lang w:val="en-US" w:eastAsia="zh-CN"/>
        </w:rPr>
      </w:pPr>
      <w:bookmarkStart w:id="236" w:name="_Toc15357"/>
      <w:r>
        <w:rPr>
          <w:rFonts w:hint="eastAsia"/>
          <w:color w:val="auto"/>
          <w:lang w:val="en-US" w:eastAsia="zh-CN"/>
        </w:rPr>
        <w:t>8</w:t>
      </w:r>
      <w:r>
        <w:rPr>
          <w:rFonts w:hint="eastAsia"/>
          <w:color w:val="auto"/>
        </w:rPr>
        <w:t>应急处置</w:t>
      </w:r>
      <w:r>
        <w:rPr>
          <w:rFonts w:hint="eastAsia"/>
          <w:color w:val="auto"/>
          <w:lang w:eastAsia="zh-CN"/>
        </w:rPr>
        <w:t>措施</w:t>
      </w:r>
    </w:p>
    <w:p w14:paraId="0CE4AE36">
      <w:pPr>
        <w:pStyle w:val="3"/>
        <w:numPr>
          <w:ilvl w:val="0"/>
          <w:numId w:val="0"/>
        </w:numPr>
        <w:outlineLvl w:val="1"/>
        <w:rPr>
          <w:rFonts w:hint="eastAsia"/>
          <w:color w:val="auto"/>
        </w:rPr>
      </w:pPr>
      <w:r>
        <w:rPr>
          <w:rFonts w:hint="eastAsia"/>
          <w:color w:val="auto"/>
          <w:lang w:val="en-US" w:eastAsia="zh-CN"/>
        </w:rPr>
        <w:t xml:space="preserve">8.1 </w:t>
      </w:r>
      <w:r>
        <w:rPr>
          <w:rFonts w:hint="eastAsia"/>
          <w:color w:val="auto"/>
        </w:rPr>
        <w:t>危险源辨识</w:t>
      </w:r>
      <w:bookmarkEnd w:id="233"/>
      <w:bookmarkEnd w:id="234"/>
      <w:bookmarkEnd w:id="235"/>
      <w:bookmarkEnd w:id="236"/>
    </w:p>
    <w:p w14:paraId="050712E7">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2"/>
        <w:rPr>
          <w:rFonts w:hint="eastAsia" w:ascii="宋体" w:hAnsi="宋体" w:eastAsia="宋体" w:cs="宋体"/>
          <w:b/>
          <w:color w:val="auto"/>
          <w:szCs w:val="21"/>
          <w:lang w:val="en-US" w:eastAsia="zh-CN"/>
        </w:rPr>
      </w:pPr>
      <w:r>
        <w:rPr>
          <w:rFonts w:hint="eastAsia" w:cs="宋体"/>
          <w:b/>
          <w:bCs/>
          <w:color w:val="auto"/>
          <w:kern w:val="2"/>
          <w:sz w:val="24"/>
          <w:szCs w:val="24"/>
          <w:lang w:val="en-US" w:eastAsia="zh-CN" w:bidi="ar-SA"/>
        </w:rPr>
        <w:t>8</w:t>
      </w:r>
      <w:r>
        <w:rPr>
          <w:rFonts w:hint="eastAsia" w:ascii="宋体" w:hAnsi="宋体" w:eastAsia="宋体" w:cs="宋体"/>
          <w:b/>
          <w:bCs/>
          <w:color w:val="auto"/>
          <w:kern w:val="2"/>
          <w:sz w:val="24"/>
          <w:szCs w:val="24"/>
          <w:lang w:val="en-US" w:eastAsia="zh-CN" w:bidi="ar-SA"/>
        </w:rPr>
        <w:t>.1.1危险因素辨识</w:t>
      </w:r>
      <w:r>
        <w:rPr>
          <w:rFonts w:hint="eastAsia" w:ascii="宋体" w:hAnsi="宋体" w:eastAsia="宋体" w:cs="宋体"/>
          <w:b/>
          <w:color w:val="auto"/>
          <w:szCs w:val="21"/>
          <w:lang w:val="en-US" w:eastAsia="zh-CN"/>
        </w:rPr>
        <w:t>及评价</w:t>
      </w:r>
    </w:p>
    <w:p w14:paraId="40796811">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w:t>
      </w:r>
      <w:r>
        <w:rPr>
          <w:rFonts w:hint="eastAsia" w:cs="宋体"/>
          <w:b/>
          <w:color w:val="auto"/>
          <w:szCs w:val="21"/>
          <w:lang w:val="en-US" w:eastAsia="zh-CN"/>
        </w:rPr>
        <w:t>8</w:t>
      </w:r>
      <w:r>
        <w:rPr>
          <w:rFonts w:hint="eastAsia" w:ascii="宋体" w:hAnsi="宋体" w:eastAsia="宋体" w:cs="宋体"/>
          <w:b/>
          <w:color w:val="auto"/>
          <w:szCs w:val="21"/>
          <w:lang w:val="en-US" w:eastAsia="zh-CN"/>
        </w:rPr>
        <w:t>.1-1 中交二航局建筑公司危险有害因素辨识及评价表</w:t>
      </w:r>
    </w:p>
    <w:tbl>
      <w:tblPr>
        <w:tblStyle w:val="2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471"/>
        <w:gridCol w:w="3"/>
        <w:gridCol w:w="5228"/>
        <w:gridCol w:w="1199"/>
        <w:gridCol w:w="314"/>
        <w:gridCol w:w="284"/>
        <w:gridCol w:w="481"/>
        <w:gridCol w:w="404"/>
        <w:gridCol w:w="481"/>
        <w:gridCol w:w="585"/>
        <w:gridCol w:w="389"/>
        <w:gridCol w:w="1033"/>
        <w:gridCol w:w="1337"/>
        <w:gridCol w:w="1284"/>
      </w:tblGrid>
      <w:tr w14:paraId="2565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0E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4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2B23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D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6D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25CF7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5C9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8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73DBD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6A5E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3D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50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059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6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3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0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B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CD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3E8A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9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B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5E1E8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1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82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2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7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C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C3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E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B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4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6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2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F361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47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89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D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5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7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E6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61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A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4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B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04B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6966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9E7F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8310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221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7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F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6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6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7AF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4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B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1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0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C07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4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7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1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7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75EFC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D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1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A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D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F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7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D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F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D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8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0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9F9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5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0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6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5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2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9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C4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C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0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A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4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5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092B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3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0C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1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4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F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9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F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85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40A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8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A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B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4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4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0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E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8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0A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771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C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F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C2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FD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32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B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0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6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4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261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16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C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A0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F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5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8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A7A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D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A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B1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1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D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C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9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6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0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EF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BD9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F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3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A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B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A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9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0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D74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D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F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F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F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527D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5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6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9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B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69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E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9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D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853A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7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5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C0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34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CB9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71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1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E5C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C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F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1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A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6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6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A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0A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3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EB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C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9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1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0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2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A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4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A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5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4D1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5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5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0B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5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0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7A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0E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9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0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4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5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AB1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5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59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D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F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04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02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7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3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4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BAA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A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13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52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7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8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D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7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9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59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6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6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0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A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C30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8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60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A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5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4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21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7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B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A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4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AA40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92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3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0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11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7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D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2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9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8A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5A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5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4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AE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583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7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D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C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8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A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5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4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C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D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6C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ED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3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F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E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F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6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1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D77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A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86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5A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C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E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2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3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0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7C33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DB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6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FB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EC6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E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F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A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F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1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B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411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2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07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0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9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8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8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9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9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5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5F6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4C1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C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E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18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E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0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5D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3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C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7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50C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0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86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5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5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3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3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9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2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1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1E2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C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A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3B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3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6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0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3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A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4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D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B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CA9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F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13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B7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9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A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5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7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8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A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1DC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4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6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5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6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73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77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7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52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5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BB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D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2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F79E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CF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A5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A7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D5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B4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9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9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4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1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5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8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A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86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51A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EA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EB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0542B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CE6F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7C9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F09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96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2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6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54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02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F5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7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E3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4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8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170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9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75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E2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5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6C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9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拆除</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2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F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1D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F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0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BB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5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5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D0E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48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E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E56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B5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9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8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1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59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D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D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8E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5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2F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F9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366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92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AF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7F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86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9C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CA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5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E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4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3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2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C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8B3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9F4C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A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9A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B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CA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1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0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C4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93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0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1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8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7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C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18BC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7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40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A93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E3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46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23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A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D6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2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9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9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F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8E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A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927A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04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A3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C5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7F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0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5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9D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E2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3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9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C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0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C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693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59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F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9B6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0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30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B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2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8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57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C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7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EA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8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C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1AF0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A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2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93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21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102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0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C5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8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93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4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E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3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A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E0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D76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7E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D3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30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4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35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D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E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E10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0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3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7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0A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4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F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DDC1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A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E1F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94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02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5B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E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C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8C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8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9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7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CF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9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8A5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42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11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2B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B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64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C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F26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64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1B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B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3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6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5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7F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575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4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A8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04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3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C17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35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B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71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8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5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6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2C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8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E622A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A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E4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BB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4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B1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4D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92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F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CE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22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C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5E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A5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E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979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58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E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D2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69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70C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FE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E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D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D9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5A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B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D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0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3B7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04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A65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B2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4A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10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1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47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E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16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1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6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81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7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A7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9578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C7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C9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9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B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B51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D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B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AB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0E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A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1E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0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5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2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72D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F5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37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20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C6D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1E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8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7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7B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7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9B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D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A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FA3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63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0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90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41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56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F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8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BD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14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1E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3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D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F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CA5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9A5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3E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F7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8B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A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4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9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77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D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F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6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3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800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944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F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DD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B8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AC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1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8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328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38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4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5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B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2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5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61B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64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7F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B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A3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8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C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9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FF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E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3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F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C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4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66F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C82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1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80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1B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2AA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93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F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1F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E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C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0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D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2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241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D7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AB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BA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B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3BC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7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E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83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60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2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B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3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3B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BB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5FF1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88B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4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3C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A7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412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A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8C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7C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A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A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F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3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D1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ACF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46E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E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06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AC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1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23D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A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4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00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E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EB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D1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7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8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F891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2A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3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EB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C6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315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0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F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F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B8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5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8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1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8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5D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F386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EB3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2B4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AE8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43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171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5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25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16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C3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9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95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EB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5B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076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4A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90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29E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88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8F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69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D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7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1ED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7F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3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C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0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2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92B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F9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5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1D2F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6E6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10EF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8B6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27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A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19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0C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6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4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6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0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D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EE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BAA6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2B3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4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79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B2E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68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D3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6B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F1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D6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32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4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B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B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D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A4E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F0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DC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6D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ED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C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F3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2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F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F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0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1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1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BC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DFD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202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AF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1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41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DEE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D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4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D3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E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16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E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C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8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D27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F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EB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93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E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A0F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5B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2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8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6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9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0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5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7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9E9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6D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B9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B8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32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8DF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EB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9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52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39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6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A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E9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8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51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A3A2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596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0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65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28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C0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D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7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24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F4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5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3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E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2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78D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DF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3D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F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43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90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C9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89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A08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7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2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6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9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7B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D3F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591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D98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7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1F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AE5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16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B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7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15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F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3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2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C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E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C69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83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0A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65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7D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2E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D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C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7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5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1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B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3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E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DCE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2B9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6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7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81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74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AE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3F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1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F0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1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6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4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F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93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F1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FA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BE0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F60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31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947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EF1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B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3C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8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09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1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6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C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5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A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9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0F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17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2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0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8EF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A0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2D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D2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7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F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ED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7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72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A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3F3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33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B1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F6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E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E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EA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D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50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A9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B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6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E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D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9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F1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DE1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F6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6C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16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F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1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7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B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4E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CE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C3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2E5F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FC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4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FB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630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B8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85D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B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1A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A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7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A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29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09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2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A40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C0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B2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67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0B9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1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07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D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1F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7D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3E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0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B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A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2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D6D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ED5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06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A0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14F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B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F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10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9D1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6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0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1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58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8BA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6B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D8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AD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0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8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A7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0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4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4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2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875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9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8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7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547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3F4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491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63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5E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DC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3A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2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E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D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B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1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8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1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D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8D4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A2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1B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D75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18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9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87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E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9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F7C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1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2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0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2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F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0D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B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66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348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FC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43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E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5B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3A3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54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D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C7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A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7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9A50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60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D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BA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01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8B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9C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D5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3F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50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3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7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2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4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7A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DC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7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3A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7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1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D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F5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A4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EF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2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0A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7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E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D33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E5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8B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23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4FE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21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40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44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24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EF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1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4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1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0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8D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D9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28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EA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360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A20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2F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DB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A0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5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5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1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F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4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58AA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7A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0C4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3F3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0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F23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58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7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36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2C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B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5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F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E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F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1C9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0C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D2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54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8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1A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BE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3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0D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D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6B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8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C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4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8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75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A9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004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1F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683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6C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6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C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4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D7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F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5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D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4836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E5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630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CB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70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55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B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5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69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D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7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2F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B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5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D2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F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56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EF4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C79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AED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93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0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5D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0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8C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6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4B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D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AB4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E6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A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2F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2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907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B6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4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60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D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5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B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C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4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4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02A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FF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5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41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FE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CA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20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FC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8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04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9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B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D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4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4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ACE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FF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D3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918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F905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BA6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675B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17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00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34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D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9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A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12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0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E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F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B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D16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C8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8F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BC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27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C6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BF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7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C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E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7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2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7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D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5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F53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3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36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6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7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E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6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E91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A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E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1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E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DF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FA7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F1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2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E71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C2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BB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16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6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F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1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7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1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6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C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7B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229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3F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2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25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E2D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9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30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96B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FE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F3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D0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53A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5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4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C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771C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236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165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6B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F4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E9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36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0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B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8E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0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2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A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26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4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2EA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10F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E8A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47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C1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67A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30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B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50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C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8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B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44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8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C21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29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5A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87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C22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803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84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F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BE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4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1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3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3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B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892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F9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082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BF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A3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6E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84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5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E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9D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F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7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9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4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C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D05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BB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8B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D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7E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92B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71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03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C9F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1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5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F3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2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F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8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F05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AED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C5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AA6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A9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0A8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D6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9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B65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1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6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B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A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AA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B45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FA6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DA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0A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8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791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A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0E3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1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2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B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8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5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E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4F3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2EA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B64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73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F3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4EC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64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2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0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EF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2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86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7A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9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544A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04B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4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D0E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2EF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494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41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4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0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F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11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08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7E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489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57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04C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E8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D8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3D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D6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3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3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C7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E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BD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D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F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A28B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F1F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C5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55F0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FE57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0688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C0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BA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0A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BF9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D1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D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8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51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B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5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9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1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5670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3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4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B6F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B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FF5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7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99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3F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8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0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E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5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A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F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29E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6B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9F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F2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D9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02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43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B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EA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BA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A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5F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C2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A5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E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E7A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83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EF5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BAB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8D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C0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C6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8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9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4A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A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9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9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7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FA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855B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5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3A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FC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904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9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64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C3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B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28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A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5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C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6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8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29F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D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82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56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A6E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8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F8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6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3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6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D6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FA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C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3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E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7F4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86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2F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40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C35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78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15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8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C1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F0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E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C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B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2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AFA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9D7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014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9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2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00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17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4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96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8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5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A9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C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8192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4D1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EF4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0B2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9BA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F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A5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C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EE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1A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8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0B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1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9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FE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71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3D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5B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E9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E5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77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9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D8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3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28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5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A30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F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C1C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738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B90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F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98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8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1C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C6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9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B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3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7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E2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A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1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EDA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E56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5C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7E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1E3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A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E5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4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26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F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F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1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A7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B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C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947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8E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A34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E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5A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3B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4B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39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A9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5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4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7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B4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B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E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994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9A2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93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21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FD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AE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81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E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7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D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4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1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1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1E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98D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4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B9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E57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D1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6C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14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96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8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0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9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6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F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B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0BA98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F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46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A8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48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4C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79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F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E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5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40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C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6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67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D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DB7C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8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7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C78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B41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DE2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75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68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73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F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A2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C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8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7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B44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6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C3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A8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9B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0D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8B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8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7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8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2A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E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56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8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6ABB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15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83F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E7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1B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250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7B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F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6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1B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3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3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7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B7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3DA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0D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5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CA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34F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962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6B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B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D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9F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5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CE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8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A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7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A884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3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C5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90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8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98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8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F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34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F4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1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7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F2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76D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5B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D6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7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99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72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8093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CD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A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0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7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4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1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43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C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C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738B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36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77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374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EBC0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E3B3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FDF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1F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C4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62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C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734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3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8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01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4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6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C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BF4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A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2D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4B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A82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21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0E6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E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4C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28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2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F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3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2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80F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C36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F6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24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E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5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F0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8E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F0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7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AB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A9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F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6B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6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8B6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E6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9C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62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79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ED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A1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A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88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6C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0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8A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D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55A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0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3541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86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55D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E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E2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57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8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9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B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97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7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F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7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5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E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1EA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6BD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0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4A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78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1F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30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4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35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B7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D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2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EC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B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4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5897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08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5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0AC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F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526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35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FE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64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44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6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7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E3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8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6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BD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ABC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68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AB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BB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7C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91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C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7C4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6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6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1D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28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F5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DB6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C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6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C1C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0F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4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FC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0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63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D2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2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05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26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A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F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172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02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031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34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B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2B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5D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78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82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41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3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5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3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2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53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97AD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8F6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464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7F7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15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53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F8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57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F7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4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D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ED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FF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4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21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ACC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D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8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8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24C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F4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72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68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1D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4E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17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2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A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2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A3C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5F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D2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E4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30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D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AD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C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7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FA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E93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9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E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A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1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DAB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8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5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CF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E4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E34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74FF8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62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0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79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42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F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1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F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E4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3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DC5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2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27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CE34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5800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436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09FD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C2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FE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A5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6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A6B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C0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9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46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D6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D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8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9AD2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AF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3AB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5E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33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1F7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B12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43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1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C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C5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B3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3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B4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63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9FC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D3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482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24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35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1D0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C9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19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8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AC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5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BA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7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9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5A4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1AD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1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A8F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356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1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B1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6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2A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E6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31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1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C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2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9A2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15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AE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D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6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4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FA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9F5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A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1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6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2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27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08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36E9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73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6F9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B2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64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95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46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40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26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B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C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3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1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A9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4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77F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D5E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1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7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9D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BA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55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EC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9B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E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B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F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9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5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C5E5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E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5F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0F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17F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500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4D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C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C89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FF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D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1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9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9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6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4CB6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E7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96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39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3A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3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E0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4B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49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4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C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D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09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E7C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727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9D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A8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1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AE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1E5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7F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9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317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42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0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D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7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8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0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336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90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44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0E73A126">
      <w:pPr>
        <w:ind w:firstLine="480"/>
        <w:rPr>
          <w:rFonts w:hint="eastAsia" w:ascii="宋体" w:hAnsi="宋体"/>
          <w:b/>
          <w:color w:val="auto"/>
          <w:sz w:val="24"/>
        </w:rPr>
      </w:pPr>
    </w:p>
    <w:p w14:paraId="20A07437">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w:t>
      </w:r>
      <w:r>
        <w:rPr>
          <w:rFonts w:hint="eastAsia" w:ascii="宋体" w:hAnsi="宋体" w:cs="宋体"/>
          <w:b/>
          <w:bCs/>
          <w:color w:val="auto"/>
          <w:spacing w:val="0"/>
          <w:highlight w:val="none"/>
          <w:lang w:val="en-US" w:eastAsia="zh-CN"/>
        </w:rPr>
        <w:t>8</w:t>
      </w:r>
      <w:r>
        <w:rPr>
          <w:rFonts w:hint="eastAsia" w:ascii="宋体" w:hAnsi="宋体" w:eastAsia="宋体" w:cs="宋体"/>
          <w:b/>
          <w:bCs/>
          <w:color w:val="auto"/>
          <w:spacing w:val="0"/>
          <w:highlight w:val="none"/>
          <w:lang w:val="en-US" w:eastAsia="zh-CN"/>
        </w:rPr>
        <w:t>.1-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6399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EB6F96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27AC451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78FB1D5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4A4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149068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336A3C6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20D30F04">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329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4BB18A4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2F104E2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7349D9D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882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C04EF1F">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0B4D6956">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51D41FDD">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E20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2AF270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58F15FBC">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0E9E32A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31EA28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color w:val="auto"/>
          <w:sz w:val="24"/>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66C097AE">
      <w:pPr>
        <w:rPr>
          <w:rFonts w:hint="eastAsia" w:cs="Times New Roman"/>
          <w:b/>
          <w:bCs/>
          <w:color w:val="auto"/>
          <w:lang w:val="en-US" w:eastAsia="zh-CN"/>
        </w:rPr>
      </w:pPr>
      <w:r>
        <w:rPr>
          <w:rFonts w:hint="eastAsia" w:cs="Times New Roman"/>
          <w:b/>
          <w:bCs/>
          <w:color w:val="auto"/>
          <w:lang w:val="en-US" w:eastAsia="zh-CN"/>
        </w:rPr>
        <w:br w:type="page"/>
      </w:r>
    </w:p>
    <w:p w14:paraId="28054D4E">
      <w:pPr>
        <w:bidi w:val="0"/>
        <w:outlineLvl w:val="2"/>
        <w:rPr>
          <w:rFonts w:hint="eastAsia" w:ascii="Times New Roman" w:hAnsi="Times New Roman" w:eastAsia="宋体" w:cs="Times New Roman"/>
          <w:b/>
          <w:bCs/>
          <w:color w:val="auto"/>
          <w:lang w:val="en-US" w:eastAsia="zh-CN"/>
        </w:rPr>
      </w:pP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.1.2针对较大风险和重大分险编制施工安全风险控制措施</w:t>
      </w:r>
    </w:p>
    <w:p w14:paraId="27F30C5A">
      <w:pPr>
        <w:ind w:firstLine="480"/>
        <w:jc w:val="center"/>
        <w:rPr>
          <w:rFonts w:hint="eastAsia" w:ascii="宋体" w:hAnsi="宋体" w:eastAsia="宋体" w:cs="宋体"/>
          <w:b/>
          <w:color w:val="auto"/>
          <w:sz w:val="24"/>
          <w:lang w:val="en-US" w:eastAsia="zh-CN"/>
        </w:rPr>
      </w:pPr>
    </w:p>
    <w:p w14:paraId="3689D0D4">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w:t>
      </w:r>
      <w:r>
        <w:rPr>
          <w:rFonts w:hint="eastAsia" w:ascii="宋体" w:hAnsi="宋体" w:cs="宋体"/>
          <w:b/>
          <w:color w:val="auto"/>
          <w:sz w:val="24"/>
          <w:lang w:val="en-US" w:eastAsia="zh-CN"/>
        </w:rPr>
        <w:t>8</w:t>
      </w:r>
      <w:r>
        <w:rPr>
          <w:rFonts w:hint="eastAsia" w:ascii="宋体" w:hAnsi="宋体" w:eastAsia="宋体" w:cs="宋体"/>
          <w:b/>
          <w:color w:val="auto"/>
          <w:sz w:val="24"/>
          <w:lang w:val="en-US" w:eastAsia="zh-CN"/>
        </w:rPr>
        <w:t>.</w:t>
      </w:r>
      <w:r>
        <w:rPr>
          <w:rFonts w:hint="eastAsia" w:ascii="宋体" w:hAnsi="宋体" w:cs="宋体"/>
          <w:b/>
          <w:color w:val="auto"/>
          <w:sz w:val="24"/>
          <w:lang w:val="en-US" w:eastAsia="zh-CN"/>
        </w:rPr>
        <w:t>2</w:t>
      </w:r>
      <w:r>
        <w:rPr>
          <w:rFonts w:hint="eastAsia" w:ascii="宋体" w:hAnsi="宋体" w:eastAsia="宋体" w:cs="宋体"/>
          <w:b/>
          <w:color w:val="auto"/>
          <w:sz w:val="24"/>
        </w:rPr>
        <w:t>塔吊作业活动安全风险控制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8"/>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6"/>
        <w:gridCol w:w="876"/>
        <w:gridCol w:w="5798"/>
        <w:gridCol w:w="1181"/>
        <w:gridCol w:w="2541"/>
        <w:gridCol w:w="1609"/>
        <w:gridCol w:w="1017"/>
      </w:tblGrid>
      <w:tr w14:paraId="25BE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182409B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FCB43B5">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545012C6">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2015F5A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CA353B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28C9D31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03EE66AB">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A8DC30C">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5128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4BF75816">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3CA56800">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D211D7A">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40537BF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767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236513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24D697E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431011C8">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6F64B725">
            <w:pPr>
              <w:spacing w:line="240" w:lineRule="auto"/>
              <w:ind w:firstLine="0" w:firstLineChars="0"/>
              <w:jc w:val="center"/>
              <w:rPr>
                <w:rFonts w:hint="eastAsia" w:ascii="宋体" w:hAnsi="宋体" w:eastAsia="宋体" w:cs="宋体"/>
                <w:i w:val="0"/>
                <w:iCs w:val="0"/>
                <w:color w:val="auto"/>
                <w:sz w:val="18"/>
                <w:szCs w:val="18"/>
                <w:u w:val="none"/>
              </w:rPr>
            </w:pPr>
          </w:p>
        </w:tc>
      </w:tr>
      <w:tr w14:paraId="06132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F9BD909">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2DAF3F19">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3E20F16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AA4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14B111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2184147B">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4CA692F6">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A09CA50">
            <w:pPr>
              <w:spacing w:line="240" w:lineRule="auto"/>
              <w:ind w:firstLine="0" w:firstLineChars="0"/>
              <w:jc w:val="center"/>
              <w:rPr>
                <w:rFonts w:hint="eastAsia" w:ascii="宋体" w:hAnsi="宋体" w:eastAsia="宋体" w:cs="宋体"/>
                <w:i w:val="0"/>
                <w:iCs w:val="0"/>
                <w:color w:val="auto"/>
                <w:sz w:val="18"/>
                <w:szCs w:val="18"/>
                <w:u w:val="none"/>
              </w:rPr>
            </w:pPr>
          </w:p>
        </w:tc>
      </w:tr>
      <w:tr w14:paraId="442E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F4DBE5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2195A1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64447EB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FE0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744BDC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03F171C">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拆除</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509198D">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E9A4ADB">
            <w:pPr>
              <w:spacing w:line="240" w:lineRule="auto"/>
              <w:ind w:firstLine="0" w:firstLineChars="0"/>
              <w:jc w:val="center"/>
              <w:rPr>
                <w:rFonts w:hint="eastAsia" w:ascii="宋体" w:hAnsi="宋体" w:eastAsia="宋体" w:cs="宋体"/>
                <w:i w:val="0"/>
                <w:iCs w:val="0"/>
                <w:color w:val="auto"/>
                <w:sz w:val="18"/>
                <w:szCs w:val="18"/>
                <w:u w:val="none"/>
              </w:rPr>
            </w:pPr>
          </w:p>
        </w:tc>
      </w:tr>
      <w:tr w14:paraId="7C68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3B8245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4416168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4A2DC82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3DA706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A5AC1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B4C31C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C62DD1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C4C626">
            <w:pPr>
              <w:spacing w:line="240" w:lineRule="auto"/>
              <w:ind w:firstLine="0" w:firstLineChars="0"/>
              <w:jc w:val="center"/>
              <w:rPr>
                <w:rFonts w:hint="eastAsia" w:ascii="宋体" w:hAnsi="宋体" w:eastAsia="宋体" w:cs="宋体"/>
                <w:i w:val="0"/>
                <w:iCs w:val="0"/>
                <w:color w:val="auto"/>
                <w:sz w:val="18"/>
                <w:szCs w:val="18"/>
                <w:u w:val="none"/>
              </w:rPr>
            </w:pPr>
          </w:p>
        </w:tc>
      </w:tr>
      <w:tr w14:paraId="5A34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2F072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43EAACE">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3391FB8D">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38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w:t>
            </w:r>
            <w:r>
              <w:rPr>
                <w:rFonts w:hint="eastAsia" w:ascii="宋体" w:hAnsi="宋体" w:cs="宋体"/>
                <w:i w:val="0"/>
                <w:iCs w:val="0"/>
                <w:color w:val="auto"/>
                <w:kern w:val="0"/>
                <w:sz w:val="18"/>
                <w:szCs w:val="18"/>
                <w:u w:val="none"/>
                <w:lang w:val="en-US" w:eastAsia="zh-CN" w:bidi="ar"/>
              </w:rPr>
              <w:t>拆除</w:t>
            </w:r>
            <w:r>
              <w:rPr>
                <w:rFonts w:hint="eastAsia" w:ascii="宋体" w:hAnsi="宋体" w:eastAsia="宋体" w:cs="宋体"/>
                <w:i w:val="0"/>
                <w:iCs w:val="0"/>
                <w:color w:val="auto"/>
                <w:kern w:val="0"/>
                <w:sz w:val="18"/>
                <w:szCs w:val="18"/>
                <w:u w:val="none"/>
                <w:lang w:val="en-US" w:eastAsia="zh-CN" w:bidi="ar"/>
              </w:rPr>
              <w:t>前没有根据专项施工方案对下列项目进行检查并确认合格：1、基础的位置、标高、尺寸，2、基础的隐蔽工程验收记录和混凝土强度报告等相关资料，3、</w:t>
            </w:r>
            <w:r>
              <w:rPr>
                <w:rFonts w:hint="eastAsia" w:ascii="宋体" w:hAnsi="宋体" w:cs="宋体"/>
                <w:i w:val="0"/>
                <w:iCs w:val="0"/>
                <w:color w:val="auto"/>
                <w:kern w:val="0"/>
                <w:sz w:val="18"/>
                <w:szCs w:val="18"/>
                <w:u w:val="none"/>
                <w:lang w:val="en-US" w:eastAsia="zh-CN" w:bidi="ar"/>
              </w:rPr>
              <w:t>拆除</w:t>
            </w:r>
            <w:r>
              <w:rPr>
                <w:rFonts w:hint="eastAsia" w:ascii="宋体" w:hAnsi="宋体" w:eastAsia="宋体" w:cs="宋体"/>
                <w:i w:val="0"/>
                <w:iCs w:val="0"/>
                <w:color w:val="auto"/>
                <w:kern w:val="0"/>
                <w:sz w:val="18"/>
                <w:szCs w:val="18"/>
                <w:u w:val="none"/>
                <w:lang w:val="en-US" w:eastAsia="zh-CN" w:bidi="ar"/>
              </w:rPr>
              <w:t>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1E77D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51DFE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55A495A">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671F681">
            <w:pPr>
              <w:spacing w:line="240" w:lineRule="auto"/>
              <w:ind w:firstLine="0" w:firstLineChars="0"/>
              <w:jc w:val="center"/>
              <w:rPr>
                <w:rFonts w:hint="eastAsia" w:ascii="宋体" w:hAnsi="宋体" w:eastAsia="宋体" w:cs="宋体"/>
                <w:i w:val="0"/>
                <w:iCs w:val="0"/>
                <w:color w:val="auto"/>
                <w:sz w:val="18"/>
                <w:szCs w:val="18"/>
                <w:u w:val="none"/>
              </w:rPr>
            </w:pPr>
          </w:p>
        </w:tc>
      </w:tr>
      <w:tr w14:paraId="454E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69837C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6777207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253183F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9FD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w:t>
            </w:r>
            <w:r>
              <w:rPr>
                <w:rFonts w:hint="eastAsia" w:ascii="宋体" w:hAnsi="宋体" w:cs="宋体"/>
                <w:i w:val="0"/>
                <w:iCs w:val="0"/>
                <w:color w:val="auto"/>
                <w:kern w:val="0"/>
                <w:sz w:val="18"/>
                <w:szCs w:val="18"/>
                <w:u w:val="none"/>
                <w:lang w:val="en-US" w:eastAsia="zh-CN" w:bidi="ar"/>
              </w:rPr>
              <w:t>拆除</w:t>
            </w:r>
            <w:r>
              <w:rPr>
                <w:rFonts w:hint="eastAsia" w:ascii="宋体" w:hAnsi="宋体" w:eastAsia="宋体" w:cs="宋体"/>
                <w:i w:val="0"/>
                <w:iCs w:val="0"/>
                <w:color w:val="auto"/>
                <w:kern w:val="0"/>
                <w:sz w:val="18"/>
                <w:szCs w:val="18"/>
                <w:u w:val="none"/>
                <w:lang w:val="en-US" w:eastAsia="zh-CN" w:bidi="ar"/>
              </w:rPr>
              <w:t>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E5D9A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F4D6F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6383EFD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5AE226">
            <w:pPr>
              <w:spacing w:line="240" w:lineRule="auto"/>
              <w:ind w:firstLine="0" w:firstLineChars="0"/>
              <w:jc w:val="center"/>
              <w:rPr>
                <w:rFonts w:hint="eastAsia" w:ascii="宋体" w:hAnsi="宋体" w:eastAsia="宋体" w:cs="宋体"/>
                <w:i w:val="0"/>
                <w:iCs w:val="0"/>
                <w:color w:val="auto"/>
                <w:sz w:val="18"/>
                <w:szCs w:val="18"/>
                <w:u w:val="none"/>
              </w:rPr>
            </w:pPr>
          </w:p>
        </w:tc>
      </w:tr>
      <w:tr w14:paraId="5BD2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457459B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257F3D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1CDECFB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825D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3766A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0BDC9F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8406B7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B695C8">
            <w:pPr>
              <w:spacing w:line="240" w:lineRule="auto"/>
              <w:ind w:firstLine="0" w:firstLineChars="0"/>
              <w:jc w:val="center"/>
              <w:rPr>
                <w:rFonts w:hint="eastAsia" w:ascii="宋体" w:hAnsi="宋体" w:eastAsia="宋体" w:cs="宋体"/>
                <w:i w:val="0"/>
                <w:iCs w:val="0"/>
                <w:color w:val="auto"/>
                <w:sz w:val="18"/>
                <w:szCs w:val="18"/>
                <w:u w:val="none"/>
              </w:rPr>
            </w:pPr>
          </w:p>
        </w:tc>
      </w:tr>
      <w:tr w14:paraId="6EB0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78DBAE6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E67067B">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E13ED">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596B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40FE1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41BEE4A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0B200D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2B0742F">
            <w:pPr>
              <w:spacing w:line="240" w:lineRule="auto"/>
              <w:ind w:firstLine="0" w:firstLineChars="0"/>
              <w:jc w:val="center"/>
              <w:rPr>
                <w:rFonts w:hint="eastAsia" w:ascii="宋体" w:hAnsi="宋体" w:eastAsia="宋体" w:cs="宋体"/>
                <w:i w:val="0"/>
                <w:iCs w:val="0"/>
                <w:color w:val="auto"/>
                <w:sz w:val="18"/>
                <w:szCs w:val="18"/>
                <w:u w:val="none"/>
              </w:rPr>
            </w:pPr>
          </w:p>
        </w:tc>
      </w:tr>
      <w:tr w14:paraId="4DCB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0E8AF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E17C1C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0308A5AA">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1DA267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765BD8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5039CF1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DAF2D1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547E48E6">
            <w:pPr>
              <w:spacing w:line="240" w:lineRule="auto"/>
              <w:ind w:firstLine="0" w:firstLineChars="0"/>
              <w:jc w:val="center"/>
              <w:rPr>
                <w:rFonts w:hint="eastAsia" w:ascii="宋体" w:hAnsi="宋体" w:eastAsia="宋体" w:cs="宋体"/>
                <w:i w:val="0"/>
                <w:iCs w:val="0"/>
                <w:color w:val="auto"/>
                <w:sz w:val="18"/>
                <w:szCs w:val="18"/>
                <w:u w:val="none"/>
              </w:rPr>
            </w:pPr>
          </w:p>
        </w:tc>
      </w:tr>
      <w:tr w14:paraId="6ABA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21DF697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311E7316">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BA7EF9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F177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7A4DBE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CBA150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2C5F1C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4A3C646">
            <w:pPr>
              <w:spacing w:line="240" w:lineRule="auto"/>
              <w:ind w:firstLine="0" w:firstLineChars="0"/>
              <w:jc w:val="center"/>
              <w:rPr>
                <w:rFonts w:hint="eastAsia" w:ascii="宋体" w:hAnsi="宋体" w:eastAsia="宋体" w:cs="宋体"/>
                <w:i w:val="0"/>
                <w:iCs w:val="0"/>
                <w:color w:val="auto"/>
                <w:sz w:val="18"/>
                <w:szCs w:val="18"/>
                <w:u w:val="none"/>
              </w:rPr>
            </w:pPr>
          </w:p>
        </w:tc>
      </w:tr>
      <w:tr w14:paraId="6528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564DA6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614FFF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AA07C07">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748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3ADE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5F08C3A">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9CACD16">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2DCEC2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79E7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ABC98F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B6E9313">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5D17A5B">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F1E6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7555A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3298F200">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2E5C4BD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2FC6EBC">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1C7C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2ED36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7809F4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5E6A4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73A21A1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8E0B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4229A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95E2E66">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2271843">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797AA0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2E26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751287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5D8B3B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F420B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B1E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C2EFC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0DD3805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13D350D4">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C3E1DA9">
            <w:pPr>
              <w:spacing w:line="240" w:lineRule="auto"/>
              <w:ind w:firstLine="0" w:firstLineChars="0"/>
              <w:jc w:val="center"/>
              <w:rPr>
                <w:rFonts w:hint="eastAsia" w:ascii="宋体" w:hAnsi="宋体" w:eastAsia="宋体" w:cs="宋体"/>
                <w:i w:val="0"/>
                <w:iCs w:val="0"/>
                <w:color w:val="auto"/>
                <w:sz w:val="18"/>
                <w:szCs w:val="18"/>
                <w:u w:val="none"/>
              </w:rPr>
            </w:pPr>
          </w:p>
        </w:tc>
      </w:tr>
      <w:tr w14:paraId="2464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D04FE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B0C24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9F4C4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2AF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A5808B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81E7B0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F0EC65A">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DDA083">
            <w:pPr>
              <w:spacing w:line="240" w:lineRule="auto"/>
              <w:ind w:firstLine="0" w:firstLineChars="0"/>
              <w:jc w:val="center"/>
              <w:rPr>
                <w:rFonts w:hint="eastAsia" w:ascii="宋体" w:hAnsi="宋体" w:eastAsia="宋体" w:cs="宋体"/>
                <w:i w:val="0"/>
                <w:iCs w:val="0"/>
                <w:color w:val="auto"/>
                <w:sz w:val="18"/>
                <w:szCs w:val="18"/>
                <w:u w:val="none"/>
              </w:rPr>
            </w:pPr>
          </w:p>
        </w:tc>
      </w:tr>
      <w:tr w14:paraId="4E0A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34779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BECB3E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839F5A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31C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E992D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7B5EF8F4">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E9B144E">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DB4FFC2">
            <w:pPr>
              <w:spacing w:line="240" w:lineRule="auto"/>
              <w:ind w:firstLine="0" w:firstLineChars="0"/>
              <w:jc w:val="center"/>
              <w:rPr>
                <w:rFonts w:hint="eastAsia" w:ascii="宋体" w:hAnsi="宋体" w:eastAsia="宋体" w:cs="宋体"/>
                <w:i w:val="0"/>
                <w:iCs w:val="0"/>
                <w:color w:val="auto"/>
                <w:sz w:val="18"/>
                <w:szCs w:val="18"/>
                <w:u w:val="none"/>
              </w:rPr>
            </w:pPr>
          </w:p>
        </w:tc>
      </w:tr>
    </w:tbl>
    <w:p w14:paraId="384F5EF2">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5261B588">
      <w:pPr>
        <w:ind w:firstLine="480"/>
        <w:rPr>
          <w:rFonts w:hint="eastAsia" w:ascii="宋体" w:hAnsi="宋体"/>
          <w:b/>
          <w:color w:val="auto"/>
          <w:sz w:val="24"/>
        </w:rPr>
      </w:pPr>
    </w:p>
    <w:p w14:paraId="57261F51">
      <w:pPr>
        <w:pStyle w:val="27"/>
        <w:tabs>
          <w:tab w:val="left" w:pos="360"/>
          <w:tab w:val="left" w:pos="964"/>
        </w:tabs>
        <w:rPr>
          <w:rFonts w:hint="eastAsia"/>
          <w:color w:val="auto"/>
          <w:lang w:val="en-US" w:eastAsia="zh-CN"/>
        </w:rPr>
      </w:pPr>
    </w:p>
    <w:p w14:paraId="014FC02F">
      <w:pPr>
        <w:rPr>
          <w:rFonts w:hint="eastAsia"/>
          <w:color w:val="auto"/>
          <w:lang w:val="en-US" w:eastAsia="zh-CN"/>
        </w:rPr>
        <w:sectPr>
          <w:headerReference r:id="rId18" w:type="default"/>
          <w:footerReference r:id="rId1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0A33A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237" w:name="_Toc23818"/>
      <w:bookmarkStart w:id="238" w:name="_Toc31355"/>
      <w:bookmarkStart w:id="239" w:name="_Toc18053"/>
      <w:bookmarkStart w:id="240" w:name="_Toc23733"/>
      <w:bookmarkStart w:id="241" w:name="_Toc4194"/>
      <w:bookmarkStart w:id="242" w:name="_Toc10409839"/>
      <w:r>
        <w:rPr>
          <w:rFonts w:hint="eastAsia"/>
          <w:color w:val="auto"/>
          <w:lang w:val="en-US" w:eastAsia="zh-CN"/>
        </w:rPr>
        <w:t>8.2</w:t>
      </w:r>
      <w:r>
        <w:rPr>
          <w:rFonts w:hint="eastAsia"/>
          <w:color w:val="auto"/>
        </w:rPr>
        <w:t>组织</w:t>
      </w:r>
      <w:r>
        <w:rPr>
          <w:rFonts w:hint="eastAsia"/>
          <w:color w:val="auto"/>
          <w:lang w:val="en-US" w:eastAsia="zh-CN"/>
        </w:rPr>
        <w:t>机</w:t>
      </w:r>
      <w:r>
        <w:rPr>
          <w:rFonts w:hint="eastAsia"/>
          <w:color w:val="auto"/>
        </w:rPr>
        <w:t>构及职责</w:t>
      </w:r>
      <w:bookmarkEnd w:id="237"/>
      <w:bookmarkEnd w:id="238"/>
      <w:bookmarkEnd w:id="239"/>
      <w:bookmarkEnd w:id="240"/>
      <w:bookmarkEnd w:id="241"/>
      <w:bookmarkEnd w:id="242"/>
    </w:p>
    <w:p w14:paraId="355B7B4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243" w:name="_Toc530055718"/>
      <w:r>
        <w:rPr>
          <w:rFonts w:hint="eastAsia" w:ascii="等线" w:hAnsi="等线" w:eastAsia="等线" w:cs="等线"/>
          <w:b/>
          <w:color w:val="auto"/>
          <w:sz w:val="28"/>
          <w:szCs w:val="28"/>
          <w:lang w:val="en-US" w:eastAsia="zh-CN"/>
        </w:rPr>
        <w:t>8.</w:t>
      </w:r>
      <w:r>
        <w:rPr>
          <w:rFonts w:hint="eastAsia" w:eastAsia="等线" w:cs="等线"/>
          <w:b/>
          <w:color w:val="auto"/>
          <w:sz w:val="28"/>
          <w:szCs w:val="28"/>
          <w:lang w:val="en-US" w:eastAsia="zh-CN"/>
        </w:rPr>
        <w:t>2.</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243"/>
    </w:p>
    <w:p w14:paraId="255FE20C">
      <w:pPr>
        <w:spacing w:line="360" w:lineRule="auto"/>
        <w:ind w:firstLine="480"/>
        <w:rPr>
          <w:rFonts w:hint="default" w:ascii="宋体" w:hAnsi="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ascii="宋体" w:hAnsi="宋体" w:cs="宋体"/>
          <w:color w:val="auto"/>
          <w:kern w:val="2"/>
          <w:sz w:val="24"/>
          <w:szCs w:val="24"/>
          <w:lang w:val="en-US" w:eastAsia="zh-CN"/>
        </w:rPr>
        <w:t>明兴富</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ascii="宋体" w:hAnsi="宋体" w:cs="宋体"/>
          <w:color w:val="auto"/>
          <w:kern w:val="2"/>
          <w:sz w:val="24"/>
          <w:szCs w:val="24"/>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黄科、蒲贵良、徐刚、黄仁训</w:t>
      </w:r>
    </w:p>
    <w:p w14:paraId="645CE420">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44" w:name="_Toc530055719"/>
      <w:r>
        <w:rPr>
          <w:rFonts w:hint="eastAsia" w:eastAsia="等线" w:cs="等线"/>
          <w:b/>
          <w:color w:val="auto"/>
          <w:sz w:val="28"/>
          <w:szCs w:val="28"/>
          <w:lang w:val="en-US" w:eastAsia="zh-CN"/>
        </w:rPr>
        <w:t>8.2.2职责</w:t>
      </w:r>
      <w:bookmarkEnd w:id="244"/>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45" w:name="_Toc530055720"/>
      <w:r>
        <w:rPr>
          <w:rFonts w:hint="eastAsia" w:eastAsia="等线" w:cs="等线"/>
          <w:b/>
          <w:color w:val="auto"/>
          <w:sz w:val="28"/>
          <w:szCs w:val="28"/>
          <w:lang w:val="en-US" w:eastAsia="zh-CN"/>
        </w:rPr>
        <w:t>8.2.3领导小组人员分工</w:t>
      </w:r>
      <w:bookmarkEnd w:id="245"/>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3"/>
        <w:numPr>
          <w:ilvl w:val="0"/>
          <w:numId w:val="0"/>
        </w:numPr>
        <w:outlineLvl w:val="1"/>
        <w:rPr>
          <w:color w:val="auto"/>
        </w:rPr>
      </w:pPr>
      <w:bookmarkStart w:id="246" w:name="_Toc10789"/>
      <w:bookmarkStart w:id="247" w:name="_Toc14880"/>
      <w:bookmarkStart w:id="248" w:name="_Toc9713"/>
      <w:bookmarkStart w:id="249" w:name="_Toc10409840"/>
      <w:bookmarkStart w:id="250" w:name="_Toc28776"/>
      <w:bookmarkStart w:id="251" w:name="_Toc15798"/>
      <w:r>
        <w:rPr>
          <w:rFonts w:hint="eastAsia"/>
          <w:color w:val="auto"/>
          <w:lang w:val="en-US" w:eastAsia="zh-CN"/>
        </w:rPr>
        <w:t>8.3</w:t>
      </w:r>
      <w:r>
        <w:rPr>
          <w:rFonts w:hint="eastAsia"/>
          <w:color w:val="auto"/>
        </w:rPr>
        <w:t>预防与预警</w:t>
      </w:r>
      <w:bookmarkEnd w:id="246"/>
      <w:bookmarkEnd w:id="247"/>
      <w:bookmarkEnd w:id="248"/>
      <w:bookmarkEnd w:id="249"/>
      <w:bookmarkEnd w:id="250"/>
      <w:bookmarkEnd w:id="251"/>
    </w:p>
    <w:p w14:paraId="0A9ABD08">
      <w:pPr>
        <w:spacing w:line="360" w:lineRule="auto"/>
        <w:ind w:firstLine="480"/>
        <w:rPr>
          <w:rFonts w:hint="eastAsia" w:ascii="宋体" w:hAnsi="宋体" w:eastAsia="宋体" w:cs="宋体"/>
          <w:color w:val="auto"/>
          <w:kern w:val="2"/>
          <w:sz w:val="24"/>
          <w:szCs w:val="24"/>
        </w:rPr>
      </w:pPr>
      <w:bookmarkStart w:id="252"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0DC5AA92">
      <w:pPr>
        <w:pStyle w:val="3"/>
        <w:numPr>
          <w:ilvl w:val="0"/>
          <w:numId w:val="0"/>
        </w:numPr>
        <w:outlineLvl w:val="1"/>
        <w:rPr>
          <w:rFonts w:hint="eastAsia" w:eastAsia="宋体"/>
          <w:color w:val="auto"/>
          <w:lang w:val="en-US" w:eastAsia="zh-CN"/>
        </w:rPr>
      </w:pPr>
      <w:bookmarkStart w:id="253" w:name="_Toc21539"/>
      <w:bookmarkStart w:id="254" w:name="_Toc13829"/>
      <w:bookmarkStart w:id="255" w:name="_Toc10032"/>
      <w:bookmarkStart w:id="256" w:name="_Toc26929"/>
      <w:r>
        <w:rPr>
          <w:rFonts w:hint="eastAsia"/>
          <w:color w:val="auto"/>
          <w:lang w:val="en-US" w:eastAsia="zh-CN"/>
        </w:rPr>
        <w:t>8</w:t>
      </w:r>
      <w:r>
        <w:rPr>
          <w:rFonts w:hint="eastAsia" w:eastAsia="宋体"/>
          <w:color w:val="auto"/>
          <w:lang w:val="en-US" w:eastAsia="zh-CN"/>
        </w:rPr>
        <w:t>.4应急响应</w:t>
      </w:r>
      <w:bookmarkEnd w:id="252"/>
      <w:bookmarkEnd w:id="253"/>
      <w:r>
        <w:rPr>
          <w:rFonts w:hint="eastAsia" w:eastAsia="宋体"/>
          <w:color w:val="auto"/>
          <w:lang w:val="en-US" w:eastAsia="zh-CN"/>
        </w:rPr>
        <w:t>程序</w:t>
      </w:r>
      <w:bookmarkEnd w:id="254"/>
      <w:bookmarkEnd w:id="255"/>
      <w:bookmarkEnd w:id="256"/>
    </w:p>
    <w:p w14:paraId="768E6B6A">
      <w:pPr>
        <w:pStyle w:val="48"/>
        <w:numPr>
          <w:ilvl w:val="0"/>
          <w:numId w:val="18"/>
        </w:numPr>
        <w:spacing w:line="360" w:lineRule="auto"/>
        <w:ind w:firstLineChars="0"/>
        <w:outlineLvl w:val="9"/>
        <w:rPr>
          <w:rFonts w:hint="eastAsia" w:ascii="宋体" w:hAnsi="宋体" w:eastAsia="宋体" w:cs="宋体"/>
          <w:color w:val="auto"/>
          <w:sz w:val="24"/>
          <w:szCs w:val="24"/>
        </w:rPr>
      </w:pPr>
      <w:bookmarkStart w:id="257" w:name="_Toc2877"/>
      <w:r>
        <w:rPr>
          <w:rFonts w:hint="eastAsia" w:ascii="宋体" w:hAnsi="宋体" w:eastAsia="宋体" w:cs="宋体"/>
          <w:color w:val="auto"/>
          <w:sz w:val="24"/>
          <w:szCs w:val="24"/>
        </w:rPr>
        <w:t>响应分级</w:t>
      </w:r>
      <w:bookmarkEnd w:id="257"/>
    </w:p>
    <w:p w14:paraId="456B9AC4">
      <w:pPr>
        <w:pStyle w:val="50"/>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cs="宋体"/>
          <w:b/>
          <w:color w:val="auto"/>
          <w:sz w:val="21"/>
          <w:szCs w:val="21"/>
          <w:lang w:val="en-US" w:eastAsia="zh-CN"/>
        </w:rPr>
        <w:t>8</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-1 响应等级</w:t>
      </w:r>
    </w:p>
    <w:tbl>
      <w:tblPr>
        <w:tblStyle w:val="28"/>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D8C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0D3AE507">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3EC8530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vAlign w:val="center"/>
          </w:tcPr>
          <w:p w14:paraId="32FB816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vAlign w:val="center"/>
          </w:tcPr>
          <w:p w14:paraId="05BBDA6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vAlign w:val="center"/>
          </w:tcPr>
          <w:p w14:paraId="13D5091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vAlign w:val="center"/>
          </w:tcPr>
          <w:p w14:paraId="731380B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109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2903229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vAlign w:val="center"/>
          </w:tcPr>
          <w:p w14:paraId="3FC416D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0277F5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vAlign w:val="center"/>
          </w:tcPr>
          <w:p w14:paraId="35CD153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vAlign w:val="center"/>
          </w:tcPr>
          <w:p w14:paraId="49C8D851">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vAlign w:val="center"/>
          </w:tcPr>
          <w:p w14:paraId="301EB7B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vAlign w:val="center"/>
          </w:tcPr>
          <w:p w14:paraId="171F23FA">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4E3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0E96FED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vAlign w:val="center"/>
          </w:tcPr>
          <w:p w14:paraId="5862A31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vAlign w:val="center"/>
          </w:tcPr>
          <w:p w14:paraId="4805A3E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vAlign w:val="center"/>
          </w:tcPr>
          <w:p w14:paraId="428D374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2573BD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76130C2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vAlign w:val="center"/>
          </w:tcPr>
          <w:p w14:paraId="6BEEADA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7DA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6EF1C01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vAlign w:val="center"/>
          </w:tcPr>
          <w:p w14:paraId="6F153EB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vAlign w:val="center"/>
          </w:tcPr>
          <w:p w14:paraId="48D03AF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vAlign w:val="center"/>
          </w:tcPr>
          <w:p w14:paraId="4878A7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vAlign w:val="center"/>
          </w:tcPr>
          <w:p w14:paraId="6924BC9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27C5FDB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vAlign w:val="center"/>
          </w:tcPr>
          <w:p w14:paraId="32E8687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17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3A8C7A46">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vAlign w:val="center"/>
          </w:tcPr>
          <w:p w14:paraId="64F23ABB">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vAlign w:val="center"/>
          </w:tcPr>
          <w:p w14:paraId="444423B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vAlign w:val="center"/>
          </w:tcPr>
          <w:p w14:paraId="178E9D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vAlign w:val="center"/>
          </w:tcPr>
          <w:p w14:paraId="1D5B5DC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vAlign w:val="center"/>
          </w:tcPr>
          <w:p w14:paraId="17BB067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vAlign w:val="center"/>
          </w:tcPr>
          <w:p w14:paraId="7C8C325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0B9B68F9">
      <w:pPr>
        <w:pStyle w:val="48"/>
        <w:numPr>
          <w:ilvl w:val="0"/>
          <w:numId w:val="18"/>
        </w:numPr>
        <w:spacing w:line="360" w:lineRule="auto"/>
        <w:ind w:firstLineChars="0"/>
        <w:outlineLvl w:val="9"/>
        <w:rPr>
          <w:rFonts w:hint="eastAsia" w:ascii="宋体" w:hAnsi="宋体" w:eastAsia="宋体" w:cs="宋体"/>
          <w:color w:val="auto"/>
          <w:sz w:val="24"/>
          <w:szCs w:val="24"/>
        </w:rPr>
      </w:pPr>
      <w:bookmarkStart w:id="258" w:name="_Toc422"/>
      <w:r>
        <w:rPr>
          <w:rFonts w:hint="eastAsia" w:ascii="宋体" w:hAnsi="宋体" w:eastAsia="宋体" w:cs="宋体"/>
          <w:color w:val="auto"/>
          <w:sz w:val="24"/>
          <w:szCs w:val="24"/>
        </w:rPr>
        <w:t>事故发生后的内部报告程序</w:t>
      </w:r>
      <w:bookmarkEnd w:id="258"/>
    </w:p>
    <w:p w14:paraId="37A5B871">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62FA73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762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42"/>
                    <a:stretch>
                      <a:fillRect/>
                    </a:stretch>
                  </pic:blipFill>
                  <pic:spPr>
                    <a:xfrm>
                      <a:off x="0" y="0"/>
                      <a:ext cx="5433060" cy="723900"/>
                    </a:xfrm>
                    <a:prstGeom prst="rect">
                      <a:avLst/>
                    </a:prstGeom>
                    <a:noFill/>
                    <a:ln>
                      <a:noFill/>
                    </a:ln>
                  </pic:spPr>
                </pic:pic>
              </a:graphicData>
            </a:graphic>
          </wp:inline>
        </w:drawing>
      </w:r>
    </w:p>
    <w:p w14:paraId="3D5A0669">
      <w:pPr>
        <w:pStyle w:val="50"/>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w:t>
      </w:r>
      <w:r>
        <w:rPr>
          <w:rFonts w:hint="eastAsia" w:ascii="宋体" w:hAnsi="宋体" w:cs="宋体"/>
          <w:b/>
          <w:color w:val="auto"/>
          <w:sz w:val="21"/>
          <w:szCs w:val="21"/>
          <w:lang w:val="en-US" w:eastAsia="zh-CN"/>
        </w:rPr>
        <w:t>8</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3F753EA5">
      <w:pPr>
        <w:pStyle w:val="48"/>
        <w:numPr>
          <w:ilvl w:val="0"/>
          <w:numId w:val="18"/>
        </w:numPr>
        <w:spacing w:line="360" w:lineRule="auto"/>
        <w:ind w:firstLineChars="0"/>
        <w:outlineLvl w:val="9"/>
        <w:rPr>
          <w:rFonts w:hint="eastAsia" w:ascii="宋体" w:hAnsi="宋体" w:eastAsia="宋体" w:cs="宋体"/>
          <w:color w:val="auto"/>
          <w:sz w:val="24"/>
          <w:szCs w:val="24"/>
        </w:rPr>
      </w:pPr>
      <w:bookmarkStart w:id="259" w:name="_Toc3451"/>
      <w:r>
        <w:rPr>
          <w:rFonts w:hint="eastAsia" w:ascii="宋体" w:hAnsi="宋体" w:eastAsia="宋体" w:cs="宋体"/>
          <w:color w:val="auto"/>
          <w:sz w:val="24"/>
          <w:szCs w:val="24"/>
        </w:rPr>
        <w:t>响应程序</w:t>
      </w:r>
      <w:bookmarkEnd w:id="259"/>
    </w:p>
    <w:p w14:paraId="54224565">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441F5134">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260B3E7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4CCE5566">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313EAA2B">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44989F15">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7037052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315E7392">
      <w:pPr>
        <w:pStyle w:val="48"/>
        <w:numPr>
          <w:ilvl w:val="0"/>
          <w:numId w:val="19"/>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39E8060">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176527C9">
      <w:pPr>
        <w:pStyle w:val="48"/>
        <w:numPr>
          <w:ilvl w:val="0"/>
          <w:numId w:val="18"/>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79980C17">
      <w:pPr>
        <w:pStyle w:val="48"/>
        <w:numPr>
          <w:ilvl w:val="0"/>
          <w:numId w:val="20"/>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4E34C9A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702EDE0F">
      <w:pPr>
        <w:pStyle w:val="48"/>
        <w:numPr>
          <w:ilvl w:val="0"/>
          <w:numId w:val="20"/>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6655A714">
      <w:pPr>
        <w:pStyle w:val="48"/>
        <w:numPr>
          <w:ilvl w:val="0"/>
          <w:numId w:val="20"/>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660D8D56">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0A2DB5B8">
      <w:pPr>
        <w:pStyle w:val="48"/>
        <w:numPr>
          <w:ilvl w:val="0"/>
          <w:numId w:val="18"/>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4235D6F2">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78F74C0">
      <w:pPr>
        <w:pStyle w:val="48"/>
        <w:numPr>
          <w:ilvl w:val="0"/>
          <w:numId w:val="18"/>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93609E2">
      <w:pPr>
        <w:pStyle w:val="48"/>
        <w:numPr>
          <w:ilvl w:val="0"/>
          <w:numId w:val="21"/>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7A80361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56AB9099">
      <w:pPr>
        <w:pStyle w:val="48"/>
        <w:numPr>
          <w:ilvl w:val="0"/>
          <w:numId w:val="21"/>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61F3E229">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59A89786">
      <w:pPr>
        <w:pStyle w:val="48"/>
        <w:numPr>
          <w:ilvl w:val="0"/>
          <w:numId w:val="21"/>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1F08FAD3">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67210F79">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260" w:name="_Toc24033"/>
      <w:bookmarkStart w:id="261" w:name="_Toc27986"/>
      <w:bookmarkStart w:id="262" w:name="_Toc14497"/>
      <w:bookmarkStart w:id="263" w:name="_Toc16079"/>
      <w:bookmarkStart w:id="264" w:name="_Toc10409842"/>
      <w:bookmarkStart w:id="265" w:name="_Toc17732"/>
      <w:r>
        <w:rPr>
          <w:rFonts w:hint="eastAsia" w:ascii="等线" w:hAnsi="等线" w:eastAsia="等线" w:cs="等线"/>
          <w:color w:val="auto"/>
          <w:sz w:val="28"/>
          <w:szCs w:val="28"/>
          <w:lang w:val="en-US" w:eastAsia="zh-CN"/>
        </w:rPr>
        <w:t xml:space="preserve">8.5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260"/>
      <w:bookmarkEnd w:id="261"/>
      <w:bookmarkEnd w:id="262"/>
      <w:bookmarkEnd w:id="263"/>
      <w:bookmarkEnd w:id="264"/>
      <w:bookmarkEnd w:id="265"/>
    </w:p>
    <w:p w14:paraId="4153E216">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eastAsia="等线" w:cs="等线"/>
          <w:b/>
          <w:color w:val="auto"/>
          <w:sz w:val="28"/>
          <w:szCs w:val="28"/>
          <w:lang w:val="en-US" w:eastAsia="zh-CN"/>
        </w:rPr>
      </w:pPr>
      <w:bookmarkStart w:id="266" w:name="_Toc530055723"/>
      <w:r>
        <w:rPr>
          <w:rFonts w:hint="eastAsia" w:eastAsia="等线" w:cs="等线"/>
          <w:b/>
          <w:color w:val="auto"/>
          <w:sz w:val="28"/>
          <w:szCs w:val="28"/>
          <w:lang w:val="en-US" w:eastAsia="zh-CN"/>
        </w:rPr>
        <w:t>8.5.1高空坠落应急处置措施</w:t>
      </w:r>
      <w:bookmarkEnd w:id="266"/>
    </w:p>
    <w:p w14:paraId="1340DA9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30472C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3B79814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0CF3E27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48A4BE4">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eastAsia="等线" w:cs="等线"/>
          <w:b/>
          <w:color w:val="auto"/>
          <w:sz w:val="28"/>
          <w:szCs w:val="28"/>
          <w:lang w:val="en-US" w:eastAsia="zh-CN"/>
        </w:rPr>
      </w:pPr>
      <w:bookmarkStart w:id="267" w:name="_Toc530055724"/>
      <w:r>
        <w:rPr>
          <w:rFonts w:hint="eastAsia" w:eastAsia="等线" w:cs="等线"/>
          <w:b/>
          <w:color w:val="auto"/>
          <w:sz w:val="28"/>
          <w:szCs w:val="28"/>
          <w:lang w:val="en-US" w:eastAsia="zh-CN"/>
        </w:rPr>
        <w:t>8.5.2物体打击应急处置措施</w:t>
      </w:r>
      <w:bookmarkEnd w:id="267"/>
    </w:p>
    <w:p w14:paraId="730F5E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21A5B2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E383F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CD85C38">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eastAsia="等线" w:cs="等线"/>
          <w:b/>
          <w:color w:val="auto"/>
          <w:sz w:val="28"/>
          <w:szCs w:val="28"/>
          <w:lang w:val="en-US" w:eastAsia="zh-CN"/>
        </w:rPr>
      </w:pPr>
      <w:bookmarkStart w:id="268" w:name="_Toc530055725"/>
      <w:r>
        <w:rPr>
          <w:rFonts w:hint="eastAsia" w:eastAsia="等线" w:cs="等线"/>
          <w:b/>
          <w:color w:val="auto"/>
          <w:sz w:val="28"/>
          <w:szCs w:val="28"/>
          <w:lang w:val="en-US" w:eastAsia="zh-CN"/>
        </w:rPr>
        <w:t>8.5.3机械伤害应急处置措施</w:t>
      </w:r>
      <w:bookmarkEnd w:id="268"/>
      <w:r>
        <w:rPr>
          <w:rFonts w:hint="eastAsia" w:eastAsia="等线" w:cs="等线"/>
          <w:b/>
          <w:color w:val="auto"/>
          <w:sz w:val="28"/>
          <w:szCs w:val="28"/>
          <w:lang w:val="en-US" w:eastAsia="zh-CN"/>
        </w:rPr>
        <w:t xml:space="preserve"> </w:t>
      </w:r>
    </w:p>
    <w:p w14:paraId="69DF990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094223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55C630E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48391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E30EF9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6C27C94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640EAD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288794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6291DF2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785667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7F4CD1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1D98B4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63021BAF">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4FC337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00D0E4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DBB8A89">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65704D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4609332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63EF08BF">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eastAsia="等线" w:cs="等线"/>
          <w:b/>
          <w:color w:val="auto"/>
          <w:sz w:val="28"/>
          <w:szCs w:val="28"/>
          <w:lang w:val="en-US" w:eastAsia="zh-CN"/>
        </w:rPr>
      </w:pPr>
      <w:bookmarkStart w:id="269" w:name="_Toc530055726"/>
      <w:r>
        <w:rPr>
          <w:rFonts w:hint="eastAsia" w:eastAsia="等线" w:cs="等线"/>
          <w:b/>
          <w:color w:val="auto"/>
          <w:sz w:val="28"/>
          <w:szCs w:val="28"/>
          <w:lang w:val="en-US" w:eastAsia="zh-CN"/>
        </w:rPr>
        <w:t>8.5.4触电应急处置措施</w:t>
      </w:r>
      <w:bookmarkEnd w:id="269"/>
      <w:r>
        <w:rPr>
          <w:rFonts w:hint="eastAsia" w:eastAsia="等线" w:cs="等线"/>
          <w:b/>
          <w:color w:val="auto"/>
          <w:sz w:val="28"/>
          <w:szCs w:val="28"/>
          <w:lang w:val="en-US" w:eastAsia="zh-CN"/>
        </w:rPr>
        <w:t xml:space="preserve"> </w:t>
      </w:r>
    </w:p>
    <w:p w14:paraId="633D8C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5969CA5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79585FB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6A648E3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6057DC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6A3E38B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184B5F3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3795A8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02563F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0C7341E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6EAD70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48D1DA4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5D04076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4CE5F2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769E0B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5F2C2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7D100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eastAsia="等线" w:cs="等线"/>
          <w:b/>
          <w:color w:val="auto"/>
          <w:sz w:val="28"/>
          <w:szCs w:val="28"/>
          <w:lang w:val="en-US" w:eastAsia="zh-CN"/>
        </w:rPr>
      </w:pPr>
      <w:bookmarkStart w:id="270" w:name="_Toc530055727"/>
      <w:r>
        <w:rPr>
          <w:rFonts w:hint="eastAsia" w:eastAsia="等线" w:cs="等线"/>
          <w:b/>
          <w:color w:val="auto"/>
          <w:sz w:val="28"/>
          <w:szCs w:val="28"/>
          <w:lang w:val="en-US" w:eastAsia="zh-CN"/>
        </w:rPr>
        <w:t>8.5.5落水人员应急处置措施</w:t>
      </w:r>
      <w:bookmarkEnd w:id="270"/>
    </w:p>
    <w:p w14:paraId="4A8DB556">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747C243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7D727BA7">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5775D34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219610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47F91F5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6BC799C">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1823282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797734B3">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271" w:name="_Toc30132"/>
      <w:bookmarkStart w:id="272" w:name="_Toc10887"/>
      <w:bookmarkStart w:id="273" w:name="_Toc18811"/>
      <w:bookmarkStart w:id="274" w:name="_Toc23368"/>
      <w:bookmarkStart w:id="275" w:name="_Toc11464"/>
      <w:bookmarkStart w:id="276" w:name="_Toc7406"/>
      <w:bookmarkStart w:id="277" w:name="_Toc20264"/>
      <w:bookmarkStart w:id="278" w:name="_Toc10409843"/>
      <w:r>
        <w:rPr>
          <w:rFonts w:hint="eastAsia" w:ascii="等线" w:hAnsi="等线" w:eastAsia="等线" w:cs="等线"/>
          <w:color w:val="auto"/>
          <w:sz w:val="28"/>
          <w:szCs w:val="28"/>
          <w:lang w:val="en-US" w:eastAsia="zh-CN"/>
        </w:rPr>
        <w:t xml:space="preserve">8.6 </w:t>
      </w:r>
      <w:bookmarkStart w:id="279" w:name="_Toc4613"/>
      <w:r>
        <w:rPr>
          <w:rFonts w:hint="eastAsia"/>
          <w:color w:val="auto"/>
        </w:rPr>
        <w:t>施工现场的急救步骤</w:t>
      </w:r>
      <w:bookmarkEnd w:id="271"/>
      <w:bookmarkEnd w:id="272"/>
      <w:bookmarkEnd w:id="273"/>
      <w:bookmarkEnd w:id="274"/>
      <w:bookmarkEnd w:id="279"/>
    </w:p>
    <w:p w14:paraId="6EA3B52C">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280" w:name="_Toc18994"/>
      <w:bookmarkStart w:id="281" w:name="_Toc528765883"/>
      <w:r>
        <w:rPr>
          <w:rFonts w:hint="eastAsia" w:ascii="宋体" w:hAnsi="宋体" w:cs="宋体"/>
          <w:b/>
          <w:color w:val="auto"/>
          <w:sz w:val="28"/>
          <w:szCs w:val="28"/>
          <w:lang w:val="en-US" w:eastAsia="zh-CN"/>
        </w:rPr>
        <w:t>8</w:t>
      </w:r>
      <w:r>
        <w:rPr>
          <w:rFonts w:hint="eastAsia" w:ascii="宋体" w:hAnsi="宋体" w:eastAsia="宋体" w:cs="宋体"/>
          <w:b/>
          <w:color w:val="auto"/>
          <w:sz w:val="28"/>
          <w:szCs w:val="28"/>
          <w:lang w:val="en-US" w:eastAsia="zh-CN"/>
        </w:rPr>
        <w:t>.6.1</w:t>
      </w:r>
      <w:r>
        <w:rPr>
          <w:rFonts w:hint="eastAsia" w:ascii="宋体" w:hAnsi="宋体" w:eastAsia="宋体" w:cs="宋体"/>
          <w:b/>
          <w:color w:val="auto"/>
          <w:sz w:val="28"/>
          <w:szCs w:val="28"/>
        </w:rPr>
        <w:t>电话报警</w:t>
      </w:r>
      <w:bookmarkEnd w:id="280"/>
      <w:bookmarkEnd w:id="281"/>
    </w:p>
    <w:p w14:paraId="0737A4F9">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36CD6687">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3FD60564">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24EA1B8F">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08892635">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062A6923">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4A97ED3A">
      <w:pPr>
        <w:widowControl/>
        <w:jc w:val="center"/>
        <w:rPr>
          <w:rFonts w:hint="eastAsia" w:ascii="宋体" w:hAnsi="宋体" w:eastAsia="宋体" w:cs="宋体"/>
          <w:color w:val="auto"/>
          <w:kern w:val="0"/>
          <w:sz w:val="24"/>
          <w:lang w:eastAsia="zh-CN"/>
        </w:rPr>
      </w:pPr>
    </w:p>
    <w:p w14:paraId="39B695AA">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282" w:name="_Toc528765884"/>
      <w:bookmarkStart w:id="283" w:name="_Toc12893"/>
      <w:r>
        <w:rPr>
          <w:rFonts w:hint="eastAsia" w:ascii="宋体" w:hAnsi="宋体" w:cs="宋体"/>
          <w:b/>
          <w:color w:val="auto"/>
          <w:sz w:val="28"/>
          <w:szCs w:val="28"/>
          <w:lang w:val="en-US" w:eastAsia="zh-CN"/>
        </w:rPr>
        <w:t>8</w:t>
      </w:r>
      <w:r>
        <w:rPr>
          <w:rFonts w:hint="eastAsia" w:ascii="宋体" w:hAnsi="宋体" w:eastAsia="宋体" w:cs="宋体"/>
          <w:b/>
          <w:color w:val="auto"/>
          <w:sz w:val="28"/>
          <w:szCs w:val="28"/>
          <w:lang w:val="en-US" w:eastAsia="zh-CN"/>
        </w:rPr>
        <w:t>.6.2现场疏导、自救</w:t>
      </w:r>
      <w:bookmarkEnd w:id="282"/>
      <w:bookmarkEnd w:id="283"/>
    </w:p>
    <w:p w14:paraId="50370DB1">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5330D8A4">
      <w:pPr>
        <w:pStyle w:val="3"/>
        <w:numPr>
          <w:ilvl w:val="0"/>
          <w:numId w:val="0"/>
        </w:numPr>
        <w:outlineLvl w:val="1"/>
        <w:rPr>
          <w:color w:val="auto"/>
        </w:rPr>
      </w:pPr>
      <w:bookmarkStart w:id="284" w:name="_Toc6009"/>
      <w:r>
        <w:rPr>
          <w:rFonts w:hint="eastAsia"/>
          <w:color w:val="auto"/>
          <w:lang w:val="en-US" w:eastAsia="zh-CN"/>
        </w:rPr>
        <w:t xml:space="preserve">8.7 </w:t>
      </w:r>
      <w:r>
        <w:rPr>
          <w:rFonts w:hint="eastAsia"/>
          <w:color w:val="auto"/>
        </w:rPr>
        <w:t>应急保障</w:t>
      </w:r>
      <w:bookmarkEnd w:id="275"/>
      <w:bookmarkEnd w:id="276"/>
      <w:bookmarkEnd w:id="277"/>
      <w:bookmarkEnd w:id="278"/>
      <w:bookmarkEnd w:id="284"/>
    </w:p>
    <w:p w14:paraId="01020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7A26E1A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261DEC5">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AB32BF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2273A8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5C05F9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78353CC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6636163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35E3F1A4">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86E767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47C08F18">
      <w:pPr>
        <w:numPr>
          <w:ilvl w:val="0"/>
          <w:numId w:val="16"/>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1E7FC4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393DE2E7">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889E09A">
      <w:pPr>
        <w:pStyle w:val="11"/>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71E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shd w:val="clear" w:color="auto" w:fill="auto"/>
            <w:vAlign w:val="center"/>
          </w:tcPr>
          <w:p w14:paraId="0F817D2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shd w:val="clear" w:color="auto" w:fill="auto"/>
            <w:vAlign w:val="center"/>
          </w:tcPr>
          <w:p w14:paraId="6850A95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shd w:val="clear" w:color="auto" w:fill="auto"/>
            <w:vAlign w:val="center"/>
          </w:tcPr>
          <w:p w14:paraId="4061BD7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shd w:val="clear" w:color="auto" w:fill="auto"/>
            <w:vAlign w:val="center"/>
          </w:tcPr>
          <w:p w14:paraId="5FDE1D6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shd w:val="clear" w:color="auto" w:fill="auto"/>
            <w:vAlign w:val="center"/>
          </w:tcPr>
          <w:p w14:paraId="67287A1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shd w:val="clear" w:color="auto" w:fill="auto"/>
            <w:vAlign w:val="center"/>
          </w:tcPr>
          <w:p w14:paraId="618B4F2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shd w:val="clear" w:color="auto" w:fill="auto"/>
            <w:vAlign w:val="center"/>
          </w:tcPr>
          <w:p w14:paraId="2A5817A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shd w:val="clear" w:color="auto" w:fill="auto"/>
            <w:vAlign w:val="center"/>
          </w:tcPr>
          <w:p w14:paraId="1A3CAD4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0AA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B484B0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shd w:val="clear" w:color="auto" w:fill="auto"/>
            <w:vAlign w:val="center"/>
          </w:tcPr>
          <w:p w14:paraId="000F603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shd w:val="clear" w:color="auto" w:fill="auto"/>
            <w:vAlign w:val="center"/>
          </w:tcPr>
          <w:p w14:paraId="72AD37D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shd w:val="clear" w:color="auto" w:fill="auto"/>
            <w:vAlign w:val="center"/>
          </w:tcPr>
          <w:p w14:paraId="0C084D8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3FD349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1121BECF">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A7764F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921AF90">
            <w:pPr>
              <w:pStyle w:val="14"/>
              <w:rPr>
                <w:rFonts w:hint="eastAsia" w:ascii="宋体" w:hAnsi="宋体" w:eastAsia="宋体" w:cs="宋体"/>
                <w:b w:val="0"/>
                <w:bCs w:val="0"/>
                <w:color w:val="auto"/>
                <w:sz w:val="21"/>
                <w:szCs w:val="21"/>
              </w:rPr>
            </w:pPr>
          </w:p>
        </w:tc>
      </w:tr>
      <w:tr w14:paraId="35A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354A273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shd w:val="clear" w:color="auto" w:fill="auto"/>
            <w:vAlign w:val="center"/>
          </w:tcPr>
          <w:p w14:paraId="6AC8D946">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5FCB1F4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shd w:val="clear" w:color="auto" w:fill="auto"/>
            <w:vAlign w:val="center"/>
          </w:tcPr>
          <w:p w14:paraId="647CEFB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2B0777F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D8A640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258CDC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6835AE8">
            <w:pPr>
              <w:pStyle w:val="14"/>
              <w:rPr>
                <w:rFonts w:hint="eastAsia" w:ascii="宋体" w:hAnsi="宋体" w:eastAsia="宋体" w:cs="宋体"/>
                <w:b w:val="0"/>
                <w:bCs w:val="0"/>
                <w:color w:val="auto"/>
                <w:sz w:val="21"/>
                <w:szCs w:val="21"/>
              </w:rPr>
            </w:pPr>
          </w:p>
        </w:tc>
      </w:tr>
      <w:tr w14:paraId="426E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A5C376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shd w:val="clear" w:color="auto" w:fill="auto"/>
            <w:vAlign w:val="center"/>
          </w:tcPr>
          <w:p w14:paraId="4CE33CFD">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061276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shd w:val="clear" w:color="auto" w:fill="auto"/>
            <w:vAlign w:val="center"/>
          </w:tcPr>
          <w:p w14:paraId="45B0A66F">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07148E7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CC4E68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D69F22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2F466F4">
            <w:pPr>
              <w:pStyle w:val="14"/>
              <w:rPr>
                <w:rFonts w:hint="eastAsia" w:ascii="宋体" w:hAnsi="宋体" w:eastAsia="宋体" w:cs="宋体"/>
                <w:b w:val="0"/>
                <w:bCs w:val="0"/>
                <w:color w:val="auto"/>
                <w:sz w:val="21"/>
                <w:szCs w:val="21"/>
              </w:rPr>
            </w:pPr>
          </w:p>
        </w:tc>
      </w:tr>
      <w:tr w14:paraId="3F97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EE3C33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shd w:val="clear" w:color="auto" w:fill="auto"/>
            <w:vAlign w:val="center"/>
          </w:tcPr>
          <w:p w14:paraId="0F7BF34B">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4AED42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shd w:val="clear" w:color="auto" w:fill="auto"/>
            <w:vAlign w:val="center"/>
          </w:tcPr>
          <w:p w14:paraId="48835CB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17D56E9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shd w:val="clear" w:color="auto" w:fill="auto"/>
            <w:vAlign w:val="center"/>
          </w:tcPr>
          <w:p w14:paraId="4AAD6CE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52BD059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BF8F288">
            <w:pPr>
              <w:pStyle w:val="14"/>
              <w:rPr>
                <w:rFonts w:hint="eastAsia" w:ascii="宋体" w:hAnsi="宋体" w:eastAsia="宋体" w:cs="宋体"/>
                <w:b w:val="0"/>
                <w:bCs w:val="0"/>
                <w:color w:val="auto"/>
                <w:sz w:val="21"/>
                <w:szCs w:val="21"/>
              </w:rPr>
            </w:pPr>
          </w:p>
        </w:tc>
      </w:tr>
      <w:tr w14:paraId="73A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347CAD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shd w:val="clear" w:color="auto" w:fill="auto"/>
            <w:vAlign w:val="center"/>
          </w:tcPr>
          <w:p w14:paraId="73453CAE">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1099D3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shd w:val="clear" w:color="auto" w:fill="auto"/>
            <w:vAlign w:val="center"/>
          </w:tcPr>
          <w:p w14:paraId="68B8B74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0AAD10C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95E04DF">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AA5D14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39924">
            <w:pPr>
              <w:pStyle w:val="14"/>
              <w:rPr>
                <w:rFonts w:hint="eastAsia" w:ascii="宋体" w:hAnsi="宋体" w:eastAsia="宋体" w:cs="宋体"/>
                <w:b w:val="0"/>
                <w:bCs w:val="0"/>
                <w:color w:val="auto"/>
                <w:sz w:val="21"/>
                <w:szCs w:val="21"/>
              </w:rPr>
            </w:pPr>
          </w:p>
        </w:tc>
      </w:tr>
      <w:tr w14:paraId="73CB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3975A6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shd w:val="clear" w:color="auto" w:fill="auto"/>
            <w:vAlign w:val="center"/>
          </w:tcPr>
          <w:p w14:paraId="65D386FB">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5C6E5D4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shd w:val="clear" w:color="auto" w:fill="auto"/>
            <w:vAlign w:val="center"/>
          </w:tcPr>
          <w:p w14:paraId="4BE5C31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shd w:val="clear" w:color="auto" w:fill="auto"/>
            <w:vAlign w:val="center"/>
          </w:tcPr>
          <w:p w14:paraId="3DF9A6B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shd w:val="clear" w:color="auto" w:fill="auto"/>
            <w:vAlign w:val="center"/>
          </w:tcPr>
          <w:p w14:paraId="776468D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DD3EE6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4C6A345">
            <w:pPr>
              <w:pStyle w:val="14"/>
              <w:rPr>
                <w:rFonts w:hint="eastAsia" w:ascii="宋体" w:hAnsi="宋体" w:eastAsia="宋体" w:cs="宋体"/>
                <w:b w:val="0"/>
                <w:bCs w:val="0"/>
                <w:color w:val="auto"/>
                <w:sz w:val="21"/>
                <w:szCs w:val="21"/>
              </w:rPr>
            </w:pPr>
          </w:p>
        </w:tc>
      </w:tr>
      <w:tr w14:paraId="749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7AB75E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shd w:val="clear" w:color="auto" w:fill="auto"/>
            <w:vAlign w:val="center"/>
          </w:tcPr>
          <w:p w14:paraId="66407E0F">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753B139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shd w:val="clear" w:color="auto" w:fill="auto"/>
            <w:vAlign w:val="center"/>
          </w:tcPr>
          <w:p w14:paraId="6A7F365D">
            <w:pPr>
              <w:pStyle w:val="14"/>
              <w:rPr>
                <w:rFonts w:hint="eastAsia" w:ascii="宋体" w:hAnsi="宋体" w:eastAsia="宋体" w:cs="宋体"/>
                <w:b w:val="0"/>
                <w:bCs w:val="0"/>
                <w:color w:val="auto"/>
                <w:sz w:val="21"/>
                <w:szCs w:val="21"/>
              </w:rPr>
            </w:pPr>
          </w:p>
        </w:tc>
        <w:tc>
          <w:tcPr>
            <w:tcW w:w="427" w:type="pct"/>
            <w:shd w:val="clear" w:color="auto" w:fill="auto"/>
            <w:vAlign w:val="center"/>
          </w:tcPr>
          <w:p w14:paraId="7EB62A8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095A83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72BC6F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3F065DF">
            <w:pPr>
              <w:pStyle w:val="14"/>
              <w:rPr>
                <w:rFonts w:hint="eastAsia" w:ascii="宋体" w:hAnsi="宋体" w:eastAsia="宋体" w:cs="宋体"/>
                <w:b w:val="0"/>
                <w:bCs w:val="0"/>
                <w:color w:val="auto"/>
                <w:sz w:val="21"/>
                <w:szCs w:val="21"/>
              </w:rPr>
            </w:pPr>
          </w:p>
        </w:tc>
      </w:tr>
      <w:tr w14:paraId="7FD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EF865F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shd w:val="clear" w:color="auto" w:fill="auto"/>
            <w:vAlign w:val="center"/>
          </w:tcPr>
          <w:p w14:paraId="7B53373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shd w:val="clear" w:color="auto" w:fill="auto"/>
            <w:vAlign w:val="center"/>
          </w:tcPr>
          <w:p w14:paraId="76E5511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shd w:val="clear" w:color="auto" w:fill="auto"/>
            <w:vAlign w:val="center"/>
          </w:tcPr>
          <w:p w14:paraId="6F4B0A8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784E72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461A855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38ED0B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3CF9F93">
            <w:pPr>
              <w:pStyle w:val="14"/>
              <w:rPr>
                <w:rFonts w:hint="eastAsia" w:ascii="宋体" w:hAnsi="宋体" w:eastAsia="宋体" w:cs="宋体"/>
                <w:b w:val="0"/>
                <w:bCs w:val="0"/>
                <w:color w:val="auto"/>
                <w:sz w:val="21"/>
                <w:szCs w:val="21"/>
              </w:rPr>
            </w:pPr>
          </w:p>
        </w:tc>
      </w:tr>
      <w:tr w14:paraId="73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B62C7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shd w:val="clear" w:color="auto" w:fill="auto"/>
            <w:vAlign w:val="center"/>
          </w:tcPr>
          <w:p w14:paraId="72064A17">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33B0F36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shd w:val="clear" w:color="auto" w:fill="auto"/>
            <w:vAlign w:val="center"/>
          </w:tcPr>
          <w:p w14:paraId="5A69311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shd w:val="clear" w:color="auto" w:fill="auto"/>
            <w:vAlign w:val="center"/>
          </w:tcPr>
          <w:p w14:paraId="0112BA0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shd w:val="clear" w:color="auto" w:fill="auto"/>
            <w:vAlign w:val="center"/>
          </w:tcPr>
          <w:p w14:paraId="41AF586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67A86E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86F2A63">
            <w:pPr>
              <w:pStyle w:val="14"/>
              <w:rPr>
                <w:rFonts w:hint="eastAsia" w:ascii="宋体" w:hAnsi="宋体" w:eastAsia="宋体" w:cs="宋体"/>
                <w:b w:val="0"/>
                <w:bCs w:val="0"/>
                <w:color w:val="auto"/>
                <w:sz w:val="21"/>
                <w:szCs w:val="21"/>
              </w:rPr>
            </w:pPr>
          </w:p>
        </w:tc>
      </w:tr>
      <w:tr w14:paraId="3AFD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561DE8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shd w:val="clear" w:color="auto" w:fill="auto"/>
            <w:vAlign w:val="center"/>
          </w:tcPr>
          <w:p w14:paraId="3B10E183">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7FCF467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shd w:val="clear" w:color="auto" w:fill="auto"/>
            <w:vAlign w:val="center"/>
          </w:tcPr>
          <w:p w14:paraId="7B7FF00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shd w:val="clear" w:color="auto" w:fill="auto"/>
            <w:vAlign w:val="center"/>
          </w:tcPr>
          <w:p w14:paraId="76E6338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4952F2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39A26D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0E555D8">
            <w:pPr>
              <w:pStyle w:val="14"/>
              <w:rPr>
                <w:rFonts w:hint="eastAsia" w:ascii="宋体" w:hAnsi="宋体" w:eastAsia="宋体" w:cs="宋体"/>
                <w:b w:val="0"/>
                <w:bCs w:val="0"/>
                <w:color w:val="auto"/>
                <w:sz w:val="21"/>
                <w:szCs w:val="21"/>
              </w:rPr>
            </w:pPr>
          </w:p>
        </w:tc>
      </w:tr>
      <w:tr w14:paraId="26B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A67B59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shd w:val="clear" w:color="auto" w:fill="auto"/>
            <w:vAlign w:val="center"/>
          </w:tcPr>
          <w:p w14:paraId="49DEE31D">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41547BF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shd w:val="clear" w:color="auto" w:fill="auto"/>
            <w:vAlign w:val="center"/>
          </w:tcPr>
          <w:p w14:paraId="78079A6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shd w:val="clear" w:color="auto" w:fill="auto"/>
            <w:vAlign w:val="center"/>
          </w:tcPr>
          <w:p w14:paraId="725C6E8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EC7296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13AB3B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CC3E026">
            <w:pPr>
              <w:pStyle w:val="14"/>
              <w:rPr>
                <w:rFonts w:hint="eastAsia" w:ascii="宋体" w:hAnsi="宋体" w:eastAsia="宋体" w:cs="宋体"/>
                <w:b w:val="0"/>
                <w:bCs w:val="0"/>
                <w:color w:val="auto"/>
                <w:sz w:val="21"/>
                <w:szCs w:val="21"/>
              </w:rPr>
            </w:pPr>
          </w:p>
        </w:tc>
      </w:tr>
      <w:tr w14:paraId="798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CDA7F1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shd w:val="clear" w:color="auto" w:fill="auto"/>
            <w:vAlign w:val="center"/>
          </w:tcPr>
          <w:p w14:paraId="4C0D5D76">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1F053F1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shd w:val="clear" w:color="auto" w:fill="auto"/>
            <w:vAlign w:val="center"/>
          </w:tcPr>
          <w:p w14:paraId="49819EA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6F7339D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1844D8B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7A8404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0DF2C53">
            <w:pPr>
              <w:pStyle w:val="14"/>
              <w:rPr>
                <w:rFonts w:hint="eastAsia" w:ascii="宋体" w:hAnsi="宋体" w:eastAsia="宋体" w:cs="宋体"/>
                <w:b w:val="0"/>
                <w:bCs w:val="0"/>
                <w:color w:val="auto"/>
                <w:sz w:val="21"/>
                <w:szCs w:val="21"/>
              </w:rPr>
            </w:pPr>
          </w:p>
        </w:tc>
      </w:tr>
      <w:tr w14:paraId="186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2A98AE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shd w:val="clear" w:color="auto" w:fill="auto"/>
            <w:vAlign w:val="center"/>
          </w:tcPr>
          <w:p w14:paraId="003DD50F">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D523B3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shd w:val="clear" w:color="auto" w:fill="auto"/>
            <w:vAlign w:val="center"/>
          </w:tcPr>
          <w:p w14:paraId="06924B1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27665B5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006A94C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E403C5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FBF51">
            <w:pPr>
              <w:pStyle w:val="14"/>
              <w:rPr>
                <w:rFonts w:hint="eastAsia" w:ascii="宋体" w:hAnsi="宋体" w:eastAsia="宋体" w:cs="宋体"/>
                <w:b w:val="0"/>
                <w:bCs w:val="0"/>
                <w:color w:val="auto"/>
                <w:sz w:val="21"/>
                <w:szCs w:val="21"/>
              </w:rPr>
            </w:pPr>
          </w:p>
        </w:tc>
      </w:tr>
      <w:tr w14:paraId="531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F80E06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shd w:val="clear" w:color="auto" w:fill="auto"/>
            <w:vAlign w:val="center"/>
          </w:tcPr>
          <w:p w14:paraId="68B4F5BA">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4405D12B">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shd w:val="clear" w:color="auto" w:fill="auto"/>
            <w:vAlign w:val="center"/>
          </w:tcPr>
          <w:p w14:paraId="389169C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shd w:val="clear" w:color="auto" w:fill="auto"/>
            <w:vAlign w:val="center"/>
          </w:tcPr>
          <w:p w14:paraId="64ED884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shd w:val="clear" w:color="auto" w:fill="auto"/>
            <w:vAlign w:val="center"/>
          </w:tcPr>
          <w:p w14:paraId="21AAF36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9A2B6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7986535">
            <w:pPr>
              <w:pStyle w:val="14"/>
              <w:rPr>
                <w:rFonts w:hint="eastAsia" w:ascii="宋体" w:hAnsi="宋体" w:eastAsia="宋体" w:cs="宋体"/>
                <w:b w:val="0"/>
                <w:bCs w:val="0"/>
                <w:color w:val="auto"/>
                <w:sz w:val="21"/>
                <w:szCs w:val="21"/>
              </w:rPr>
            </w:pPr>
          </w:p>
        </w:tc>
      </w:tr>
      <w:tr w14:paraId="04C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5F2E0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shd w:val="clear" w:color="auto" w:fill="auto"/>
            <w:vAlign w:val="center"/>
          </w:tcPr>
          <w:p w14:paraId="6A3D33D7">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2636C6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shd w:val="clear" w:color="auto" w:fill="auto"/>
            <w:vAlign w:val="center"/>
          </w:tcPr>
          <w:p w14:paraId="1AFE173F">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F3D14A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shd w:val="clear" w:color="auto" w:fill="auto"/>
            <w:vAlign w:val="center"/>
          </w:tcPr>
          <w:p w14:paraId="603C7AB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983C8F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C0D7144">
            <w:pPr>
              <w:pStyle w:val="14"/>
              <w:rPr>
                <w:rFonts w:hint="eastAsia" w:ascii="宋体" w:hAnsi="宋体" w:eastAsia="宋体" w:cs="宋体"/>
                <w:b w:val="0"/>
                <w:bCs w:val="0"/>
                <w:color w:val="auto"/>
                <w:sz w:val="21"/>
                <w:szCs w:val="21"/>
              </w:rPr>
            </w:pPr>
          </w:p>
        </w:tc>
      </w:tr>
      <w:tr w14:paraId="51D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8E14AD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shd w:val="clear" w:color="auto" w:fill="auto"/>
            <w:vAlign w:val="center"/>
          </w:tcPr>
          <w:p w14:paraId="7624925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shd w:val="clear" w:color="auto" w:fill="auto"/>
            <w:vAlign w:val="center"/>
          </w:tcPr>
          <w:p w14:paraId="272B9D9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shd w:val="clear" w:color="auto" w:fill="auto"/>
            <w:vAlign w:val="center"/>
          </w:tcPr>
          <w:p w14:paraId="68EF372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5FD26AF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449F81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1E70A7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F8C4559">
            <w:pPr>
              <w:pStyle w:val="14"/>
              <w:rPr>
                <w:rFonts w:hint="eastAsia" w:ascii="宋体" w:hAnsi="宋体" w:eastAsia="宋体" w:cs="宋体"/>
                <w:b w:val="0"/>
                <w:bCs w:val="0"/>
                <w:color w:val="auto"/>
                <w:sz w:val="21"/>
                <w:szCs w:val="21"/>
              </w:rPr>
            </w:pPr>
          </w:p>
        </w:tc>
      </w:tr>
      <w:tr w14:paraId="1B7A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3CC906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shd w:val="clear" w:color="auto" w:fill="auto"/>
            <w:vAlign w:val="center"/>
          </w:tcPr>
          <w:p w14:paraId="4E966CF3">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79A5BAF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shd w:val="clear" w:color="auto" w:fill="auto"/>
            <w:vAlign w:val="center"/>
          </w:tcPr>
          <w:p w14:paraId="1827DA6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0B77C01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6993147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2F5C5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6FC4DDB9">
            <w:pPr>
              <w:pStyle w:val="14"/>
              <w:rPr>
                <w:rFonts w:hint="eastAsia" w:ascii="宋体" w:hAnsi="宋体" w:eastAsia="宋体" w:cs="宋体"/>
                <w:b w:val="0"/>
                <w:bCs w:val="0"/>
                <w:color w:val="auto"/>
                <w:sz w:val="21"/>
                <w:szCs w:val="21"/>
              </w:rPr>
            </w:pPr>
          </w:p>
        </w:tc>
      </w:tr>
      <w:tr w14:paraId="16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256C0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shd w:val="clear" w:color="auto" w:fill="auto"/>
            <w:vAlign w:val="center"/>
          </w:tcPr>
          <w:p w14:paraId="71BDBE9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shd w:val="clear" w:color="auto" w:fill="auto"/>
            <w:vAlign w:val="center"/>
          </w:tcPr>
          <w:p w14:paraId="3C28414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shd w:val="clear" w:color="auto" w:fill="auto"/>
            <w:vAlign w:val="center"/>
          </w:tcPr>
          <w:p w14:paraId="706A57B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5CA0A92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1B35364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B509F3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2747D874">
            <w:pPr>
              <w:pStyle w:val="14"/>
              <w:rPr>
                <w:rFonts w:hint="eastAsia" w:ascii="宋体" w:hAnsi="宋体" w:eastAsia="宋体" w:cs="宋体"/>
                <w:b w:val="0"/>
                <w:bCs w:val="0"/>
                <w:color w:val="auto"/>
                <w:sz w:val="21"/>
                <w:szCs w:val="21"/>
              </w:rPr>
            </w:pPr>
          </w:p>
        </w:tc>
      </w:tr>
      <w:tr w14:paraId="23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4CE655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shd w:val="clear" w:color="auto" w:fill="auto"/>
            <w:vAlign w:val="center"/>
          </w:tcPr>
          <w:p w14:paraId="37A37E20">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6FADD51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shd w:val="clear" w:color="auto" w:fill="auto"/>
            <w:vAlign w:val="center"/>
          </w:tcPr>
          <w:p w14:paraId="399D022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1B3BF31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92B04A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51C3379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F6CF6BA">
            <w:pPr>
              <w:pStyle w:val="14"/>
              <w:rPr>
                <w:rFonts w:hint="eastAsia" w:ascii="宋体" w:hAnsi="宋体" w:eastAsia="宋体" w:cs="宋体"/>
                <w:b w:val="0"/>
                <w:bCs w:val="0"/>
                <w:color w:val="auto"/>
                <w:sz w:val="21"/>
                <w:szCs w:val="21"/>
              </w:rPr>
            </w:pPr>
          </w:p>
        </w:tc>
      </w:tr>
      <w:tr w14:paraId="692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7DEB62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shd w:val="clear" w:color="auto" w:fill="auto"/>
            <w:vAlign w:val="center"/>
          </w:tcPr>
          <w:p w14:paraId="3B97280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shd w:val="clear" w:color="auto" w:fill="auto"/>
            <w:vAlign w:val="center"/>
          </w:tcPr>
          <w:p w14:paraId="12A876D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shd w:val="clear" w:color="auto" w:fill="auto"/>
            <w:vAlign w:val="center"/>
          </w:tcPr>
          <w:p w14:paraId="5E1CDB74">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49FEFE5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65AC7F2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E4127B6">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4E0C9D03">
            <w:pPr>
              <w:pStyle w:val="14"/>
              <w:rPr>
                <w:rFonts w:hint="eastAsia" w:ascii="宋体" w:hAnsi="宋体" w:eastAsia="宋体" w:cs="宋体"/>
                <w:b w:val="0"/>
                <w:bCs w:val="0"/>
                <w:color w:val="auto"/>
                <w:sz w:val="21"/>
                <w:szCs w:val="21"/>
              </w:rPr>
            </w:pPr>
          </w:p>
        </w:tc>
      </w:tr>
      <w:tr w14:paraId="172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67AE5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shd w:val="clear" w:color="auto" w:fill="auto"/>
            <w:vAlign w:val="center"/>
          </w:tcPr>
          <w:p w14:paraId="5C459D3C">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01C7E0D2">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shd w:val="clear" w:color="auto" w:fill="auto"/>
            <w:vAlign w:val="center"/>
          </w:tcPr>
          <w:p w14:paraId="1C757A9C">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279641C8">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3CCE647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1A7F8E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3588F68">
            <w:pPr>
              <w:pStyle w:val="14"/>
              <w:rPr>
                <w:rFonts w:hint="eastAsia" w:ascii="宋体" w:hAnsi="宋体" w:eastAsia="宋体" w:cs="宋体"/>
                <w:b w:val="0"/>
                <w:bCs w:val="0"/>
                <w:color w:val="auto"/>
                <w:sz w:val="21"/>
                <w:szCs w:val="21"/>
              </w:rPr>
            </w:pPr>
          </w:p>
        </w:tc>
      </w:tr>
      <w:tr w14:paraId="21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350A6FE">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shd w:val="clear" w:color="auto" w:fill="auto"/>
            <w:vAlign w:val="center"/>
          </w:tcPr>
          <w:p w14:paraId="20502FA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shd w:val="clear" w:color="auto" w:fill="auto"/>
            <w:vAlign w:val="center"/>
          </w:tcPr>
          <w:p w14:paraId="07F5E7D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shd w:val="clear" w:color="auto" w:fill="auto"/>
            <w:vAlign w:val="center"/>
          </w:tcPr>
          <w:p w14:paraId="51AF9281">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7ACDD3E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5502D0E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5BB51F7">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EEDA1F">
            <w:pPr>
              <w:pStyle w:val="14"/>
              <w:rPr>
                <w:rFonts w:hint="eastAsia" w:ascii="宋体" w:hAnsi="宋体" w:eastAsia="宋体" w:cs="宋体"/>
                <w:b w:val="0"/>
                <w:bCs w:val="0"/>
                <w:color w:val="auto"/>
                <w:sz w:val="21"/>
                <w:szCs w:val="21"/>
              </w:rPr>
            </w:pPr>
          </w:p>
        </w:tc>
      </w:tr>
      <w:tr w14:paraId="124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CC03363">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shd w:val="clear" w:color="auto" w:fill="auto"/>
            <w:vAlign w:val="center"/>
          </w:tcPr>
          <w:p w14:paraId="26151F97">
            <w:pPr>
              <w:pStyle w:val="14"/>
              <w:rPr>
                <w:rFonts w:hint="eastAsia" w:ascii="宋体" w:hAnsi="宋体" w:eastAsia="宋体" w:cs="宋体"/>
                <w:b w:val="0"/>
                <w:bCs w:val="0"/>
                <w:color w:val="auto"/>
                <w:sz w:val="21"/>
                <w:szCs w:val="21"/>
              </w:rPr>
            </w:pPr>
          </w:p>
        </w:tc>
        <w:tc>
          <w:tcPr>
            <w:tcW w:w="1196" w:type="pct"/>
            <w:shd w:val="clear" w:color="auto" w:fill="auto"/>
            <w:vAlign w:val="center"/>
          </w:tcPr>
          <w:p w14:paraId="53CE77C0">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shd w:val="clear" w:color="auto" w:fill="auto"/>
            <w:vAlign w:val="center"/>
          </w:tcPr>
          <w:p w14:paraId="1F66BFC9">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502C525">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3B5126BA">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0B632DD">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DFD8452">
            <w:pPr>
              <w:pStyle w:val="14"/>
              <w:rPr>
                <w:rFonts w:hint="eastAsia" w:ascii="宋体" w:hAnsi="宋体" w:eastAsia="宋体" w:cs="宋体"/>
                <w:b w:val="0"/>
                <w:bCs w:val="0"/>
                <w:color w:val="auto"/>
                <w:sz w:val="21"/>
                <w:szCs w:val="21"/>
              </w:rPr>
            </w:pPr>
          </w:p>
        </w:tc>
      </w:tr>
    </w:tbl>
    <w:p w14:paraId="6E5A8A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1ADF6265">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613B341C">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5C661A8D">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FFCAA4A">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20F6EB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EA65146">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102DFC56">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30"/>
    <w:bookmarkEnd w:id="231"/>
    <w:bookmarkEnd w:id="232"/>
    <w:p w14:paraId="02CFF874">
      <w:pPr>
        <w:ind w:firstLine="480"/>
        <w:rPr>
          <w:color w:val="auto"/>
        </w:rPr>
      </w:pPr>
    </w:p>
    <w:p w14:paraId="68F9A500">
      <w:pPr>
        <w:ind w:firstLine="480"/>
        <w:rPr>
          <w:color w:val="auto"/>
        </w:rPr>
      </w:pPr>
    </w:p>
    <w:p w14:paraId="2F9FDEEF">
      <w:pPr>
        <w:widowControl/>
        <w:ind w:firstLine="0" w:firstLineChars="0"/>
        <w:jc w:val="left"/>
        <w:rPr>
          <w:rFonts w:cstheme="majorBidi"/>
          <w:b/>
          <w:bCs/>
          <w:color w:val="auto"/>
          <w:sz w:val="32"/>
          <w:szCs w:val="32"/>
        </w:rPr>
      </w:pPr>
      <w:r>
        <w:rPr>
          <w:color w:val="auto"/>
        </w:rPr>
        <w:br w:type="page"/>
      </w:r>
    </w:p>
    <w:p w14:paraId="45A0FA1A">
      <w:pPr>
        <w:pStyle w:val="2"/>
        <w:numPr>
          <w:ilvl w:val="0"/>
          <w:numId w:val="0"/>
        </w:numPr>
        <w:spacing w:before="156" w:after="156"/>
        <w:ind w:leftChars="0"/>
        <w:jc w:val="center"/>
        <w:rPr>
          <w:color w:val="auto"/>
        </w:rPr>
      </w:pPr>
      <w:bookmarkStart w:id="285" w:name="_Toc28705"/>
      <w:bookmarkStart w:id="286" w:name="_Toc13614"/>
      <w:bookmarkStart w:id="287" w:name="_Toc40778460"/>
      <w:bookmarkStart w:id="288" w:name="_Toc27911"/>
      <w:r>
        <w:rPr>
          <w:rFonts w:hint="eastAsia"/>
          <w:color w:val="auto"/>
          <w:lang w:val="en-US" w:eastAsia="zh-CN"/>
        </w:rPr>
        <w:t>9</w:t>
      </w:r>
      <w:r>
        <w:rPr>
          <w:rFonts w:hint="eastAsia"/>
          <w:color w:val="auto"/>
        </w:rPr>
        <w:t>绿色及文明施工</w:t>
      </w:r>
      <w:bookmarkEnd w:id="285"/>
      <w:bookmarkEnd w:id="286"/>
    </w:p>
    <w:p w14:paraId="7534E80C">
      <w:pPr>
        <w:pStyle w:val="3"/>
        <w:numPr>
          <w:ilvl w:val="1"/>
          <w:numId w:val="0"/>
        </w:numPr>
        <w:spacing w:before="156" w:after="156"/>
        <w:rPr>
          <w:color w:val="auto"/>
        </w:rPr>
      </w:pPr>
      <w:bookmarkStart w:id="289" w:name="_Toc4466"/>
      <w:bookmarkStart w:id="290" w:name="_Toc15038"/>
      <w:bookmarkStart w:id="291" w:name="_Toc65792319"/>
      <w:bookmarkStart w:id="292" w:name="_Toc17602"/>
      <w:bookmarkStart w:id="293" w:name="_Toc28274"/>
      <w:r>
        <w:rPr>
          <w:rFonts w:hint="eastAsia"/>
          <w:color w:val="auto"/>
          <w:lang w:val="en-US" w:eastAsia="zh-CN"/>
        </w:rPr>
        <w:t>9</w:t>
      </w:r>
      <w:r>
        <w:rPr>
          <w:rFonts w:hint="eastAsia"/>
          <w:color w:val="auto"/>
        </w:rPr>
        <w:t>.1</w:t>
      </w:r>
      <w:r>
        <w:rPr>
          <w:color w:val="auto"/>
        </w:rPr>
        <w:t>绿色及文明施工组织机构</w:t>
      </w:r>
      <w:bookmarkEnd w:id="289"/>
      <w:bookmarkEnd w:id="290"/>
      <w:bookmarkEnd w:id="291"/>
      <w:bookmarkEnd w:id="292"/>
      <w:bookmarkEnd w:id="293"/>
    </w:p>
    <w:p w14:paraId="5650C3A5">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37C37E68">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7A155CFB">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7CA8263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08EDE04A">
      <w:pPr>
        <w:pStyle w:val="3"/>
        <w:numPr>
          <w:ilvl w:val="1"/>
          <w:numId w:val="0"/>
        </w:numPr>
        <w:spacing w:before="156" w:after="156"/>
        <w:rPr>
          <w:color w:val="auto"/>
        </w:rPr>
      </w:pPr>
      <w:bookmarkStart w:id="294" w:name="_Toc65792320"/>
      <w:bookmarkStart w:id="295" w:name="_Toc493"/>
      <w:bookmarkStart w:id="296" w:name="_Toc9765"/>
      <w:bookmarkStart w:id="297" w:name="_Toc15379"/>
      <w:bookmarkStart w:id="298" w:name="_Toc13914"/>
      <w:r>
        <w:rPr>
          <w:rFonts w:hint="eastAsia"/>
          <w:color w:val="auto"/>
          <w:lang w:val="en-US" w:eastAsia="zh-CN"/>
        </w:rPr>
        <w:t>9</w:t>
      </w:r>
      <w:r>
        <w:rPr>
          <w:rFonts w:hint="eastAsia"/>
          <w:color w:val="auto"/>
        </w:rPr>
        <w:t>.2</w:t>
      </w:r>
      <w:r>
        <w:rPr>
          <w:color w:val="auto"/>
        </w:rPr>
        <w:t>绿色及文明施工保证体系</w:t>
      </w:r>
      <w:bookmarkEnd w:id="294"/>
      <w:bookmarkEnd w:id="295"/>
      <w:bookmarkEnd w:id="296"/>
      <w:bookmarkEnd w:id="297"/>
      <w:bookmarkEnd w:id="298"/>
    </w:p>
    <w:p w14:paraId="7333B98D">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73E35A3">
      <w:pPr>
        <w:pStyle w:val="15"/>
        <w:rPr>
          <w:rFonts w:eastAsia="仿宋"/>
          <w:color w:val="auto"/>
        </w:rPr>
      </w:pPr>
      <w:r>
        <w:rPr>
          <w:rFonts w:eastAsia="仿宋"/>
          <w:color w:val="auto"/>
        </w:rPr>
        <w:object>
          <v:shape id="_x0000_i1025" o:spt="75" type="#_x0000_t75" style="height:312.4pt;width:384.1pt;" o:ole="t" filled="f" o:preferrelative="t" stroked="f" coordsize="21600,21600">
            <v:path/>
            <v:fill on="f" focussize="0,0"/>
            <v:stroke on="f"/>
            <v:imagedata r:id="rId44" o:title=""/>
            <o:lock v:ext="edit" aspectratio="t"/>
            <w10:wrap type="none"/>
            <w10:anchorlock/>
          </v:shape>
          <o:OLEObject Type="Embed" ProgID="Visio.Drawing.15" ShapeID="_x0000_i1025" DrawAspect="Content" ObjectID="_1468075725" r:id="rId43">
            <o:LockedField>false</o:LockedField>
          </o:OLEObject>
        </w:object>
      </w:r>
    </w:p>
    <w:p w14:paraId="69758BC4">
      <w:pPr>
        <w:pStyle w:val="15"/>
        <w:rPr>
          <w:color w:val="auto"/>
        </w:rPr>
      </w:pPr>
      <w:bookmarkStart w:id="299"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rFonts w:hint="eastAsia"/>
          <w:color w:val="auto"/>
          <w:lang w:val="en-US" w:eastAsia="zh-CN"/>
        </w:rPr>
        <w:t>9</w:t>
      </w:r>
      <w:r>
        <w:rPr>
          <w:color w:val="auto"/>
        </w:rPr>
        <w:t>.2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bookmarkEnd w:id="299"/>
      <w:r>
        <w:rPr>
          <w:color w:val="auto"/>
        </w:rPr>
        <w:t xml:space="preserve"> </w:t>
      </w:r>
      <w:r>
        <w:rPr>
          <w:rFonts w:hint="eastAsia"/>
          <w:color w:val="auto"/>
        </w:rPr>
        <w:t>文明施工及环境保护保证体系</w:t>
      </w:r>
    </w:p>
    <w:p w14:paraId="2CDECC1B">
      <w:pPr>
        <w:pStyle w:val="3"/>
        <w:numPr>
          <w:ilvl w:val="1"/>
          <w:numId w:val="0"/>
        </w:numPr>
        <w:spacing w:before="156" w:after="156"/>
        <w:rPr>
          <w:color w:val="auto"/>
        </w:rPr>
      </w:pPr>
      <w:bookmarkStart w:id="300" w:name="_Toc12111"/>
      <w:bookmarkStart w:id="301" w:name="_Toc7971"/>
      <w:bookmarkStart w:id="302" w:name="_Toc65792321"/>
      <w:bookmarkStart w:id="303" w:name="_Toc21347"/>
      <w:bookmarkStart w:id="304" w:name="_Toc14438"/>
      <w:r>
        <w:rPr>
          <w:rFonts w:hint="eastAsia"/>
          <w:color w:val="auto"/>
          <w:lang w:val="en-US" w:eastAsia="zh-CN"/>
        </w:rPr>
        <w:t>9</w:t>
      </w:r>
      <w:r>
        <w:rPr>
          <w:rFonts w:hint="eastAsia"/>
          <w:color w:val="auto"/>
        </w:rPr>
        <w:t>.3</w:t>
      </w:r>
      <w:r>
        <w:rPr>
          <w:color w:val="auto"/>
        </w:rPr>
        <w:t>绿色施工保证措施</w:t>
      </w:r>
      <w:bookmarkEnd w:id="300"/>
      <w:bookmarkEnd w:id="301"/>
      <w:bookmarkEnd w:id="302"/>
      <w:bookmarkEnd w:id="303"/>
      <w:bookmarkEnd w:id="304"/>
    </w:p>
    <w:p w14:paraId="15939ECF">
      <w:pPr>
        <w:pStyle w:val="4"/>
        <w:numPr>
          <w:ilvl w:val="2"/>
          <w:numId w:val="0"/>
        </w:numPr>
        <w:spacing w:before="156" w:after="156"/>
        <w:rPr>
          <w:color w:val="auto"/>
        </w:rPr>
      </w:pPr>
      <w:bookmarkStart w:id="305" w:name="_Toc3840"/>
      <w:r>
        <w:rPr>
          <w:rFonts w:hint="eastAsia"/>
          <w:color w:val="auto"/>
          <w:lang w:val="en-US" w:eastAsia="zh-CN"/>
        </w:rPr>
        <w:t>9</w:t>
      </w:r>
      <w:r>
        <w:rPr>
          <w:rFonts w:hint="eastAsia"/>
          <w:color w:val="auto"/>
        </w:rPr>
        <w:t xml:space="preserve">.3.1 </w:t>
      </w:r>
      <w:r>
        <w:rPr>
          <w:color w:val="auto"/>
        </w:rPr>
        <w:t>固体废弃物污染防治措施</w:t>
      </w:r>
      <w:bookmarkEnd w:id="305"/>
    </w:p>
    <w:p w14:paraId="02A1F59B">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BCFAC5C">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0A5B786B">
      <w:pPr>
        <w:ind w:firstLine="480"/>
        <w:rPr>
          <w:color w:val="auto"/>
        </w:rPr>
      </w:pPr>
      <w:r>
        <w:rPr>
          <w:rFonts w:hint="eastAsia"/>
          <w:color w:val="auto"/>
        </w:rPr>
        <w:t>（</w:t>
      </w:r>
      <w:r>
        <w:rPr>
          <w:color w:val="auto"/>
        </w:rPr>
        <w:t>3）施工现场设置垃圾桶收集各种垃圾，集中运至指定回收点进行处理。</w:t>
      </w:r>
    </w:p>
    <w:p w14:paraId="77A6556F">
      <w:pPr>
        <w:ind w:firstLine="480"/>
        <w:rPr>
          <w:color w:val="auto"/>
        </w:rPr>
      </w:pPr>
      <w:r>
        <w:rPr>
          <w:rFonts w:hint="eastAsia"/>
          <w:color w:val="auto"/>
        </w:rPr>
        <w:t>（</w:t>
      </w:r>
      <w:r>
        <w:rPr>
          <w:color w:val="auto"/>
        </w:rPr>
        <w:t>4）施工现场运送各种材料、预拌混凝土、垃圾等应采取遮盖或防护措施，防止溢撒。</w:t>
      </w:r>
    </w:p>
    <w:p w14:paraId="267DBF6D">
      <w:pPr>
        <w:pStyle w:val="4"/>
        <w:numPr>
          <w:ilvl w:val="2"/>
          <w:numId w:val="0"/>
        </w:numPr>
        <w:spacing w:before="156" w:after="156"/>
        <w:rPr>
          <w:color w:val="auto"/>
        </w:rPr>
      </w:pPr>
      <w:bookmarkStart w:id="306" w:name="_Toc9838"/>
      <w:r>
        <w:rPr>
          <w:rFonts w:hint="eastAsia"/>
          <w:color w:val="auto"/>
          <w:lang w:val="en-US" w:eastAsia="zh-CN"/>
        </w:rPr>
        <w:t>9</w:t>
      </w:r>
      <w:r>
        <w:rPr>
          <w:rFonts w:hint="eastAsia"/>
          <w:color w:val="auto"/>
        </w:rPr>
        <w:t>.3.2</w:t>
      </w:r>
      <w:r>
        <w:rPr>
          <w:color w:val="auto"/>
        </w:rPr>
        <w:t>水污染与水土流失防治措施</w:t>
      </w:r>
      <w:bookmarkEnd w:id="306"/>
    </w:p>
    <w:p w14:paraId="42C12346">
      <w:pPr>
        <w:ind w:firstLine="480"/>
        <w:rPr>
          <w:color w:val="auto"/>
        </w:rPr>
      </w:pPr>
      <w:r>
        <w:rPr>
          <w:rFonts w:hint="eastAsia"/>
          <w:color w:val="auto"/>
        </w:rPr>
        <w:t>（</w:t>
      </w:r>
      <w:r>
        <w:rPr>
          <w:color w:val="auto"/>
        </w:rPr>
        <w:t>1）修筑施工便道，开挖基坑时，保护好周围环境，减少对附近植被生态的破坏。</w:t>
      </w:r>
    </w:p>
    <w:p w14:paraId="7110B82D">
      <w:pPr>
        <w:ind w:firstLine="480"/>
        <w:rPr>
          <w:color w:val="auto"/>
        </w:rPr>
      </w:pPr>
      <w:r>
        <w:rPr>
          <w:rFonts w:hint="eastAsia"/>
          <w:color w:val="auto"/>
        </w:rPr>
        <w:t>（</w:t>
      </w:r>
      <w:r>
        <w:rPr>
          <w:color w:val="auto"/>
        </w:rPr>
        <w:t>2）施工人员生活区尽量远离长江，不向水库排放生活废物和生活污水。</w:t>
      </w:r>
    </w:p>
    <w:p w14:paraId="2C1273E8">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32F2CE91">
      <w:pPr>
        <w:ind w:firstLine="480"/>
        <w:rPr>
          <w:color w:val="auto"/>
        </w:rPr>
      </w:pPr>
      <w:r>
        <w:rPr>
          <w:rFonts w:hint="eastAsia"/>
          <w:color w:val="auto"/>
        </w:rPr>
        <w:t>（</w:t>
      </w:r>
      <w:r>
        <w:rPr>
          <w:color w:val="auto"/>
        </w:rPr>
        <w:t>4）对钢管桩表面泥土以及铁锈进行清理，避免污染水体。</w:t>
      </w:r>
    </w:p>
    <w:p w14:paraId="76E4AA9F">
      <w:pPr>
        <w:pStyle w:val="4"/>
        <w:numPr>
          <w:ilvl w:val="2"/>
          <w:numId w:val="0"/>
        </w:numPr>
        <w:spacing w:before="156" w:after="156"/>
        <w:rPr>
          <w:color w:val="auto"/>
        </w:rPr>
      </w:pPr>
      <w:bookmarkStart w:id="307" w:name="_Toc14868"/>
      <w:r>
        <w:rPr>
          <w:rFonts w:hint="eastAsia"/>
          <w:color w:val="auto"/>
          <w:lang w:val="en-US" w:eastAsia="zh-CN"/>
        </w:rPr>
        <w:t>9</w:t>
      </w:r>
      <w:r>
        <w:rPr>
          <w:rFonts w:hint="eastAsia"/>
          <w:color w:val="auto"/>
        </w:rPr>
        <w:t>.3.3</w:t>
      </w:r>
      <w:r>
        <w:rPr>
          <w:color w:val="auto"/>
        </w:rPr>
        <w:t>噪声污染防治措施</w:t>
      </w:r>
      <w:bookmarkEnd w:id="307"/>
    </w:p>
    <w:p w14:paraId="38FC758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5AEEA2CB">
      <w:pPr>
        <w:ind w:firstLine="480"/>
        <w:rPr>
          <w:color w:val="auto"/>
        </w:rPr>
      </w:pPr>
      <w:r>
        <w:rPr>
          <w:rFonts w:hint="eastAsia"/>
          <w:color w:val="auto"/>
        </w:rPr>
        <w:t>（</w:t>
      </w:r>
      <w:r>
        <w:rPr>
          <w:color w:val="auto"/>
        </w:rPr>
        <w:t>2）施工期间，注意控制施工车辆鸣笛，经过居民区的重型运输或施工机械，注意限速。</w:t>
      </w:r>
    </w:p>
    <w:p w14:paraId="0C4AD80A">
      <w:pPr>
        <w:ind w:firstLine="480"/>
        <w:rPr>
          <w:color w:val="auto"/>
        </w:rPr>
      </w:pPr>
      <w:r>
        <w:rPr>
          <w:rFonts w:hint="eastAsia"/>
          <w:color w:val="auto"/>
        </w:rPr>
        <w:t>（</w:t>
      </w:r>
      <w:r>
        <w:rPr>
          <w:color w:val="auto"/>
        </w:rPr>
        <w:t>3）合理安排施工活动，减少施工噪声影响时间，避免高噪声施工机械在同一区域内使用。</w:t>
      </w:r>
    </w:p>
    <w:p w14:paraId="5482F2BB">
      <w:pPr>
        <w:ind w:firstLine="480"/>
        <w:rPr>
          <w:color w:val="auto"/>
        </w:rPr>
      </w:pPr>
      <w:r>
        <w:rPr>
          <w:rFonts w:hint="eastAsia"/>
          <w:color w:val="auto"/>
        </w:rPr>
        <w:t>（</w:t>
      </w:r>
      <w:r>
        <w:rPr>
          <w:color w:val="auto"/>
        </w:rPr>
        <w:t>4）高噪声施工机械运行时尽量避开居民休息时间，晚上不进行钢管桩沉桩作业。</w:t>
      </w:r>
    </w:p>
    <w:p w14:paraId="62677E4A">
      <w:pPr>
        <w:pStyle w:val="4"/>
        <w:numPr>
          <w:ilvl w:val="2"/>
          <w:numId w:val="0"/>
        </w:numPr>
        <w:spacing w:before="156" w:after="156"/>
        <w:rPr>
          <w:color w:val="auto"/>
        </w:rPr>
      </w:pPr>
      <w:bookmarkStart w:id="308" w:name="_Toc14599"/>
      <w:r>
        <w:rPr>
          <w:rFonts w:hint="eastAsia"/>
          <w:color w:val="auto"/>
          <w:lang w:val="en-US" w:eastAsia="zh-CN"/>
        </w:rPr>
        <w:t>9</w:t>
      </w:r>
      <w:r>
        <w:rPr>
          <w:rFonts w:hint="eastAsia"/>
          <w:color w:val="auto"/>
        </w:rPr>
        <w:t>.3.4</w:t>
      </w:r>
      <w:r>
        <w:rPr>
          <w:color w:val="auto"/>
        </w:rPr>
        <w:t>大气污染防治措施</w:t>
      </w:r>
      <w:bookmarkEnd w:id="308"/>
    </w:p>
    <w:p w14:paraId="5DF1A481">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4283D6B3">
      <w:pPr>
        <w:ind w:firstLine="480"/>
        <w:rPr>
          <w:color w:val="auto"/>
        </w:rPr>
      </w:pPr>
      <w:r>
        <w:rPr>
          <w:rFonts w:hint="eastAsia"/>
          <w:color w:val="auto"/>
        </w:rPr>
        <w:t>（</w:t>
      </w:r>
      <w:r>
        <w:rPr>
          <w:color w:val="auto"/>
        </w:rPr>
        <w:t>2）在运输物料时用蓬布覆盖严密，并装量适中，不得超限运输；对散装材料采用密闭运输、存放。</w:t>
      </w:r>
    </w:p>
    <w:p w14:paraId="27A8BB95">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6755D8FB">
      <w:pPr>
        <w:ind w:firstLine="480"/>
        <w:rPr>
          <w:color w:val="auto"/>
        </w:rPr>
      </w:pPr>
      <w:r>
        <w:rPr>
          <w:rFonts w:hint="eastAsia"/>
          <w:color w:val="auto"/>
        </w:rPr>
        <w:t>（</w:t>
      </w:r>
      <w:r>
        <w:rPr>
          <w:color w:val="auto"/>
        </w:rPr>
        <w:t>4）不得焚烧油毡、橡胶、塑料以及其他产生有毒有害烟尘和气体的物质。</w:t>
      </w:r>
    </w:p>
    <w:p w14:paraId="0DB89DF1">
      <w:pPr>
        <w:pStyle w:val="4"/>
        <w:numPr>
          <w:ilvl w:val="2"/>
          <w:numId w:val="0"/>
        </w:numPr>
        <w:spacing w:before="156" w:after="156"/>
        <w:rPr>
          <w:color w:val="auto"/>
        </w:rPr>
      </w:pPr>
      <w:bookmarkStart w:id="309" w:name="_Toc30571"/>
      <w:r>
        <w:rPr>
          <w:rFonts w:hint="eastAsia"/>
          <w:color w:val="auto"/>
          <w:lang w:val="en-US" w:eastAsia="zh-CN"/>
        </w:rPr>
        <w:t>9</w:t>
      </w:r>
      <w:r>
        <w:rPr>
          <w:rFonts w:hint="eastAsia"/>
          <w:color w:val="auto"/>
        </w:rPr>
        <w:t>.3.5</w:t>
      </w:r>
      <w:r>
        <w:rPr>
          <w:color w:val="auto"/>
        </w:rPr>
        <w:t>节能减排措施</w:t>
      </w:r>
      <w:bookmarkEnd w:id="309"/>
    </w:p>
    <w:p w14:paraId="1085FCF0">
      <w:pPr>
        <w:ind w:firstLine="480"/>
        <w:rPr>
          <w:color w:val="auto"/>
        </w:rPr>
      </w:pPr>
      <w:r>
        <w:rPr>
          <w:rFonts w:hint="eastAsia"/>
          <w:color w:val="auto"/>
        </w:rPr>
        <w:t>（</w:t>
      </w:r>
      <w:r>
        <w:rPr>
          <w:color w:val="auto"/>
        </w:rPr>
        <w:t>1）优先使用国家、行业推荐的节能、高效、环保的施工设备和机具。</w:t>
      </w:r>
    </w:p>
    <w:p w14:paraId="6D479131">
      <w:pPr>
        <w:ind w:firstLine="480"/>
        <w:rPr>
          <w:color w:val="auto"/>
        </w:rPr>
      </w:pPr>
      <w:r>
        <w:rPr>
          <w:rFonts w:hint="eastAsia"/>
          <w:color w:val="auto"/>
        </w:rPr>
        <w:t>（</w:t>
      </w:r>
      <w:r>
        <w:rPr>
          <w:color w:val="auto"/>
        </w:rPr>
        <w:t>2）节约用水、用电，施工用水优先采用天然水，施工用电优先选择接入电网。</w:t>
      </w:r>
    </w:p>
    <w:p w14:paraId="6925F485">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2D028073">
      <w:pPr>
        <w:ind w:firstLine="480"/>
        <w:rPr>
          <w:color w:val="auto"/>
        </w:rPr>
      </w:pPr>
      <w:r>
        <w:rPr>
          <w:rFonts w:hint="eastAsia"/>
          <w:color w:val="auto"/>
        </w:rPr>
        <w:t>（</w:t>
      </w:r>
      <w:r>
        <w:rPr>
          <w:color w:val="auto"/>
        </w:rPr>
        <w:t>4）合理安排工序，提高各种机械的使用率和满载率，降低设备的单位耗能。</w:t>
      </w:r>
    </w:p>
    <w:p w14:paraId="3F859509">
      <w:pPr>
        <w:pStyle w:val="3"/>
        <w:numPr>
          <w:ilvl w:val="1"/>
          <w:numId w:val="0"/>
        </w:numPr>
        <w:spacing w:before="156" w:after="156"/>
        <w:rPr>
          <w:color w:val="auto"/>
        </w:rPr>
      </w:pPr>
      <w:bookmarkStart w:id="310" w:name="_Toc4017"/>
      <w:bookmarkStart w:id="311" w:name="_Toc65792322"/>
      <w:bookmarkStart w:id="312" w:name="_Toc24000"/>
      <w:bookmarkStart w:id="313" w:name="_Toc25689"/>
      <w:bookmarkStart w:id="314" w:name="_Toc24838"/>
      <w:r>
        <w:rPr>
          <w:rFonts w:hint="eastAsia"/>
          <w:color w:val="auto"/>
          <w:lang w:val="en-US" w:eastAsia="zh-CN"/>
        </w:rPr>
        <w:t>9</w:t>
      </w:r>
      <w:r>
        <w:rPr>
          <w:rFonts w:hint="eastAsia"/>
          <w:color w:val="auto"/>
        </w:rPr>
        <w:t>.4</w:t>
      </w:r>
      <w:r>
        <w:rPr>
          <w:color w:val="auto"/>
        </w:rPr>
        <w:t>文明施工保证措施</w:t>
      </w:r>
      <w:bookmarkEnd w:id="310"/>
      <w:bookmarkEnd w:id="311"/>
      <w:bookmarkEnd w:id="312"/>
      <w:bookmarkEnd w:id="313"/>
      <w:bookmarkEnd w:id="314"/>
    </w:p>
    <w:p w14:paraId="1AC58A45">
      <w:pPr>
        <w:ind w:firstLine="480"/>
        <w:rPr>
          <w:color w:val="auto"/>
        </w:rPr>
      </w:pPr>
      <w:r>
        <w:rPr>
          <w:rFonts w:hint="eastAsia"/>
          <w:color w:val="auto"/>
        </w:rPr>
        <w:t>（</w:t>
      </w:r>
      <w:r>
        <w:rPr>
          <w:color w:val="auto"/>
        </w:rPr>
        <w:t>1）施工现场设置围挡，实行封闭管理，施工人员进入施工现场应佩戴工作卡。</w:t>
      </w:r>
    </w:p>
    <w:p w14:paraId="428CEF4F">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683A2095">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518225CF">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003AC70D">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6F430032">
      <w:pPr>
        <w:ind w:firstLine="480"/>
        <w:rPr>
          <w:color w:val="auto"/>
        </w:rPr>
      </w:pPr>
      <w:r>
        <w:rPr>
          <w:rFonts w:hint="eastAsia"/>
          <w:color w:val="auto"/>
        </w:rPr>
        <w:t>（</w:t>
      </w:r>
      <w:r>
        <w:rPr>
          <w:color w:val="auto"/>
        </w:rPr>
        <w:t>6）严禁酒后上岗作业，严禁打架斗殴，严禁在施工现场嬉戏逗闹等不文明行为。</w:t>
      </w:r>
    </w:p>
    <w:p w14:paraId="7B2A856E">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14A80D1D">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5E041EA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0FC3C2F5">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279350E0">
      <w:pPr>
        <w:ind w:firstLine="480"/>
        <w:rPr>
          <w:rFonts w:hint="eastAsia"/>
          <w:color w:val="auto"/>
        </w:rPr>
      </w:pPr>
      <w:r>
        <w:rPr>
          <w:color w:val="auto"/>
        </w:rPr>
        <w:br w:type="page"/>
      </w:r>
    </w:p>
    <w:p w14:paraId="6342AB3B">
      <w:pPr>
        <w:pStyle w:val="2"/>
        <w:numPr>
          <w:ilvl w:val="0"/>
          <w:numId w:val="0"/>
        </w:numPr>
        <w:spacing w:before="156" w:after="156"/>
        <w:ind w:leftChars="0"/>
        <w:jc w:val="both"/>
        <w:rPr>
          <w:color w:val="auto"/>
        </w:rPr>
      </w:pPr>
      <w:bookmarkStart w:id="315" w:name="_Toc31997"/>
      <w:bookmarkStart w:id="316" w:name="_Toc24148"/>
      <w:r>
        <w:rPr>
          <w:rFonts w:hint="eastAsia"/>
          <w:color w:val="auto"/>
          <w:lang w:val="en-US" w:eastAsia="zh-CN"/>
        </w:rPr>
        <w:t>10</w:t>
      </w:r>
      <w:r>
        <w:rPr>
          <w:rFonts w:hint="eastAsia"/>
          <w:color w:val="auto"/>
        </w:rPr>
        <w:t>计算书及相关施工图纸</w:t>
      </w:r>
      <w:bookmarkEnd w:id="287"/>
      <w:bookmarkEnd w:id="288"/>
      <w:bookmarkEnd w:id="315"/>
      <w:bookmarkEnd w:id="316"/>
    </w:p>
    <w:p w14:paraId="29978FD4">
      <w:pPr>
        <w:pStyle w:val="4"/>
        <w:numPr>
          <w:ilvl w:val="2"/>
          <w:numId w:val="0"/>
        </w:numPr>
        <w:spacing w:before="0" w:after="0" w:line="360" w:lineRule="auto"/>
        <w:ind w:leftChars="0"/>
        <w:outlineLvl w:val="1"/>
        <w:rPr>
          <w:rFonts w:hint="eastAsia"/>
          <w:color w:val="auto"/>
          <w:sz w:val="24"/>
          <w:szCs w:val="24"/>
          <w:lang w:val="en-US" w:eastAsia="zh-CN"/>
        </w:rPr>
      </w:pPr>
      <w:bookmarkStart w:id="317" w:name="_Toc20728"/>
      <w:bookmarkStart w:id="318" w:name="_Toc16756"/>
      <w:bookmarkStart w:id="319" w:name="_Toc795"/>
      <w:r>
        <w:rPr>
          <w:rFonts w:hint="eastAsia"/>
          <w:color w:val="auto"/>
          <w:sz w:val="24"/>
          <w:szCs w:val="24"/>
          <w:lang w:val="en-US" w:eastAsia="zh-CN"/>
        </w:rPr>
        <w:t>10.1吊装分析</w:t>
      </w:r>
      <w:bookmarkEnd w:id="317"/>
    </w:p>
    <w:p w14:paraId="78B7A200">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10.1</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z w:val="21"/>
          <w:szCs w:val="21"/>
        </w:rPr>
        <w:t>塔式起重机主要部件重量参数</w:t>
      </w:r>
    </w:p>
    <w:tbl>
      <w:tblPr>
        <w:tblStyle w:val="28"/>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6"/>
        <w:gridCol w:w="1989"/>
        <w:gridCol w:w="1116"/>
        <w:gridCol w:w="881"/>
        <w:gridCol w:w="3388"/>
      </w:tblGrid>
      <w:tr w14:paraId="4D6B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7F2CA4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8C4FAD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111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8FFA6A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881"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07A89C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338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47D7D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2AA4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83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1E8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7E6C">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1771</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7A9D">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85D5">
            <w:pPr>
              <w:ind w:firstLine="420" w:firstLineChars="200"/>
              <w:jc w:val="center"/>
              <w:rPr>
                <w:rFonts w:hint="eastAsia" w:ascii="宋体" w:hAnsi="宋体" w:eastAsia="宋体" w:cs="宋体"/>
                <w:i w:val="0"/>
                <w:iCs w:val="0"/>
                <w:color w:val="auto"/>
                <w:sz w:val="21"/>
                <w:szCs w:val="21"/>
                <w:u w:val="none"/>
              </w:rPr>
            </w:pPr>
          </w:p>
        </w:tc>
      </w:tr>
      <w:tr w14:paraId="0BFE7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206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241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特殊节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4387">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1139</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D1D9">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6E02">
            <w:pPr>
              <w:ind w:firstLine="420" w:firstLineChars="200"/>
              <w:jc w:val="center"/>
              <w:rPr>
                <w:rFonts w:hint="eastAsia" w:ascii="宋体" w:hAnsi="宋体" w:eastAsia="宋体" w:cs="宋体"/>
                <w:i w:val="0"/>
                <w:iCs w:val="0"/>
                <w:color w:val="auto"/>
                <w:sz w:val="21"/>
                <w:szCs w:val="21"/>
                <w:u w:val="none"/>
              </w:rPr>
            </w:pPr>
          </w:p>
        </w:tc>
      </w:tr>
      <w:tr w14:paraId="204D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848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CBF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24D9">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3550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EEA6">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E6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28831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A9F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88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A121">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r>
              <w:rPr>
                <w:rFonts w:hint="eastAsia" w:ascii="宋体" w:hAnsi="宋体" w:cs="宋体"/>
                <w:i w:val="0"/>
                <w:iCs w:val="0"/>
                <w:color w:val="auto"/>
                <w:kern w:val="0"/>
                <w:sz w:val="21"/>
                <w:szCs w:val="21"/>
                <w:u w:val="none"/>
                <w:lang w:val="en-US" w:eastAsia="zh-CN" w:bidi="ar"/>
              </w:rPr>
              <w:t>34</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7075">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70E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532A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9F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43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平衡臂总成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7109">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2548</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AEC7">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F662">
            <w:pPr>
              <w:ind w:left="0" w:leftChars="0" w:firstLine="0" w:firstLineChars="0"/>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含</w:t>
            </w:r>
            <w:r>
              <w:rPr>
                <w:rFonts w:hint="eastAsia" w:ascii="宋体" w:hAnsi="宋体" w:eastAsia="宋体" w:cs="宋体"/>
                <w:i w:val="0"/>
                <w:iCs w:val="0"/>
                <w:color w:val="auto"/>
                <w:sz w:val="21"/>
                <w:szCs w:val="21"/>
                <w:u w:val="none"/>
                <w:lang w:val="en-US" w:eastAsia="zh-CN"/>
              </w:rPr>
              <w:t>平衡臂、起升机构、配电柜</w:t>
            </w:r>
          </w:p>
        </w:tc>
      </w:tr>
      <w:tr w14:paraId="19A54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8BC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BDA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60</w:t>
            </w:r>
            <w:r>
              <w:rPr>
                <w:rFonts w:hint="eastAsia" w:ascii="宋体" w:hAnsi="宋体" w:eastAsia="宋体" w:cs="宋体"/>
                <w:i w:val="0"/>
                <w:iCs w:val="0"/>
                <w:color w:val="auto"/>
                <w:kern w:val="0"/>
                <w:sz w:val="21"/>
                <w:szCs w:val="21"/>
                <w:u w:val="none"/>
                <w:lang w:val="en-US" w:eastAsia="zh-CN" w:bidi="ar"/>
              </w:rPr>
              <w:t>米起重臂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AB7B">
            <w:pPr>
              <w:keepNext w:val="0"/>
              <w:keepLines w:val="0"/>
              <w:widowControl/>
              <w:suppressLineNumbers w:val="0"/>
              <w:ind w:firstLine="420" w:firstLineChars="200"/>
              <w:jc w:val="left"/>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4234</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4294">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D743">
            <w:pPr>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含</w:t>
            </w:r>
            <w:r>
              <w:rPr>
                <w:rFonts w:hint="eastAsia" w:ascii="宋体" w:hAnsi="宋体" w:eastAsia="宋体" w:cs="宋体"/>
                <w:i w:val="0"/>
                <w:iCs w:val="0"/>
                <w:color w:val="auto"/>
                <w:sz w:val="21"/>
                <w:szCs w:val="21"/>
                <w:u w:val="none"/>
                <w:lang w:val="en-US" w:eastAsia="zh-CN"/>
              </w:rPr>
              <w:t xml:space="preserve">力矩限制器，部分起重臂拉 </w:t>
            </w:r>
          </w:p>
          <w:p w14:paraId="43D2A48B">
            <w:pPr>
              <w:ind w:firstLine="420" w:firstLineChars="20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杆、部分平衡臂拉杆</w:t>
            </w:r>
          </w:p>
        </w:tc>
      </w:tr>
      <w:tr w14:paraId="01254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282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D76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塔顶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3F15">
            <w:pPr>
              <w:keepNext w:val="0"/>
              <w:keepLines w:val="0"/>
              <w:widowControl/>
              <w:suppressLineNumbers w:val="0"/>
              <w:ind w:firstLine="420" w:firstLineChars="200"/>
              <w:jc w:val="left"/>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1425</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7192">
            <w:pPr>
              <w:keepNext w:val="0"/>
              <w:keepLines w:val="0"/>
              <w:widowControl/>
              <w:suppressLineNumbers w:val="0"/>
              <w:ind w:firstLine="420" w:firstLineChars="20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C436">
            <w:pPr>
              <w:ind w:firstLine="420" w:firstLineChars="200"/>
              <w:jc w:val="center"/>
              <w:rPr>
                <w:rFonts w:hint="eastAsia" w:ascii="宋体" w:hAnsi="宋体" w:eastAsia="宋体" w:cs="宋体"/>
                <w:i w:val="0"/>
                <w:iCs w:val="0"/>
                <w:color w:val="auto"/>
                <w:sz w:val="21"/>
                <w:szCs w:val="21"/>
                <w:u w:val="none"/>
              </w:rPr>
            </w:pPr>
          </w:p>
        </w:tc>
      </w:tr>
      <w:tr w14:paraId="3F6E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EEA2">
            <w:pPr>
              <w:keepNext w:val="0"/>
              <w:keepLines w:val="0"/>
              <w:widowControl/>
              <w:suppressLineNumbers w:val="0"/>
              <w:ind w:left="0" w:leftChars="0"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D89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标准节</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E893">
            <w:pPr>
              <w:keepNext w:val="0"/>
              <w:keepLines w:val="0"/>
              <w:widowControl/>
              <w:suppressLineNumbers w:val="0"/>
              <w:ind w:firstLine="420" w:firstLineChars="20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w:t>
            </w:r>
            <w:r>
              <w:rPr>
                <w:rFonts w:hint="eastAsia" w:ascii="宋体" w:hAnsi="宋体" w:cs="宋体"/>
                <w:i w:val="0"/>
                <w:iCs w:val="0"/>
                <w:color w:val="auto"/>
                <w:kern w:val="0"/>
                <w:sz w:val="21"/>
                <w:szCs w:val="21"/>
                <w:u w:val="none"/>
                <w:lang w:val="en-US" w:eastAsia="zh-CN" w:bidi="ar"/>
              </w:rPr>
              <w:t>47</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D1C8">
            <w:pPr>
              <w:keepNext w:val="0"/>
              <w:keepLines w:val="0"/>
              <w:widowControl/>
              <w:suppressLineNumbers w:val="0"/>
              <w:ind w:firstLine="420" w:firstLineChars="20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815A">
            <w:pPr>
              <w:ind w:firstLine="420" w:firstLineChars="200"/>
              <w:jc w:val="center"/>
              <w:rPr>
                <w:rFonts w:hint="eastAsia" w:ascii="宋体" w:hAnsi="宋体" w:eastAsia="宋体" w:cs="宋体"/>
                <w:i w:val="0"/>
                <w:iCs w:val="0"/>
                <w:color w:val="auto"/>
                <w:sz w:val="21"/>
                <w:szCs w:val="21"/>
                <w:u w:val="none"/>
              </w:rPr>
            </w:pPr>
          </w:p>
        </w:tc>
      </w:tr>
    </w:tbl>
    <w:p w14:paraId="45983D22">
      <w:pPr>
        <w:pStyle w:val="33"/>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kern w:val="2"/>
          <w:sz w:val="24"/>
          <w:szCs w:val="21"/>
          <w:lang w:val="en-US" w:eastAsia="zh-CN" w:bidi="ar-SA"/>
        </w:rPr>
        <w:t>拆除</w:t>
      </w:r>
      <w:r>
        <w:rPr>
          <w:rFonts w:hint="default" w:ascii="Times New Roman" w:hAnsi="Times New Roman" w:eastAsia="宋体" w:cs="Times New Roman"/>
          <w:color w:val="auto"/>
          <w:kern w:val="2"/>
          <w:sz w:val="24"/>
          <w:szCs w:val="21"/>
          <w:lang w:val="en-US" w:eastAsia="zh-CN" w:bidi="ar-SA"/>
        </w:rPr>
        <w:t>塔机时最大重量按60m起重臂4.234t考虑，吊装半径按</w:t>
      </w:r>
      <w:r>
        <w:rPr>
          <w:rFonts w:hint="eastAsia" w:ascii="Times New Roman" w:hAnsi="Times New Roman" w:cs="Times New Roman"/>
          <w:color w:val="auto"/>
          <w:kern w:val="2"/>
          <w:sz w:val="24"/>
          <w:szCs w:val="21"/>
          <w:lang w:val="en-US" w:eastAsia="zh-CN" w:bidi="ar-SA"/>
        </w:rPr>
        <w:t>9</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ascii="Times New Roman" w:hAnsi="Times New Roman" w:cs="Times New Roman"/>
          <w:color w:val="auto"/>
          <w:kern w:val="2"/>
          <w:sz w:val="24"/>
          <w:szCs w:val="21"/>
          <w:lang w:val="en-US" w:eastAsia="zh-CN" w:bidi="ar-SA"/>
        </w:rPr>
        <w:t>8.2</w:t>
      </w:r>
      <w:r>
        <w:rPr>
          <w:rFonts w:hint="default" w:ascii="Times New Roman" w:hAnsi="Times New Roman" w:eastAsia="宋体" w:cs="Times New Roman"/>
          <w:color w:val="auto"/>
          <w:kern w:val="2"/>
          <w:sz w:val="24"/>
          <w:szCs w:val="21"/>
          <w:lang w:val="en-US" w:eastAsia="zh-CN" w:bidi="ar-SA"/>
        </w:rPr>
        <w:t>t，满足吊装要求。</w:t>
      </w:r>
    </w:p>
    <w:p w14:paraId="3F8DB78B">
      <w:pPr>
        <w:rPr>
          <w:rFonts w:hint="eastAsia" w:ascii="宋体" w:hAnsi="宋体" w:cs="黑体"/>
          <w:b/>
          <w:color w:val="auto"/>
          <w:sz w:val="21"/>
          <w:szCs w:val="21"/>
        </w:rPr>
      </w:pPr>
      <w:r>
        <w:rPr>
          <w:rFonts w:hint="eastAsia" w:ascii="宋体" w:hAnsi="宋体" w:cs="黑体"/>
          <w:b/>
          <w:color w:val="auto"/>
          <w:sz w:val="21"/>
          <w:szCs w:val="21"/>
        </w:rPr>
        <w:br w:type="page"/>
      </w:r>
    </w:p>
    <w:p w14:paraId="68837676">
      <w:pPr>
        <w:pStyle w:val="49"/>
        <w:ind w:firstLine="480"/>
        <w:rPr>
          <w:rFonts w:ascii="宋体" w:hAnsi="宋体"/>
          <w:color w:val="auto"/>
          <w:szCs w:val="21"/>
        </w:rPr>
      </w:pPr>
      <w:r>
        <w:rPr>
          <w:rFonts w:hint="eastAsia" w:ascii="宋体" w:hAnsi="宋体"/>
          <w:color w:val="auto"/>
        </w:rPr>
        <w:t>表</w:t>
      </w:r>
      <w:r>
        <w:rPr>
          <w:rFonts w:hint="eastAsia" w:ascii="宋体" w:hAnsi="宋体"/>
          <w:color w:val="auto"/>
          <w:lang w:val="en-US" w:eastAsia="zh-CN"/>
        </w:rPr>
        <w:t>10.1-1</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p>
    <w:p w14:paraId="677D70E6">
      <w:pPr>
        <w:ind w:left="0" w:leftChars="0" w:firstLine="0" w:firstLineChars="0"/>
        <w:rPr>
          <w:rFonts w:hint="eastAsia"/>
          <w:color w:val="auto"/>
          <w:sz w:val="24"/>
          <w:szCs w:val="24"/>
          <w:lang w:val="en-US" w:eastAsia="zh-CN"/>
        </w:rPr>
      </w:pPr>
      <w:r>
        <w:rPr>
          <w:rFonts w:hint="eastAsia" w:eastAsia="宋体"/>
          <w:color w:val="auto"/>
          <w:lang w:eastAsia="zh-CN"/>
        </w:rPr>
        <w:drawing>
          <wp:inline distT="0" distB="0" distL="114300" distR="114300">
            <wp:extent cx="4406900" cy="4085590"/>
            <wp:effectExtent l="0" t="0" r="12700" b="10160"/>
            <wp:docPr id="37" name="图片 37" descr="174149679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41496795480"/>
                    <pic:cNvPicPr>
                      <a:picLocks noChangeAspect="1"/>
                    </pic:cNvPicPr>
                  </pic:nvPicPr>
                  <pic:blipFill>
                    <a:blip r:embed="rId25"/>
                    <a:stretch>
                      <a:fillRect/>
                    </a:stretch>
                  </pic:blipFill>
                  <pic:spPr>
                    <a:xfrm>
                      <a:off x="0" y="0"/>
                      <a:ext cx="4406900" cy="4085590"/>
                    </a:xfrm>
                    <a:prstGeom prst="rect">
                      <a:avLst/>
                    </a:prstGeom>
                  </pic:spPr>
                </pic:pic>
              </a:graphicData>
            </a:graphic>
          </wp:inline>
        </w:drawing>
      </w:r>
      <w:r>
        <w:rPr>
          <w:rFonts w:hint="eastAsia" w:eastAsia="宋体"/>
          <w:color w:val="auto"/>
          <w:lang w:eastAsia="zh-CN"/>
        </w:rPr>
        <w:drawing>
          <wp:inline distT="0" distB="0" distL="114300" distR="114300">
            <wp:extent cx="4804410" cy="4307840"/>
            <wp:effectExtent l="0" t="0" r="15240" b="16510"/>
            <wp:docPr id="38" name="图片 38" descr="17414968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41496814378"/>
                    <pic:cNvPicPr>
                      <a:picLocks noChangeAspect="1"/>
                    </pic:cNvPicPr>
                  </pic:nvPicPr>
                  <pic:blipFill>
                    <a:blip r:embed="rId26"/>
                    <a:srcRect l="5702" r="647" b="3909"/>
                    <a:stretch>
                      <a:fillRect/>
                    </a:stretch>
                  </pic:blipFill>
                  <pic:spPr>
                    <a:xfrm>
                      <a:off x="0" y="0"/>
                      <a:ext cx="4804410" cy="4307840"/>
                    </a:xfrm>
                    <a:prstGeom prst="rect">
                      <a:avLst/>
                    </a:prstGeom>
                  </pic:spPr>
                </pic:pic>
              </a:graphicData>
            </a:graphic>
          </wp:inline>
        </w:drawing>
      </w:r>
    </w:p>
    <w:p w14:paraId="0104B035">
      <w:pPr>
        <w:pStyle w:val="32"/>
        <w:rPr>
          <w:rFonts w:hint="default"/>
          <w:color w:val="auto"/>
          <w:lang w:val="en-US" w:eastAsia="zh-CN"/>
        </w:rPr>
      </w:pPr>
    </w:p>
    <w:p w14:paraId="57828F96">
      <w:pPr>
        <w:pStyle w:val="32"/>
        <w:rPr>
          <w:rFonts w:hint="default"/>
          <w:color w:val="auto"/>
          <w:lang w:val="en-US" w:eastAsia="zh-CN"/>
        </w:rPr>
      </w:pPr>
    </w:p>
    <w:p w14:paraId="4C296053">
      <w:pPr>
        <w:pStyle w:val="3"/>
        <w:numPr>
          <w:ilvl w:val="2"/>
          <w:numId w:val="0"/>
        </w:numPr>
        <w:spacing w:before="156" w:after="156"/>
        <w:rPr>
          <w:rFonts w:hint="eastAsia"/>
          <w:color w:val="auto"/>
          <w:lang w:val="en-US" w:eastAsia="zh-CN"/>
        </w:rPr>
      </w:pPr>
      <w:r>
        <w:rPr>
          <w:rFonts w:hint="eastAsia"/>
          <w:color w:val="auto"/>
          <w:sz w:val="24"/>
          <w:szCs w:val="24"/>
          <w:lang w:val="en-US" w:eastAsia="zh-CN"/>
        </w:rPr>
        <w:t>10</w:t>
      </w:r>
      <w:r>
        <w:rPr>
          <w:rFonts w:hint="default"/>
          <w:color w:val="auto"/>
          <w:sz w:val="24"/>
          <w:szCs w:val="24"/>
          <w:lang w:val="en-US" w:eastAsia="zh-CN"/>
        </w:rPr>
        <w:t>.</w:t>
      </w:r>
      <w:r>
        <w:rPr>
          <w:rFonts w:hint="eastAsia"/>
          <w:color w:val="auto"/>
          <w:sz w:val="24"/>
          <w:szCs w:val="24"/>
          <w:lang w:val="en-US" w:eastAsia="zh-CN"/>
        </w:rPr>
        <w:t>2</w:t>
      </w:r>
      <w:r>
        <w:rPr>
          <w:rFonts w:hint="eastAsia" w:ascii="Times New Roman" w:hAnsi="Times New Roman"/>
          <w:color w:val="auto"/>
          <w:sz w:val="24"/>
          <w:szCs w:val="24"/>
        </w:rPr>
        <w:t>吊索具选型计算</w:t>
      </w:r>
      <w:bookmarkEnd w:id="318"/>
      <w:bookmarkEnd w:id="319"/>
    </w:p>
    <w:p w14:paraId="2C924E58">
      <w:pPr>
        <w:pStyle w:val="4"/>
        <w:numPr>
          <w:ilvl w:val="2"/>
          <w:numId w:val="0"/>
        </w:numPr>
        <w:bidi w:val="0"/>
        <w:ind w:leftChars="0"/>
        <w:rPr>
          <w:rFonts w:hint="eastAsia"/>
          <w:lang w:val="en-US" w:eastAsia="zh-CN"/>
        </w:rPr>
      </w:pPr>
      <w:bookmarkStart w:id="320" w:name="_Toc16842"/>
      <w:r>
        <w:rPr>
          <w:rFonts w:hint="eastAsia"/>
          <w:lang w:val="en-US" w:eastAsia="zh-CN"/>
        </w:rPr>
        <w:t>10.2.1钢丝绳选型依据</w:t>
      </w:r>
      <w:bookmarkEnd w:id="320"/>
    </w:p>
    <w:p w14:paraId="08EA92CE">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7D97B39F">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9925B43">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6E633F60">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2E7DE5E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63EC2B1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17E2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24384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AEA329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C8E09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0F2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4EAF2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3E97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0EFCEBF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0B8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6C3ED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C1968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3638BA3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7B8E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FA53CA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673616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B5A69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232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1D990E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0CC6F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69DF80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6C38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041E2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23DF66A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2B9D716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4945F59">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214D476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77211B82">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524B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FFB37C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39F92C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14A3BEE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6DB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FFB7CF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A72E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0ACDD21C">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454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4E9248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FC348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0B325CF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229E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CBF74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C8FECF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39489B2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5437860F">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爬升架</w:t>
      </w:r>
      <w:r>
        <w:rPr>
          <w:rFonts w:hint="eastAsia" w:ascii="Times New Roman" w:hAnsi="Times New Roman" w:eastAsia="宋体" w:cs="Times New Roman"/>
        </w:rPr>
        <w:t>，</w:t>
      </w:r>
      <w:r>
        <w:rPr>
          <w:rFonts w:hint="eastAsia" w:cs="Times New Roman"/>
          <w:lang w:val="en-US" w:eastAsia="zh-CN"/>
        </w:rPr>
        <w:t>爬升架</w:t>
      </w:r>
      <w:r>
        <w:rPr>
          <w:rFonts w:hint="eastAsia" w:ascii="Times New Roman" w:hAnsi="Times New Roman" w:eastAsia="宋体" w:cs="Times New Roman"/>
        </w:rPr>
        <w:t>起重量约</w:t>
      </w:r>
      <w:r>
        <w:rPr>
          <w:rFonts w:hint="eastAsia" w:cs="Times New Roman"/>
          <w:lang w:val="en-US" w:eastAsia="zh-CN"/>
        </w:rPr>
        <w:t>3.55</w:t>
      </w:r>
      <w:r>
        <w:rPr>
          <w:rFonts w:hint="eastAsia" w:ascii="Times New Roman" w:hAnsi="Times New Roman" w:eastAsia="宋体" w:cs="Times New Roman"/>
        </w:rPr>
        <w:t>t，钢丝绳与</w:t>
      </w:r>
      <w:r>
        <w:rPr>
          <w:rFonts w:hint="eastAsia" w:cs="Times New Roman"/>
          <w:lang w:val="en-US" w:eastAsia="zh-CN"/>
        </w:rPr>
        <w:t>爬升架</w:t>
      </w:r>
      <w:r>
        <w:rPr>
          <w:rFonts w:hint="eastAsia" w:ascii="Times New Roman" w:hAnsi="Times New Roman" w:eastAsia="宋体" w:cs="Times New Roman"/>
        </w:rPr>
        <w:t>60°夹角，以</w:t>
      </w:r>
      <w:r>
        <w:rPr>
          <w:rFonts w:hint="eastAsia" w:cs="Times New Roman"/>
          <w:lang w:val="en-US" w:eastAsia="zh-CN"/>
        </w:rPr>
        <w:t>爬升架</w:t>
      </w:r>
      <w:r>
        <w:rPr>
          <w:rFonts w:hint="eastAsia" w:ascii="Times New Roman" w:hAnsi="Times New Roman" w:eastAsia="宋体" w:cs="Times New Roman"/>
        </w:rPr>
        <w:t>顶部四个销轴孔作为吊装孔，钢丝绳采用压制接头。</w:t>
      </w:r>
    </w:p>
    <w:p w14:paraId="288988A1">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4620699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3.55</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110.52</m:t>
          </m:r>
          <m:r>
            <m:rPr>
              <m:nor/>
              <m:sty m:val="p"/>
            </m:rPr>
            <w:rPr>
              <w:b w:val="0"/>
              <w:i w:val="0"/>
            </w:rPr>
            <m:t>N</m:t>
          </m:r>
        </m:oMath>
      </m:oMathPara>
    </w:p>
    <w:p w14:paraId="201795C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9D362C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110.52</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13.39</m:t>
          </m:r>
          <m:r>
            <m:rPr>
              <m:nor/>
              <m:sty m:val="p"/>
            </m:rPr>
            <w:rPr>
              <w:b w:val="0"/>
              <w:i w:val="0"/>
            </w:rPr>
            <m:t>mm</m:t>
          </m:r>
        </m:oMath>
      </m:oMathPara>
    </w:p>
    <w:p w14:paraId="3E356FF1">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φ14</w:t>
      </w:r>
      <w:r>
        <w:rPr>
          <w:rFonts w:hint="eastAsia" w:ascii="Times New Roman" w:hAnsi="Times New Roman" w:eastAsia="宋体" w:cs="Times New Roman"/>
        </w:rPr>
        <w:t>mm钢丝绳可满足要求。</w:t>
      </w:r>
    </w:p>
    <w:p w14:paraId="6590BC58">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起重臂总成</w:t>
      </w:r>
      <w:r>
        <w:rPr>
          <w:rFonts w:hint="eastAsia" w:cs="Times New Roman"/>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总成</w:t>
      </w:r>
      <w:r>
        <w:rPr>
          <w:rFonts w:hint="eastAsia" w:ascii="Times New Roman" w:hAnsi="Times New Roman" w:eastAsia="宋体" w:cs="Times New Roman"/>
        </w:rPr>
        <w:t>最大重量约</w:t>
      </w:r>
      <w:r>
        <w:rPr>
          <w:rFonts w:hint="eastAsia" w:cs="Times New Roman"/>
          <w:lang w:val="en-US" w:eastAsia="zh-CN"/>
        </w:rPr>
        <w:t>4.234</w:t>
      </w:r>
      <w:r>
        <w:rPr>
          <w:rFonts w:hint="eastAsia" w:ascii="Times New Roman" w:hAnsi="Times New Roman" w:eastAsia="宋体" w:cs="Times New Roman"/>
        </w:rPr>
        <w:t>t，钢丝绳与起重臂成60°夹角，起重臂吊装采用两点吊，在起重臂腹杆上设置2个吊点，钢丝绳采用压制接头。</w:t>
      </w:r>
    </w:p>
    <w:p w14:paraId="4DA1E15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5ABD94D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4.234</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198.73</m:t>
          </m:r>
          <m:r>
            <m:rPr>
              <m:nor/>
              <m:sty m:val="p"/>
            </m:rPr>
            <w:rPr>
              <w:b w:val="0"/>
              <w:i w:val="0"/>
            </w:rPr>
            <m:t>kN</m:t>
          </m:r>
        </m:oMath>
      </m:oMathPara>
    </w:p>
    <w:p w14:paraId="18549ED3">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282335E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198.73</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17.90</m:t>
          </m:r>
          <m:r>
            <m:rPr>
              <m:nor/>
              <m:sty m:val="p"/>
            </m:rPr>
            <w:rPr>
              <w:b w:val="0"/>
              <w:i w:val="0"/>
            </w:rPr>
            <m:t>mm</m:t>
          </m:r>
        </m:oMath>
      </m:oMathPara>
    </w:p>
    <w:p w14:paraId="78A66B35">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φ18</w:t>
      </w:r>
      <w:r>
        <w:rPr>
          <w:rFonts w:hint="eastAsia" w:ascii="Times New Roman" w:hAnsi="Times New Roman" w:eastAsia="宋体" w:cs="Times New Roman"/>
        </w:rPr>
        <w:t>mm钢丝绳可满足要求。</w:t>
      </w:r>
    </w:p>
    <w:p w14:paraId="60C4F7D4">
      <w:pPr>
        <w:pStyle w:val="4"/>
        <w:numPr>
          <w:ilvl w:val="2"/>
          <w:numId w:val="0"/>
        </w:numPr>
        <w:bidi w:val="0"/>
        <w:ind w:leftChars="0"/>
        <w:rPr>
          <w:rFonts w:hint="eastAsia"/>
          <w:lang w:val="en-US" w:eastAsia="zh-CN"/>
        </w:rPr>
      </w:pPr>
      <w:bookmarkStart w:id="321" w:name="_Toc132535969"/>
      <w:r>
        <w:rPr>
          <w:rFonts w:hint="eastAsia"/>
          <w:lang w:val="en-US" w:eastAsia="zh-CN"/>
        </w:rPr>
        <w:t>10.2.2卸扣选型</w:t>
      </w:r>
      <w:bookmarkEnd w:id="321"/>
    </w:p>
    <w:p w14:paraId="03804205">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5D7DD98D">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w:t>
      </w:r>
      <w:r>
        <w:rPr>
          <w:rFonts w:hint="eastAsia" w:eastAsia="黑体" w:cs="Times New Roman"/>
          <w:kern w:val="2"/>
          <w:sz w:val="21"/>
          <w:lang w:val="en-US" w:eastAsia="zh-CN" w:bidi="ar-SA"/>
        </w:rPr>
        <w:t>0</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2</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 xml:space="preserve">2-1  </w:t>
      </w:r>
      <w:r>
        <w:rPr>
          <w:rFonts w:hint="eastAsia" w:ascii="Times New Roman" w:hAnsi="Times New Roman" w:eastAsia="黑体" w:cs="Times New Roman"/>
          <w:kern w:val="2"/>
          <w:sz w:val="21"/>
          <w:lang w:val="en-US" w:eastAsia="zh-CN" w:bidi="ar-SA"/>
        </w:rPr>
        <w:t>D形卸扣尺寸</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44153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2901585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688C7C9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84A0FA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61066B4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759562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128D2CA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419F9AB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5E97D4F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56ECB9B3">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52E755C">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2129EB1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22DC0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1651755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2DF66AC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5E1C5C5D">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050A5A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41066F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55C5CBC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074BB22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4997947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10C1D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365113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0A63F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0AF19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6FD91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20BCAF8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0392F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0E4A78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37C04A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472CCD0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331DC8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66106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3F3E4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303DB8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31E2D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4B9C02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1B3DEF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54818E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7ADC665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2EF4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452BCBF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620B3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CDB8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04EB3B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B9680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F0D61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672ED9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44F1124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AA891C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725DFF7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71C16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CF4FB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D13D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631DD1A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5C1CD7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EC332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673BBC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4F9C6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5DEAFC2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4637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75E6B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67E80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D3BBD8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2E3F989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055A6E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2F1ACC2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025DE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EDF30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40F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86ACA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06E43E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5BF71BC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39F3F7A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340394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11E75C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79B421A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228B51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0F7AD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3635EF2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B6009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1F5ED43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2C188F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5566EC1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1D48086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378F9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3AAADC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0D24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BA410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13E40C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630D28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7D90683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EFB92A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4CCE422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47FD71D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16D36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63846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99DD1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61292B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67E0C60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0B21144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15A675B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1C67202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67DC879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758900D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6E418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0BF20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077E94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689C2A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48E2DC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061743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73D8D3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777E8F6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071B5CA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4D6CC03A">
      <w:pPr>
        <w:ind w:firstLine="480"/>
        <w:rPr>
          <w:rFonts w:ascii="Times New Roman" w:hAnsi="Times New Roman" w:eastAsia="宋体" w:cs="Times New Roman"/>
        </w:rPr>
      </w:pPr>
      <w:r>
        <w:rPr>
          <w:rFonts w:hint="eastAsia" w:ascii="Times New Roman" w:hAnsi="Times New Roman" w:eastAsia="宋体" w:cs="Times New Roman"/>
        </w:rPr>
        <w:t>四点吊的塔吊主要部件</w:t>
      </w:r>
      <w:r>
        <w:rPr>
          <w:rFonts w:hint="eastAsia" w:cs="Times New Roman"/>
          <w:lang w:val="en-US" w:eastAsia="zh-CN"/>
        </w:rPr>
        <w:t>为爬升架，爬升架</w:t>
      </w:r>
      <w:r>
        <w:rPr>
          <w:rFonts w:hint="eastAsia" w:ascii="Times New Roman" w:hAnsi="Times New Roman" w:eastAsia="宋体" w:cs="Times New Roman"/>
        </w:rPr>
        <w:t>最大重量约</w:t>
      </w:r>
      <w:r>
        <w:rPr>
          <w:rFonts w:hint="eastAsia" w:cs="Times New Roman"/>
          <w:lang w:val="en-US" w:eastAsia="zh-CN"/>
        </w:rPr>
        <w:t>3.55</w:t>
      </w:r>
      <w:r>
        <w:rPr>
          <w:rFonts w:hint="eastAsia" w:ascii="Times New Roman" w:hAnsi="Times New Roman" w:eastAsia="宋体" w:cs="Times New Roman"/>
        </w:rPr>
        <w:t>t，钢丝绳连接卸扣工作荷载：</w:t>
      </w:r>
    </w:p>
    <w:p w14:paraId="3C051EDE">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110.52</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18.42</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1A292DA8">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w:t>
      </w:r>
      <w:r>
        <w:rPr>
          <w:rFonts w:hint="eastAsia" w:cs="Times New Roman"/>
          <w:highlight w:val="none"/>
          <w:lang w:val="en-US" w:eastAsia="zh-CN"/>
        </w:rPr>
        <w:t>起重臂</w:t>
      </w:r>
      <w:r>
        <w:rPr>
          <w:rFonts w:hint="eastAsia" w:ascii="Times New Roman" w:hAnsi="Times New Roman" w:eastAsia="宋体" w:cs="Times New Roman"/>
          <w:highlight w:val="none"/>
        </w:rPr>
        <w:t>总成</w:t>
      </w:r>
      <w:r>
        <w:rPr>
          <w:rFonts w:hint="eastAsia" w:cs="Times New Roman"/>
          <w:highlight w:val="none"/>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总成最</w:t>
      </w:r>
      <w:r>
        <w:rPr>
          <w:rFonts w:hint="eastAsia" w:ascii="Times New Roman" w:hAnsi="Times New Roman" w:eastAsia="宋体" w:cs="Times New Roman"/>
        </w:rPr>
        <w:t>大重量约</w:t>
      </w:r>
      <w:r>
        <w:rPr>
          <w:rFonts w:hint="eastAsia" w:cs="Times New Roman"/>
          <w:lang w:val="en-US" w:eastAsia="zh-CN"/>
        </w:rPr>
        <w:t>5.571</w:t>
      </w:r>
      <w:r>
        <w:rPr>
          <w:rFonts w:hint="eastAsia" w:ascii="Times New Roman" w:hAnsi="Times New Roman" w:eastAsia="宋体" w:cs="Times New Roman"/>
        </w:rPr>
        <w:t>t，钢丝绳连接卸扣工作荷载：</w:t>
      </w:r>
    </w:p>
    <w:p w14:paraId="4D9B48D9">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197.73</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32.96</m:t>
        </m:r>
        <m:r>
          <m:rPr>
            <m:nor/>
            <m:sty m:val="p"/>
          </m:rPr>
          <w:rPr>
            <w:rFonts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08AFE7E6">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1E00A5D5">
      <w:pPr>
        <w:pStyle w:val="13"/>
        <w:jc w:val="center"/>
        <w:rPr>
          <w:color w:val="auto"/>
        </w:rPr>
      </w:pPr>
      <w:r>
        <w:rPr>
          <w:color w:val="auto"/>
        </w:rPr>
        <w:t xml:space="preserve">表 </w:t>
      </w:r>
      <w:r>
        <w:rPr>
          <w:rFonts w:hint="eastAsia"/>
          <w:color w:val="auto"/>
          <w:lang w:val="en-US" w:eastAsia="zh-CN"/>
        </w:rPr>
        <w:t xml:space="preserve">10.2.2-2 </w:t>
      </w:r>
      <w:r>
        <w:rPr>
          <w:color w:val="auto"/>
        </w:rPr>
        <w:t>钢丝绳选型表</w:t>
      </w:r>
    </w:p>
    <w:tbl>
      <w:tblPr>
        <w:tblStyle w:val="29"/>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3FD3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580CB05">
            <w:pPr>
              <w:pStyle w:val="88"/>
              <w:rPr>
                <w:b w:val="0"/>
                <w:color w:val="auto"/>
              </w:rPr>
            </w:pPr>
            <w:r>
              <w:rPr>
                <w:b/>
                <w:color w:val="auto"/>
              </w:rPr>
              <w:t>序号</w:t>
            </w:r>
          </w:p>
        </w:tc>
        <w:tc>
          <w:tcPr>
            <w:tcW w:w="1559" w:type="dxa"/>
            <w:vAlign w:val="center"/>
          </w:tcPr>
          <w:p w14:paraId="6EF00371">
            <w:pPr>
              <w:pStyle w:val="88"/>
              <w:rPr>
                <w:b w:val="0"/>
                <w:color w:val="auto"/>
              </w:rPr>
            </w:pPr>
            <w:r>
              <w:rPr>
                <w:b/>
                <w:color w:val="auto"/>
              </w:rPr>
              <w:t>设备名称</w:t>
            </w:r>
          </w:p>
        </w:tc>
        <w:tc>
          <w:tcPr>
            <w:tcW w:w="2835" w:type="dxa"/>
            <w:vAlign w:val="center"/>
          </w:tcPr>
          <w:p w14:paraId="03C8AB51">
            <w:pPr>
              <w:pStyle w:val="88"/>
              <w:rPr>
                <w:b w:val="0"/>
                <w:color w:val="auto"/>
              </w:rPr>
            </w:pPr>
            <w:r>
              <w:rPr>
                <w:b/>
                <w:color w:val="auto"/>
              </w:rPr>
              <w:t>规格型号</w:t>
            </w:r>
          </w:p>
        </w:tc>
        <w:tc>
          <w:tcPr>
            <w:tcW w:w="567" w:type="dxa"/>
            <w:vAlign w:val="center"/>
          </w:tcPr>
          <w:p w14:paraId="63FE6040">
            <w:pPr>
              <w:pStyle w:val="88"/>
              <w:rPr>
                <w:b w:val="0"/>
                <w:color w:val="auto"/>
              </w:rPr>
            </w:pPr>
            <w:r>
              <w:rPr>
                <w:b/>
                <w:color w:val="auto"/>
              </w:rPr>
              <w:t>单位</w:t>
            </w:r>
          </w:p>
        </w:tc>
        <w:tc>
          <w:tcPr>
            <w:tcW w:w="567" w:type="dxa"/>
            <w:vAlign w:val="center"/>
          </w:tcPr>
          <w:p w14:paraId="0C220903">
            <w:pPr>
              <w:pStyle w:val="88"/>
              <w:rPr>
                <w:b w:val="0"/>
                <w:color w:val="auto"/>
              </w:rPr>
            </w:pPr>
            <w:r>
              <w:rPr>
                <w:b/>
                <w:color w:val="auto"/>
              </w:rPr>
              <w:t>数量</w:t>
            </w:r>
          </w:p>
        </w:tc>
      </w:tr>
      <w:tr w14:paraId="7A391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635EF8BD">
            <w:pPr>
              <w:pStyle w:val="88"/>
              <w:rPr>
                <w:rFonts w:hint="default" w:eastAsia="宋体"/>
                <w:color w:val="auto"/>
                <w:lang w:val="en-US" w:eastAsia="zh-CN"/>
              </w:rPr>
            </w:pPr>
            <w:r>
              <w:rPr>
                <w:rFonts w:hint="eastAsia"/>
                <w:color w:val="auto"/>
                <w:lang w:val="en-US" w:eastAsia="zh-CN"/>
              </w:rPr>
              <w:t>1</w:t>
            </w:r>
          </w:p>
        </w:tc>
        <w:tc>
          <w:tcPr>
            <w:tcW w:w="1559" w:type="dxa"/>
            <w:vAlign w:val="center"/>
          </w:tcPr>
          <w:p w14:paraId="0038027D">
            <w:pPr>
              <w:pStyle w:val="88"/>
              <w:rPr>
                <w:color w:val="auto"/>
              </w:rPr>
            </w:pPr>
            <w:r>
              <w:rPr>
                <w:color w:val="auto"/>
              </w:rPr>
              <w:t>起重用钢丝绳</w:t>
            </w:r>
          </w:p>
        </w:tc>
        <w:tc>
          <w:tcPr>
            <w:tcW w:w="2835" w:type="dxa"/>
            <w:vAlign w:val="center"/>
          </w:tcPr>
          <w:p w14:paraId="51F672D2">
            <w:pPr>
              <w:pStyle w:val="88"/>
              <w:rPr>
                <w:color w:val="auto"/>
              </w:rPr>
            </w:pPr>
            <w:r>
              <w:rPr>
                <w:rFonts w:hint="eastAsia" w:cs="Times New Roman"/>
                <w:b w:val="0"/>
                <w:bCs w:val="0"/>
                <w:lang w:val="en-US" w:eastAsia="zh-CN"/>
              </w:rPr>
              <w:t>14</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249F67F2">
            <w:pPr>
              <w:pStyle w:val="88"/>
              <w:rPr>
                <w:color w:val="auto"/>
              </w:rPr>
            </w:pPr>
            <w:r>
              <w:rPr>
                <w:color w:val="auto"/>
              </w:rPr>
              <w:t>根</w:t>
            </w:r>
          </w:p>
        </w:tc>
        <w:tc>
          <w:tcPr>
            <w:tcW w:w="567" w:type="dxa"/>
            <w:vAlign w:val="center"/>
          </w:tcPr>
          <w:p w14:paraId="3BCE385B">
            <w:pPr>
              <w:pStyle w:val="88"/>
              <w:rPr>
                <w:rFonts w:hint="eastAsia" w:eastAsia="宋体"/>
                <w:color w:val="auto"/>
                <w:lang w:eastAsia="zh-CN"/>
              </w:rPr>
            </w:pPr>
            <w:r>
              <w:rPr>
                <w:rFonts w:hint="eastAsia"/>
                <w:color w:val="auto"/>
                <w:lang w:val="en-US" w:eastAsia="zh-CN"/>
              </w:rPr>
              <w:t>4</w:t>
            </w:r>
          </w:p>
        </w:tc>
      </w:tr>
      <w:tr w14:paraId="4D7B1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1C72126F">
            <w:pPr>
              <w:pStyle w:val="88"/>
              <w:rPr>
                <w:rFonts w:hint="eastAsia" w:eastAsia="宋体"/>
                <w:color w:val="auto"/>
                <w:lang w:val="en-US" w:eastAsia="zh-CN"/>
              </w:rPr>
            </w:pPr>
            <w:r>
              <w:rPr>
                <w:rFonts w:hint="eastAsia"/>
                <w:color w:val="auto"/>
                <w:lang w:val="en-US" w:eastAsia="zh-CN"/>
              </w:rPr>
              <w:t>2</w:t>
            </w:r>
          </w:p>
        </w:tc>
        <w:tc>
          <w:tcPr>
            <w:tcW w:w="1559" w:type="dxa"/>
            <w:vAlign w:val="center"/>
          </w:tcPr>
          <w:p w14:paraId="4A7E9328">
            <w:pPr>
              <w:pStyle w:val="88"/>
              <w:rPr>
                <w:color w:val="auto"/>
              </w:rPr>
            </w:pPr>
            <w:r>
              <w:rPr>
                <w:color w:val="auto"/>
              </w:rPr>
              <w:t>起重用钢丝绳</w:t>
            </w:r>
          </w:p>
        </w:tc>
        <w:tc>
          <w:tcPr>
            <w:tcW w:w="2835" w:type="dxa"/>
            <w:vAlign w:val="center"/>
          </w:tcPr>
          <w:p w14:paraId="37046ABC">
            <w:pPr>
              <w:pStyle w:val="88"/>
              <w:rPr>
                <w:color w:val="auto"/>
              </w:rPr>
            </w:pPr>
            <w:r>
              <w:rPr>
                <w:rFonts w:hint="eastAsia" w:cs="Times New Roman"/>
                <w:b w:val="0"/>
                <w:bCs w:val="0"/>
                <w:lang w:val="en-US" w:eastAsia="zh-CN"/>
              </w:rPr>
              <w:t>18</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037B6CFD">
            <w:pPr>
              <w:pStyle w:val="88"/>
              <w:rPr>
                <w:color w:val="auto"/>
              </w:rPr>
            </w:pPr>
            <w:r>
              <w:rPr>
                <w:color w:val="auto"/>
              </w:rPr>
              <w:t>根</w:t>
            </w:r>
          </w:p>
        </w:tc>
        <w:tc>
          <w:tcPr>
            <w:tcW w:w="567" w:type="dxa"/>
            <w:vAlign w:val="center"/>
          </w:tcPr>
          <w:p w14:paraId="5EA5FF2F">
            <w:pPr>
              <w:pStyle w:val="88"/>
              <w:rPr>
                <w:color w:val="auto"/>
              </w:rPr>
            </w:pPr>
            <w:r>
              <w:rPr>
                <w:color w:val="auto"/>
              </w:rPr>
              <w:t>4</w:t>
            </w:r>
          </w:p>
        </w:tc>
      </w:tr>
      <w:tr w14:paraId="4B2C8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49719CC3">
            <w:pPr>
              <w:pStyle w:val="88"/>
              <w:rPr>
                <w:rFonts w:hint="eastAsia" w:eastAsia="宋体"/>
                <w:color w:val="auto"/>
                <w:lang w:val="en-US" w:eastAsia="zh-CN"/>
              </w:rPr>
            </w:pPr>
            <w:r>
              <w:rPr>
                <w:rFonts w:hint="eastAsia"/>
                <w:color w:val="auto"/>
                <w:lang w:val="en-US" w:eastAsia="zh-CN"/>
              </w:rPr>
              <w:t>3</w:t>
            </w:r>
          </w:p>
        </w:tc>
        <w:tc>
          <w:tcPr>
            <w:tcW w:w="1559" w:type="dxa"/>
            <w:vAlign w:val="center"/>
          </w:tcPr>
          <w:p w14:paraId="7A6550B7">
            <w:pPr>
              <w:pStyle w:val="88"/>
              <w:rPr>
                <w:color w:val="auto"/>
              </w:rPr>
            </w:pPr>
            <w:r>
              <w:rPr>
                <w:color w:val="auto"/>
              </w:rPr>
              <w:t>卸扣</w:t>
            </w:r>
          </w:p>
        </w:tc>
        <w:tc>
          <w:tcPr>
            <w:tcW w:w="2835" w:type="dxa"/>
            <w:vAlign w:val="center"/>
          </w:tcPr>
          <w:p w14:paraId="35970A53">
            <w:pPr>
              <w:pStyle w:val="88"/>
              <w:rPr>
                <w:rFonts w:hint="eastAsia" w:eastAsia="宋体"/>
                <w:color w:val="auto"/>
                <w:lang w:val="en-US" w:eastAsia="zh-CN"/>
              </w:rPr>
            </w:pPr>
            <w:r>
              <w:t>GB/T 25854-6-DW</w:t>
            </w:r>
            <w:r>
              <w:rPr>
                <w:rFonts w:hint="eastAsia"/>
                <w:lang w:val="en-US" w:eastAsia="zh-CN"/>
              </w:rPr>
              <w:t>5</w:t>
            </w:r>
          </w:p>
        </w:tc>
        <w:tc>
          <w:tcPr>
            <w:tcW w:w="567" w:type="dxa"/>
            <w:vAlign w:val="center"/>
          </w:tcPr>
          <w:p w14:paraId="0ED6D151">
            <w:pPr>
              <w:pStyle w:val="88"/>
              <w:rPr>
                <w:color w:val="auto"/>
              </w:rPr>
            </w:pPr>
            <w:r>
              <w:rPr>
                <w:color w:val="auto"/>
              </w:rPr>
              <w:t>个</w:t>
            </w:r>
          </w:p>
        </w:tc>
        <w:tc>
          <w:tcPr>
            <w:tcW w:w="567" w:type="dxa"/>
            <w:vAlign w:val="center"/>
          </w:tcPr>
          <w:p w14:paraId="44A9FE75">
            <w:pPr>
              <w:pStyle w:val="88"/>
              <w:rPr>
                <w:color w:val="auto"/>
              </w:rPr>
            </w:pPr>
            <w:r>
              <w:rPr>
                <w:color w:val="auto"/>
              </w:rPr>
              <w:t>4</w:t>
            </w:r>
          </w:p>
        </w:tc>
      </w:tr>
    </w:tbl>
    <w:p w14:paraId="525090D7"/>
    <w:p w14:paraId="72596CCC">
      <w:pPr>
        <w:ind w:left="0" w:leftChars="0" w:firstLine="0" w:firstLineChars="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br w:type="page"/>
      </w:r>
    </w:p>
    <w:p w14:paraId="500503D2">
      <w:pPr>
        <w:pStyle w:val="4"/>
        <w:numPr>
          <w:ilvl w:val="2"/>
          <w:numId w:val="0"/>
        </w:numPr>
        <w:spacing w:before="0" w:after="0" w:line="360" w:lineRule="auto"/>
        <w:ind w:leftChars="0"/>
        <w:outlineLvl w:val="1"/>
        <w:rPr>
          <w:rFonts w:hint="eastAsia" w:eastAsia="宋体"/>
          <w:color w:val="auto"/>
          <w:lang w:val="en-US" w:eastAsia="zh-CN"/>
        </w:rPr>
      </w:pPr>
      <w:bookmarkStart w:id="322" w:name="_Toc24340"/>
      <w:r>
        <w:rPr>
          <w:rFonts w:hint="eastAsia"/>
          <w:color w:val="auto"/>
          <w:sz w:val="24"/>
          <w:szCs w:val="24"/>
          <w:lang w:val="en-US" w:eastAsia="zh-CN"/>
        </w:rPr>
        <w:t>10.3 各塔施工平面布置</w:t>
      </w:r>
      <w:bookmarkEnd w:id="322"/>
    </w:p>
    <w:p w14:paraId="02449D7D">
      <w:pPr>
        <w:bidi w:val="0"/>
        <w:rPr>
          <w:rFonts w:hint="eastAsia"/>
          <w:lang w:val="en-US" w:eastAsia="zh-CN"/>
        </w:rPr>
      </w:pPr>
      <w:r>
        <w:drawing>
          <wp:inline distT="0" distB="0" distL="114300" distR="114300">
            <wp:extent cx="5272405" cy="3576320"/>
            <wp:effectExtent l="0" t="0" r="4445" b="508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5"/>
                    <a:stretch>
                      <a:fillRect/>
                    </a:stretch>
                  </pic:blipFill>
                  <pic:spPr>
                    <a:xfrm>
                      <a:off x="0" y="0"/>
                      <a:ext cx="5272405" cy="3576320"/>
                    </a:xfrm>
                    <a:prstGeom prst="rect">
                      <a:avLst/>
                    </a:prstGeom>
                    <a:noFill/>
                    <a:ln>
                      <a:noFill/>
                    </a:ln>
                  </pic:spPr>
                </pic:pic>
              </a:graphicData>
            </a:graphic>
          </wp:inline>
        </w:drawing>
      </w:r>
    </w:p>
    <w:p w14:paraId="73AEDC33">
      <w:pPr>
        <w:pStyle w:val="10"/>
        <w:ind w:left="0" w:leftChars="0" w:firstLine="0" w:firstLineChars="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color w:val="auto"/>
          <w:sz w:val="21"/>
          <w:szCs w:val="21"/>
          <w:lang w:val="en-US" w:eastAsia="zh-CN"/>
        </w:rPr>
        <w:t>图10.3-1 塔吊施工平面布置图</w:t>
      </w:r>
    </w:p>
    <w:p w14:paraId="44EF5A77">
      <w:pPr>
        <w:pStyle w:val="10"/>
        <w:ind w:left="0" w:leftChars="0" w:firstLine="0" w:firstLineChars="0"/>
        <w:rPr>
          <w:color w:val="auto"/>
        </w:rPr>
      </w:pPr>
    </w:p>
    <w:p w14:paraId="233150C7">
      <w:pPr>
        <w:pStyle w:val="4"/>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23" w:name="_Toc20890"/>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 xml:space="preserve"> 设备及人员相关证件</w:t>
      </w:r>
      <w:bookmarkEnd w:id="323"/>
    </w:p>
    <w:p w14:paraId="7C467D53">
      <w:pPr>
        <w:rPr>
          <w:rFonts w:hint="eastAsia"/>
          <w:color w:val="auto"/>
          <w:lang w:eastAsia="zh-CN"/>
        </w:rPr>
      </w:pPr>
      <w:r>
        <w:rPr>
          <w:rFonts w:hint="eastAsia"/>
          <w:color w:val="auto"/>
          <w:lang w:eastAsia="zh-CN"/>
        </w:rPr>
        <w:t>公司资质；</w:t>
      </w:r>
    </w:p>
    <w:p w14:paraId="70488ACC">
      <w:pPr>
        <w:rPr>
          <w:rFonts w:hint="eastAsia"/>
          <w:color w:val="auto"/>
          <w:lang w:eastAsia="zh-CN"/>
        </w:rPr>
      </w:pPr>
      <w:r>
        <w:rPr>
          <w:rFonts w:hint="eastAsia"/>
          <w:color w:val="auto"/>
          <w:lang w:eastAsia="zh-CN"/>
        </w:rPr>
        <w:drawing>
          <wp:inline distT="0" distB="0" distL="114300" distR="114300">
            <wp:extent cx="7410450" cy="5240020"/>
            <wp:effectExtent l="0" t="0" r="2540" b="11430"/>
            <wp:docPr id="3" name="图片 3" descr="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资质_01"/>
                    <pic:cNvPicPr>
                      <a:picLocks noChangeAspect="1"/>
                    </pic:cNvPicPr>
                  </pic:nvPicPr>
                  <pic:blipFill>
                    <a:blip r:embed="rId46"/>
                    <a:stretch>
                      <a:fillRect/>
                    </a:stretch>
                  </pic:blipFill>
                  <pic:spPr>
                    <a:xfrm rot="16200000">
                      <a:off x="0" y="0"/>
                      <a:ext cx="7410450" cy="5240020"/>
                    </a:xfrm>
                    <a:prstGeom prst="rect">
                      <a:avLst/>
                    </a:prstGeom>
                  </pic:spPr>
                </pic:pic>
              </a:graphicData>
            </a:graphic>
          </wp:inline>
        </w:drawing>
      </w:r>
      <w:r>
        <w:rPr>
          <w:rFonts w:hint="eastAsia"/>
          <w:color w:val="auto"/>
          <w:lang w:eastAsia="zh-CN"/>
        </w:rPr>
        <w:drawing>
          <wp:inline distT="0" distB="0" distL="114300" distR="114300">
            <wp:extent cx="5269865" cy="7453630"/>
            <wp:effectExtent l="0" t="0" r="3175" b="13970"/>
            <wp:docPr id="10" name="图片 10" descr="专业承包二级20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专业承包二级2025.6.6"/>
                    <pic:cNvPicPr>
                      <a:picLocks noChangeAspect="1"/>
                    </pic:cNvPicPr>
                  </pic:nvPicPr>
                  <pic:blipFill>
                    <a:blip r:embed="rId47"/>
                    <a:stretch>
                      <a:fillRect/>
                    </a:stretch>
                  </pic:blipFill>
                  <pic:spPr>
                    <a:xfrm>
                      <a:off x="0" y="0"/>
                      <a:ext cx="5269865" cy="7453630"/>
                    </a:xfrm>
                    <a:prstGeom prst="rect">
                      <a:avLst/>
                    </a:prstGeom>
                  </pic:spPr>
                </pic:pic>
              </a:graphicData>
            </a:graphic>
          </wp:inline>
        </w:drawing>
      </w:r>
      <w:r>
        <w:rPr>
          <w:rFonts w:hint="eastAsia"/>
          <w:color w:val="auto"/>
          <w:lang w:eastAsia="zh-CN"/>
        </w:rPr>
        <w:drawing>
          <wp:inline distT="0" distB="0" distL="114300" distR="114300">
            <wp:extent cx="5269865" cy="7452995"/>
            <wp:effectExtent l="0" t="0" r="3175" b="14605"/>
            <wp:docPr id="12" name="图片 12" descr="安装许可证2027.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安装许可证2027.12.27"/>
                    <pic:cNvPicPr>
                      <a:picLocks noChangeAspect="1"/>
                    </pic:cNvPicPr>
                  </pic:nvPicPr>
                  <pic:blipFill>
                    <a:blip r:embed="rId48"/>
                    <a:stretch>
                      <a:fillRect/>
                    </a:stretch>
                  </pic:blipFill>
                  <pic:spPr>
                    <a:xfrm>
                      <a:off x="0" y="0"/>
                      <a:ext cx="5269865" cy="7452995"/>
                    </a:xfrm>
                    <a:prstGeom prst="rect">
                      <a:avLst/>
                    </a:prstGeom>
                  </pic:spPr>
                </pic:pic>
              </a:graphicData>
            </a:graphic>
          </wp:inline>
        </w:drawing>
      </w:r>
    </w:p>
    <w:p w14:paraId="3C5D5A4A">
      <w:pPr>
        <w:rPr>
          <w:rFonts w:hint="eastAsia"/>
          <w:color w:val="auto"/>
          <w:lang w:eastAsia="zh-CN"/>
        </w:rPr>
      </w:pPr>
    </w:p>
    <w:p w14:paraId="0CCA541C">
      <w:pPr>
        <w:rPr>
          <w:rFonts w:hint="eastAsia"/>
          <w:color w:val="auto"/>
          <w:lang w:eastAsia="zh-CN"/>
        </w:rPr>
      </w:pPr>
      <w:r>
        <w:rPr>
          <w:rFonts w:hint="eastAsia"/>
          <w:color w:val="auto"/>
          <w:lang w:eastAsia="zh-CN"/>
        </w:rPr>
        <w:t>设备合格证</w:t>
      </w:r>
    </w:p>
    <w:p w14:paraId="514F2813">
      <w:pPr>
        <w:pStyle w:val="11"/>
        <w:ind w:left="0" w:leftChars="0" w:firstLine="0" w:firstLineChars="0"/>
        <w:rPr>
          <w:rFonts w:hint="eastAsia"/>
          <w:color w:val="auto"/>
          <w:lang w:eastAsia="zh-CN"/>
        </w:rPr>
      </w:pPr>
      <w:r>
        <w:rPr>
          <w:rFonts w:hint="eastAsia"/>
          <w:color w:val="auto"/>
          <w:lang w:eastAsia="zh-CN"/>
        </w:rPr>
        <w:drawing>
          <wp:inline distT="0" distB="0" distL="114300" distR="114300">
            <wp:extent cx="5269865" cy="3726180"/>
            <wp:effectExtent l="0" t="0" r="6985" b="7620"/>
            <wp:docPr id="134" name="图片 134" descr="61591f8438c40400b1302790771e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61591f8438c40400b1302790771ef65"/>
                    <pic:cNvPicPr>
                      <a:picLocks noChangeAspect="1"/>
                    </pic:cNvPicPr>
                  </pic:nvPicPr>
                  <pic:blipFill>
                    <a:blip r:embed="rId49"/>
                    <a:stretch>
                      <a:fillRect/>
                    </a:stretch>
                  </pic:blipFill>
                  <pic:spPr>
                    <a:xfrm>
                      <a:off x="0" y="0"/>
                      <a:ext cx="5269865" cy="3726180"/>
                    </a:xfrm>
                    <a:prstGeom prst="rect">
                      <a:avLst/>
                    </a:prstGeom>
                  </pic:spPr>
                </pic:pic>
              </a:graphicData>
            </a:graphic>
          </wp:inline>
        </w:drawing>
      </w:r>
    </w:p>
    <w:p w14:paraId="3886B1F3">
      <w:pPr>
        <w:ind w:left="0" w:leftChars="0" w:firstLine="0" w:firstLineChars="0"/>
        <w:rPr>
          <w:rFonts w:hint="eastAsia"/>
          <w:color w:val="auto"/>
          <w:lang w:eastAsia="zh-CN"/>
        </w:rPr>
      </w:pPr>
    </w:p>
    <w:p w14:paraId="5DA7FD99">
      <w:pPr>
        <w:rPr>
          <w:rFonts w:hint="eastAsia"/>
          <w:color w:val="auto"/>
          <w:lang w:eastAsia="zh-CN"/>
        </w:rPr>
      </w:pPr>
      <w:r>
        <w:rPr>
          <w:rFonts w:hint="eastAsia"/>
          <w:color w:val="auto"/>
          <w:lang w:eastAsia="zh-CN"/>
        </w:rPr>
        <w:br w:type="page"/>
      </w:r>
    </w:p>
    <w:p w14:paraId="7E64AE31">
      <w:pPr>
        <w:rPr>
          <w:rFonts w:hint="eastAsia"/>
          <w:color w:val="auto"/>
          <w:lang w:eastAsia="zh-CN"/>
        </w:rPr>
      </w:pPr>
      <w:r>
        <w:rPr>
          <w:rFonts w:hint="eastAsia"/>
          <w:color w:val="auto"/>
          <w:lang w:eastAsia="zh-CN"/>
        </w:rPr>
        <w:t>人员证件；</w:t>
      </w:r>
    </w:p>
    <w:p w14:paraId="5A016C47">
      <w:pPr>
        <w:rPr>
          <w:rFonts w:hint="eastAsia"/>
          <w:color w:val="auto"/>
          <w:lang w:eastAsia="zh-CN"/>
        </w:rPr>
      </w:pPr>
      <w:r>
        <w:drawing>
          <wp:inline distT="0" distB="0" distL="114300" distR="114300">
            <wp:extent cx="5333365" cy="7538720"/>
            <wp:effectExtent l="0" t="0" r="635" b="5080"/>
            <wp:docPr id="55" name="图片 55" descr="专职安全管理人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专职安全管理人员C证"/>
                    <pic:cNvPicPr>
                      <a:picLocks noChangeAspect="1"/>
                    </pic:cNvPicPr>
                  </pic:nvPicPr>
                  <pic:blipFill>
                    <a:blip r:embed="rId50"/>
                    <a:stretch>
                      <a:fillRect/>
                    </a:stretch>
                  </pic:blipFill>
                  <pic:spPr>
                    <a:xfrm>
                      <a:off x="0" y="0"/>
                      <a:ext cx="5333365" cy="7538720"/>
                    </a:xfrm>
                    <a:prstGeom prst="rect">
                      <a:avLst/>
                    </a:prstGeom>
                  </pic:spPr>
                </pic:pic>
              </a:graphicData>
            </a:graphic>
          </wp:inline>
        </w:drawing>
      </w:r>
    </w:p>
    <w:p w14:paraId="19CCFDB3">
      <w:pPr>
        <w:ind w:left="0" w:leftChars="0" w:firstLine="0" w:firstLineChars="0"/>
        <w:rPr>
          <w:rFonts w:hint="eastAsia"/>
          <w:color w:val="auto"/>
          <w:lang w:eastAsia="zh-CN"/>
        </w:rPr>
      </w:pPr>
      <w:r>
        <w:rPr>
          <w:rFonts w:hint="eastAsia"/>
          <w:color w:val="auto"/>
          <w:lang w:eastAsia="zh-CN"/>
        </w:rPr>
        <w:drawing>
          <wp:inline distT="0" distB="0" distL="114300" distR="114300">
            <wp:extent cx="5259705" cy="7398385"/>
            <wp:effectExtent l="0" t="0" r="13335" b="8255"/>
            <wp:docPr id="24" name="图片 24"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高级工程师证-温涛"/>
                    <pic:cNvPicPr>
                      <a:picLocks noChangeAspect="1"/>
                    </pic:cNvPicPr>
                  </pic:nvPicPr>
                  <pic:blipFill>
                    <a:blip r:embed="rId51"/>
                    <a:stretch>
                      <a:fillRect/>
                    </a:stretch>
                  </pic:blipFill>
                  <pic:spPr>
                    <a:xfrm>
                      <a:off x="0" y="0"/>
                      <a:ext cx="5259705" cy="7398385"/>
                    </a:xfrm>
                    <a:prstGeom prst="rect">
                      <a:avLst/>
                    </a:prstGeom>
                  </pic:spPr>
                </pic:pic>
              </a:graphicData>
            </a:graphic>
          </wp:inline>
        </w:drawing>
      </w:r>
    </w:p>
    <w:p w14:paraId="146D8072">
      <w:pPr>
        <w:pStyle w:val="61"/>
        <w:ind w:left="0" w:leftChars="0" w:firstLine="0" w:firstLineChars="0"/>
        <w:rPr>
          <w:rFonts w:hint="eastAsia" w:eastAsia="黑体"/>
          <w:color w:val="auto"/>
          <w:lang w:val="en-US" w:eastAsia="zh-CN"/>
        </w:rPr>
      </w:pPr>
      <w:r>
        <w:rPr>
          <w:rFonts w:hint="eastAsia" w:eastAsia="宋体"/>
          <w:lang w:eastAsia="zh-CN"/>
        </w:rPr>
        <w:drawing>
          <wp:inline distT="0" distB="0" distL="114300" distR="114300">
            <wp:extent cx="5225415" cy="9107805"/>
            <wp:effectExtent l="0" t="0" r="13335" b="17145"/>
            <wp:docPr id="33"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安全员C证"/>
                    <pic:cNvPicPr>
                      <a:picLocks noChangeAspect="1"/>
                    </pic:cNvPicPr>
                  </pic:nvPicPr>
                  <pic:blipFill>
                    <a:blip r:embed="rId52"/>
                    <a:srcRect l="3693" t="3060" r="3693" b="594"/>
                    <a:stretch>
                      <a:fillRect/>
                    </a:stretch>
                  </pic:blipFill>
                  <pic:spPr>
                    <a:xfrm>
                      <a:off x="0" y="0"/>
                      <a:ext cx="5225415" cy="9107805"/>
                    </a:xfrm>
                    <a:prstGeom prst="rect">
                      <a:avLst/>
                    </a:prstGeom>
                    <a:noFill/>
                    <a:ln>
                      <a:noFill/>
                    </a:ln>
                  </pic:spPr>
                </pic:pic>
              </a:graphicData>
            </a:graphic>
          </wp:inline>
        </w:drawing>
      </w:r>
    </w:p>
    <w:p w14:paraId="0F444862">
      <w:pPr>
        <w:pStyle w:val="61"/>
        <w:ind w:left="0" w:leftChars="0" w:firstLine="0" w:firstLineChars="0"/>
        <w:rPr>
          <w:rFonts w:hint="default"/>
          <w:color w:val="auto"/>
          <w:lang w:val="en-US"/>
        </w:rPr>
      </w:pPr>
      <w:r>
        <w:drawing>
          <wp:inline distT="0" distB="0" distL="114300" distR="114300">
            <wp:extent cx="5582920" cy="9256395"/>
            <wp:effectExtent l="0" t="0" r="17780" b="1905"/>
            <wp:docPr id="29" name="图片 29" descr="建筑电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建筑电工"/>
                    <pic:cNvPicPr>
                      <a:picLocks noChangeAspect="1"/>
                    </pic:cNvPicPr>
                  </pic:nvPicPr>
                  <pic:blipFill>
                    <a:blip r:embed="rId53"/>
                    <a:srcRect l="3394" t="2787" r="3995" b="1202"/>
                    <a:stretch>
                      <a:fillRect/>
                    </a:stretch>
                  </pic:blipFill>
                  <pic:spPr>
                    <a:xfrm>
                      <a:off x="0" y="0"/>
                      <a:ext cx="5582920" cy="9256395"/>
                    </a:xfrm>
                    <a:prstGeom prst="rect">
                      <a:avLst/>
                    </a:prstGeom>
                  </pic:spPr>
                </pic:pic>
              </a:graphicData>
            </a:graphic>
          </wp:inline>
        </w:drawing>
      </w:r>
    </w:p>
    <w:p w14:paraId="182B75A1">
      <w:pPr>
        <w:pStyle w:val="61"/>
        <w:ind w:left="0" w:leftChars="0" w:firstLine="0" w:firstLineChars="0"/>
        <w:rPr>
          <w:rFonts w:hint="default"/>
          <w:color w:val="auto"/>
          <w:lang w:val="en-US"/>
        </w:rPr>
      </w:pPr>
      <w:r>
        <w:rPr>
          <w:rFonts w:hint="eastAsia" w:eastAsiaTheme="minorEastAsia"/>
          <w:lang w:val="en-US" w:eastAsia="zh-CN"/>
        </w:rPr>
        <w:drawing>
          <wp:inline distT="0" distB="0" distL="114300" distR="114300">
            <wp:extent cx="5593715" cy="9048115"/>
            <wp:effectExtent l="0" t="0" r="6985" b="635"/>
            <wp:docPr id="1" name="图片 1" descr="安拆证（黄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拆证（黄科）"/>
                    <pic:cNvPicPr>
                      <a:picLocks noChangeAspect="1"/>
                    </pic:cNvPicPr>
                  </pic:nvPicPr>
                  <pic:blipFill>
                    <a:blip r:embed="rId54"/>
                    <a:srcRect l="3527" t="2511" r="3527" b="938"/>
                    <a:stretch>
                      <a:fillRect/>
                    </a:stretch>
                  </pic:blipFill>
                  <pic:spPr>
                    <a:xfrm>
                      <a:off x="0" y="0"/>
                      <a:ext cx="5593715" cy="9048115"/>
                    </a:xfrm>
                    <a:prstGeom prst="rect">
                      <a:avLst/>
                    </a:prstGeom>
                  </pic:spPr>
                </pic:pic>
              </a:graphicData>
            </a:graphic>
          </wp:inline>
        </w:drawing>
      </w:r>
    </w:p>
    <w:p w14:paraId="1C6CFBED">
      <w:pPr>
        <w:pStyle w:val="61"/>
        <w:ind w:left="0" w:leftChars="0" w:firstLine="0" w:firstLineChars="0"/>
        <w:rPr>
          <w:rFonts w:hint="eastAsia" w:eastAsiaTheme="minorEastAsia"/>
          <w:lang w:val="en-US" w:eastAsia="zh-CN"/>
        </w:rPr>
      </w:pPr>
      <w:r>
        <w:rPr>
          <w:rFonts w:hint="eastAsia" w:eastAsiaTheme="minorEastAsia"/>
          <w:lang w:val="en-US" w:eastAsia="zh-CN"/>
        </w:rPr>
        <w:drawing>
          <wp:inline distT="0" distB="0" distL="114300" distR="114300">
            <wp:extent cx="5588000" cy="8759190"/>
            <wp:effectExtent l="0" t="0" r="12700" b="3810"/>
            <wp:docPr id="16" name="图片 16" descr="安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安拆"/>
                    <pic:cNvPicPr>
                      <a:picLocks noChangeAspect="1"/>
                    </pic:cNvPicPr>
                  </pic:nvPicPr>
                  <pic:blipFill>
                    <a:blip r:embed="rId55"/>
                    <a:srcRect l="3733" t="3214" r="3751" b="1700"/>
                    <a:stretch>
                      <a:fillRect/>
                    </a:stretch>
                  </pic:blipFill>
                  <pic:spPr>
                    <a:xfrm>
                      <a:off x="0" y="0"/>
                      <a:ext cx="5588000" cy="8759190"/>
                    </a:xfrm>
                    <a:prstGeom prst="rect">
                      <a:avLst/>
                    </a:prstGeom>
                  </pic:spPr>
                </pic:pic>
              </a:graphicData>
            </a:graphic>
          </wp:inline>
        </w:drawing>
      </w:r>
    </w:p>
    <w:p w14:paraId="7DB05005">
      <w:pPr>
        <w:pStyle w:val="61"/>
        <w:ind w:left="0" w:leftChars="0" w:firstLine="0" w:firstLineChars="0"/>
        <w:rPr>
          <w:rFonts w:hint="eastAsia" w:eastAsiaTheme="minorEastAsia"/>
          <w:lang w:val="en-US" w:eastAsia="zh-CN"/>
        </w:rPr>
      </w:pPr>
      <w:r>
        <w:rPr>
          <w:rFonts w:hint="eastAsia"/>
          <w:lang w:val="en-US" w:eastAsia="zh-CN"/>
        </w:rPr>
        <w:drawing>
          <wp:inline distT="0" distB="0" distL="114300" distR="114300">
            <wp:extent cx="5038725" cy="8214995"/>
            <wp:effectExtent l="0" t="0" r="9525" b="14605"/>
            <wp:docPr id="17" name="图片 17" descr="安拆证-王祯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安拆证-王祯权"/>
                    <pic:cNvPicPr>
                      <a:picLocks noChangeAspect="1"/>
                    </pic:cNvPicPr>
                  </pic:nvPicPr>
                  <pic:blipFill>
                    <a:blip r:embed="rId56"/>
                    <a:srcRect l="3869" t="2476" r="4033" b="1191"/>
                    <a:stretch>
                      <a:fillRect/>
                    </a:stretch>
                  </pic:blipFill>
                  <pic:spPr>
                    <a:xfrm>
                      <a:off x="0" y="0"/>
                      <a:ext cx="5038725" cy="8214995"/>
                    </a:xfrm>
                    <a:prstGeom prst="rect">
                      <a:avLst/>
                    </a:prstGeom>
                  </pic:spPr>
                </pic:pic>
              </a:graphicData>
            </a:graphic>
          </wp:inline>
        </w:drawing>
      </w:r>
      <w:r>
        <w:rPr>
          <w:rFonts w:hint="eastAsia"/>
          <w:lang w:val="en-US" w:eastAsia="zh-CN"/>
        </w:rPr>
        <w:drawing>
          <wp:inline distT="0" distB="0" distL="114300" distR="114300">
            <wp:extent cx="5401945" cy="8985885"/>
            <wp:effectExtent l="0" t="0" r="8255" b="5715"/>
            <wp:docPr id="21" name="图片 21" descr="336bfa43b84eb35dcef49f4ff61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36bfa43b84eb35dcef49f4ff61d126"/>
                    <pic:cNvPicPr>
                      <a:picLocks noChangeAspect="1"/>
                    </pic:cNvPicPr>
                  </pic:nvPicPr>
                  <pic:blipFill>
                    <a:blip r:embed="rId57"/>
                    <a:srcRect l="3332" t="2586" r="4225" b="1943"/>
                    <a:stretch>
                      <a:fillRect/>
                    </a:stretch>
                  </pic:blipFill>
                  <pic:spPr>
                    <a:xfrm>
                      <a:off x="0" y="0"/>
                      <a:ext cx="5401945" cy="8985885"/>
                    </a:xfrm>
                    <a:prstGeom prst="rect">
                      <a:avLst/>
                    </a:prstGeom>
                  </pic:spPr>
                </pic:pic>
              </a:graphicData>
            </a:graphic>
          </wp:inline>
        </w:drawing>
      </w:r>
      <w:r>
        <w:rPr>
          <w:rFonts w:hint="eastAsia"/>
          <w:b/>
          <w:bCs/>
          <w:sz w:val="32"/>
          <w:szCs w:val="40"/>
          <w:lang w:val="en-US" w:eastAsia="zh-CN"/>
        </w:rPr>
        <w:drawing>
          <wp:inline distT="0" distB="0" distL="114300" distR="114300">
            <wp:extent cx="5506720" cy="8918575"/>
            <wp:effectExtent l="0" t="0" r="17780" b="15875"/>
            <wp:docPr id="22" name="图片 22" descr="司机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司机塔机"/>
                    <pic:cNvPicPr>
                      <a:picLocks noChangeAspect="1"/>
                    </pic:cNvPicPr>
                  </pic:nvPicPr>
                  <pic:blipFill>
                    <a:blip r:embed="rId58"/>
                    <a:srcRect l="3966" t="3090" r="3848" b="1862"/>
                    <a:stretch>
                      <a:fillRect/>
                    </a:stretch>
                  </pic:blipFill>
                  <pic:spPr>
                    <a:xfrm>
                      <a:off x="0" y="0"/>
                      <a:ext cx="5506720" cy="891857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945">
    <w:pPr>
      <w:pStyle w:val="20"/>
      <w:ind w:firstLine="360"/>
      <w:jc w:val="center"/>
    </w:pPr>
  </w:p>
  <w:p w14:paraId="6D18FE62">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169A">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F25A">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E901">
    <w:pPr>
      <w:pStyle w:val="20"/>
      <w:ind w:firstLine="360"/>
      <w:jc w:val="center"/>
    </w:pPr>
  </w:p>
  <w:p w14:paraId="0B6EE707">
    <w:pPr>
      <w:pStyle w:val="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CF60">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8547">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DA8547">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118</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1D32">
    <w:pPr>
      <w:pStyle w:val="20"/>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79771">
                          <w:pPr>
                            <w:pStyle w:val="20"/>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0379771">
                    <w:pPr>
                      <w:pStyle w:val="20"/>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118</w:t>
                    </w:r>
                    <w:r>
                      <w:t xml:space="preserve"> 页</w:t>
                    </w:r>
                  </w:p>
                </w:txbxContent>
              </v:textbox>
            </v:shape>
          </w:pict>
        </mc:Fallback>
      </mc:AlternateContent>
    </w:r>
  </w:p>
  <w:p w14:paraId="690CB302">
    <w:pPr>
      <w:pStyle w:val="11"/>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ECB7">
    <w:pPr>
      <w:pStyle w:val="20"/>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40C987">
                          <w:pPr>
                            <w:pStyle w:val="20"/>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118</w:t>
                          </w:r>
                          <w:r>
                            <w:t xml:space="preserve"> 页</w:t>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ZMsKwNkBAACtAwAADgAAAAAAAAABACAA&#10;AAAeAQAAZHJzL2Uyb0RvYy54bWxQSwUGAAAAAAYABgBZAQAAaQUAAAAA&#10;">
              <v:fill on="f" focussize="0,0"/>
              <v:stroke on="f"/>
              <v:imagedata o:title=""/>
              <o:lock v:ext="edit" aspectratio="f"/>
              <v:textbox inset="0mm,0mm,0mm,0mm" style="mso-fit-shape-to-text:t;">
                <w:txbxContent>
                  <w:p w14:paraId="5A40C987">
                    <w:pPr>
                      <w:pStyle w:val="20"/>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118</w:t>
                    </w:r>
                    <w:r>
                      <w:t xml:space="preserve"> 页</w:t>
                    </w:r>
                  </w:p>
                </w:txbxContent>
              </v:textbox>
            </v:shape>
          </w:pict>
        </mc:Fallback>
      </mc:AlternateContent>
    </w:r>
  </w:p>
  <w:p w14:paraId="7DC20D0B">
    <w:pPr>
      <w:pStyle w:val="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8141">
    <w:pPr>
      <w:pStyle w:val="20"/>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088C8">
                          <w:pPr>
                            <w:pStyle w:val="20"/>
                          </w:pPr>
                          <w:r>
                            <w:t xml:space="preserve">第 </w:t>
                          </w:r>
                          <w:r>
                            <w:fldChar w:fldCharType="begin"/>
                          </w:r>
                          <w:r>
                            <w:instrText xml:space="preserve"> PAGE  \* MERGEFORMAT </w:instrText>
                          </w:r>
                          <w:r>
                            <w:fldChar w:fldCharType="separate"/>
                          </w:r>
                          <w:r>
                            <w:t>111</w:t>
                          </w:r>
                          <w:r>
                            <w:fldChar w:fldCharType="end"/>
                          </w:r>
                          <w:r>
                            <w:t xml:space="preserve"> 页 共 </w:t>
                          </w:r>
                          <w:r>
                            <w:rPr>
                              <w:rFonts w:hint="eastAsia"/>
                              <w:lang w:val="en-US" w:eastAsia="zh-CN"/>
                            </w:rPr>
                            <w:t>118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088C8">
                    <w:pPr>
                      <w:pStyle w:val="20"/>
                    </w:pPr>
                    <w:r>
                      <w:t xml:space="preserve">第 </w:t>
                    </w:r>
                    <w:r>
                      <w:fldChar w:fldCharType="begin"/>
                    </w:r>
                    <w:r>
                      <w:instrText xml:space="preserve"> PAGE  \* MERGEFORMAT </w:instrText>
                    </w:r>
                    <w:r>
                      <w:fldChar w:fldCharType="separate"/>
                    </w:r>
                    <w:r>
                      <w:t>111</w:t>
                    </w:r>
                    <w:r>
                      <w:fldChar w:fldCharType="end"/>
                    </w:r>
                    <w:r>
                      <w:t xml:space="preserve"> 页 共 </w:t>
                    </w:r>
                    <w:r>
                      <w:rPr>
                        <w:rFonts w:hint="eastAsia"/>
                        <w:lang w:val="en-US" w:eastAsia="zh-CN"/>
                      </w:rPr>
                      <w:t>118</w:t>
                    </w:r>
                    <w:r>
                      <w:t xml:space="preserve"> 页</w:t>
                    </w:r>
                  </w:p>
                </w:txbxContent>
              </v:textbox>
            </v:shape>
          </w:pict>
        </mc:Fallback>
      </mc:AlternateContent>
    </w:r>
  </w:p>
  <w:p w14:paraId="3E722D9A">
    <w:pPr>
      <w:pStyle w:val="1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D26">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D4A8">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461BD">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7C5E">
    <w:pPr>
      <w:pStyle w:val="21"/>
      <w:spacing w:line="240" w:lineRule="auto"/>
      <w:ind w:left="0" w:leftChars="0" w:firstLine="0" w:firstLineChars="0"/>
      <w:jc w:val="left"/>
      <w:rPr>
        <w:rFonts w:hint="default" w:ascii="宋体" w:hAnsi="宋体" w:eastAsia="宋体" w:cs="宋体"/>
        <w:lang w:val="en-US" w:eastAsia="zh-CN"/>
      </w:rPr>
    </w:pPr>
    <w:r>
      <w:rPr>
        <w:rFonts w:hint="eastAsia"/>
        <w:b w:val="0"/>
        <w:bCs w:val="0"/>
        <w:sz w:val="18"/>
        <w:szCs w:val="18"/>
        <w:lang w:val="en-US" w:eastAsia="zh-CN"/>
      </w:rPr>
      <w:t>中交二航局</w:t>
    </w:r>
    <w:r>
      <w:rPr>
        <w:rFonts w:hint="eastAsia" w:ascii="宋体" w:hAnsi="宋体" w:eastAsia="宋体" w:cs="宋体"/>
        <w:b w:val="0"/>
        <w:bCs w:val="0"/>
        <w:sz w:val="18"/>
        <w:szCs w:val="18"/>
        <w:highlight w:val="none"/>
      </w:rPr>
      <w:t>濛阳新城片区综合开发项目新居工程六期项目</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塔吊拆除专项施工方案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7FD5C">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3C5541D">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MpWs2AAAAAoBAAAPAAAAAAAAAAEAIAAAACIAAABkcnMvZG93bnJldi54&#10;bWxQSwECFAAUAAAACACHTuJA9VXGbMEBAACCAwAADgAAAAAAAAABACAAAAAnAQAAZHJzL2Uyb0Rv&#10;Yy54bWxQSwUGAAAAAAYABgBZAQAAWgUAAAAA&#10;">
              <v:fill on="f" focussize="0,0"/>
              <v:stroke on="f"/>
              <v:imagedata o:title=""/>
              <o:lock v:ext="edit" aspectratio="f"/>
              <v:textbox inset="0mm,0mm,0mm,0mm">
                <w:txbxContent>
                  <w:p w14:paraId="33C5541D">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18F3BBD4">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XmW5UcEBAACBAwAADgAAAAAAAAABACAAAAAnAQAAZHJzL2Uyb0Rv&#10;Yy54bWxQSwUGAAAAAAYABgBZAQAAWgUAAAAA&#10;">
              <v:fill on="f" focussize="0,0"/>
              <v:stroke on="f"/>
              <v:imagedata o:title=""/>
              <o:lock v:ext="edit" aspectratio="f"/>
              <v:textbox inset="0mm,0mm,0mm,0mm">
                <w:txbxContent>
                  <w:p w14:paraId="18F3BBD4">
                    <w:pPr>
                      <w:spacing w:line="251" w:lineRule="exact"/>
                      <w:ind w:firstLine="420"/>
                      <w:jc w:val="left"/>
                      <w:rPr>
                        <w:sz w:val="21"/>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A118">
    <w:pPr>
      <w:pStyle w:val="21"/>
      <w:ind w:firstLine="0" w:firstLineChars="0"/>
      <w:jc w:val="both"/>
      <w:rPr>
        <w:rFonts w:ascii="楷体" w:hAnsi="楷体" w:eastAsia="楷体" w:cs="楷体"/>
      </w:rPr>
    </w:pPr>
    <w:r>
      <w:rPr>
        <w:rFonts w:hint="eastAsia" w:ascii="楷体" w:hAnsi="楷体" w:eastAsia="楷体" w:cs="楷体"/>
      </w:rPr>
      <w:t>中交二航局</w:t>
    </w:r>
    <w:r>
      <w:rPr>
        <w:rFonts w:hint="eastAsia" w:ascii="楷体" w:hAnsi="楷体" w:eastAsia="楷体" w:cs="楷体"/>
        <w:lang w:val="en-US" w:eastAsia="zh-CN"/>
      </w:rPr>
      <w:t>濛阳</w:t>
    </w:r>
    <w:r>
      <w:rPr>
        <w:rFonts w:hint="eastAsia" w:ascii="楷体" w:hAnsi="楷体" w:eastAsia="楷体" w:cs="楷体"/>
      </w:rPr>
      <w:t>项目　　　　　　　　　　　　　　　　　　　　　　　　</w:t>
    </w:r>
    <w:r>
      <w:rPr>
        <w:rFonts w:hint="eastAsia" w:ascii="楷体" w:hAnsi="楷体" w:eastAsia="楷体" w:cs="楷体"/>
        <w:lang w:val="en-US" w:eastAsia="zh-CN"/>
      </w:rPr>
      <w:t>塔吊拆除</w:t>
    </w:r>
    <w:r>
      <w:rPr>
        <w:rFonts w:hint="eastAsia" w:ascii="楷体" w:hAnsi="楷体" w:eastAsia="楷体" w:cs="楷体"/>
      </w:rPr>
      <w:t>专项施工方案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3762">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2C3B2CB">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MylazYAAAACgEAAA8AAAAAAAAAAQAgAAAAIgAAAGRycy9kb3ducmV2Lnht&#10;bFBLAQIUABQAAAAIAIdO4kBd4Ii8wAEAAIIDAAAOAAAAAAAAAAEAIAAAACcBAABkcnMvZTJvRG9j&#10;LnhtbFBLBQYAAAAABgAGAFkBAABZBQAAAAA=&#10;">
              <v:fill on="f" focussize="0,0"/>
              <v:stroke on="f"/>
              <v:imagedata o:title=""/>
              <o:lock v:ext="edit" aspectratio="f"/>
              <v:textbox inset="0mm,0mm,0mm,0mm">
                <w:txbxContent>
                  <w:p w14:paraId="32C3B2CB">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492A3BC3">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uzoaf8EBAACBAwAADgAAAAAAAAABACAAAAAnAQAAZHJzL2Uyb0Rv&#10;Yy54bWxQSwUGAAAAAAYABgBZAQAAWgUAAAAA&#10;">
              <v:fill on="f" focussize="0,0"/>
              <v:stroke on="f"/>
              <v:imagedata o:title=""/>
              <o:lock v:ext="edit" aspectratio="f"/>
              <v:textbox inset="0mm,0mm,0mm,0mm">
                <w:txbxContent>
                  <w:p w14:paraId="492A3BC3">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C3FB04AF"/>
    <w:multiLevelType w:val="singleLevel"/>
    <w:tmpl w:val="C3FB04AF"/>
    <w:lvl w:ilvl="0" w:tentative="0">
      <w:start w:val="1"/>
      <w:numFmt w:val="decimal"/>
      <w:lvlText w:val="(%1)"/>
      <w:lvlJc w:val="left"/>
      <w:pPr>
        <w:ind w:left="665" w:hanging="425"/>
      </w:pPr>
      <w:rPr>
        <w:rFonts w:hint="default"/>
      </w:rPr>
    </w:lvl>
  </w:abstractNum>
  <w:abstractNum w:abstractNumId="2">
    <w:nsid w:val="DF2403FB"/>
    <w:multiLevelType w:val="singleLevel"/>
    <w:tmpl w:val="DF2403FB"/>
    <w:lvl w:ilvl="0" w:tentative="0">
      <w:start w:val="1"/>
      <w:numFmt w:val="decimal"/>
      <w:suff w:val="nothing"/>
      <w:lvlText w:val="%1）"/>
      <w:lvlJc w:val="left"/>
    </w:lvl>
  </w:abstractNum>
  <w:abstractNum w:abstractNumId="3">
    <w:nsid w:val="F4EACE47"/>
    <w:multiLevelType w:val="singleLevel"/>
    <w:tmpl w:val="F4EACE47"/>
    <w:lvl w:ilvl="0" w:tentative="0">
      <w:start w:val="1"/>
      <w:numFmt w:val="decimal"/>
      <w:lvlText w:val="(%1)"/>
      <w:lvlJc w:val="left"/>
      <w:pPr>
        <w:tabs>
          <w:tab w:val="left" w:pos="420"/>
        </w:tabs>
        <w:ind w:left="845" w:hanging="425"/>
      </w:pPr>
      <w:rPr>
        <w:rFonts w:hint="default"/>
      </w:rPr>
    </w:lvl>
  </w:abstractNum>
  <w:abstractNum w:abstractNumId="4">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7110110"/>
    <w:multiLevelType w:val="singleLevel"/>
    <w:tmpl w:val="17110110"/>
    <w:lvl w:ilvl="0" w:tentative="0">
      <w:start w:val="1"/>
      <w:numFmt w:val="decimal"/>
      <w:suff w:val="nothing"/>
      <w:lvlText w:val="（%1）"/>
      <w:lvlJc w:val="left"/>
      <w:pPr>
        <w:ind w:left="240"/>
      </w:pPr>
    </w:lvl>
  </w:abstractNum>
  <w:abstractNum w:abstractNumId="7">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696017A"/>
    <w:multiLevelType w:val="multilevel"/>
    <w:tmpl w:val="2696017A"/>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A37CE0D"/>
    <w:multiLevelType w:val="singleLevel"/>
    <w:tmpl w:val="2A37CE0D"/>
    <w:lvl w:ilvl="0" w:tentative="0">
      <w:start w:val="1"/>
      <w:numFmt w:val="decimal"/>
      <w:suff w:val="nothing"/>
      <w:lvlText w:val="（%1）"/>
      <w:lvlJc w:val="left"/>
      <w:pPr>
        <w:ind w:left="240"/>
      </w:pPr>
    </w:lvl>
  </w:abstractNum>
  <w:abstractNum w:abstractNumId="10">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30288AD0"/>
    <w:multiLevelType w:val="singleLevel"/>
    <w:tmpl w:val="30288AD0"/>
    <w:lvl w:ilvl="0" w:tentative="0">
      <w:start w:val="1"/>
      <w:numFmt w:val="decimal"/>
      <w:suff w:val="nothing"/>
      <w:lvlText w:val="（%1）"/>
      <w:lvlJc w:val="left"/>
    </w:lvl>
  </w:abstractNum>
  <w:abstractNum w:abstractNumId="12">
    <w:nsid w:val="3CD66410"/>
    <w:multiLevelType w:val="singleLevel"/>
    <w:tmpl w:val="3CD66410"/>
    <w:lvl w:ilvl="0" w:tentative="0">
      <w:start w:val="1"/>
      <w:numFmt w:val="decimal"/>
      <w:lvlText w:val="(%1)"/>
      <w:lvlJc w:val="left"/>
      <w:pPr>
        <w:ind w:left="665" w:hanging="425"/>
      </w:pPr>
      <w:rPr>
        <w:rFonts w:hint="default"/>
      </w:rPr>
    </w:lvl>
  </w:abstractNum>
  <w:abstractNum w:abstractNumId="13">
    <w:nsid w:val="3DC7CD6B"/>
    <w:multiLevelType w:val="multilevel"/>
    <w:tmpl w:val="3DC7CD6B"/>
    <w:lvl w:ilvl="0" w:tentative="0">
      <w:start w:val="1"/>
      <w:numFmt w:val="decimal"/>
      <w:pStyle w:val="2"/>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3"/>
      <w:suff w:val="space"/>
      <w:lvlText w:val="%1.%2 "/>
      <w:lvlJc w:val="left"/>
      <w:pPr>
        <w:ind w:left="480" w:firstLine="0"/>
      </w:pPr>
      <w:rPr>
        <w:rFonts w:hint="default" w:ascii="宋体" w:hAnsi="宋体" w:eastAsia="宋体" w:cs="宋体"/>
        <w:b/>
        <w:sz w:val="28"/>
      </w:rPr>
    </w:lvl>
    <w:lvl w:ilvl="2" w:tentative="0">
      <w:start w:val="1"/>
      <w:numFmt w:val="decimal"/>
      <w:pStyle w:val="4"/>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4">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6712EF7"/>
    <w:multiLevelType w:val="singleLevel"/>
    <w:tmpl w:val="56712EF7"/>
    <w:lvl w:ilvl="0" w:tentative="0">
      <w:start w:val="1"/>
      <w:numFmt w:val="decimal"/>
      <w:lvlText w:val="(%1)"/>
      <w:lvlJc w:val="left"/>
      <w:pPr>
        <w:ind w:left="425" w:hanging="425"/>
      </w:pPr>
      <w:rPr>
        <w:rFonts w:hint="default"/>
      </w:rPr>
    </w:lvl>
  </w:abstractNum>
  <w:abstractNum w:abstractNumId="17">
    <w:nsid w:val="608D9B20"/>
    <w:multiLevelType w:val="singleLevel"/>
    <w:tmpl w:val="608D9B20"/>
    <w:lvl w:ilvl="0" w:tentative="0">
      <w:start w:val="1"/>
      <w:numFmt w:val="decimal"/>
      <w:lvlText w:val="%1."/>
      <w:lvlJc w:val="left"/>
      <w:pPr>
        <w:ind w:left="425" w:hanging="425"/>
      </w:pPr>
      <w:rPr>
        <w:rFonts w:hint="default"/>
      </w:rPr>
    </w:lvl>
  </w:abstractNum>
  <w:abstractNum w:abstractNumId="18">
    <w:nsid w:val="64E53C8C"/>
    <w:multiLevelType w:val="singleLevel"/>
    <w:tmpl w:val="64E53C8C"/>
    <w:lvl w:ilvl="0" w:tentative="0">
      <w:start w:val="1"/>
      <w:numFmt w:val="decimal"/>
      <w:suff w:val="nothing"/>
      <w:lvlText w:val="%1、"/>
      <w:lvlJc w:val="left"/>
    </w:lvl>
  </w:abstractNum>
  <w:abstractNum w:abstractNumId="19">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10"/>
  </w:num>
  <w:num w:numId="3">
    <w:abstractNumId w:val="15"/>
  </w:num>
  <w:num w:numId="4">
    <w:abstractNumId w:val="19"/>
  </w:num>
  <w:num w:numId="5">
    <w:abstractNumId w:val="8"/>
  </w:num>
  <w:num w:numId="6">
    <w:abstractNumId w:val="6"/>
  </w:num>
  <w:num w:numId="7">
    <w:abstractNumId w:val="9"/>
  </w:num>
  <w:num w:numId="8">
    <w:abstractNumId w:val="2"/>
  </w:num>
  <w:num w:numId="9">
    <w:abstractNumId w:val="16"/>
  </w:num>
  <w:num w:numId="10">
    <w:abstractNumId w:val="3"/>
  </w:num>
  <w:num w:numId="11">
    <w:abstractNumId w:val="1"/>
  </w:num>
  <w:num w:numId="12">
    <w:abstractNumId w:val="12"/>
  </w:num>
  <w:num w:numId="13">
    <w:abstractNumId w:val="17"/>
  </w:num>
  <w:num w:numId="14">
    <w:abstractNumId w:val="14"/>
  </w:num>
  <w:num w:numId="15">
    <w:abstractNumId w:val="11"/>
  </w:num>
  <w:num w:numId="16">
    <w:abstractNumId w:val="0"/>
  </w:num>
  <w:num w:numId="17">
    <w:abstractNumId w:val="18"/>
  </w:num>
  <w:num w:numId="18">
    <w:abstractNumId w:val="5"/>
  </w:num>
  <w:num w:numId="19">
    <w:abstractNumId w:val="4"/>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172A27"/>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2496C66"/>
    <w:rsid w:val="02686764"/>
    <w:rsid w:val="02B92565"/>
    <w:rsid w:val="039B3DC0"/>
    <w:rsid w:val="041E5859"/>
    <w:rsid w:val="044367B0"/>
    <w:rsid w:val="048F6BA5"/>
    <w:rsid w:val="04A7540B"/>
    <w:rsid w:val="04D347A3"/>
    <w:rsid w:val="0553688F"/>
    <w:rsid w:val="05DD2267"/>
    <w:rsid w:val="05E5600D"/>
    <w:rsid w:val="05F709DC"/>
    <w:rsid w:val="066861C0"/>
    <w:rsid w:val="075D3645"/>
    <w:rsid w:val="0805742C"/>
    <w:rsid w:val="09DD27A5"/>
    <w:rsid w:val="09F9205B"/>
    <w:rsid w:val="0A5D3B7D"/>
    <w:rsid w:val="0AD16353"/>
    <w:rsid w:val="0B5604C3"/>
    <w:rsid w:val="0BB83A54"/>
    <w:rsid w:val="0CA752C2"/>
    <w:rsid w:val="0DDA57BF"/>
    <w:rsid w:val="0E8D65A6"/>
    <w:rsid w:val="0F2541EA"/>
    <w:rsid w:val="0F7C6E5E"/>
    <w:rsid w:val="0FA02DE0"/>
    <w:rsid w:val="0FF567C4"/>
    <w:rsid w:val="11092A62"/>
    <w:rsid w:val="112946D9"/>
    <w:rsid w:val="11344598"/>
    <w:rsid w:val="116B5255"/>
    <w:rsid w:val="11B1784D"/>
    <w:rsid w:val="11C2332F"/>
    <w:rsid w:val="13301502"/>
    <w:rsid w:val="14096B23"/>
    <w:rsid w:val="150E4A06"/>
    <w:rsid w:val="15294D65"/>
    <w:rsid w:val="1593420B"/>
    <w:rsid w:val="15B5306E"/>
    <w:rsid w:val="16854E42"/>
    <w:rsid w:val="17345E0B"/>
    <w:rsid w:val="17BE6E6F"/>
    <w:rsid w:val="17C920E8"/>
    <w:rsid w:val="18CB010E"/>
    <w:rsid w:val="18F552DE"/>
    <w:rsid w:val="197D7D98"/>
    <w:rsid w:val="1A8F4166"/>
    <w:rsid w:val="1AD0741B"/>
    <w:rsid w:val="1B554027"/>
    <w:rsid w:val="1B6D59DB"/>
    <w:rsid w:val="1C313BDC"/>
    <w:rsid w:val="1C316C17"/>
    <w:rsid w:val="1D396851"/>
    <w:rsid w:val="1D567FB1"/>
    <w:rsid w:val="1EB917BA"/>
    <w:rsid w:val="1EEF0DDB"/>
    <w:rsid w:val="1F44616C"/>
    <w:rsid w:val="1F4B375C"/>
    <w:rsid w:val="1FC42B64"/>
    <w:rsid w:val="205816C0"/>
    <w:rsid w:val="20F327E0"/>
    <w:rsid w:val="212E1977"/>
    <w:rsid w:val="2142359F"/>
    <w:rsid w:val="221A2A9F"/>
    <w:rsid w:val="223631D9"/>
    <w:rsid w:val="22F7393E"/>
    <w:rsid w:val="25D84C3D"/>
    <w:rsid w:val="26F1408C"/>
    <w:rsid w:val="26F57A5A"/>
    <w:rsid w:val="27C45A95"/>
    <w:rsid w:val="28047CEE"/>
    <w:rsid w:val="284303FE"/>
    <w:rsid w:val="289B4DB4"/>
    <w:rsid w:val="293548DB"/>
    <w:rsid w:val="295E32B3"/>
    <w:rsid w:val="29C12F55"/>
    <w:rsid w:val="2AED63FF"/>
    <w:rsid w:val="2C47057C"/>
    <w:rsid w:val="2CAD5165"/>
    <w:rsid w:val="2E100D83"/>
    <w:rsid w:val="2EE77D80"/>
    <w:rsid w:val="2FC040E2"/>
    <w:rsid w:val="2FD972FC"/>
    <w:rsid w:val="3010608B"/>
    <w:rsid w:val="30144EC2"/>
    <w:rsid w:val="30462791"/>
    <w:rsid w:val="30802720"/>
    <w:rsid w:val="30E0426E"/>
    <w:rsid w:val="3156044E"/>
    <w:rsid w:val="31DA09D6"/>
    <w:rsid w:val="334C2479"/>
    <w:rsid w:val="33C80504"/>
    <w:rsid w:val="34323FE8"/>
    <w:rsid w:val="355239E6"/>
    <w:rsid w:val="35952AEC"/>
    <w:rsid w:val="365C0720"/>
    <w:rsid w:val="367D3F76"/>
    <w:rsid w:val="36D15B8A"/>
    <w:rsid w:val="36D56B05"/>
    <w:rsid w:val="370C6FD3"/>
    <w:rsid w:val="372C539E"/>
    <w:rsid w:val="37A246EA"/>
    <w:rsid w:val="37B646A0"/>
    <w:rsid w:val="37F72B67"/>
    <w:rsid w:val="381B0A50"/>
    <w:rsid w:val="38763ED8"/>
    <w:rsid w:val="38BF1907"/>
    <w:rsid w:val="38E5211B"/>
    <w:rsid w:val="39AB02EF"/>
    <w:rsid w:val="39F02B60"/>
    <w:rsid w:val="3B123582"/>
    <w:rsid w:val="3B46526E"/>
    <w:rsid w:val="3C4F1C44"/>
    <w:rsid w:val="3CBB1C4D"/>
    <w:rsid w:val="3DF338D5"/>
    <w:rsid w:val="3DFF11AB"/>
    <w:rsid w:val="3E26436F"/>
    <w:rsid w:val="3E7563E2"/>
    <w:rsid w:val="3E810F84"/>
    <w:rsid w:val="3EB5522B"/>
    <w:rsid w:val="3F4A7E6C"/>
    <w:rsid w:val="3FB007F3"/>
    <w:rsid w:val="401C34CE"/>
    <w:rsid w:val="413E755D"/>
    <w:rsid w:val="418A09F4"/>
    <w:rsid w:val="424109D0"/>
    <w:rsid w:val="42990C13"/>
    <w:rsid w:val="42BD2703"/>
    <w:rsid w:val="42C34B3C"/>
    <w:rsid w:val="436546FA"/>
    <w:rsid w:val="436A002C"/>
    <w:rsid w:val="43EF1957"/>
    <w:rsid w:val="440063D8"/>
    <w:rsid w:val="44CF359C"/>
    <w:rsid w:val="45650595"/>
    <w:rsid w:val="45A46EB6"/>
    <w:rsid w:val="45A55DFD"/>
    <w:rsid w:val="468E6891"/>
    <w:rsid w:val="4690622E"/>
    <w:rsid w:val="4706678B"/>
    <w:rsid w:val="47B10037"/>
    <w:rsid w:val="482D0B2E"/>
    <w:rsid w:val="48494DFD"/>
    <w:rsid w:val="493723C8"/>
    <w:rsid w:val="49725D2E"/>
    <w:rsid w:val="4BCC53FA"/>
    <w:rsid w:val="4C18631D"/>
    <w:rsid w:val="4CCE4A32"/>
    <w:rsid w:val="4DF0525E"/>
    <w:rsid w:val="4E3247D7"/>
    <w:rsid w:val="4E4667F5"/>
    <w:rsid w:val="4EA2714D"/>
    <w:rsid w:val="4F472F49"/>
    <w:rsid w:val="4FB918BA"/>
    <w:rsid w:val="4FCB1C0C"/>
    <w:rsid w:val="4FE44606"/>
    <w:rsid w:val="50A740FF"/>
    <w:rsid w:val="50DA7F96"/>
    <w:rsid w:val="50DC3179"/>
    <w:rsid w:val="510846F1"/>
    <w:rsid w:val="514B2349"/>
    <w:rsid w:val="51917235"/>
    <w:rsid w:val="51FB09CD"/>
    <w:rsid w:val="520D74BE"/>
    <w:rsid w:val="522377D2"/>
    <w:rsid w:val="53434019"/>
    <w:rsid w:val="536605E8"/>
    <w:rsid w:val="53D13C3D"/>
    <w:rsid w:val="541615DB"/>
    <w:rsid w:val="551279F8"/>
    <w:rsid w:val="55EE0CF5"/>
    <w:rsid w:val="56031209"/>
    <w:rsid w:val="570B7614"/>
    <w:rsid w:val="58352FDD"/>
    <w:rsid w:val="586B4901"/>
    <w:rsid w:val="58E84AE0"/>
    <w:rsid w:val="59AD3E0E"/>
    <w:rsid w:val="59C4289D"/>
    <w:rsid w:val="59F35F3A"/>
    <w:rsid w:val="5A072453"/>
    <w:rsid w:val="5A0E1D6B"/>
    <w:rsid w:val="5A4C5F01"/>
    <w:rsid w:val="5A853B90"/>
    <w:rsid w:val="5AB665E6"/>
    <w:rsid w:val="5B9C105A"/>
    <w:rsid w:val="5C6C4B26"/>
    <w:rsid w:val="5E46061A"/>
    <w:rsid w:val="5E5A60BC"/>
    <w:rsid w:val="5E9706DB"/>
    <w:rsid w:val="5F79159C"/>
    <w:rsid w:val="5F7A7D2B"/>
    <w:rsid w:val="606100E8"/>
    <w:rsid w:val="609F196E"/>
    <w:rsid w:val="60C213F0"/>
    <w:rsid w:val="61477A44"/>
    <w:rsid w:val="619066B6"/>
    <w:rsid w:val="629B61EB"/>
    <w:rsid w:val="62A431C3"/>
    <w:rsid w:val="63254E88"/>
    <w:rsid w:val="63414F5F"/>
    <w:rsid w:val="63B31B38"/>
    <w:rsid w:val="63E04B73"/>
    <w:rsid w:val="63F97A45"/>
    <w:rsid w:val="646C4666"/>
    <w:rsid w:val="64C157F9"/>
    <w:rsid w:val="64D85DCB"/>
    <w:rsid w:val="65FC6F1B"/>
    <w:rsid w:val="66316B15"/>
    <w:rsid w:val="6703077D"/>
    <w:rsid w:val="679F4002"/>
    <w:rsid w:val="681177DB"/>
    <w:rsid w:val="6854614D"/>
    <w:rsid w:val="68863BC1"/>
    <w:rsid w:val="688F2159"/>
    <w:rsid w:val="68C0684E"/>
    <w:rsid w:val="69173577"/>
    <w:rsid w:val="69F5100D"/>
    <w:rsid w:val="6A023583"/>
    <w:rsid w:val="6ACB3360"/>
    <w:rsid w:val="6AD06BC8"/>
    <w:rsid w:val="6BA35E9F"/>
    <w:rsid w:val="6D3671B7"/>
    <w:rsid w:val="6DA877B4"/>
    <w:rsid w:val="6E755ABD"/>
    <w:rsid w:val="6E943D08"/>
    <w:rsid w:val="6F022D8B"/>
    <w:rsid w:val="6FDB2297"/>
    <w:rsid w:val="6FDC3D12"/>
    <w:rsid w:val="70620B3D"/>
    <w:rsid w:val="70DB1624"/>
    <w:rsid w:val="711F6EAB"/>
    <w:rsid w:val="71FC3FAE"/>
    <w:rsid w:val="725B321B"/>
    <w:rsid w:val="72BF34BD"/>
    <w:rsid w:val="730101CA"/>
    <w:rsid w:val="73072B50"/>
    <w:rsid w:val="73C459A0"/>
    <w:rsid w:val="74483AB6"/>
    <w:rsid w:val="747D1622"/>
    <w:rsid w:val="751122B7"/>
    <w:rsid w:val="75630F85"/>
    <w:rsid w:val="75F50DF5"/>
    <w:rsid w:val="75FA5932"/>
    <w:rsid w:val="76E407C3"/>
    <w:rsid w:val="770E41CE"/>
    <w:rsid w:val="78FD412D"/>
    <w:rsid w:val="79BE766A"/>
    <w:rsid w:val="7ABE2599"/>
    <w:rsid w:val="7B2D7FC8"/>
    <w:rsid w:val="7CAD1877"/>
    <w:rsid w:val="7CFE505F"/>
    <w:rsid w:val="7D650453"/>
    <w:rsid w:val="7D882BC9"/>
    <w:rsid w:val="7E5D7164"/>
    <w:rsid w:val="7F500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0"/>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3">
    <w:name w:val="heading 2"/>
    <w:basedOn w:val="1"/>
    <w:next w:val="1"/>
    <w:link w:val="36"/>
    <w:unhideWhenUsed/>
    <w:qFormat/>
    <w:uiPriority w:val="9"/>
    <w:pPr>
      <w:keepNext/>
      <w:keepLines/>
      <w:numPr>
        <w:ilvl w:val="1"/>
        <w:numId w:val="1"/>
      </w:numPr>
      <w:spacing w:before="50" w:beforeLines="50" w:after="50" w:afterLines="50"/>
      <w:ind w:firstLineChars="0"/>
      <w:jc w:val="left"/>
      <w:outlineLvl w:val="1"/>
    </w:pPr>
    <w:rPr>
      <w:rFonts w:asciiTheme="majorHAnsi" w:hAnsiTheme="majorHAnsi" w:cstheme="majorBidi"/>
      <w:b/>
      <w:bCs/>
      <w:sz w:val="28"/>
      <w:szCs w:val="32"/>
    </w:rPr>
  </w:style>
  <w:style w:type="paragraph" w:styleId="4">
    <w:name w:val="heading 3"/>
    <w:basedOn w:val="5"/>
    <w:link w:val="37"/>
    <w:unhideWhenUsed/>
    <w:qFormat/>
    <w:uiPriority w:val="9"/>
    <w:pPr>
      <w:keepNext/>
      <w:keepLines/>
      <w:numPr>
        <w:ilvl w:val="2"/>
        <w:numId w:val="1"/>
      </w:numPr>
      <w:spacing w:before="50" w:beforeLines="50" w:after="50" w:afterLines="50"/>
      <w:ind w:firstLineChars="0"/>
      <w:outlineLvl w:val="2"/>
    </w:pPr>
    <w:rPr>
      <w:bCs/>
      <w:szCs w:val="32"/>
    </w:rPr>
  </w:style>
  <w:style w:type="paragraph" w:styleId="6">
    <w:name w:val="heading 4"/>
    <w:basedOn w:val="1"/>
    <w:next w:val="1"/>
    <w:link w:val="38"/>
    <w:unhideWhenUsed/>
    <w:qFormat/>
    <w:uiPriority w:val="9"/>
    <w:pPr>
      <w:keepNext/>
      <w:keepLines/>
      <w:ind w:firstLine="560"/>
      <w:outlineLvl w:val="3"/>
    </w:pPr>
    <w:rPr>
      <w:rFonts w:asciiTheme="majorHAnsi" w:hAnsiTheme="majorHAnsi" w:eastAsiaTheme="majorEastAsia" w:cstheme="majorBidi"/>
      <w:bCs/>
      <w:szCs w:val="28"/>
    </w:rPr>
  </w:style>
  <w:style w:type="paragraph" w:styleId="7">
    <w:name w:val="heading 5"/>
    <w:basedOn w:val="1"/>
    <w:next w:val="1"/>
    <w:link w:val="41"/>
    <w:unhideWhenUsed/>
    <w:qFormat/>
    <w:uiPriority w:val="9"/>
    <w:pPr>
      <w:keepNext/>
      <w:keepLines/>
      <w:outlineLvl w:val="4"/>
    </w:pPr>
    <w:rPr>
      <w:bCs/>
      <w:szCs w:val="28"/>
    </w:rPr>
  </w:style>
  <w:style w:type="paragraph" w:styleId="8">
    <w:name w:val="heading 6"/>
    <w:basedOn w:val="1"/>
    <w:next w:val="1"/>
    <w:semiHidden/>
    <w:unhideWhenUsed/>
    <w:qFormat/>
    <w:uiPriority w:val="9"/>
    <w:pPr>
      <w:keepNext/>
      <w:keepLines/>
      <w:outlineLvl w:val="5"/>
    </w:pPr>
    <w:rPr>
      <w:rFonts w:ascii="Arial" w:hAnsi="Aria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11"/>
    <w:next w:val="12"/>
    <w:unhideWhenUsed/>
    <w:qFormat/>
    <w:uiPriority w:val="99"/>
    <w:pPr>
      <w:spacing w:before="154"/>
      <w:ind w:left="121" w:firstLine="420" w:firstLineChars="100"/>
    </w:pPr>
    <w:rPr>
      <w:rFonts w:hint="eastAsia" w:ascii="仿宋" w:hAnsi="仿宋" w:eastAsia="仿宋"/>
      <w:szCs w:val="21"/>
    </w:rPr>
  </w:style>
  <w:style w:type="paragraph" w:styleId="11">
    <w:name w:val="Body Text"/>
    <w:basedOn w:val="1"/>
    <w:next w:val="1"/>
    <w:unhideWhenUsed/>
    <w:qFormat/>
    <w:uiPriority w:val="99"/>
    <w:pPr>
      <w:ind w:firstLine="560"/>
    </w:pPr>
    <w:rPr>
      <w:szCs w:val="24"/>
    </w:rPr>
  </w:style>
  <w:style w:type="paragraph" w:styleId="12">
    <w:name w:val="toc 6"/>
    <w:basedOn w:val="1"/>
    <w:next w:val="1"/>
    <w:qFormat/>
    <w:uiPriority w:val="39"/>
    <w:pPr>
      <w:ind w:left="1050"/>
      <w:jc w:val="left"/>
    </w:pPr>
    <w:rPr>
      <w:sz w:val="18"/>
      <w:szCs w:val="18"/>
    </w:rPr>
  </w:style>
  <w:style w:type="paragraph" w:styleId="13">
    <w:name w:val="caption"/>
    <w:basedOn w:val="1"/>
    <w:next w:val="14"/>
    <w:unhideWhenUsed/>
    <w:qFormat/>
    <w:uiPriority w:val="35"/>
    <w:rPr>
      <w:rFonts w:eastAsia="黑体" w:asciiTheme="majorHAnsi" w:hAnsiTheme="majorHAnsi" w:cstheme="majorBidi"/>
      <w:sz w:val="20"/>
      <w:szCs w:val="20"/>
    </w:rPr>
  </w:style>
  <w:style w:type="paragraph" w:customStyle="1" w:styleId="14">
    <w:name w:val="表内文字"/>
    <w:basedOn w:val="15"/>
    <w:next w:val="1"/>
    <w:qFormat/>
    <w:uiPriority w:val="0"/>
    <w:pPr>
      <w:spacing w:line="240" w:lineRule="auto"/>
      <w:ind w:firstLine="0" w:firstLineChars="0"/>
      <w:jc w:val="center"/>
    </w:pPr>
    <w:rPr>
      <w:sz w:val="21"/>
    </w:rPr>
  </w:style>
  <w:style w:type="paragraph" w:customStyle="1" w:styleId="15">
    <w:name w:val="图表名称"/>
    <w:basedOn w:val="1"/>
    <w:qFormat/>
    <w:uiPriority w:val="0"/>
    <w:pPr>
      <w:ind w:firstLine="480"/>
      <w:jc w:val="center"/>
    </w:pPr>
    <w:rPr>
      <w:b/>
      <w:sz w:val="21"/>
    </w:rPr>
  </w:style>
  <w:style w:type="paragraph" w:styleId="16">
    <w:name w:val="Body Text Indent"/>
    <w:basedOn w:val="1"/>
    <w:unhideWhenUsed/>
    <w:qFormat/>
    <w:uiPriority w:val="99"/>
    <w:pPr>
      <w:spacing w:after="120"/>
      <w:ind w:left="420" w:leftChars="200"/>
    </w:pPr>
  </w:style>
  <w:style w:type="paragraph" w:styleId="17">
    <w:name w:val="Block Text"/>
    <w:basedOn w:val="1"/>
    <w:next w:val="1"/>
    <w:qFormat/>
    <w:uiPriority w:val="0"/>
    <w:pPr>
      <w:spacing w:line="20" w:lineRule="atLeast"/>
      <w:ind w:left="1260" w:leftChars="100" w:right="339" w:hanging="944" w:hangingChars="482"/>
    </w:pPr>
  </w:style>
  <w:style w:type="paragraph" w:styleId="18">
    <w:name w:val="toc 3"/>
    <w:basedOn w:val="1"/>
    <w:next w:val="1"/>
    <w:unhideWhenUsed/>
    <w:qFormat/>
    <w:uiPriority w:val="39"/>
    <w:pPr>
      <w:ind w:left="840" w:leftChars="400"/>
    </w:pPr>
  </w:style>
  <w:style w:type="paragraph" w:styleId="19">
    <w:name w:val="Plain Text"/>
    <w:basedOn w:val="1"/>
    <w:unhideWhenUsed/>
    <w:qFormat/>
    <w:uiPriority w:val="0"/>
    <w:rPr>
      <w:rFonts w:ascii="宋体" w:hAnsi="Courier New"/>
      <w:sz w:val="19"/>
    </w:rPr>
  </w:style>
  <w:style w:type="paragraph" w:styleId="20">
    <w:name w:val="footer"/>
    <w:basedOn w:val="1"/>
    <w:link w:val="35"/>
    <w:unhideWhenUsed/>
    <w:qFormat/>
    <w:uiPriority w:val="99"/>
    <w:pPr>
      <w:tabs>
        <w:tab w:val="center" w:pos="4153"/>
        <w:tab w:val="right" w:pos="8306"/>
      </w:tabs>
      <w:snapToGrid w:val="0"/>
      <w:jc w:val="left"/>
    </w:pPr>
    <w:rPr>
      <w:sz w:val="18"/>
      <w:szCs w:val="18"/>
    </w:rPr>
  </w:style>
  <w:style w:type="paragraph" w:styleId="21">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tabs>
        <w:tab w:val="right" w:leader="dot" w:pos="9060"/>
      </w:tabs>
      <w:ind w:firstLine="0" w:firstLineChars="0"/>
      <w:jc w:val="center"/>
    </w:pPr>
    <w:rPr>
      <w:b/>
      <w:sz w:val="28"/>
    </w:rPr>
  </w:style>
  <w:style w:type="paragraph" w:styleId="23">
    <w:name w:val="Subtitle"/>
    <w:basedOn w:val="1"/>
    <w:next w:val="1"/>
    <w:link w:val="3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4">
    <w:name w:val="toc 2"/>
    <w:basedOn w:val="1"/>
    <w:next w:val="1"/>
    <w:unhideWhenUsed/>
    <w:qFormat/>
    <w:uiPriority w:val="39"/>
    <w:pPr>
      <w:tabs>
        <w:tab w:val="right" w:leader="dot" w:pos="9060"/>
      </w:tabs>
      <w:ind w:firstLine="560"/>
      <w:jc w:val="center"/>
    </w:pPr>
    <w:rPr>
      <w:sz w:val="28"/>
    </w:rPr>
  </w:style>
  <w:style w:type="paragraph" w:styleId="25">
    <w:name w:val="Normal (Web)"/>
    <w:basedOn w:val="1"/>
    <w:unhideWhenUsed/>
    <w:qFormat/>
    <w:uiPriority w:val="99"/>
    <w:pPr>
      <w:spacing w:line="360" w:lineRule="auto"/>
      <w:ind w:firstLine="960" w:firstLineChars="200"/>
    </w:pPr>
    <w:rPr>
      <w:sz w:val="24"/>
      <w:szCs w:val="20"/>
    </w:rPr>
  </w:style>
  <w:style w:type="paragraph" w:styleId="26">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7">
    <w:name w:val="Body Text First Indent 2"/>
    <w:basedOn w:val="16"/>
    <w:qFormat/>
    <w:uiPriority w:val="0"/>
    <w:pPr>
      <w:ind w:firstLine="420" w:firstLineChars="200"/>
    </w:pPr>
    <w:rPr>
      <w:rFonts w:ascii="Times New Roman" w:hAnsi="Times New Roman" w:eastAsia="宋体" w:cs="Times New Roman"/>
      <w:szCs w:val="24"/>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unhideWhenUsed/>
    <w:qFormat/>
    <w:uiPriority w:val="99"/>
    <w:rPr>
      <w:color w:val="0000FF" w:themeColor="hyperlink"/>
      <w:u w:val="single"/>
      <w14:textFill>
        <w14:solidFill>
          <w14:schemeClr w14:val="hlink"/>
        </w14:solidFill>
      </w14:textFill>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3">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character" w:customStyle="1" w:styleId="34">
    <w:name w:val="页眉 字符"/>
    <w:basedOn w:val="30"/>
    <w:link w:val="21"/>
    <w:qFormat/>
    <w:uiPriority w:val="99"/>
    <w:rPr>
      <w:sz w:val="18"/>
      <w:szCs w:val="18"/>
    </w:rPr>
  </w:style>
  <w:style w:type="character" w:customStyle="1" w:styleId="35">
    <w:name w:val="页脚 字符"/>
    <w:basedOn w:val="30"/>
    <w:link w:val="20"/>
    <w:qFormat/>
    <w:uiPriority w:val="99"/>
    <w:rPr>
      <w:rFonts w:eastAsia="宋体"/>
      <w:sz w:val="18"/>
      <w:szCs w:val="18"/>
    </w:rPr>
  </w:style>
  <w:style w:type="character" w:customStyle="1" w:styleId="36">
    <w:name w:val="标题 2 字符"/>
    <w:basedOn w:val="30"/>
    <w:link w:val="3"/>
    <w:qFormat/>
    <w:uiPriority w:val="9"/>
    <w:rPr>
      <w:rFonts w:eastAsia="宋体" w:asciiTheme="majorHAnsi" w:hAnsiTheme="majorHAnsi" w:cstheme="majorBidi"/>
      <w:b/>
      <w:bCs/>
      <w:sz w:val="28"/>
      <w:szCs w:val="32"/>
    </w:rPr>
  </w:style>
  <w:style w:type="character" w:customStyle="1" w:styleId="37">
    <w:name w:val="标题 3 字符"/>
    <w:basedOn w:val="30"/>
    <w:link w:val="4"/>
    <w:qFormat/>
    <w:uiPriority w:val="9"/>
    <w:rPr>
      <w:rFonts w:ascii="Times New Roman" w:hAnsi="Times New Roman" w:eastAsia="宋体" w:cs="Times New Roman"/>
      <w:b/>
      <w:bCs/>
      <w:sz w:val="24"/>
      <w:szCs w:val="32"/>
    </w:rPr>
  </w:style>
  <w:style w:type="character" w:customStyle="1" w:styleId="38">
    <w:name w:val="标题 4 字符"/>
    <w:basedOn w:val="30"/>
    <w:link w:val="6"/>
    <w:qFormat/>
    <w:uiPriority w:val="9"/>
    <w:rPr>
      <w:rFonts w:asciiTheme="majorHAnsi" w:hAnsiTheme="majorHAnsi" w:eastAsiaTheme="majorEastAsia" w:cstheme="majorBidi"/>
      <w:bCs/>
      <w:sz w:val="24"/>
      <w:szCs w:val="28"/>
    </w:rPr>
  </w:style>
  <w:style w:type="character" w:customStyle="1" w:styleId="39">
    <w:name w:val="副标题 字符"/>
    <w:basedOn w:val="30"/>
    <w:link w:val="23"/>
    <w:qFormat/>
    <w:uiPriority w:val="11"/>
    <w:rPr>
      <w:rFonts w:eastAsia="宋体" w:asciiTheme="majorHAnsi" w:hAnsiTheme="majorHAnsi" w:cstheme="majorBidi"/>
      <w:b/>
      <w:bCs/>
      <w:kern w:val="28"/>
      <w:sz w:val="32"/>
      <w:szCs w:val="32"/>
    </w:rPr>
  </w:style>
  <w:style w:type="character" w:customStyle="1" w:styleId="40">
    <w:name w:val="标题 1 字符"/>
    <w:basedOn w:val="30"/>
    <w:link w:val="2"/>
    <w:qFormat/>
    <w:uiPriority w:val="9"/>
    <w:rPr>
      <w:rFonts w:ascii="Times New Roman" w:hAnsi="Times New Roman" w:eastAsia="宋体" w:cs="Times New Roman"/>
      <w:b/>
      <w:bCs/>
      <w:kern w:val="44"/>
      <w:sz w:val="32"/>
      <w:szCs w:val="44"/>
    </w:rPr>
  </w:style>
  <w:style w:type="character" w:customStyle="1" w:styleId="41">
    <w:name w:val="标题 5 字符"/>
    <w:basedOn w:val="30"/>
    <w:link w:val="7"/>
    <w:qFormat/>
    <w:uiPriority w:val="9"/>
    <w:rPr>
      <w:rFonts w:ascii="Times New Roman" w:hAnsi="Times New Roman" w:eastAsia="宋体" w:cs="Times New Roman"/>
      <w:bCs/>
      <w:sz w:val="24"/>
      <w:szCs w:val="28"/>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73"/>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49">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0">
    <w:name w:val="List Paragraph"/>
    <w:basedOn w:val="1"/>
    <w:qFormat/>
    <w:uiPriority w:val="34"/>
    <w:pPr>
      <w:ind w:firstLine="420" w:firstLineChars="200"/>
    </w:pPr>
  </w:style>
  <w:style w:type="paragraph" w:customStyle="1" w:styleId="5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2">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3">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4">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5">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6">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
    <w:name w:val="正文2"/>
    <w:basedOn w:val="53"/>
    <w:qFormat/>
    <w:uiPriority w:val="0"/>
    <w:pPr>
      <w:adjustRightInd w:val="0"/>
      <w:jc w:val="left"/>
    </w:pPr>
    <w:rPr>
      <w:szCs w:val="28"/>
      <w:lang w:bidi="en-US"/>
    </w:rPr>
  </w:style>
  <w:style w:type="paragraph" w:customStyle="1" w:styleId="58">
    <w:name w:val="无间隔1"/>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5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0">
    <w:name w:val="Table Paragraph"/>
    <w:basedOn w:val="1"/>
    <w:qFormat/>
    <w:uiPriority w:val="1"/>
    <w:pPr>
      <w:jc w:val="left"/>
    </w:pPr>
    <w:rPr>
      <w:rFonts w:ascii="Calibri" w:hAnsi="Calibri" w:eastAsia="宋体" w:cs="Times New Roman"/>
      <w:kern w:val="0"/>
      <w:sz w:val="22"/>
      <w:lang w:eastAsia="en-US"/>
    </w:rPr>
  </w:style>
  <w:style w:type="paragraph" w:customStyle="1" w:styleId="61">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2">
    <w:name w:val="表格标准"/>
    <w:basedOn w:val="1"/>
    <w:qFormat/>
    <w:uiPriority w:val="0"/>
    <w:pPr>
      <w:jc w:val="center"/>
    </w:pPr>
    <w:rPr>
      <w:rFonts w:ascii="仿宋" w:hAnsi="仿宋" w:eastAsia="仿宋"/>
    </w:rPr>
  </w:style>
  <w:style w:type="paragraph" w:customStyle="1" w:styleId="63">
    <w:name w:val="表格居左"/>
    <w:basedOn w:val="64"/>
    <w:qFormat/>
    <w:uiPriority w:val="7"/>
    <w:pPr>
      <w:ind w:firstLine="0" w:firstLineChars="0"/>
    </w:pPr>
    <w:rPr>
      <w:rFonts w:ascii="Times New Roman" w:cs="Times New Roman"/>
      <w:szCs w:val="21"/>
    </w:rPr>
  </w:style>
  <w:style w:type="paragraph" w:customStyle="1" w:styleId="64">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标题3"/>
    <w:basedOn w:val="68"/>
    <w:qFormat/>
    <w:uiPriority w:val="0"/>
    <w:pPr>
      <w:spacing w:before="20" w:after="20" w:line="360" w:lineRule="auto"/>
      <w:ind w:firstLine="100" w:firstLineChars="100"/>
      <w:outlineLvl w:val="2"/>
    </w:pPr>
    <w:rPr>
      <w:sz w:val="24"/>
    </w:rPr>
  </w:style>
  <w:style w:type="paragraph" w:customStyle="1" w:styleId="68">
    <w:name w:val="标题2"/>
    <w:basedOn w:val="1"/>
    <w:qFormat/>
    <w:uiPriority w:val="0"/>
    <w:pPr>
      <w:spacing w:before="40" w:after="40"/>
      <w:jc w:val="left"/>
      <w:outlineLvl w:val="1"/>
    </w:pPr>
    <w:rPr>
      <w:rFonts w:ascii="宋体" w:hAnsi="宋体"/>
      <w:b/>
      <w:bCs/>
      <w:color w:val="000000"/>
      <w:szCs w:val="24"/>
    </w:rPr>
  </w:style>
  <w:style w:type="paragraph" w:customStyle="1" w:styleId="69">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0">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1">
    <w:name w:val="正文标题"/>
    <w:basedOn w:val="1"/>
    <w:qFormat/>
    <w:uiPriority w:val="0"/>
    <w:pPr>
      <w:adjustRightInd w:val="0"/>
      <w:snapToGrid w:val="0"/>
      <w:jc w:val="left"/>
    </w:pPr>
    <w:rPr>
      <w:b/>
      <w:sz w:val="28"/>
      <w:szCs w:val="24"/>
    </w:rPr>
  </w:style>
  <w:style w:type="paragraph" w:customStyle="1" w:styleId="72">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3">
    <w:name w:val="正文C Char"/>
    <w:link w:val="48"/>
    <w:qFormat/>
    <w:uiPriority w:val="0"/>
    <w:rPr>
      <w:rFonts w:ascii="宋体" w:hAnsi="宋体" w:eastAsia="宋体" w:cs="宋体"/>
      <w:color w:val="525252"/>
      <w:kern w:val="0"/>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eastAsia="黑体" w:asciiTheme="minorHAnsi" w:hAnsiTheme="minorHAnsi"/>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Theme="minorHAnsi" w:eastAsiaTheme="minorEastAsia" w:cstheme="minorBidi"/>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8"/>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png"/><Relationship Id="rId44" Type="http://schemas.openxmlformats.org/officeDocument/2006/relationships/image" Target="media/image23.emf"/><Relationship Id="rId43" Type="http://schemas.openxmlformats.org/officeDocument/2006/relationships/oleObject" Target="embeddings/oleObject1.bin"/><Relationship Id="rId42" Type="http://schemas.openxmlformats.org/officeDocument/2006/relationships/image" Target="media/image22.emf"/><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wMDE1NDYwMDQwIiwKCSJHcm91cElkIiA6ICIzNjgxMzUzMCIsCgkiSW1hZ2UiIDogImlWQk9SdzBLR2dvQUFBQU5TVWhFVWdBQUE1UUFBQUhRQ0FZQUFBRGVZQ1ViQUFBQUFYTlNSMElBcnM0YzZRQUFJQUJKUkVGVWVKenMzWGQ0VkZYK1AvRDN1Vk5UQ1poQTZFSHBMWUJTTEJSWk9oSVVHd3VLc0VwYkZGWkExQzlLRU5ZZnE4SXVyRlNCRllLZ0lxSUVGaFZSRnpFMHdVaUFCRUp2NlpDUU9wT1p1ZWYzUjVneGs4NEFtWUY1djU2SHg3bm5ubnZ1WjBZOHptZE91U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122</Pages>
  <Words>10225</Words>
  <Characters>11136</Characters>
  <Lines>49</Lines>
  <Paragraphs>14</Paragraphs>
  <TotalTime>0</TotalTime>
  <ScaleCrop>false</ScaleCrop>
  <LinksUpToDate>false</LinksUpToDate>
  <CharactersWithSpaces>11665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2025-03-13T07:33:00Z</cp:lastPrinted>
  <dcterms:modified xsi:type="dcterms:W3CDTF">2025-04-10T05:41:17Z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5F86CBEB1AEF4307B142C19033D580BE</vt:lpwstr>
  </property>
  <property fmtid="{D5CDD505-2E9C-101B-9397-08002B2CF9AE}" pid="4" name="KSOTemplateDocerSaveRecord">
    <vt:lpwstr>eyJoZGlkIjoiYjMyYjBlMGJhZjI3ZDdiYzUzOWVmOGZjYTMwOWZhYzEiLCJ1c2VySWQiOiIyMDEyMTQ5OSJ9</vt:lpwstr>
  </property>
</Properties>
</file>