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5CFC6">
      <w:pPr>
        <w:numPr>
          <w:ilvl w:val="0"/>
          <w:numId w:val="0"/>
        </w:numPr>
        <w:rPr>
          <w:color w:val="0000FF"/>
        </w:rPr>
      </w:pPr>
    </w:p>
    <w:p w14:paraId="2D45F45C">
      <w:pPr>
        <w:ind w:firstLine="560"/>
        <w:jc w:val="right"/>
        <w:rPr>
          <w:bCs/>
          <w:color w:val="0000FF"/>
          <w:sz w:val="28"/>
          <w:szCs w:val="28"/>
        </w:rPr>
      </w:pPr>
      <w:r>
        <w:rPr>
          <w:rFonts w:ascii="黑体" w:hAnsi="黑体" w:eastAsia="黑体"/>
          <w:color w:val="0000FF"/>
          <w:sz w:val="28"/>
          <w:szCs w:val="28"/>
        </w:rPr>
        <w:t>方案编号</w:t>
      </w:r>
    </w:p>
    <w:p w14:paraId="342AFAAA">
      <w:pPr>
        <w:ind w:firstLine="562" w:firstLineChars="201"/>
        <w:jc w:val="left"/>
        <w:rPr>
          <w:bCs/>
          <w:color w:val="auto"/>
          <w:sz w:val="28"/>
          <w:szCs w:val="28"/>
        </w:rPr>
      </w:pPr>
    </w:p>
    <w:p w14:paraId="5FFA5197">
      <w:pPr>
        <w:ind w:firstLine="0" w:firstLineChars="0"/>
        <w:jc w:val="center"/>
        <w:outlineLvl w:val="9"/>
        <w:rPr>
          <w:rFonts w:hint="eastAsia" w:ascii="宋体" w:hAnsi="宋体" w:eastAsia="宋体" w:cs="宋体"/>
          <w:b/>
          <w:bCs/>
          <w:color w:val="auto"/>
          <w:sz w:val="44"/>
          <w:szCs w:val="44"/>
          <w:lang w:val="en-US" w:eastAsia="zh-CN"/>
        </w:rPr>
      </w:pPr>
      <w:bookmarkStart w:id="0" w:name="_Toc40446029"/>
      <w:bookmarkStart w:id="1" w:name="_Toc40778419"/>
      <w:bookmarkStart w:id="2" w:name="_Toc40273440"/>
      <w:bookmarkStart w:id="3" w:name="_Toc13281"/>
      <w:bookmarkStart w:id="4" w:name="_Toc40445698"/>
      <w:r>
        <w:rPr>
          <w:rFonts w:hint="eastAsia" w:ascii="宋体" w:hAnsi="宋体" w:eastAsia="宋体" w:cs="宋体"/>
          <w:b/>
          <w:bCs/>
          <w:color w:val="auto"/>
          <w:sz w:val="44"/>
          <w:szCs w:val="44"/>
          <w:lang w:val="en-US" w:eastAsia="zh-CN"/>
        </w:rPr>
        <w:t>　彭州市龙兴寺片区PZ2024-16地块商住建设项目</w:t>
      </w:r>
    </w:p>
    <w:p w14:paraId="770E8E0E">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3#</w:t>
      </w:r>
      <w:r>
        <w:rPr>
          <w:rFonts w:hint="eastAsia" w:ascii="宋体" w:hAnsi="宋体"/>
          <w:b/>
          <w:color w:val="auto"/>
          <w:sz w:val="40"/>
          <w:szCs w:val="40"/>
        </w:rPr>
        <w:t>塔吊</w:t>
      </w:r>
      <w:r>
        <w:rPr>
          <w:rFonts w:hint="eastAsia" w:ascii="宋体" w:hAnsi="宋体"/>
          <w:b/>
          <w:color w:val="auto"/>
          <w:sz w:val="40"/>
          <w:szCs w:val="40"/>
          <w:lang w:val="en-US" w:eastAsia="zh-CN"/>
        </w:rPr>
        <w:t>顶升加节</w:t>
      </w:r>
      <w:r>
        <w:rPr>
          <w:rFonts w:hint="eastAsia" w:ascii="宋体" w:hAnsi="宋体"/>
          <w:b/>
          <w:color w:val="auto"/>
          <w:sz w:val="40"/>
          <w:szCs w:val="40"/>
        </w:rPr>
        <w:t>专项施工方案</w:t>
      </w:r>
      <w:bookmarkEnd w:id="5"/>
    </w:p>
    <w:bookmarkEnd w:id="0"/>
    <w:bookmarkEnd w:id="1"/>
    <w:bookmarkEnd w:id="2"/>
    <w:bookmarkEnd w:id="3"/>
    <w:bookmarkEnd w:id="4"/>
    <w:p w14:paraId="2F285494">
      <w:pPr>
        <w:ind w:firstLine="562" w:firstLineChars="201"/>
        <w:jc w:val="left"/>
        <w:rPr>
          <w:bCs/>
          <w:color w:val="auto"/>
          <w:sz w:val="28"/>
          <w:szCs w:val="28"/>
        </w:rPr>
      </w:pPr>
    </w:p>
    <w:p w14:paraId="7E6C85DC">
      <w:pPr>
        <w:ind w:firstLine="562" w:firstLineChars="201"/>
        <w:jc w:val="left"/>
        <w:rPr>
          <w:bCs/>
          <w:color w:val="auto"/>
          <w:sz w:val="28"/>
          <w:szCs w:val="28"/>
        </w:rPr>
      </w:pPr>
    </w:p>
    <w:p w14:paraId="259C8090">
      <w:pPr>
        <w:ind w:firstLine="0" w:firstLineChars="0"/>
        <w:jc w:val="center"/>
        <w:rPr>
          <w:color w:val="auto"/>
          <w:sz w:val="28"/>
          <w:szCs w:val="28"/>
        </w:rPr>
      </w:pPr>
      <w:r>
        <w:rPr>
          <w:color w:val="auto"/>
          <w:sz w:val="28"/>
          <w:szCs w:val="28"/>
        </w:rPr>
        <w:drawing>
          <wp:inline distT="0" distB="0" distL="114300" distR="114300">
            <wp:extent cx="2247900" cy="2647950"/>
            <wp:effectExtent l="0" t="0" r="0" b="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21"/>
                    <a:stretch>
                      <a:fillRect/>
                    </a:stretch>
                  </pic:blipFill>
                  <pic:spPr>
                    <a:xfrm>
                      <a:off x="0" y="0"/>
                      <a:ext cx="2247900" cy="2647950"/>
                    </a:xfrm>
                    <a:prstGeom prst="rect">
                      <a:avLst/>
                    </a:prstGeom>
                    <a:noFill/>
                    <a:ln>
                      <a:noFill/>
                    </a:ln>
                  </pic:spPr>
                </pic:pic>
              </a:graphicData>
            </a:graphic>
          </wp:inline>
        </w:drawing>
      </w:r>
    </w:p>
    <w:p w14:paraId="4277EB92">
      <w:pPr>
        <w:ind w:firstLine="565" w:firstLineChars="201"/>
        <w:jc w:val="left"/>
        <w:rPr>
          <w:b/>
          <w:color w:val="auto"/>
          <w:sz w:val="28"/>
          <w:szCs w:val="28"/>
        </w:rPr>
      </w:pPr>
      <w:r>
        <w:rPr>
          <w:rFonts w:hint="eastAsia"/>
          <w:b/>
          <w:color w:val="auto"/>
          <w:sz w:val="28"/>
          <w:szCs w:val="28"/>
        </w:rPr>
        <w:t xml:space="preserve">                                </w:t>
      </w:r>
    </w:p>
    <w:p w14:paraId="11F74833">
      <w:pPr>
        <w:ind w:firstLine="562" w:firstLineChars="201"/>
        <w:jc w:val="left"/>
        <w:rPr>
          <w:bCs/>
          <w:color w:val="auto"/>
          <w:sz w:val="28"/>
          <w:szCs w:val="28"/>
        </w:rPr>
      </w:pPr>
    </w:p>
    <w:p w14:paraId="73CAC1C9">
      <w:pPr>
        <w:ind w:firstLine="562" w:firstLineChars="201"/>
        <w:jc w:val="left"/>
        <w:rPr>
          <w:bCs/>
          <w:color w:val="auto"/>
          <w:sz w:val="28"/>
          <w:szCs w:val="28"/>
        </w:rPr>
      </w:pPr>
    </w:p>
    <w:p w14:paraId="290DF73B">
      <w:pPr>
        <w:ind w:left="0" w:leftChars="0" w:firstLine="0" w:firstLineChars="0"/>
        <w:jc w:val="left"/>
        <w:rPr>
          <w:bCs/>
          <w:color w:val="auto"/>
          <w:sz w:val="28"/>
          <w:szCs w:val="28"/>
        </w:rPr>
      </w:pPr>
    </w:p>
    <w:p w14:paraId="32845178">
      <w:pPr>
        <w:ind w:firstLine="562" w:firstLineChars="201"/>
        <w:jc w:val="left"/>
        <w:rPr>
          <w:bCs/>
          <w:color w:val="auto"/>
          <w:sz w:val="28"/>
          <w:szCs w:val="28"/>
        </w:rPr>
      </w:pPr>
    </w:p>
    <w:p w14:paraId="7DB6CAE0">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04DA3595">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63C0310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10</w:t>
      </w:r>
      <w:r>
        <w:rPr>
          <w:rFonts w:hint="eastAsia" w:ascii="宋体" w:hAnsi="宋体" w:eastAsia="宋体" w:cs="宋体"/>
          <w:b/>
          <w:color w:val="auto"/>
          <w:sz w:val="32"/>
          <w:szCs w:val="32"/>
          <w:highlight w:val="none"/>
        </w:rPr>
        <w:t>月</w:t>
      </w:r>
      <w:bookmarkStart w:id="6" w:name="_Toc271909489"/>
      <w:bookmarkEnd w:id="6"/>
      <w:bookmarkStart w:id="7" w:name="_Toc276521510"/>
      <w:bookmarkEnd w:id="7"/>
      <w:bookmarkStart w:id="8" w:name="_Toc277275498"/>
      <w:bookmarkEnd w:id="8"/>
    </w:p>
    <w:p w14:paraId="5592D83A">
      <w:pPr>
        <w:ind w:firstLine="562" w:firstLineChars="201"/>
        <w:jc w:val="left"/>
        <w:rPr>
          <w:bCs/>
          <w:color w:val="auto"/>
          <w:sz w:val="28"/>
          <w:szCs w:val="28"/>
        </w:rPr>
      </w:pPr>
      <w:r>
        <w:rPr>
          <w:bCs/>
          <w:color w:val="auto"/>
          <w:sz w:val="28"/>
          <w:szCs w:val="28"/>
        </w:rPr>
        <w:br w:type="page"/>
      </w:r>
    </w:p>
    <w:p w14:paraId="2441F9E4">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color w:val="auto"/>
          <w:sz w:val="36"/>
          <w:szCs w:val="36"/>
          <w:lang w:val="en-US" w:eastAsia="zh-CN"/>
        </w:rPr>
      </w:pPr>
      <w:r>
        <w:rPr>
          <w:rFonts w:hint="eastAsia" w:eastAsia="宋体"/>
          <w:bCs/>
          <w:color w:val="auto"/>
          <w:sz w:val="28"/>
          <w:szCs w:val="28"/>
          <w:lang w:eastAsia="zh-CN"/>
        </w:rPr>
        <w:drawing>
          <wp:inline distT="0" distB="0" distL="114300" distR="114300">
            <wp:extent cx="5664200" cy="8418830"/>
            <wp:effectExtent l="0" t="0" r="0" b="0"/>
            <wp:docPr id="22" name="图片 22" descr="科斗文封面签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科斗文封面签字3#"/>
                    <pic:cNvPicPr>
                      <a:picLocks noChangeAspect="1"/>
                    </pic:cNvPicPr>
                  </pic:nvPicPr>
                  <pic:blipFill>
                    <a:blip r:embed="rId22"/>
                    <a:srcRect l="5548" t="734"/>
                    <a:stretch>
                      <a:fillRect/>
                    </a:stretch>
                  </pic:blipFill>
                  <pic:spPr>
                    <a:xfrm>
                      <a:off x="0" y="0"/>
                      <a:ext cx="5664200" cy="8418830"/>
                    </a:xfrm>
                    <a:prstGeom prst="rect">
                      <a:avLst/>
                    </a:prstGeom>
                  </pic:spPr>
                </pic:pic>
              </a:graphicData>
            </a:graphic>
          </wp:inline>
        </w:drawing>
      </w:r>
    </w:p>
    <w:p w14:paraId="0D9C2BD7">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720" w:num="1"/>
          <w:docGrid w:linePitch="498" w:charSpace="17788"/>
        </w:sectPr>
      </w:pPr>
    </w:p>
    <w:p w14:paraId="20F6020E">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3BDEADEB">
      <w:pPr>
        <w:pStyle w:val="20"/>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_Toc28983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_Toc28983 \h </w:instrText>
      </w:r>
      <w:r>
        <w:fldChar w:fldCharType="separate"/>
      </w:r>
      <w:r>
        <w:t>1</w:t>
      </w:r>
      <w:r>
        <w:fldChar w:fldCharType="end"/>
      </w:r>
      <w:r>
        <w:rPr>
          <w:rFonts w:hint="eastAsia" w:ascii="宋体" w:hAnsi="宋体" w:eastAsia="宋体" w:cs="宋体"/>
          <w:color w:val="auto"/>
          <w:szCs w:val="24"/>
        </w:rPr>
        <w:fldChar w:fldCharType="end"/>
      </w:r>
    </w:p>
    <w:p w14:paraId="5FA05C9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_Toc27854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_Toc27854 \h </w:instrText>
      </w:r>
      <w:r>
        <w:fldChar w:fldCharType="separate"/>
      </w:r>
      <w:r>
        <w:t>1</w:t>
      </w:r>
      <w:r>
        <w:fldChar w:fldCharType="end"/>
      </w:r>
      <w:r>
        <w:rPr>
          <w:rFonts w:hint="eastAsia" w:ascii="宋体" w:hAnsi="宋体" w:eastAsia="宋体" w:cs="宋体"/>
          <w:color w:val="auto"/>
          <w:szCs w:val="24"/>
        </w:rPr>
        <w:fldChar w:fldCharType="end"/>
      </w:r>
    </w:p>
    <w:p w14:paraId="268D6BA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_Toc29694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_Toc29694 \h </w:instrText>
      </w:r>
      <w:r>
        <w:fldChar w:fldCharType="separate"/>
      </w:r>
      <w:r>
        <w:t>1</w:t>
      </w:r>
      <w:r>
        <w:fldChar w:fldCharType="end"/>
      </w:r>
      <w:r>
        <w:rPr>
          <w:rFonts w:hint="eastAsia" w:ascii="宋体" w:hAnsi="宋体" w:eastAsia="宋体" w:cs="宋体"/>
          <w:color w:val="auto"/>
          <w:szCs w:val="24"/>
        </w:rPr>
        <w:fldChar w:fldCharType="end"/>
      </w:r>
    </w:p>
    <w:p w14:paraId="24674B4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_Toc26564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_Toc26564 \h </w:instrText>
      </w:r>
      <w:r>
        <w:fldChar w:fldCharType="separate"/>
      </w:r>
      <w:r>
        <w:t>2</w:t>
      </w:r>
      <w:r>
        <w:fldChar w:fldCharType="end"/>
      </w:r>
      <w:r>
        <w:rPr>
          <w:rFonts w:hint="eastAsia" w:ascii="宋体" w:hAnsi="宋体" w:eastAsia="宋体" w:cs="宋体"/>
          <w:color w:val="auto"/>
          <w:szCs w:val="24"/>
        </w:rPr>
        <w:fldChar w:fldCharType="end"/>
      </w:r>
    </w:p>
    <w:p w14:paraId="466E5ED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_Toc19173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_Toc19173 \h </w:instrText>
      </w:r>
      <w:r>
        <w:fldChar w:fldCharType="separate"/>
      </w:r>
      <w:r>
        <w:t>2</w:t>
      </w:r>
      <w:r>
        <w:fldChar w:fldCharType="end"/>
      </w:r>
      <w:r>
        <w:rPr>
          <w:rFonts w:hint="eastAsia" w:ascii="宋体" w:hAnsi="宋体" w:eastAsia="宋体" w:cs="宋体"/>
          <w:color w:val="auto"/>
          <w:szCs w:val="24"/>
        </w:rPr>
        <w:fldChar w:fldCharType="end"/>
      </w:r>
    </w:p>
    <w:p w14:paraId="4EB6BA35">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_Toc5844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_Toc5844 \h </w:instrText>
      </w:r>
      <w:r>
        <w:fldChar w:fldCharType="separate"/>
      </w:r>
      <w:r>
        <w:t>3</w:t>
      </w:r>
      <w:r>
        <w:fldChar w:fldCharType="end"/>
      </w:r>
      <w:r>
        <w:rPr>
          <w:rFonts w:hint="eastAsia" w:ascii="宋体" w:hAnsi="宋体" w:eastAsia="宋体" w:cs="宋体"/>
          <w:color w:val="auto"/>
          <w:szCs w:val="24"/>
        </w:rPr>
        <w:fldChar w:fldCharType="end"/>
      </w:r>
    </w:p>
    <w:p w14:paraId="3BF057D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_Toc256 \h </w:instrText>
      </w:r>
      <w:r>
        <w:fldChar w:fldCharType="separate"/>
      </w:r>
      <w:r>
        <w:t>3</w:t>
      </w:r>
      <w:r>
        <w:fldChar w:fldCharType="end"/>
      </w:r>
      <w:r>
        <w:rPr>
          <w:rFonts w:hint="eastAsia" w:ascii="宋体" w:hAnsi="宋体" w:eastAsia="宋体" w:cs="宋体"/>
          <w:color w:val="auto"/>
          <w:szCs w:val="24"/>
        </w:rPr>
        <w:fldChar w:fldCharType="end"/>
      </w:r>
    </w:p>
    <w:p w14:paraId="0A46666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_Toc3781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_Toc3781 \h </w:instrText>
      </w:r>
      <w:r>
        <w:fldChar w:fldCharType="separate"/>
      </w:r>
      <w:r>
        <w:t>3</w:t>
      </w:r>
      <w:r>
        <w:fldChar w:fldCharType="end"/>
      </w:r>
      <w:r>
        <w:rPr>
          <w:rFonts w:hint="eastAsia" w:ascii="宋体" w:hAnsi="宋体" w:eastAsia="宋体" w:cs="宋体"/>
          <w:color w:val="auto"/>
          <w:szCs w:val="24"/>
        </w:rPr>
        <w:fldChar w:fldCharType="end"/>
      </w:r>
    </w:p>
    <w:p w14:paraId="24D3205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_Toc7692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施工布置</w:t>
      </w:r>
      <w:r>
        <w:rPr>
          <w:rFonts w:hint="eastAsia"/>
          <w:lang w:val="en-US" w:eastAsia="zh-CN"/>
        </w:rPr>
        <w:t>图</w:t>
      </w:r>
      <w:r>
        <w:tab/>
      </w:r>
      <w:r>
        <w:fldChar w:fldCharType="begin"/>
      </w:r>
      <w:r>
        <w:instrText xml:space="preserve"> PAGEREF _Toc7692 \h </w:instrText>
      </w:r>
      <w:r>
        <w:fldChar w:fldCharType="separate"/>
      </w:r>
      <w:r>
        <w:t>4</w:t>
      </w:r>
      <w:r>
        <w:fldChar w:fldCharType="end"/>
      </w:r>
      <w:r>
        <w:rPr>
          <w:rFonts w:hint="eastAsia" w:ascii="宋体" w:hAnsi="宋体" w:eastAsia="宋体" w:cs="宋体"/>
          <w:color w:val="auto"/>
          <w:szCs w:val="24"/>
        </w:rPr>
        <w:fldChar w:fldCharType="end"/>
      </w:r>
    </w:p>
    <w:p w14:paraId="754DE4C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_Toc11812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_Toc11812 \h </w:instrText>
      </w:r>
      <w:r>
        <w:fldChar w:fldCharType="separate"/>
      </w:r>
      <w:r>
        <w:t>5</w:t>
      </w:r>
      <w:r>
        <w:fldChar w:fldCharType="end"/>
      </w:r>
      <w:r>
        <w:rPr>
          <w:rFonts w:hint="eastAsia" w:ascii="宋体" w:hAnsi="宋体" w:eastAsia="宋体" w:cs="宋体"/>
          <w:color w:val="auto"/>
          <w:szCs w:val="24"/>
        </w:rPr>
        <w:fldChar w:fldCharType="end"/>
      </w:r>
    </w:p>
    <w:p w14:paraId="3C7B422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_Toc19716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_Toc19716 \h </w:instrText>
      </w:r>
      <w:r>
        <w:fldChar w:fldCharType="separate"/>
      </w:r>
      <w:r>
        <w:t>5</w:t>
      </w:r>
      <w:r>
        <w:fldChar w:fldCharType="end"/>
      </w:r>
      <w:r>
        <w:rPr>
          <w:rFonts w:hint="eastAsia" w:ascii="宋体" w:hAnsi="宋体" w:eastAsia="宋体" w:cs="宋体"/>
          <w:color w:val="auto"/>
          <w:szCs w:val="24"/>
        </w:rPr>
        <w:fldChar w:fldCharType="end"/>
      </w:r>
    </w:p>
    <w:p w14:paraId="21D4906E">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_Toc10268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_Toc10268 \h </w:instrText>
      </w:r>
      <w:r>
        <w:fldChar w:fldCharType="separate"/>
      </w:r>
      <w:r>
        <w:t>6</w:t>
      </w:r>
      <w:r>
        <w:fldChar w:fldCharType="end"/>
      </w:r>
      <w:r>
        <w:rPr>
          <w:rFonts w:hint="eastAsia" w:ascii="宋体" w:hAnsi="宋体" w:eastAsia="宋体" w:cs="宋体"/>
          <w:color w:val="auto"/>
          <w:szCs w:val="24"/>
        </w:rPr>
        <w:fldChar w:fldCharType="end"/>
      </w:r>
    </w:p>
    <w:p w14:paraId="245FB57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_Toc16409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_Toc16409 \h </w:instrText>
      </w:r>
      <w:r>
        <w:fldChar w:fldCharType="separate"/>
      </w:r>
      <w:r>
        <w:t>6</w:t>
      </w:r>
      <w:r>
        <w:fldChar w:fldCharType="end"/>
      </w:r>
      <w:r>
        <w:rPr>
          <w:rFonts w:hint="eastAsia" w:ascii="宋体" w:hAnsi="宋体" w:eastAsia="宋体" w:cs="宋体"/>
          <w:color w:val="auto"/>
          <w:szCs w:val="24"/>
        </w:rPr>
        <w:fldChar w:fldCharType="end"/>
      </w:r>
    </w:p>
    <w:p w14:paraId="7FDF294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_Toc19207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_Toc19207 \h </w:instrText>
      </w:r>
      <w:r>
        <w:fldChar w:fldCharType="separate"/>
      </w:r>
      <w:r>
        <w:t>6</w:t>
      </w:r>
      <w:r>
        <w:fldChar w:fldCharType="end"/>
      </w:r>
      <w:r>
        <w:rPr>
          <w:rFonts w:hint="eastAsia" w:ascii="宋体" w:hAnsi="宋体" w:eastAsia="宋体" w:cs="宋体"/>
          <w:color w:val="auto"/>
          <w:szCs w:val="24"/>
        </w:rPr>
        <w:fldChar w:fldCharType="end"/>
      </w:r>
    </w:p>
    <w:p w14:paraId="29F58B9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_Toc1407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_Toc1407 \h </w:instrText>
      </w:r>
      <w:r>
        <w:fldChar w:fldCharType="separate"/>
      </w:r>
      <w:r>
        <w:t>6</w:t>
      </w:r>
      <w:r>
        <w:fldChar w:fldCharType="end"/>
      </w:r>
      <w:r>
        <w:rPr>
          <w:rFonts w:hint="eastAsia" w:ascii="宋体" w:hAnsi="宋体" w:eastAsia="宋体" w:cs="宋体"/>
          <w:color w:val="auto"/>
          <w:szCs w:val="24"/>
        </w:rPr>
        <w:fldChar w:fldCharType="end"/>
      </w:r>
    </w:p>
    <w:p w14:paraId="351F085C">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_Toc2174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_Toc2174 \h </w:instrText>
      </w:r>
      <w:r>
        <w:fldChar w:fldCharType="separate"/>
      </w:r>
      <w:r>
        <w:t>8</w:t>
      </w:r>
      <w:r>
        <w:fldChar w:fldCharType="end"/>
      </w:r>
      <w:r>
        <w:rPr>
          <w:rFonts w:hint="eastAsia" w:ascii="宋体" w:hAnsi="宋体" w:eastAsia="宋体" w:cs="宋体"/>
          <w:color w:val="auto"/>
          <w:szCs w:val="24"/>
        </w:rPr>
        <w:fldChar w:fldCharType="end"/>
      </w:r>
    </w:p>
    <w:p w14:paraId="16FE582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_Toc23487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_Toc23487 \h </w:instrText>
      </w:r>
      <w:r>
        <w:fldChar w:fldCharType="separate"/>
      </w:r>
      <w:r>
        <w:t>8</w:t>
      </w:r>
      <w:r>
        <w:fldChar w:fldCharType="end"/>
      </w:r>
      <w:r>
        <w:rPr>
          <w:rFonts w:hint="eastAsia" w:ascii="宋体" w:hAnsi="宋体" w:eastAsia="宋体" w:cs="宋体"/>
          <w:color w:val="auto"/>
          <w:szCs w:val="24"/>
        </w:rPr>
        <w:fldChar w:fldCharType="end"/>
      </w:r>
    </w:p>
    <w:p w14:paraId="247959E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_Toc13042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施工准备</w:t>
      </w:r>
      <w:r>
        <w:tab/>
      </w:r>
      <w:r>
        <w:fldChar w:fldCharType="begin"/>
      </w:r>
      <w:r>
        <w:instrText xml:space="preserve"> PAGEREF _Toc13042 \h </w:instrText>
      </w:r>
      <w:r>
        <w:fldChar w:fldCharType="separate"/>
      </w:r>
      <w:r>
        <w:t>8</w:t>
      </w:r>
      <w:r>
        <w:fldChar w:fldCharType="end"/>
      </w:r>
      <w:r>
        <w:rPr>
          <w:rFonts w:hint="eastAsia" w:ascii="宋体" w:hAnsi="宋体" w:eastAsia="宋体" w:cs="宋体"/>
          <w:color w:val="auto"/>
          <w:szCs w:val="24"/>
        </w:rPr>
        <w:fldChar w:fldCharType="end"/>
      </w:r>
    </w:p>
    <w:p w14:paraId="6FA265E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_Toc18789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lang w:val="en-US" w:eastAsia="zh-CN"/>
        </w:rPr>
        <w:t>XGT6013-6S1顶升加节步骤</w:t>
      </w:r>
      <w:r>
        <w:tab/>
      </w:r>
      <w:r>
        <w:fldChar w:fldCharType="begin"/>
      </w:r>
      <w:r>
        <w:instrText xml:space="preserve"> PAGEREF _Toc18789 \h </w:instrText>
      </w:r>
      <w:r>
        <w:fldChar w:fldCharType="separate"/>
      </w:r>
      <w:r>
        <w:t>10</w:t>
      </w:r>
      <w:r>
        <w:fldChar w:fldCharType="end"/>
      </w:r>
      <w:r>
        <w:rPr>
          <w:rFonts w:hint="eastAsia" w:ascii="宋体" w:hAnsi="宋体" w:eastAsia="宋体" w:cs="宋体"/>
          <w:color w:val="auto"/>
          <w:szCs w:val="24"/>
        </w:rPr>
        <w:fldChar w:fldCharType="end"/>
      </w:r>
    </w:p>
    <w:p w14:paraId="3EAF89A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_Toc17690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_Toc17690 \h </w:instrText>
      </w:r>
      <w:r>
        <w:fldChar w:fldCharType="separate"/>
      </w:r>
      <w:r>
        <w:t>16</w:t>
      </w:r>
      <w:r>
        <w:fldChar w:fldCharType="end"/>
      </w:r>
      <w:r>
        <w:rPr>
          <w:rFonts w:hint="eastAsia" w:ascii="宋体" w:hAnsi="宋体" w:eastAsia="宋体" w:cs="宋体"/>
          <w:color w:val="auto"/>
          <w:szCs w:val="24"/>
        </w:rPr>
        <w:fldChar w:fldCharType="end"/>
      </w:r>
    </w:p>
    <w:p w14:paraId="75D2F7E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_Toc6975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_Toc6975 \h </w:instrText>
      </w:r>
      <w:r>
        <w:fldChar w:fldCharType="separate"/>
      </w:r>
      <w:r>
        <w:t>16</w:t>
      </w:r>
      <w:r>
        <w:fldChar w:fldCharType="end"/>
      </w:r>
      <w:r>
        <w:rPr>
          <w:rFonts w:hint="eastAsia" w:ascii="宋体" w:hAnsi="宋体" w:eastAsia="宋体" w:cs="宋体"/>
          <w:color w:val="auto"/>
          <w:szCs w:val="24"/>
        </w:rPr>
        <w:fldChar w:fldCharType="end"/>
      </w:r>
    </w:p>
    <w:p w14:paraId="71B4057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_Toc27061 </w:instrText>
      </w:r>
      <w:r>
        <w:rPr>
          <w:rFonts w:hint="eastAsia" w:ascii="宋体" w:hAnsi="宋体" w:eastAsia="宋体" w:cs="宋体"/>
          <w:szCs w:val="24"/>
        </w:rPr>
        <w:fldChar w:fldCharType="separate"/>
      </w:r>
      <w:r>
        <w:rPr>
          <w:rFonts w:hint="default" w:ascii="宋体" w:hAnsi="宋体" w:eastAsia="宋体" w:cs="宋体"/>
          <w:bCs/>
          <w:shd w:val="clear" w:fill="auto"/>
        </w:rPr>
        <w:t xml:space="preserve">5.2 </w:t>
      </w:r>
      <w:r>
        <w:rPr>
          <w:rFonts w:hint="default" w:ascii="Cambria" w:hAnsi="Cambria"/>
          <w:bCs/>
          <w:highlight w:val="none"/>
          <w:shd w:val="clear" w:color="auto" w:fill="auto"/>
        </w:rPr>
        <w:t>质量通病及质量通病预防</w:t>
      </w:r>
      <w:r>
        <w:tab/>
      </w:r>
      <w:r>
        <w:fldChar w:fldCharType="begin"/>
      </w:r>
      <w:r>
        <w:instrText xml:space="preserve"> PAGEREF _Toc27061 \h </w:instrText>
      </w:r>
      <w:r>
        <w:fldChar w:fldCharType="separate"/>
      </w:r>
      <w:r>
        <w:t>17</w:t>
      </w:r>
      <w:r>
        <w:fldChar w:fldCharType="end"/>
      </w:r>
      <w:r>
        <w:rPr>
          <w:rFonts w:hint="eastAsia" w:ascii="宋体" w:hAnsi="宋体" w:eastAsia="宋体" w:cs="宋体"/>
          <w:color w:val="auto"/>
          <w:szCs w:val="24"/>
        </w:rPr>
        <w:fldChar w:fldCharType="end"/>
      </w:r>
    </w:p>
    <w:p w14:paraId="2F9190A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_Toc17809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质量保证措施</w:t>
      </w:r>
      <w:r>
        <w:tab/>
      </w:r>
      <w:r>
        <w:fldChar w:fldCharType="begin"/>
      </w:r>
      <w:r>
        <w:instrText xml:space="preserve"> PAGEREF _Toc17809 \h </w:instrText>
      </w:r>
      <w:r>
        <w:fldChar w:fldCharType="separate"/>
      </w:r>
      <w:r>
        <w:t>18</w:t>
      </w:r>
      <w:r>
        <w:fldChar w:fldCharType="end"/>
      </w:r>
      <w:r>
        <w:rPr>
          <w:rFonts w:hint="eastAsia" w:ascii="宋体" w:hAnsi="宋体" w:eastAsia="宋体" w:cs="宋体"/>
          <w:color w:val="auto"/>
          <w:szCs w:val="24"/>
        </w:rPr>
        <w:fldChar w:fldCharType="end"/>
      </w:r>
    </w:p>
    <w:p w14:paraId="1DA0DA1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_Toc28273 </w:instrText>
      </w:r>
      <w:r>
        <w:rPr>
          <w:rFonts w:hint="eastAsia" w:ascii="宋体" w:hAnsi="宋体" w:eastAsia="宋体" w:cs="宋体"/>
          <w:szCs w:val="24"/>
        </w:rPr>
        <w:fldChar w:fldCharType="separate"/>
      </w:r>
      <w:r>
        <w:rPr>
          <w:rFonts w:hint="default" w:ascii="宋体" w:hAnsi="宋体" w:eastAsia="宋体" w:cs="宋体"/>
        </w:rPr>
        <w:t xml:space="preserve">5.4 </w:t>
      </w:r>
      <w:r>
        <w:rPr>
          <w:rFonts w:hint="eastAsia"/>
          <w:highlight w:val="none"/>
        </w:rPr>
        <w:t>作业过程中控制点的设置</w:t>
      </w:r>
      <w:r>
        <w:tab/>
      </w:r>
      <w:r>
        <w:fldChar w:fldCharType="begin"/>
      </w:r>
      <w:r>
        <w:instrText xml:space="preserve"> PAGEREF _Toc28273 \h </w:instrText>
      </w:r>
      <w:r>
        <w:fldChar w:fldCharType="separate"/>
      </w:r>
      <w:r>
        <w:t>18</w:t>
      </w:r>
      <w:r>
        <w:fldChar w:fldCharType="end"/>
      </w:r>
      <w:r>
        <w:rPr>
          <w:rFonts w:hint="eastAsia" w:ascii="宋体" w:hAnsi="宋体" w:eastAsia="宋体" w:cs="宋体"/>
          <w:color w:val="auto"/>
          <w:szCs w:val="24"/>
        </w:rPr>
        <w:fldChar w:fldCharType="end"/>
      </w:r>
    </w:p>
    <w:p w14:paraId="6D2C9EED">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_Toc18407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_Toc18407 \h </w:instrText>
      </w:r>
      <w:r>
        <w:fldChar w:fldCharType="separate"/>
      </w:r>
      <w:r>
        <w:t>22</w:t>
      </w:r>
      <w:r>
        <w:fldChar w:fldCharType="end"/>
      </w:r>
      <w:r>
        <w:rPr>
          <w:rFonts w:hint="eastAsia" w:ascii="宋体" w:hAnsi="宋体" w:eastAsia="宋体" w:cs="宋体"/>
          <w:color w:val="auto"/>
          <w:szCs w:val="24"/>
        </w:rPr>
        <w:fldChar w:fldCharType="end"/>
      </w:r>
    </w:p>
    <w:p w14:paraId="5395DE9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_Toc25334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_Toc25334 \h </w:instrText>
      </w:r>
      <w:r>
        <w:fldChar w:fldCharType="separate"/>
      </w:r>
      <w:r>
        <w:t>22</w:t>
      </w:r>
      <w:r>
        <w:fldChar w:fldCharType="end"/>
      </w:r>
      <w:r>
        <w:rPr>
          <w:rFonts w:hint="eastAsia" w:ascii="宋体" w:hAnsi="宋体" w:eastAsia="宋体" w:cs="宋体"/>
          <w:color w:val="auto"/>
          <w:szCs w:val="24"/>
        </w:rPr>
        <w:fldChar w:fldCharType="end"/>
      </w:r>
    </w:p>
    <w:p w14:paraId="0CEF56F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_Toc28775 </w:instrText>
      </w:r>
      <w:r>
        <w:rPr>
          <w:rFonts w:hint="eastAsia" w:ascii="宋体" w:hAnsi="宋体" w:eastAsia="宋体" w:cs="宋体"/>
          <w:szCs w:val="24"/>
        </w:rPr>
        <w:fldChar w:fldCharType="separate"/>
      </w:r>
      <w:r>
        <w:rPr>
          <w:rFonts w:hint="default" w:ascii="宋体" w:hAnsi="宋体" w:eastAsia="宋体" w:cs="宋体"/>
          <w:kern w:val="0"/>
          <w:szCs w:val="28"/>
        </w:rPr>
        <w:t xml:space="preserve">6.2 </w:t>
      </w:r>
      <w:r>
        <w:rPr>
          <w:rFonts w:hint="eastAsia" w:ascii="宋体" w:hAnsi="宋体" w:eastAsia="宋体" w:cs="宋体"/>
          <w:kern w:val="0"/>
          <w:szCs w:val="28"/>
        </w:rPr>
        <w:t>组织保障措施</w:t>
      </w:r>
      <w:r>
        <w:tab/>
      </w:r>
      <w:r>
        <w:fldChar w:fldCharType="begin"/>
      </w:r>
      <w:r>
        <w:instrText xml:space="preserve"> PAGEREF _Toc28775 \h </w:instrText>
      </w:r>
      <w:r>
        <w:fldChar w:fldCharType="separate"/>
      </w:r>
      <w:r>
        <w:t>37</w:t>
      </w:r>
      <w:r>
        <w:fldChar w:fldCharType="end"/>
      </w:r>
      <w:r>
        <w:rPr>
          <w:rFonts w:hint="eastAsia" w:ascii="宋体" w:hAnsi="宋体" w:eastAsia="宋体" w:cs="宋体"/>
          <w:color w:val="auto"/>
          <w:szCs w:val="24"/>
        </w:rPr>
        <w:fldChar w:fldCharType="end"/>
      </w:r>
    </w:p>
    <w:p w14:paraId="5B3F8DD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_Toc28008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监管措施</w:t>
      </w:r>
      <w:r>
        <w:tab/>
      </w:r>
      <w:r>
        <w:fldChar w:fldCharType="begin"/>
      </w:r>
      <w:r>
        <w:instrText xml:space="preserve"> PAGEREF _Toc28008 \h </w:instrText>
      </w:r>
      <w:r>
        <w:fldChar w:fldCharType="separate"/>
      </w:r>
      <w:r>
        <w:t>47</w:t>
      </w:r>
      <w:r>
        <w:fldChar w:fldCharType="end"/>
      </w:r>
      <w:r>
        <w:rPr>
          <w:rFonts w:hint="eastAsia" w:ascii="宋体" w:hAnsi="宋体" w:eastAsia="宋体" w:cs="宋体"/>
          <w:color w:val="auto"/>
          <w:szCs w:val="24"/>
        </w:rPr>
        <w:fldChar w:fldCharType="end"/>
      </w:r>
    </w:p>
    <w:p w14:paraId="21C00ED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_Toc728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lang w:val="en-US" w:eastAsia="zh-CN"/>
        </w:rPr>
        <w:t>施工安全控制</w:t>
      </w:r>
      <w:r>
        <w:rPr>
          <w:rFonts w:hint="eastAsia"/>
        </w:rPr>
        <w:t>措施</w:t>
      </w:r>
      <w:r>
        <w:tab/>
      </w:r>
      <w:r>
        <w:fldChar w:fldCharType="begin"/>
      </w:r>
      <w:r>
        <w:instrText xml:space="preserve"> PAGEREF _Toc728 \h </w:instrText>
      </w:r>
      <w:r>
        <w:fldChar w:fldCharType="separate"/>
      </w:r>
      <w:r>
        <w:t>47</w:t>
      </w:r>
      <w:r>
        <w:fldChar w:fldCharType="end"/>
      </w:r>
      <w:r>
        <w:rPr>
          <w:rFonts w:hint="eastAsia" w:ascii="宋体" w:hAnsi="宋体" w:eastAsia="宋体" w:cs="宋体"/>
          <w:color w:val="auto"/>
          <w:szCs w:val="24"/>
        </w:rPr>
        <w:fldChar w:fldCharType="end"/>
      </w:r>
    </w:p>
    <w:p w14:paraId="06C1B13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_Toc26590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6.5 </w:t>
      </w:r>
      <w:r>
        <w:rPr>
          <w:rFonts w:hint="eastAsia" w:eastAsia="宋体"/>
          <w:lang w:val="en-US" w:eastAsia="zh-CN"/>
        </w:rPr>
        <w:t>监测监控措施</w:t>
      </w:r>
      <w:r>
        <w:tab/>
      </w:r>
      <w:r>
        <w:fldChar w:fldCharType="begin"/>
      </w:r>
      <w:r>
        <w:instrText xml:space="preserve"> PAGEREF _Toc26590 \h </w:instrText>
      </w:r>
      <w:r>
        <w:fldChar w:fldCharType="separate"/>
      </w:r>
      <w:r>
        <w:t>58</w:t>
      </w:r>
      <w:r>
        <w:fldChar w:fldCharType="end"/>
      </w:r>
      <w:r>
        <w:rPr>
          <w:rFonts w:hint="eastAsia" w:ascii="宋体" w:hAnsi="宋体" w:eastAsia="宋体" w:cs="宋体"/>
          <w:color w:val="auto"/>
          <w:szCs w:val="24"/>
        </w:rPr>
        <w:fldChar w:fldCharType="end"/>
      </w:r>
    </w:p>
    <w:p w14:paraId="0C4678F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_Toc10424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电气设备</w:t>
      </w:r>
      <w:r>
        <w:tab/>
      </w:r>
      <w:r>
        <w:fldChar w:fldCharType="begin"/>
      </w:r>
      <w:r>
        <w:instrText xml:space="preserve"> PAGEREF _Toc10424 \h </w:instrText>
      </w:r>
      <w:r>
        <w:fldChar w:fldCharType="separate"/>
      </w:r>
      <w:r>
        <w:t>58</w:t>
      </w:r>
      <w:r>
        <w:fldChar w:fldCharType="end"/>
      </w:r>
      <w:r>
        <w:rPr>
          <w:rFonts w:hint="eastAsia" w:ascii="宋体" w:hAnsi="宋体" w:eastAsia="宋体" w:cs="宋体"/>
          <w:color w:val="auto"/>
          <w:szCs w:val="24"/>
        </w:rPr>
        <w:fldChar w:fldCharType="end"/>
      </w:r>
    </w:p>
    <w:p w14:paraId="2F89997B">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_Toc13979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_Toc13979 \h </w:instrText>
      </w:r>
      <w:r>
        <w:fldChar w:fldCharType="separate"/>
      </w:r>
      <w:r>
        <w:t>61</w:t>
      </w:r>
      <w:r>
        <w:fldChar w:fldCharType="end"/>
      </w:r>
      <w:r>
        <w:rPr>
          <w:rFonts w:hint="eastAsia" w:ascii="宋体" w:hAnsi="宋体" w:eastAsia="宋体" w:cs="宋体"/>
          <w:color w:val="auto"/>
          <w:szCs w:val="24"/>
        </w:rPr>
        <w:fldChar w:fldCharType="end"/>
      </w:r>
    </w:p>
    <w:p w14:paraId="0060C34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_Toc31501 </w:instrText>
      </w:r>
      <w:r>
        <w:rPr>
          <w:rFonts w:hint="eastAsia" w:ascii="宋体" w:hAnsi="宋体" w:eastAsia="宋体" w:cs="宋体"/>
          <w:szCs w:val="24"/>
        </w:rPr>
        <w:fldChar w:fldCharType="separate"/>
      </w:r>
      <w:r>
        <w:rPr>
          <w:rFonts w:hint="eastAsia"/>
          <w:lang w:val="en-US" w:eastAsia="zh-CN"/>
        </w:rPr>
        <w:t>7.1</w:t>
      </w:r>
      <w:r>
        <w:rPr>
          <w:rFonts w:hint="eastAsia"/>
        </w:rPr>
        <w:t>施工组织机构</w:t>
      </w:r>
      <w:r>
        <w:tab/>
      </w:r>
      <w:r>
        <w:fldChar w:fldCharType="begin"/>
      </w:r>
      <w:r>
        <w:instrText xml:space="preserve"> PAGEREF _Toc31501 \h </w:instrText>
      </w:r>
      <w:r>
        <w:fldChar w:fldCharType="separate"/>
      </w:r>
      <w:r>
        <w:t>61</w:t>
      </w:r>
      <w:r>
        <w:fldChar w:fldCharType="end"/>
      </w:r>
      <w:r>
        <w:rPr>
          <w:rFonts w:hint="eastAsia" w:ascii="宋体" w:hAnsi="宋体" w:eastAsia="宋体" w:cs="宋体"/>
          <w:color w:val="auto"/>
          <w:szCs w:val="24"/>
        </w:rPr>
        <w:fldChar w:fldCharType="end"/>
      </w:r>
    </w:p>
    <w:p w14:paraId="7481EE6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_Toc1298 </w:instrText>
      </w:r>
      <w:r>
        <w:rPr>
          <w:rFonts w:hint="eastAsia" w:ascii="宋体" w:hAnsi="宋体" w:eastAsia="宋体" w:cs="宋体"/>
          <w:szCs w:val="24"/>
        </w:rPr>
        <w:fldChar w:fldCharType="separate"/>
      </w:r>
      <w:r>
        <w:rPr>
          <w:rFonts w:hint="eastAsia"/>
          <w:lang w:val="en-US" w:eastAsia="zh-CN"/>
        </w:rPr>
        <w:t>7.2</w:t>
      </w:r>
      <w:r>
        <w:rPr>
          <w:rFonts w:hint="eastAsia"/>
        </w:rPr>
        <w:t>人员配置</w:t>
      </w:r>
      <w:r>
        <w:tab/>
      </w:r>
      <w:r>
        <w:fldChar w:fldCharType="begin"/>
      </w:r>
      <w:r>
        <w:instrText xml:space="preserve"> PAGEREF _Toc1298 \h </w:instrText>
      </w:r>
      <w:r>
        <w:fldChar w:fldCharType="separate"/>
      </w:r>
      <w:r>
        <w:t>61</w:t>
      </w:r>
      <w:r>
        <w:fldChar w:fldCharType="end"/>
      </w:r>
      <w:r>
        <w:rPr>
          <w:rFonts w:hint="eastAsia" w:ascii="宋体" w:hAnsi="宋体" w:eastAsia="宋体" w:cs="宋体"/>
          <w:color w:val="auto"/>
          <w:szCs w:val="24"/>
        </w:rPr>
        <w:fldChar w:fldCharType="end"/>
      </w:r>
    </w:p>
    <w:p w14:paraId="2A2EC7AB">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_Toc15333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验收要求</w:t>
      </w:r>
      <w:r>
        <w:tab/>
      </w:r>
      <w:r>
        <w:fldChar w:fldCharType="begin"/>
      </w:r>
      <w:r>
        <w:instrText xml:space="preserve"> PAGEREF _Toc15333 \h </w:instrText>
      </w:r>
      <w:r>
        <w:fldChar w:fldCharType="separate"/>
      </w:r>
      <w:r>
        <w:t>63</w:t>
      </w:r>
      <w:r>
        <w:fldChar w:fldCharType="end"/>
      </w:r>
      <w:r>
        <w:rPr>
          <w:rFonts w:hint="eastAsia" w:ascii="宋体" w:hAnsi="宋体" w:eastAsia="宋体" w:cs="宋体"/>
          <w:color w:val="auto"/>
          <w:szCs w:val="24"/>
        </w:rPr>
        <w:fldChar w:fldCharType="end"/>
      </w:r>
    </w:p>
    <w:p w14:paraId="6700E9E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_Toc18421 </w:instrText>
      </w:r>
      <w:r>
        <w:rPr>
          <w:rFonts w:hint="eastAsia" w:ascii="宋体" w:hAnsi="宋体" w:eastAsia="宋体" w:cs="宋体"/>
          <w:szCs w:val="24"/>
        </w:rPr>
        <w:fldChar w:fldCharType="separate"/>
      </w:r>
      <w:r>
        <w:rPr>
          <w:rFonts w:hint="default" w:ascii="宋体" w:hAnsi="宋体" w:eastAsia="宋体" w:cs="宋体"/>
        </w:rPr>
        <w:t xml:space="preserve">8.1 </w:t>
      </w:r>
      <w:r>
        <w:rPr>
          <w:rFonts w:hint="eastAsia"/>
        </w:rPr>
        <w:t>验收要求</w:t>
      </w:r>
      <w:r>
        <w:tab/>
      </w:r>
      <w:r>
        <w:fldChar w:fldCharType="begin"/>
      </w:r>
      <w:r>
        <w:instrText xml:space="preserve"> PAGEREF _Toc18421 \h </w:instrText>
      </w:r>
      <w:r>
        <w:fldChar w:fldCharType="separate"/>
      </w:r>
      <w:r>
        <w:t>63</w:t>
      </w:r>
      <w:r>
        <w:fldChar w:fldCharType="end"/>
      </w:r>
      <w:r>
        <w:rPr>
          <w:rFonts w:hint="eastAsia" w:ascii="宋体" w:hAnsi="宋体" w:eastAsia="宋体" w:cs="宋体"/>
          <w:color w:val="auto"/>
          <w:szCs w:val="24"/>
        </w:rPr>
        <w:fldChar w:fldCharType="end"/>
      </w:r>
    </w:p>
    <w:p w14:paraId="3C0CBD1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_Toc17561 </w:instrText>
      </w:r>
      <w:r>
        <w:rPr>
          <w:rFonts w:hint="eastAsia" w:ascii="宋体" w:hAnsi="宋体" w:eastAsia="宋体" w:cs="宋体"/>
          <w:szCs w:val="24"/>
        </w:rPr>
        <w:fldChar w:fldCharType="separate"/>
      </w:r>
      <w:r>
        <w:rPr>
          <w:rFonts w:hint="eastAsia"/>
          <w:szCs w:val="24"/>
          <w:lang w:val="en-US" w:eastAsia="zh-CN"/>
        </w:rPr>
        <w:t xml:space="preserve">8.2 </w:t>
      </w:r>
      <w:r>
        <w:rPr>
          <w:rFonts w:hint="eastAsia"/>
          <w:szCs w:val="24"/>
        </w:rPr>
        <w:t>塔机安全检查</w:t>
      </w:r>
      <w:r>
        <w:tab/>
      </w:r>
      <w:r>
        <w:fldChar w:fldCharType="begin"/>
      </w:r>
      <w:r>
        <w:instrText xml:space="preserve"> PAGEREF _Toc17561 \h </w:instrText>
      </w:r>
      <w:r>
        <w:fldChar w:fldCharType="separate"/>
      </w:r>
      <w:r>
        <w:t>63</w:t>
      </w:r>
      <w:r>
        <w:fldChar w:fldCharType="end"/>
      </w:r>
      <w:r>
        <w:rPr>
          <w:rFonts w:hint="eastAsia" w:ascii="宋体" w:hAnsi="宋体" w:eastAsia="宋体" w:cs="宋体"/>
          <w:color w:val="auto"/>
          <w:szCs w:val="24"/>
        </w:rPr>
        <w:fldChar w:fldCharType="end"/>
      </w:r>
    </w:p>
    <w:p w14:paraId="7FEAAE7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_Toc5349 </w:instrText>
      </w:r>
      <w:r>
        <w:rPr>
          <w:rFonts w:hint="eastAsia" w:ascii="宋体" w:hAnsi="宋体" w:eastAsia="宋体" w:cs="宋体"/>
          <w:szCs w:val="24"/>
        </w:rPr>
        <w:fldChar w:fldCharType="separate"/>
      </w:r>
      <w:r>
        <w:rPr>
          <w:rFonts w:hint="eastAsia"/>
          <w:szCs w:val="24"/>
          <w:lang w:val="en-US" w:eastAsia="zh-CN"/>
        </w:rPr>
        <w:t>8.3</w:t>
      </w:r>
      <w:r>
        <w:rPr>
          <w:rFonts w:hint="eastAsia"/>
          <w:szCs w:val="24"/>
        </w:rPr>
        <w:t>电气要求</w:t>
      </w:r>
      <w:r>
        <w:tab/>
      </w:r>
      <w:r>
        <w:fldChar w:fldCharType="begin"/>
      </w:r>
      <w:r>
        <w:instrText xml:space="preserve"> PAGEREF _Toc5349 \h </w:instrText>
      </w:r>
      <w:r>
        <w:fldChar w:fldCharType="separate"/>
      </w:r>
      <w:r>
        <w:t>67</w:t>
      </w:r>
      <w:r>
        <w:fldChar w:fldCharType="end"/>
      </w:r>
      <w:r>
        <w:rPr>
          <w:rFonts w:hint="eastAsia" w:ascii="宋体" w:hAnsi="宋体" w:eastAsia="宋体" w:cs="宋体"/>
          <w:color w:val="auto"/>
          <w:szCs w:val="24"/>
        </w:rPr>
        <w:fldChar w:fldCharType="end"/>
      </w:r>
    </w:p>
    <w:p w14:paraId="4A87AC5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_Toc5960 </w:instrText>
      </w:r>
      <w:r>
        <w:rPr>
          <w:rFonts w:hint="eastAsia" w:ascii="宋体" w:hAnsi="宋体" w:eastAsia="宋体" w:cs="宋体"/>
          <w:szCs w:val="24"/>
        </w:rPr>
        <w:fldChar w:fldCharType="separate"/>
      </w:r>
      <w:r>
        <w:rPr>
          <w:rFonts w:hint="eastAsia"/>
          <w:szCs w:val="24"/>
          <w:lang w:val="en-US" w:eastAsia="zh-CN"/>
        </w:rPr>
        <w:t>8.4</w:t>
      </w:r>
      <w:r>
        <w:rPr>
          <w:rFonts w:hint="eastAsia"/>
          <w:szCs w:val="24"/>
        </w:rPr>
        <w:t>焊接要求</w:t>
      </w:r>
      <w:r>
        <w:tab/>
      </w:r>
      <w:r>
        <w:fldChar w:fldCharType="begin"/>
      </w:r>
      <w:r>
        <w:instrText xml:space="preserve"> PAGEREF _Toc5960 \h </w:instrText>
      </w:r>
      <w:r>
        <w:fldChar w:fldCharType="separate"/>
      </w:r>
      <w:r>
        <w:t>68</w:t>
      </w:r>
      <w:r>
        <w:fldChar w:fldCharType="end"/>
      </w:r>
      <w:r>
        <w:rPr>
          <w:rFonts w:hint="eastAsia" w:ascii="宋体" w:hAnsi="宋体" w:eastAsia="宋体" w:cs="宋体"/>
          <w:color w:val="auto"/>
          <w:szCs w:val="24"/>
        </w:rPr>
        <w:fldChar w:fldCharType="end"/>
      </w:r>
    </w:p>
    <w:p w14:paraId="2976A57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_Toc9342 </w:instrText>
      </w:r>
      <w:r>
        <w:rPr>
          <w:rFonts w:hint="eastAsia" w:ascii="宋体" w:hAnsi="宋体" w:eastAsia="宋体" w:cs="宋体"/>
          <w:szCs w:val="24"/>
        </w:rPr>
        <w:fldChar w:fldCharType="separate"/>
      </w:r>
      <w:r>
        <w:rPr>
          <w:rFonts w:hint="eastAsia"/>
          <w:szCs w:val="24"/>
          <w:highlight w:val="none"/>
          <w:lang w:val="en-US" w:eastAsia="zh-CN"/>
        </w:rPr>
        <w:t>8.5</w:t>
      </w:r>
      <w:r>
        <w:rPr>
          <w:rFonts w:hint="eastAsia"/>
          <w:szCs w:val="24"/>
          <w:highlight w:val="none"/>
        </w:rPr>
        <w:t>螺栓连接要求</w:t>
      </w:r>
      <w:r>
        <w:tab/>
      </w:r>
      <w:r>
        <w:fldChar w:fldCharType="begin"/>
      </w:r>
      <w:r>
        <w:instrText xml:space="preserve"> PAGEREF _Toc9342 \h </w:instrText>
      </w:r>
      <w:r>
        <w:fldChar w:fldCharType="separate"/>
      </w:r>
      <w:r>
        <w:t>69</w:t>
      </w:r>
      <w:r>
        <w:fldChar w:fldCharType="end"/>
      </w:r>
      <w:r>
        <w:rPr>
          <w:rFonts w:hint="eastAsia" w:ascii="宋体" w:hAnsi="宋体" w:eastAsia="宋体" w:cs="宋体"/>
          <w:color w:val="auto"/>
          <w:szCs w:val="24"/>
        </w:rPr>
        <w:fldChar w:fldCharType="end"/>
      </w:r>
    </w:p>
    <w:p w14:paraId="2901440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_Toc13616 </w:instrText>
      </w:r>
      <w:r>
        <w:rPr>
          <w:rFonts w:hint="eastAsia" w:ascii="宋体" w:hAnsi="宋体" w:eastAsia="宋体" w:cs="宋体"/>
          <w:szCs w:val="24"/>
        </w:rPr>
        <w:fldChar w:fldCharType="separate"/>
      </w:r>
      <w:r>
        <w:rPr>
          <w:rFonts w:hint="eastAsia"/>
          <w:szCs w:val="24"/>
          <w:lang w:val="en-US" w:eastAsia="zh-CN"/>
        </w:rPr>
        <w:t>8.6</w:t>
      </w:r>
      <w:r>
        <w:rPr>
          <w:rFonts w:hint="eastAsia"/>
          <w:szCs w:val="24"/>
        </w:rPr>
        <w:t>防雷接地要求</w:t>
      </w:r>
      <w:r>
        <w:tab/>
      </w:r>
      <w:r>
        <w:fldChar w:fldCharType="begin"/>
      </w:r>
      <w:r>
        <w:instrText xml:space="preserve"> PAGEREF _Toc13616 \h </w:instrText>
      </w:r>
      <w:r>
        <w:fldChar w:fldCharType="separate"/>
      </w:r>
      <w:r>
        <w:t>69</w:t>
      </w:r>
      <w:r>
        <w:fldChar w:fldCharType="end"/>
      </w:r>
      <w:r>
        <w:rPr>
          <w:rFonts w:hint="eastAsia" w:ascii="宋体" w:hAnsi="宋体" w:eastAsia="宋体" w:cs="宋体"/>
          <w:color w:val="auto"/>
          <w:szCs w:val="24"/>
        </w:rPr>
        <w:fldChar w:fldCharType="end"/>
      </w:r>
    </w:p>
    <w:p w14:paraId="5BF85F9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_Toc14796 </w:instrText>
      </w:r>
      <w:r>
        <w:rPr>
          <w:rFonts w:hint="eastAsia" w:ascii="宋体" w:hAnsi="宋体" w:eastAsia="宋体" w:cs="宋体"/>
          <w:szCs w:val="24"/>
        </w:rPr>
        <w:fldChar w:fldCharType="separate"/>
      </w:r>
      <w:r>
        <w:rPr>
          <w:rFonts w:hint="eastAsia"/>
          <w:szCs w:val="24"/>
          <w:lang w:val="en-US" w:eastAsia="zh-CN"/>
        </w:rPr>
        <w:t>8.7</w:t>
      </w:r>
      <w:r>
        <w:rPr>
          <w:rFonts w:hint="eastAsia"/>
          <w:szCs w:val="24"/>
        </w:rPr>
        <w:t>整体噪声要求</w:t>
      </w:r>
      <w:r>
        <w:tab/>
      </w:r>
      <w:r>
        <w:fldChar w:fldCharType="begin"/>
      </w:r>
      <w:r>
        <w:instrText xml:space="preserve"> PAGEREF _Toc14796 \h </w:instrText>
      </w:r>
      <w:r>
        <w:fldChar w:fldCharType="separate"/>
      </w:r>
      <w:r>
        <w:t>70</w:t>
      </w:r>
      <w:r>
        <w:fldChar w:fldCharType="end"/>
      </w:r>
      <w:r>
        <w:rPr>
          <w:rFonts w:hint="eastAsia" w:ascii="宋体" w:hAnsi="宋体" w:eastAsia="宋体" w:cs="宋体"/>
          <w:color w:val="auto"/>
          <w:szCs w:val="24"/>
        </w:rPr>
        <w:fldChar w:fldCharType="end"/>
      </w:r>
    </w:p>
    <w:p w14:paraId="26BDA0D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_Toc10447 </w:instrText>
      </w:r>
      <w:r>
        <w:rPr>
          <w:rFonts w:hint="eastAsia" w:ascii="宋体" w:hAnsi="宋体" w:eastAsia="宋体" w:cs="宋体"/>
          <w:szCs w:val="24"/>
        </w:rPr>
        <w:fldChar w:fldCharType="separate"/>
      </w:r>
      <w:r>
        <w:rPr>
          <w:rFonts w:hint="eastAsia"/>
          <w:szCs w:val="24"/>
          <w:lang w:val="en-US" w:eastAsia="zh-CN"/>
        </w:rPr>
        <w:t>8.8</w:t>
      </w:r>
      <w:r>
        <w:rPr>
          <w:rFonts w:hint="eastAsia"/>
          <w:szCs w:val="24"/>
        </w:rPr>
        <w:t>质量保证措施</w:t>
      </w:r>
      <w:r>
        <w:tab/>
      </w:r>
      <w:r>
        <w:fldChar w:fldCharType="begin"/>
      </w:r>
      <w:r>
        <w:instrText xml:space="preserve"> PAGEREF _Toc10447 \h </w:instrText>
      </w:r>
      <w:r>
        <w:fldChar w:fldCharType="separate"/>
      </w:r>
      <w:r>
        <w:t>70</w:t>
      </w:r>
      <w:r>
        <w:fldChar w:fldCharType="end"/>
      </w:r>
      <w:r>
        <w:rPr>
          <w:rFonts w:hint="eastAsia" w:ascii="宋体" w:hAnsi="宋体" w:eastAsia="宋体" w:cs="宋体"/>
          <w:color w:val="auto"/>
          <w:szCs w:val="24"/>
        </w:rPr>
        <w:fldChar w:fldCharType="end"/>
      </w:r>
    </w:p>
    <w:p w14:paraId="02F6077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_Toc17011 </w:instrText>
      </w:r>
      <w:r>
        <w:rPr>
          <w:rFonts w:hint="eastAsia" w:ascii="宋体" w:hAnsi="宋体" w:eastAsia="宋体" w:cs="宋体"/>
          <w:szCs w:val="24"/>
        </w:rPr>
        <w:fldChar w:fldCharType="separate"/>
      </w:r>
      <w:r>
        <w:rPr>
          <w:rFonts w:hint="eastAsia"/>
          <w:szCs w:val="24"/>
          <w:lang w:val="en-US" w:eastAsia="zh-CN"/>
        </w:rPr>
        <w:t>8.9</w:t>
      </w:r>
      <w:r>
        <w:rPr>
          <w:rFonts w:hint="eastAsia"/>
          <w:szCs w:val="24"/>
        </w:rPr>
        <w:t>工程验收内容</w:t>
      </w:r>
      <w:r>
        <w:tab/>
      </w:r>
      <w:r>
        <w:fldChar w:fldCharType="begin"/>
      </w:r>
      <w:r>
        <w:instrText xml:space="preserve"> PAGEREF _Toc17011 \h </w:instrText>
      </w:r>
      <w:r>
        <w:fldChar w:fldCharType="separate"/>
      </w:r>
      <w:r>
        <w:t>71</w:t>
      </w:r>
      <w:r>
        <w:fldChar w:fldCharType="end"/>
      </w:r>
      <w:r>
        <w:rPr>
          <w:rFonts w:hint="eastAsia" w:ascii="宋体" w:hAnsi="宋体" w:eastAsia="宋体" w:cs="宋体"/>
          <w:color w:val="auto"/>
          <w:szCs w:val="24"/>
        </w:rPr>
        <w:fldChar w:fldCharType="end"/>
      </w:r>
    </w:p>
    <w:p w14:paraId="68FF9E3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_Toc27113 </w:instrText>
      </w:r>
      <w:r>
        <w:rPr>
          <w:rFonts w:hint="eastAsia" w:ascii="宋体" w:hAnsi="宋体" w:eastAsia="宋体" w:cs="宋体"/>
          <w:szCs w:val="24"/>
        </w:rPr>
        <w:fldChar w:fldCharType="separate"/>
      </w:r>
      <w:r>
        <w:rPr>
          <w:rFonts w:hint="eastAsia"/>
          <w:lang w:val="en-US" w:eastAsia="zh-CN"/>
        </w:rPr>
        <w:t>9</w:t>
      </w:r>
      <w:r>
        <w:rPr>
          <w:rFonts w:hint="eastAsia"/>
        </w:rPr>
        <w:t>应急处置</w:t>
      </w:r>
      <w:r>
        <w:rPr>
          <w:rFonts w:hint="eastAsia"/>
          <w:lang w:eastAsia="zh-CN"/>
        </w:rPr>
        <w:t>措施</w:t>
      </w:r>
      <w:r>
        <w:tab/>
      </w:r>
      <w:r>
        <w:fldChar w:fldCharType="begin"/>
      </w:r>
      <w:r>
        <w:instrText xml:space="preserve"> PAGEREF _Toc27113 \h </w:instrText>
      </w:r>
      <w:r>
        <w:fldChar w:fldCharType="separate"/>
      </w:r>
      <w:r>
        <w:t>80</w:t>
      </w:r>
      <w:r>
        <w:fldChar w:fldCharType="end"/>
      </w:r>
      <w:r>
        <w:rPr>
          <w:rFonts w:hint="eastAsia" w:ascii="宋体" w:hAnsi="宋体" w:eastAsia="宋体" w:cs="宋体"/>
          <w:color w:val="auto"/>
          <w:szCs w:val="24"/>
        </w:rPr>
        <w:fldChar w:fldCharType="end"/>
      </w:r>
    </w:p>
    <w:p w14:paraId="2D3B5DF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_Toc23826 </w:instrText>
      </w:r>
      <w:r>
        <w:rPr>
          <w:rFonts w:hint="eastAsia" w:ascii="宋体" w:hAnsi="宋体" w:eastAsia="宋体" w:cs="宋体"/>
          <w:szCs w:val="24"/>
        </w:rPr>
        <w:fldChar w:fldCharType="separate"/>
      </w:r>
      <w:r>
        <w:rPr>
          <w:rFonts w:hint="eastAsia"/>
          <w:lang w:val="en-US" w:eastAsia="zh-CN"/>
        </w:rPr>
        <w:t xml:space="preserve">9.1 </w:t>
      </w:r>
      <w:r>
        <w:rPr>
          <w:rFonts w:hint="eastAsia"/>
        </w:rPr>
        <w:t>危险源辨识</w:t>
      </w:r>
      <w:r>
        <w:tab/>
      </w:r>
      <w:r>
        <w:fldChar w:fldCharType="begin"/>
      </w:r>
      <w:r>
        <w:instrText xml:space="preserve"> PAGEREF _Toc23826 \h </w:instrText>
      </w:r>
      <w:r>
        <w:fldChar w:fldCharType="separate"/>
      </w:r>
      <w:r>
        <w:t>80</w:t>
      </w:r>
      <w:r>
        <w:fldChar w:fldCharType="end"/>
      </w:r>
      <w:r>
        <w:rPr>
          <w:rFonts w:hint="eastAsia" w:ascii="宋体" w:hAnsi="宋体" w:eastAsia="宋体" w:cs="宋体"/>
          <w:color w:val="auto"/>
          <w:szCs w:val="24"/>
        </w:rPr>
        <w:fldChar w:fldCharType="end"/>
      </w:r>
    </w:p>
    <w:p w14:paraId="75FC8A5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_Toc13034 </w:instrText>
      </w:r>
      <w:r>
        <w:rPr>
          <w:rFonts w:hint="eastAsia" w:ascii="宋体" w:hAnsi="宋体" w:eastAsia="宋体" w:cs="宋体"/>
          <w:szCs w:val="24"/>
        </w:rPr>
        <w:fldChar w:fldCharType="separate"/>
      </w:r>
      <w:r>
        <w:rPr>
          <w:rFonts w:hint="eastAsia"/>
          <w:lang w:val="en-US" w:eastAsia="zh-CN"/>
        </w:rPr>
        <w:t>9.2</w:t>
      </w:r>
      <w:r>
        <w:rPr>
          <w:rFonts w:hint="eastAsia"/>
        </w:rPr>
        <w:t>组织</w:t>
      </w:r>
      <w:r>
        <w:rPr>
          <w:rFonts w:hint="eastAsia"/>
          <w:lang w:val="en-US" w:eastAsia="zh-CN"/>
        </w:rPr>
        <w:t>机</w:t>
      </w:r>
      <w:r>
        <w:rPr>
          <w:rFonts w:hint="eastAsia"/>
        </w:rPr>
        <w:t>构及职责</w:t>
      </w:r>
      <w:r>
        <w:tab/>
      </w:r>
      <w:r>
        <w:fldChar w:fldCharType="begin"/>
      </w:r>
      <w:r>
        <w:instrText xml:space="preserve"> PAGEREF _Toc13034 \h </w:instrText>
      </w:r>
      <w:r>
        <w:fldChar w:fldCharType="separate"/>
      </w:r>
      <w:r>
        <w:t>96</w:t>
      </w:r>
      <w:r>
        <w:fldChar w:fldCharType="end"/>
      </w:r>
      <w:r>
        <w:rPr>
          <w:rFonts w:hint="eastAsia" w:ascii="宋体" w:hAnsi="宋体" w:eastAsia="宋体" w:cs="宋体"/>
          <w:color w:val="auto"/>
          <w:szCs w:val="24"/>
        </w:rPr>
        <w:fldChar w:fldCharType="end"/>
      </w:r>
    </w:p>
    <w:p w14:paraId="5D1F935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_Toc8092 </w:instrText>
      </w:r>
      <w:r>
        <w:rPr>
          <w:rFonts w:hint="eastAsia" w:ascii="宋体" w:hAnsi="宋体" w:eastAsia="宋体" w:cs="宋体"/>
          <w:szCs w:val="24"/>
        </w:rPr>
        <w:fldChar w:fldCharType="separate"/>
      </w:r>
      <w:r>
        <w:rPr>
          <w:rFonts w:hint="eastAsia"/>
          <w:lang w:val="en-US" w:eastAsia="zh-CN"/>
        </w:rPr>
        <w:t>9.3</w:t>
      </w:r>
      <w:r>
        <w:rPr>
          <w:rFonts w:hint="eastAsia"/>
        </w:rPr>
        <w:t>预防与预警</w:t>
      </w:r>
      <w:r>
        <w:tab/>
      </w:r>
      <w:r>
        <w:fldChar w:fldCharType="begin"/>
      </w:r>
      <w:r>
        <w:instrText xml:space="preserve"> PAGEREF _Toc8092 \h </w:instrText>
      </w:r>
      <w:r>
        <w:fldChar w:fldCharType="separate"/>
      </w:r>
      <w:r>
        <w:t>97</w:t>
      </w:r>
      <w:r>
        <w:fldChar w:fldCharType="end"/>
      </w:r>
      <w:r>
        <w:rPr>
          <w:rFonts w:hint="eastAsia" w:ascii="宋体" w:hAnsi="宋体" w:eastAsia="宋体" w:cs="宋体"/>
          <w:color w:val="auto"/>
          <w:szCs w:val="24"/>
        </w:rPr>
        <w:fldChar w:fldCharType="end"/>
      </w:r>
    </w:p>
    <w:p w14:paraId="06C0A0A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_Toc23106 </w:instrText>
      </w:r>
      <w:r>
        <w:rPr>
          <w:rFonts w:hint="eastAsia" w:ascii="宋体" w:hAnsi="宋体" w:eastAsia="宋体" w:cs="宋体"/>
          <w:szCs w:val="24"/>
        </w:rPr>
        <w:fldChar w:fldCharType="separate"/>
      </w:r>
      <w:r>
        <w:rPr>
          <w:rFonts w:hint="eastAsia" w:eastAsia="宋体"/>
          <w:lang w:val="en-US" w:eastAsia="zh-CN"/>
        </w:rPr>
        <w:t>9.4应急响应程序</w:t>
      </w:r>
      <w:r>
        <w:tab/>
      </w:r>
      <w:r>
        <w:fldChar w:fldCharType="begin"/>
      </w:r>
      <w:r>
        <w:instrText xml:space="preserve"> PAGEREF _Toc23106 \h </w:instrText>
      </w:r>
      <w:r>
        <w:fldChar w:fldCharType="separate"/>
      </w:r>
      <w:r>
        <w:t>97</w:t>
      </w:r>
      <w:r>
        <w:fldChar w:fldCharType="end"/>
      </w:r>
      <w:r>
        <w:rPr>
          <w:rFonts w:hint="eastAsia" w:ascii="宋体" w:hAnsi="宋体" w:eastAsia="宋体" w:cs="宋体"/>
          <w:color w:val="auto"/>
          <w:szCs w:val="24"/>
        </w:rPr>
        <w:fldChar w:fldCharType="end"/>
      </w:r>
    </w:p>
    <w:p w14:paraId="7BC539D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_Toc1484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9.5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_Toc1484 \h </w:instrText>
      </w:r>
      <w:r>
        <w:fldChar w:fldCharType="separate"/>
      </w:r>
      <w:r>
        <w:t>99</w:t>
      </w:r>
      <w:r>
        <w:fldChar w:fldCharType="end"/>
      </w:r>
      <w:r>
        <w:rPr>
          <w:rFonts w:hint="eastAsia" w:ascii="宋体" w:hAnsi="宋体" w:eastAsia="宋体" w:cs="宋体"/>
          <w:color w:val="auto"/>
          <w:szCs w:val="24"/>
        </w:rPr>
        <w:fldChar w:fldCharType="end"/>
      </w:r>
    </w:p>
    <w:p w14:paraId="18E1A41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_Toc6056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9.6 </w:t>
      </w:r>
      <w:r>
        <w:rPr>
          <w:rFonts w:hint="eastAsia"/>
        </w:rPr>
        <w:t>施工现场的急救步骤</w:t>
      </w:r>
      <w:r>
        <w:tab/>
      </w:r>
      <w:r>
        <w:fldChar w:fldCharType="begin"/>
      </w:r>
      <w:r>
        <w:instrText xml:space="preserve"> PAGEREF _Toc6056 \h </w:instrText>
      </w:r>
      <w:r>
        <w:fldChar w:fldCharType="separate"/>
      </w:r>
      <w:r>
        <w:t>104</w:t>
      </w:r>
      <w:r>
        <w:fldChar w:fldCharType="end"/>
      </w:r>
      <w:r>
        <w:rPr>
          <w:rFonts w:hint="eastAsia" w:ascii="宋体" w:hAnsi="宋体" w:eastAsia="宋体" w:cs="宋体"/>
          <w:color w:val="auto"/>
          <w:szCs w:val="24"/>
        </w:rPr>
        <w:fldChar w:fldCharType="end"/>
      </w:r>
    </w:p>
    <w:p w14:paraId="36FBAFE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_Toc28634 </w:instrText>
      </w:r>
      <w:r>
        <w:rPr>
          <w:rFonts w:hint="eastAsia" w:ascii="宋体" w:hAnsi="宋体" w:eastAsia="宋体" w:cs="宋体"/>
          <w:szCs w:val="24"/>
        </w:rPr>
        <w:fldChar w:fldCharType="separate"/>
      </w:r>
      <w:r>
        <w:rPr>
          <w:rFonts w:hint="eastAsia"/>
          <w:lang w:val="en-US" w:eastAsia="zh-CN"/>
        </w:rPr>
        <w:t xml:space="preserve">9.7 </w:t>
      </w:r>
      <w:r>
        <w:rPr>
          <w:rFonts w:hint="eastAsia"/>
        </w:rPr>
        <w:t>应急保障</w:t>
      </w:r>
      <w:r>
        <w:tab/>
      </w:r>
      <w:r>
        <w:fldChar w:fldCharType="begin"/>
      </w:r>
      <w:r>
        <w:instrText xml:space="preserve"> PAGEREF _Toc28634 \h </w:instrText>
      </w:r>
      <w:r>
        <w:fldChar w:fldCharType="separate"/>
      </w:r>
      <w:r>
        <w:t>105</w:t>
      </w:r>
      <w:r>
        <w:fldChar w:fldCharType="end"/>
      </w:r>
      <w:r>
        <w:rPr>
          <w:rFonts w:hint="eastAsia" w:ascii="宋体" w:hAnsi="宋体" w:eastAsia="宋体" w:cs="宋体"/>
          <w:color w:val="auto"/>
          <w:szCs w:val="24"/>
        </w:rPr>
        <w:fldChar w:fldCharType="end"/>
      </w:r>
    </w:p>
    <w:p w14:paraId="58FFF69B">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_Toc7269 </w:instrText>
      </w:r>
      <w:r>
        <w:rPr>
          <w:rFonts w:hint="eastAsia" w:ascii="宋体" w:hAnsi="宋体" w:eastAsia="宋体" w:cs="宋体"/>
          <w:szCs w:val="24"/>
        </w:rPr>
        <w:fldChar w:fldCharType="separate"/>
      </w:r>
      <w:r>
        <w:rPr>
          <w:rFonts w:hint="eastAsia"/>
          <w:lang w:val="en-US" w:eastAsia="zh-CN"/>
        </w:rPr>
        <w:t>10</w:t>
      </w:r>
      <w:r>
        <w:rPr>
          <w:rFonts w:hint="eastAsia"/>
        </w:rPr>
        <w:t>绿色及文明施工</w:t>
      </w:r>
      <w:r>
        <w:tab/>
      </w:r>
      <w:r>
        <w:fldChar w:fldCharType="begin"/>
      </w:r>
      <w:r>
        <w:instrText xml:space="preserve"> PAGEREF _Toc7269 \h </w:instrText>
      </w:r>
      <w:r>
        <w:fldChar w:fldCharType="separate"/>
      </w:r>
      <w:r>
        <w:t>108</w:t>
      </w:r>
      <w:r>
        <w:fldChar w:fldCharType="end"/>
      </w:r>
      <w:r>
        <w:rPr>
          <w:rFonts w:hint="eastAsia" w:ascii="宋体" w:hAnsi="宋体" w:eastAsia="宋体" w:cs="宋体"/>
          <w:color w:val="auto"/>
          <w:szCs w:val="24"/>
        </w:rPr>
        <w:fldChar w:fldCharType="end"/>
      </w:r>
    </w:p>
    <w:p w14:paraId="29B7317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_Toc7184 </w:instrText>
      </w:r>
      <w:r>
        <w:rPr>
          <w:rFonts w:hint="eastAsia" w:ascii="宋体" w:hAnsi="宋体" w:eastAsia="宋体" w:cs="宋体"/>
          <w:szCs w:val="24"/>
        </w:rPr>
        <w:fldChar w:fldCharType="separate"/>
      </w:r>
      <w:r>
        <w:rPr>
          <w:rFonts w:hint="eastAsia"/>
        </w:rPr>
        <w:t>10.1</w:t>
      </w:r>
      <w:r>
        <w:t>绿色及文明施工组织机构</w:t>
      </w:r>
      <w:r>
        <w:tab/>
      </w:r>
      <w:r>
        <w:fldChar w:fldCharType="begin"/>
      </w:r>
      <w:r>
        <w:instrText xml:space="preserve"> PAGEREF _Toc7184 \h </w:instrText>
      </w:r>
      <w:r>
        <w:fldChar w:fldCharType="separate"/>
      </w:r>
      <w:r>
        <w:t>108</w:t>
      </w:r>
      <w:r>
        <w:fldChar w:fldCharType="end"/>
      </w:r>
      <w:r>
        <w:rPr>
          <w:rFonts w:hint="eastAsia" w:ascii="宋体" w:hAnsi="宋体" w:eastAsia="宋体" w:cs="宋体"/>
          <w:color w:val="auto"/>
          <w:szCs w:val="24"/>
        </w:rPr>
        <w:fldChar w:fldCharType="end"/>
      </w:r>
    </w:p>
    <w:p w14:paraId="600C491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_Toc24349 </w:instrText>
      </w:r>
      <w:r>
        <w:rPr>
          <w:rFonts w:hint="eastAsia" w:ascii="宋体" w:hAnsi="宋体" w:eastAsia="宋体" w:cs="宋体"/>
          <w:szCs w:val="24"/>
        </w:rPr>
        <w:fldChar w:fldCharType="separate"/>
      </w:r>
      <w:r>
        <w:rPr>
          <w:rFonts w:hint="eastAsia"/>
        </w:rPr>
        <w:t>10.2</w:t>
      </w:r>
      <w:r>
        <w:t>绿色及文明施工保证体系</w:t>
      </w:r>
      <w:r>
        <w:tab/>
      </w:r>
      <w:r>
        <w:fldChar w:fldCharType="begin"/>
      </w:r>
      <w:r>
        <w:instrText xml:space="preserve"> PAGEREF _Toc24349 \h </w:instrText>
      </w:r>
      <w:r>
        <w:fldChar w:fldCharType="separate"/>
      </w:r>
      <w:r>
        <w:t>108</w:t>
      </w:r>
      <w:r>
        <w:fldChar w:fldCharType="end"/>
      </w:r>
      <w:r>
        <w:rPr>
          <w:rFonts w:hint="eastAsia" w:ascii="宋体" w:hAnsi="宋体" w:eastAsia="宋体" w:cs="宋体"/>
          <w:color w:val="auto"/>
          <w:szCs w:val="24"/>
        </w:rPr>
        <w:fldChar w:fldCharType="end"/>
      </w:r>
    </w:p>
    <w:p w14:paraId="4692FFC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_Toc6656 </w:instrText>
      </w:r>
      <w:r>
        <w:rPr>
          <w:rFonts w:hint="eastAsia" w:ascii="宋体" w:hAnsi="宋体" w:eastAsia="宋体" w:cs="宋体"/>
          <w:szCs w:val="24"/>
        </w:rPr>
        <w:fldChar w:fldCharType="separate"/>
      </w:r>
      <w:r>
        <w:rPr>
          <w:rFonts w:hint="eastAsia"/>
        </w:rPr>
        <w:t>10.3</w:t>
      </w:r>
      <w:r>
        <w:t>绿色施工保证措施</w:t>
      </w:r>
      <w:r>
        <w:tab/>
      </w:r>
      <w:r>
        <w:fldChar w:fldCharType="begin"/>
      </w:r>
      <w:r>
        <w:instrText xml:space="preserve"> PAGEREF _Toc6656 \h </w:instrText>
      </w:r>
      <w:r>
        <w:fldChar w:fldCharType="separate"/>
      </w:r>
      <w:r>
        <w:t>109</w:t>
      </w:r>
      <w:r>
        <w:fldChar w:fldCharType="end"/>
      </w:r>
      <w:r>
        <w:rPr>
          <w:rFonts w:hint="eastAsia" w:ascii="宋体" w:hAnsi="宋体" w:eastAsia="宋体" w:cs="宋体"/>
          <w:color w:val="auto"/>
          <w:szCs w:val="24"/>
        </w:rPr>
        <w:fldChar w:fldCharType="end"/>
      </w:r>
    </w:p>
    <w:p w14:paraId="583D9A0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_Toc16042 </w:instrText>
      </w:r>
      <w:r>
        <w:rPr>
          <w:rFonts w:hint="eastAsia" w:ascii="宋体" w:hAnsi="宋体" w:eastAsia="宋体" w:cs="宋体"/>
          <w:szCs w:val="24"/>
        </w:rPr>
        <w:fldChar w:fldCharType="separate"/>
      </w:r>
      <w:r>
        <w:rPr>
          <w:rFonts w:hint="eastAsia"/>
        </w:rPr>
        <w:t>10.4</w:t>
      </w:r>
      <w:r>
        <w:t>文明施工保证措施</w:t>
      </w:r>
      <w:r>
        <w:tab/>
      </w:r>
      <w:r>
        <w:fldChar w:fldCharType="begin"/>
      </w:r>
      <w:r>
        <w:instrText xml:space="preserve"> PAGEREF _Toc16042 \h </w:instrText>
      </w:r>
      <w:r>
        <w:fldChar w:fldCharType="separate"/>
      </w:r>
      <w:r>
        <w:t>110</w:t>
      </w:r>
      <w:r>
        <w:fldChar w:fldCharType="end"/>
      </w:r>
      <w:r>
        <w:rPr>
          <w:rFonts w:hint="eastAsia" w:ascii="宋体" w:hAnsi="宋体" w:eastAsia="宋体" w:cs="宋体"/>
          <w:color w:val="auto"/>
          <w:szCs w:val="24"/>
        </w:rPr>
        <w:fldChar w:fldCharType="end"/>
      </w:r>
    </w:p>
    <w:p w14:paraId="077319B3">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_Toc27746 </w:instrText>
      </w:r>
      <w:r>
        <w:rPr>
          <w:rFonts w:hint="eastAsia" w:ascii="宋体" w:hAnsi="宋体" w:eastAsia="宋体" w:cs="宋体"/>
          <w:szCs w:val="24"/>
        </w:rPr>
        <w:fldChar w:fldCharType="separate"/>
      </w:r>
      <w:r>
        <w:rPr>
          <w:rFonts w:hint="eastAsia"/>
          <w:lang w:val="en-US" w:eastAsia="zh-CN"/>
        </w:rPr>
        <w:t>11</w:t>
      </w:r>
      <w:r>
        <w:rPr>
          <w:rFonts w:hint="eastAsia"/>
        </w:rPr>
        <w:t>计算书及相关施工图纸</w:t>
      </w:r>
      <w:r>
        <w:tab/>
      </w:r>
      <w:r>
        <w:fldChar w:fldCharType="begin"/>
      </w:r>
      <w:r>
        <w:instrText xml:space="preserve"> PAGEREF _Toc27746 \h </w:instrText>
      </w:r>
      <w:r>
        <w:fldChar w:fldCharType="separate"/>
      </w:r>
      <w:r>
        <w:t>112</w:t>
      </w:r>
      <w:r>
        <w:fldChar w:fldCharType="end"/>
      </w:r>
      <w:r>
        <w:rPr>
          <w:rFonts w:hint="eastAsia" w:ascii="宋体" w:hAnsi="宋体" w:eastAsia="宋体" w:cs="宋体"/>
          <w:color w:val="auto"/>
          <w:szCs w:val="24"/>
        </w:rPr>
        <w:fldChar w:fldCharType="end"/>
      </w:r>
    </w:p>
    <w:p w14:paraId="0F39425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_Toc32006 </w:instrText>
      </w:r>
      <w:r>
        <w:rPr>
          <w:rFonts w:hint="eastAsia" w:ascii="宋体" w:hAnsi="宋体" w:eastAsia="宋体" w:cs="宋体"/>
          <w:szCs w:val="24"/>
        </w:rPr>
        <w:fldChar w:fldCharType="separate"/>
      </w:r>
      <w:r>
        <w:rPr>
          <w:rFonts w:hint="default"/>
          <w:szCs w:val="24"/>
          <w:lang w:val="en-US" w:eastAsia="zh-CN"/>
        </w:rPr>
        <w:t>11.</w:t>
      </w:r>
      <w:r>
        <w:rPr>
          <w:rFonts w:hint="eastAsia"/>
          <w:szCs w:val="24"/>
          <w:lang w:val="en-US" w:eastAsia="zh-CN"/>
        </w:rPr>
        <w:t>1</w:t>
      </w:r>
      <w:r>
        <w:rPr>
          <w:rFonts w:hint="eastAsia" w:ascii="Times New Roman" w:hAnsi="Times New Roman"/>
          <w:szCs w:val="24"/>
        </w:rPr>
        <w:t>吊索具选型计算</w:t>
      </w:r>
      <w:r>
        <w:tab/>
      </w:r>
      <w:r>
        <w:fldChar w:fldCharType="begin"/>
      </w:r>
      <w:r>
        <w:instrText xml:space="preserve"> PAGEREF _Toc32006 \h </w:instrText>
      </w:r>
      <w:r>
        <w:fldChar w:fldCharType="separate"/>
      </w:r>
      <w:r>
        <w:t>112</w:t>
      </w:r>
      <w:r>
        <w:fldChar w:fldCharType="end"/>
      </w:r>
      <w:r>
        <w:rPr>
          <w:rFonts w:hint="eastAsia" w:ascii="宋体" w:hAnsi="宋体" w:eastAsia="宋体" w:cs="宋体"/>
          <w:color w:val="auto"/>
          <w:szCs w:val="24"/>
        </w:rPr>
        <w:fldChar w:fldCharType="end"/>
      </w:r>
    </w:p>
    <w:p w14:paraId="5CE3773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_Toc30435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11.3 塔</w:t>
      </w:r>
      <w:r>
        <w:rPr>
          <w:rFonts w:hint="eastAsia" w:cs="Times New Roman"/>
          <w:szCs w:val="24"/>
          <w:lang w:val="en-US" w:eastAsia="zh-CN"/>
        </w:rPr>
        <w:t>机</w:t>
      </w:r>
      <w:r>
        <w:rPr>
          <w:rFonts w:hint="eastAsia" w:ascii="Times New Roman" w:hAnsi="Times New Roman" w:eastAsia="宋体" w:cs="Times New Roman"/>
          <w:szCs w:val="24"/>
          <w:lang w:val="en-US" w:eastAsia="zh-CN"/>
        </w:rPr>
        <w:t>施工平面布置示意图</w:t>
      </w:r>
      <w:r>
        <w:tab/>
      </w:r>
      <w:r>
        <w:fldChar w:fldCharType="begin"/>
      </w:r>
      <w:r>
        <w:instrText xml:space="preserve"> PAGEREF _Toc30435 \h </w:instrText>
      </w:r>
      <w:r>
        <w:fldChar w:fldCharType="separate"/>
      </w:r>
      <w:r>
        <w:t>115</w:t>
      </w:r>
      <w:r>
        <w:fldChar w:fldCharType="end"/>
      </w:r>
      <w:r>
        <w:rPr>
          <w:rFonts w:hint="eastAsia" w:ascii="宋体" w:hAnsi="宋体" w:eastAsia="宋体" w:cs="宋体"/>
          <w:color w:val="auto"/>
          <w:szCs w:val="24"/>
        </w:rPr>
        <w:fldChar w:fldCharType="end"/>
      </w:r>
    </w:p>
    <w:p w14:paraId="300478B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footerReference r:id="rId11" w:type="default"/>
          <w:pgSz w:w="11906" w:h="16838"/>
          <w:pgMar w:top="1418" w:right="1418" w:bottom="1418" w:left="1418" w:header="851" w:footer="992" w:gutter="0"/>
          <w:pgNumType w:fmt="decimal" w:start="1"/>
          <w:cols w:space="720" w:num="1"/>
          <w:docGrid w:linePitch="498" w:charSpace="17788"/>
        </w:sectPr>
      </w:pPr>
      <w:r>
        <w:rPr>
          <w:rFonts w:hint="eastAsia" w:ascii="宋体" w:hAnsi="宋体" w:eastAsia="宋体" w:cs="宋体"/>
          <w:color w:val="auto"/>
          <w:szCs w:val="24"/>
        </w:rPr>
        <w:fldChar w:fldCharType="end"/>
      </w:r>
    </w:p>
    <w:p w14:paraId="6530F7FE">
      <w:pPr>
        <w:pStyle w:val="2"/>
        <w:spacing w:before="156" w:after="156"/>
        <w:rPr>
          <w:color w:val="auto"/>
        </w:rPr>
      </w:pPr>
      <w:bookmarkStart w:id="9" w:name="_Toc26437"/>
      <w:bookmarkStart w:id="10" w:name="_Toc40778426"/>
      <w:bookmarkStart w:id="11" w:name="_Toc10938"/>
      <w:bookmarkStart w:id="12" w:name="_Toc28983"/>
      <w:r>
        <w:rPr>
          <w:rFonts w:hint="eastAsia"/>
          <w:color w:val="auto"/>
        </w:rPr>
        <w:t>编制</w:t>
      </w:r>
      <w:bookmarkEnd w:id="9"/>
      <w:bookmarkEnd w:id="10"/>
      <w:r>
        <w:rPr>
          <w:rFonts w:hint="eastAsia"/>
          <w:color w:val="auto"/>
        </w:rPr>
        <w:t>说明、依据及适用范围</w:t>
      </w:r>
      <w:bookmarkEnd w:id="11"/>
      <w:bookmarkEnd w:id="12"/>
    </w:p>
    <w:p w14:paraId="3F4B2875">
      <w:pPr>
        <w:pStyle w:val="3"/>
        <w:spacing w:before="156" w:after="156"/>
        <w:ind w:left="480" w:leftChars="0" w:firstLineChars="0"/>
        <w:rPr>
          <w:color w:val="auto"/>
        </w:rPr>
      </w:pPr>
      <w:bookmarkStart w:id="13" w:name="_Toc21803"/>
      <w:bookmarkStart w:id="14" w:name="_Toc15521"/>
      <w:bookmarkStart w:id="15" w:name="_Toc2002"/>
      <w:bookmarkStart w:id="16" w:name="_Toc40778430"/>
      <w:bookmarkStart w:id="17" w:name="_Toc27854"/>
      <w:bookmarkStart w:id="18" w:name="_Toc9657"/>
      <w:r>
        <w:rPr>
          <w:rFonts w:hint="eastAsia"/>
          <w:color w:val="auto"/>
        </w:rPr>
        <w:t>编制</w:t>
      </w:r>
      <w:bookmarkEnd w:id="13"/>
      <w:bookmarkEnd w:id="14"/>
      <w:bookmarkEnd w:id="15"/>
      <w:bookmarkEnd w:id="16"/>
      <w:r>
        <w:rPr>
          <w:rFonts w:hint="eastAsia"/>
          <w:color w:val="auto"/>
        </w:rPr>
        <w:t>说明</w:t>
      </w:r>
      <w:bookmarkEnd w:id="17"/>
      <w:bookmarkEnd w:id="18"/>
    </w:p>
    <w:p w14:paraId="108EB140">
      <w:pPr>
        <w:pStyle w:val="48"/>
        <w:ind w:firstLine="480"/>
        <w:rPr>
          <w:rFonts w:hint="eastAsia" w:ascii="Times New Roman" w:hAnsi="Times New Roman" w:cs="Times New Roman"/>
          <w:color w:val="auto"/>
          <w:kern w:val="2"/>
        </w:rPr>
      </w:pPr>
      <w:bookmarkStart w:id="19" w:name="_Toc20553"/>
      <w:bookmarkStart w:id="20" w:name="_Toc10843"/>
      <w:bookmarkStart w:id="21" w:name="_Toc31747"/>
      <w:bookmarkStart w:id="22" w:name="_Toc40778428"/>
      <w:bookmarkStart w:id="23" w:name="_Hlk109141016"/>
      <w:bookmarkStart w:id="24" w:name="_Toc18637"/>
      <w:r>
        <w:rPr>
          <w:rFonts w:hint="eastAsia" w:ascii="Times New Roman" w:hAnsi="Times New Roman" w:cs="Times New Roman"/>
          <w:color w:val="auto"/>
          <w:kern w:val="2"/>
        </w:rPr>
        <w:t>因为8号楼施工进度要求，需要对</w:t>
      </w:r>
      <w:r>
        <w:rPr>
          <w:rFonts w:hint="eastAsia" w:ascii="Times New Roman" w:hAnsi="Times New Roman" w:cs="Times New Roman"/>
          <w:color w:val="auto"/>
          <w:kern w:val="2"/>
          <w:lang w:val="en-US" w:eastAsia="zh-CN"/>
        </w:rPr>
        <w:t>3</w:t>
      </w:r>
      <w:r>
        <w:rPr>
          <w:rFonts w:hint="eastAsia" w:ascii="Times New Roman" w:hAnsi="Times New Roman" w:cs="Times New Roman"/>
          <w:color w:val="auto"/>
          <w:kern w:val="2"/>
        </w:rPr>
        <w:t>#</w:t>
      </w:r>
      <w:r>
        <w:rPr>
          <w:rFonts w:hint="eastAsia" w:ascii="Times New Roman" w:hAnsi="Times New Roman" w:cs="Times New Roman"/>
          <w:color w:val="auto"/>
          <w:kern w:val="2"/>
          <w:lang w:val="en-US" w:eastAsia="zh-CN"/>
        </w:rPr>
        <w:t>塔机进行调整，</w:t>
      </w:r>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color w:val="auto"/>
          <w:sz w:val="24"/>
          <w:szCs w:val="24"/>
          <w:lang w:eastAsia="zh-CN"/>
        </w:rPr>
        <w:t>XGT6013-6S</w:t>
      </w:r>
      <w:r>
        <w:rPr>
          <w:rFonts w:hint="eastAsia"/>
          <w:color w:val="auto"/>
          <w:sz w:val="24"/>
          <w:szCs w:val="24"/>
          <w:lang w:val="en-US" w:eastAsia="zh-CN"/>
        </w:rPr>
        <w:t>1</w:t>
      </w:r>
      <w:r>
        <w:rPr>
          <w:rFonts w:hint="eastAsia" w:ascii="Times New Roman" w:hAnsi="Times New Roman" w:cs="Times New Roman"/>
          <w:color w:val="auto"/>
          <w:kern w:val="2"/>
          <w:sz w:val="24"/>
          <w:szCs w:val="24"/>
        </w:rPr>
        <w:t>型塔式起重机</w:t>
      </w:r>
      <w:r>
        <w:rPr>
          <w:rFonts w:hint="eastAsia" w:ascii="Times New Roman" w:hAnsi="Times New Roman" w:cs="Times New Roman"/>
          <w:color w:val="auto"/>
          <w:kern w:val="2"/>
          <w:sz w:val="24"/>
          <w:szCs w:val="24"/>
          <w:lang w:val="en-US" w:eastAsia="zh-CN"/>
        </w:rPr>
        <w:t>顶升加节</w:t>
      </w:r>
      <w:r>
        <w:rPr>
          <w:rFonts w:hint="eastAsia" w:ascii="Times New Roman" w:hAnsi="Times New Roman" w:cs="Times New Roman"/>
          <w:color w:val="auto"/>
          <w:kern w:val="2"/>
        </w:rPr>
        <w:t>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746BC21E">
      <w:pPr>
        <w:pStyle w:val="3"/>
        <w:outlineLvl w:val="1"/>
        <w:rPr>
          <w:rFonts w:hint="default" w:eastAsia="宋体"/>
          <w:color w:val="auto"/>
          <w:lang w:val="en-US" w:eastAsia="zh-CN"/>
        </w:rPr>
      </w:pPr>
      <w:bookmarkStart w:id="25" w:name="_Toc29694"/>
      <w:bookmarkStart w:id="26" w:name="_Toc1215"/>
      <w:r>
        <w:rPr>
          <w:rFonts w:hint="eastAsia"/>
          <w:color w:val="auto"/>
          <w:lang w:val="en-US" w:eastAsia="zh-CN"/>
        </w:rPr>
        <w:t>编制依据</w:t>
      </w:r>
      <w:bookmarkEnd w:id="25"/>
    </w:p>
    <w:p w14:paraId="43D97AC5">
      <w:pPr>
        <w:pStyle w:val="68"/>
        <w:ind w:firstLine="241"/>
        <w:outlineLvl w:val="2"/>
        <w:rPr>
          <w:color w:val="auto"/>
        </w:rPr>
      </w:pPr>
      <w:bookmarkStart w:id="27" w:name="_Hlk42526096"/>
      <w:bookmarkStart w:id="28" w:name="_Toc6806"/>
      <w:r>
        <w:rPr>
          <w:rFonts w:hint="eastAsia"/>
          <w:color w:val="auto"/>
          <w:lang w:val="en-US" w:eastAsia="zh-CN"/>
        </w:rPr>
        <w:t>1</w:t>
      </w:r>
      <w:r>
        <w:rPr>
          <w:color w:val="auto"/>
        </w:rPr>
        <w:t>.2.1</w:t>
      </w:r>
      <w:r>
        <w:rPr>
          <w:rFonts w:hint="eastAsia"/>
          <w:color w:val="auto"/>
        </w:rPr>
        <w:t>主要法律法规</w:t>
      </w:r>
    </w:p>
    <w:p w14:paraId="4F9D0325">
      <w:pPr>
        <w:pStyle w:val="48"/>
        <w:numPr>
          <w:ilvl w:val="0"/>
          <w:numId w:val="4"/>
        </w:numPr>
        <w:ind w:firstLineChars="0"/>
        <w:rPr>
          <w:rFonts w:hint="eastAsia"/>
          <w:color w:val="auto"/>
        </w:rPr>
      </w:pPr>
      <w:r>
        <w:rPr>
          <w:rFonts w:hint="eastAsia"/>
          <w:color w:val="auto"/>
        </w:rPr>
        <w:t>《特种设备安全监察条例》（国务院第549号令）</w:t>
      </w:r>
    </w:p>
    <w:p w14:paraId="63A2AFB0">
      <w:pPr>
        <w:pStyle w:val="48"/>
        <w:numPr>
          <w:ilvl w:val="0"/>
          <w:numId w:val="4"/>
        </w:numPr>
        <w:ind w:firstLineChars="0"/>
        <w:rPr>
          <w:rFonts w:hint="eastAsia"/>
          <w:color w:val="auto"/>
        </w:rPr>
      </w:pPr>
      <w:r>
        <w:rPr>
          <w:rFonts w:hint="eastAsia"/>
          <w:color w:val="auto"/>
        </w:rPr>
        <w:t>《起重机械监督检验规程》（国质检锅（2003）296号）</w:t>
      </w:r>
    </w:p>
    <w:p w14:paraId="516EB2DF">
      <w:pPr>
        <w:pStyle w:val="48"/>
        <w:numPr>
          <w:ilvl w:val="0"/>
          <w:numId w:val="4"/>
        </w:numPr>
        <w:ind w:firstLineChars="0"/>
        <w:rPr>
          <w:rFonts w:hint="eastAsia"/>
          <w:color w:val="auto"/>
        </w:rPr>
      </w:pPr>
      <w:r>
        <w:rPr>
          <w:rFonts w:hint="eastAsia"/>
          <w:color w:val="auto"/>
        </w:rPr>
        <w:t>《起重设备常用数据手册》（人民交通出版社）</w:t>
      </w:r>
    </w:p>
    <w:p w14:paraId="5D1A8035">
      <w:pPr>
        <w:pStyle w:val="48"/>
        <w:numPr>
          <w:ilvl w:val="0"/>
          <w:numId w:val="4"/>
        </w:numPr>
        <w:ind w:firstLineChars="0"/>
        <w:rPr>
          <w:rFonts w:hint="eastAsia"/>
          <w:color w:val="auto"/>
        </w:rPr>
      </w:pPr>
      <w:r>
        <w:rPr>
          <w:rFonts w:hint="eastAsia"/>
          <w:color w:val="auto"/>
        </w:rPr>
        <w:t>《重型设备吊装手册》（冶金工业出版社）</w:t>
      </w:r>
    </w:p>
    <w:p w14:paraId="6AF7E6AF">
      <w:pPr>
        <w:pStyle w:val="48"/>
        <w:numPr>
          <w:ilvl w:val="0"/>
          <w:numId w:val="4"/>
        </w:numPr>
        <w:ind w:firstLineChars="0"/>
        <w:rPr>
          <w:rFonts w:hint="eastAsia"/>
          <w:color w:val="auto"/>
        </w:rPr>
      </w:pPr>
      <w:r>
        <w:rPr>
          <w:rFonts w:hint="eastAsia"/>
          <w:color w:val="auto"/>
        </w:rPr>
        <w:t>《建设工程安全生产条例》（国务院第393号令）</w:t>
      </w:r>
    </w:p>
    <w:p w14:paraId="73FC1D80">
      <w:pPr>
        <w:pStyle w:val="48"/>
        <w:numPr>
          <w:ilvl w:val="0"/>
          <w:numId w:val="4"/>
        </w:numPr>
        <w:ind w:firstLineChars="0"/>
        <w:rPr>
          <w:rFonts w:hint="eastAsia"/>
          <w:color w:val="auto"/>
        </w:rPr>
      </w:pPr>
      <w:r>
        <w:rPr>
          <w:rFonts w:hint="eastAsia"/>
          <w:color w:val="auto"/>
        </w:rPr>
        <w:t>《建筑起重机械安全监督管理规定》（建设部第166号令）</w:t>
      </w:r>
    </w:p>
    <w:p w14:paraId="558D0EFA">
      <w:pPr>
        <w:pStyle w:val="68"/>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142487A8">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5A1B10A7">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2235234F">
      <w:pPr>
        <w:pStyle w:val="48"/>
        <w:numPr>
          <w:ilvl w:val="0"/>
          <w:numId w:val="5"/>
        </w:numPr>
        <w:ind w:firstLineChars="0"/>
        <w:rPr>
          <w:rFonts w:hint="eastAsia"/>
          <w:color w:val="auto"/>
        </w:rPr>
      </w:pPr>
      <w:r>
        <w:rPr>
          <w:rFonts w:hint="eastAsia"/>
          <w:color w:val="auto"/>
        </w:rPr>
        <w:t>《建筑施工高处作业安全技术规范》（JGJ80-2016）</w:t>
      </w:r>
    </w:p>
    <w:p w14:paraId="3A7E3316">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270E1850">
      <w:pPr>
        <w:pStyle w:val="48"/>
        <w:numPr>
          <w:ilvl w:val="0"/>
          <w:numId w:val="5"/>
        </w:numPr>
        <w:ind w:firstLineChars="0"/>
        <w:rPr>
          <w:rFonts w:hint="eastAsia"/>
          <w:color w:val="auto"/>
        </w:rPr>
      </w:pPr>
      <w:r>
        <w:rPr>
          <w:rFonts w:hint="eastAsia"/>
          <w:color w:val="auto"/>
        </w:rPr>
        <w:t>《施工现场临时用电安全技术规范(附条文说明)》（JGJ46-2005）</w:t>
      </w:r>
      <w:bookmarkEnd w:id="29"/>
    </w:p>
    <w:p w14:paraId="63E99481">
      <w:pPr>
        <w:pStyle w:val="48"/>
        <w:numPr>
          <w:ilvl w:val="0"/>
          <w:numId w:val="5"/>
        </w:numPr>
        <w:ind w:firstLineChars="0"/>
        <w:rPr>
          <w:rFonts w:hint="eastAsia"/>
          <w:color w:val="auto"/>
        </w:rPr>
      </w:pPr>
      <w:r>
        <w:rPr>
          <w:rFonts w:hint="eastAsia"/>
          <w:color w:val="auto"/>
        </w:rPr>
        <w:t>《起重机钢丝绳保养、维护、检验和报废》（GB/T5972-2016）</w:t>
      </w:r>
    </w:p>
    <w:p w14:paraId="4BE9BFE1">
      <w:pPr>
        <w:pStyle w:val="48"/>
        <w:numPr>
          <w:ilvl w:val="0"/>
          <w:numId w:val="5"/>
        </w:numPr>
        <w:ind w:firstLineChars="0"/>
        <w:rPr>
          <w:rFonts w:hint="eastAsia"/>
          <w:color w:val="auto"/>
        </w:rPr>
      </w:pPr>
      <w:r>
        <w:rPr>
          <w:rFonts w:hint="eastAsia"/>
          <w:color w:val="auto"/>
        </w:rPr>
        <w:t>《起重机设计规范》（GB3811-2008）</w:t>
      </w:r>
    </w:p>
    <w:p w14:paraId="252BBC4C">
      <w:pPr>
        <w:pStyle w:val="48"/>
        <w:numPr>
          <w:ilvl w:val="0"/>
          <w:numId w:val="5"/>
        </w:numPr>
        <w:ind w:firstLineChars="0"/>
        <w:rPr>
          <w:rFonts w:hint="eastAsia"/>
          <w:color w:val="auto"/>
        </w:rPr>
      </w:pPr>
      <w:r>
        <w:rPr>
          <w:rFonts w:hint="eastAsia"/>
          <w:color w:val="auto"/>
        </w:rPr>
        <w:t>《塔式起重机设计规范》（GB/T 13752-2017）</w:t>
      </w:r>
    </w:p>
    <w:p w14:paraId="05429E1B">
      <w:pPr>
        <w:pStyle w:val="48"/>
        <w:numPr>
          <w:ilvl w:val="0"/>
          <w:numId w:val="5"/>
        </w:numPr>
        <w:ind w:firstLineChars="0"/>
        <w:rPr>
          <w:rFonts w:hint="eastAsia"/>
          <w:color w:val="auto"/>
        </w:rPr>
      </w:pPr>
      <w:r>
        <w:rPr>
          <w:rFonts w:hint="eastAsia"/>
          <w:color w:val="auto"/>
        </w:rPr>
        <w:t>《建设工程施工现场消防安全技术规范》（GB50720-2011）</w:t>
      </w:r>
    </w:p>
    <w:p w14:paraId="7009EB5A">
      <w:pPr>
        <w:pStyle w:val="48"/>
        <w:numPr>
          <w:ilvl w:val="0"/>
          <w:numId w:val="5"/>
        </w:numPr>
        <w:ind w:firstLineChars="0"/>
        <w:rPr>
          <w:rFonts w:hint="eastAsia"/>
          <w:color w:val="auto"/>
        </w:rPr>
      </w:pPr>
      <w:r>
        <w:rPr>
          <w:rFonts w:hint="eastAsia"/>
          <w:color w:val="auto"/>
        </w:rPr>
        <w:t>《施工现场塔式起重机检验规则》（DB11/ 611-2008）</w:t>
      </w:r>
    </w:p>
    <w:p w14:paraId="793942BC">
      <w:pPr>
        <w:pStyle w:val="48"/>
        <w:numPr>
          <w:ilvl w:val="0"/>
          <w:numId w:val="5"/>
        </w:numPr>
        <w:ind w:firstLineChars="0"/>
        <w:rPr>
          <w:rFonts w:hint="eastAsia"/>
          <w:color w:val="auto"/>
        </w:rPr>
      </w:pPr>
      <w:r>
        <w:rPr>
          <w:rFonts w:hint="eastAsia"/>
          <w:color w:val="auto"/>
        </w:rPr>
        <w:t>《塔式起重机安全规程》（GB5144-2006）</w:t>
      </w:r>
    </w:p>
    <w:p w14:paraId="5937CFE8">
      <w:pPr>
        <w:pStyle w:val="48"/>
        <w:numPr>
          <w:ilvl w:val="0"/>
          <w:numId w:val="5"/>
        </w:numPr>
        <w:ind w:firstLineChars="0"/>
        <w:rPr>
          <w:rFonts w:hint="eastAsia"/>
          <w:color w:val="auto"/>
        </w:rPr>
      </w:pPr>
      <w:r>
        <w:rPr>
          <w:rFonts w:hint="eastAsia"/>
          <w:color w:val="auto"/>
        </w:rPr>
        <w:t>《建筑起重机械安全评估技术规程》（JGJ/T 189-2009）</w:t>
      </w:r>
    </w:p>
    <w:p w14:paraId="1CD408DB">
      <w:pPr>
        <w:pStyle w:val="48"/>
        <w:numPr>
          <w:ilvl w:val="0"/>
          <w:numId w:val="5"/>
        </w:numPr>
        <w:ind w:firstLineChars="0"/>
        <w:rPr>
          <w:rFonts w:hint="eastAsia"/>
          <w:color w:val="auto"/>
        </w:rPr>
      </w:pPr>
      <w:r>
        <w:rPr>
          <w:rFonts w:hint="eastAsia"/>
          <w:color w:val="auto"/>
        </w:rPr>
        <w:t>《建筑施工塔式起重机安装、使用、拆卸安全技术规程》（JGJ 196-2010）</w:t>
      </w:r>
    </w:p>
    <w:p w14:paraId="2CB7A569">
      <w:pPr>
        <w:pStyle w:val="48"/>
        <w:numPr>
          <w:ilvl w:val="0"/>
          <w:numId w:val="5"/>
        </w:numPr>
        <w:ind w:firstLineChars="0"/>
        <w:rPr>
          <w:rFonts w:hint="eastAsia"/>
          <w:color w:val="auto"/>
        </w:rPr>
      </w:pPr>
      <w:r>
        <w:rPr>
          <w:rFonts w:hint="eastAsia"/>
          <w:color w:val="auto"/>
        </w:rPr>
        <w:t>《建筑施工安全检查标准》（JGJ59-2011）</w:t>
      </w:r>
    </w:p>
    <w:p w14:paraId="72FAE658">
      <w:pPr>
        <w:pStyle w:val="48"/>
        <w:numPr>
          <w:ilvl w:val="0"/>
          <w:numId w:val="5"/>
        </w:numPr>
        <w:ind w:firstLineChars="0"/>
        <w:rPr>
          <w:rFonts w:hint="eastAsia"/>
          <w:color w:val="auto"/>
        </w:rPr>
      </w:pPr>
      <w:r>
        <w:rPr>
          <w:rFonts w:hint="eastAsia"/>
          <w:color w:val="auto"/>
        </w:rPr>
        <w:t>《建筑施工起重吊装工程安全技术规范》（JGJ276-2012）</w:t>
      </w:r>
    </w:p>
    <w:p w14:paraId="1368CA37">
      <w:pPr>
        <w:pStyle w:val="68"/>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20827BDB">
      <w:pPr>
        <w:pStyle w:val="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公司相关管理文件</w:t>
      </w:r>
    </w:p>
    <w:p w14:paraId="1730D816">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XGT6013-6S</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1A7156D9">
      <w:pPr>
        <w:pStyle w:val="3"/>
        <w:outlineLvl w:val="1"/>
        <w:rPr>
          <w:color w:val="auto"/>
        </w:rPr>
      </w:pPr>
      <w:bookmarkStart w:id="30" w:name="_Toc17429"/>
      <w:bookmarkStart w:id="31" w:name="_Toc26675"/>
      <w:bookmarkStart w:id="32" w:name="_Toc26564"/>
      <w:bookmarkStart w:id="33" w:name="_Toc10409766"/>
      <w:bookmarkStart w:id="34" w:name="_Toc17061"/>
      <w:r>
        <w:rPr>
          <w:rFonts w:hint="eastAsia"/>
          <w:color w:val="auto"/>
        </w:rPr>
        <w:t>编制原则</w:t>
      </w:r>
      <w:bookmarkEnd w:id="30"/>
      <w:bookmarkEnd w:id="31"/>
      <w:bookmarkEnd w:id="32"/>
      <w:bookmarkEnd w:id="33"/>
      <w:bookmarkEnd w:id="34"/>
    </w:p>
    <w:p w14:paraId="468C056A">
      <w:pPr>
        <w:pStyle w:val="48"/>
        <w:ind w:firstLine="480"/>
        <w:rPr>
          <w:color w:val="auto"/>
        </w:rPr>
      </w:pPr>
      <w:r>
        <w:rPr>
          <w:color w:val="auto"/>
        </w:rPr>
        <w:t>1）严格贯彻“安全第一”的原则，针对风险细化安全技术措施，预防和杜绝安全事故的发生；</w:t>
      </w:r>
    </w:p>
    <w:p w14:paraId="5037B4FC">
      <w:pPr>
        <w:pStyle w:val="48"/>
        <w:ind w:firstLine="480"/>
        <w:rPr>
          <w:color w:val="auto"/>
        </w:rPr>
      </w:pPr>
      <w:r>
        <w:rPr>
          <w:color w:val="auto"/>
        </w:rPr>
        <w:t>2）严格按照ISO9001标准质量体系质量程序控制原则，实施安装过程动态管理；</w:t>
      </w:r>
    </w:p>
    <w:p w14:paraId="721EBE59">
      <w:pPr>
        <w:pStyle w:val="48"/>
        <w:ind w:firstLine="480"/>
        <w:rPr>
          <w:color w:val="auto"/>
        </w:rPr>
      </w:pPr>
      <w:r>
        <w:rPr>
          <w:color w:val="auto"/>
        </w:rPr>
        <w:t>3）科学合理制定安装计划，提高安装功效；</w:t>
      </w:r>
    </w:p>
    <w:p w14:paraId="7078012E">
      <w:pPr>
        <w:pStyle w:val="48"/>
        <w:ind w:firstLine="480"/>
        <w:rPr>
          <w:color w:val="auto"/>
        </w:rPr>
      </w:pPr>
      <w:r>
        <w:rPr>
          <w:color w:val="auto"/>
        </w:rPr>
        <w:t>4）加强过程管控，合理配置安装资源，合理降低安装成本。</w:t>
      </w:r>
    </w:p>
    <w:p w14:paraId="5FEAE3C5">
      <w:pPr>
        <w:pStyle w:val="3"/>
        <w:outlineLvl w:val="1"/>
        <w:rPr>
          <w:color w:val="auto"/>
        </w:rPr>
      </w:pPr>
      <w:bookmarkStart w:id="35" w:name="_Toc4818"/>
      <w:bookmarkStart w:id="36" w:name="_Toc19173"/>
      <w:bookmarkStart w:id="37" w:name="_Toc10409768"/>
      <w:bookmarkStart w:id="38" w:name="_Toc13684"/>
      <w:bookmarkStart w:id="39" w:name="_Toc24520"/>
      <w:r>
        <w:rPr>
          <w:rFonts w:hint="eastAsia"/>
          <w:color w:val="auto"/>
        </w:rPr>
        <w:t>适用范围</w:t>
      </w:r>
      <w:bookmarkEnd w:id="35"/>
      <w:bookmarkEnd w:id="36"/>
      <w:bookmarkEnd w:id="37"/>
      <w:bookmarkEnd w:id="38"/>
      <w:bookmarkEnd w:id="39"/>
    </w:p>
    <w:p w14:paraId="0A5102DE">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w:t>
      </w:r>
      <w:r>
        <w:rPr>
          <w:color w:val="auto"/>
        </w:rPr>
        <w:t>台</w:t>
      </w:r>
      <w:r>
        <w:rPr>
          <w:rFonts w:hint="eastAsia"/>
          <w:color w:val="auto"/>
          <w:sz w:val="24"/>
          <w:szCs w:val="24"/>
          <w:lang w:eastAsia="zh-CN"/>
        </w:rPr>
        <w:t>XGT6013-6S1</w:t>
      </w:r>
      <w:r>
        <w:rPr>
          <w:color w:val="auto"/>
        </w:rPr>
        <w:t>塔式起重机</w:t>
      </w:r>
      <w:r>
        <w:rPr>
          <w:rFonts w:hint="eastAsia"/>
          <w:color w:val="auto"/>
          <w:lang w:val="en-US" w:eastAsia="zh-CN"/>
        </w:rPr>
        <w:t>顶升加节</w:t>
      </w:r>
      <w:r>
        <w:rPr>
          <w:color w:val="auto"/>
        </w:rPr>
        <w:t>安全施工作业</w:t>
      </w:r>
      <w:r>
        <w:rPr>
          <w:rFonts w:hint="eastAsia" w:ascii="Times New Roman" w:hAnsi="Times New Roman"/>
          <w:color w:val="auto"/>
          <w:szCs w:val="24"/>
        </w:rPr>
        <w:t>指导</w:t>
      </w:r>
      <w:r>
        <w:rPr>
          <w:color w:val="auto"/>
        </w:rPr>
        <w:t>。</w:t>
      </w:r>
    </w:p>
    <w:bookmarkEnd w:id="26"/>
    <w:p w14:paraId="6F2A8D8F">
      <w:pPr>
        <w:ind w:firstLine="480"/>
        <w:rPr>
          <w:color w:val="auto"/>
        </w:rPr>
      </w:pPr>
      <w:bookmarkStart w:id="40" w:name="_Toc12304"/>
    </w:p>
    <w:bookmarkEnd w:id="40"/>
    <w:p w14:paraId="23C46D83">
      <w:pPr>
        <w:pStyle w:val="2"/>
        <w:spacing w:before="156" w:after="156"/>
        <w:jc w:val="both"/>
        <w:rPr>
          <w:color w:val="auto"/>
        </w:rPr>
      </w:pPr>
      <w:bookmarkStart w:id="41" w:name="_Toc40778431"/>
      <w:bookmarkStart w:id="42" w:name="_Toc17866"/>
      <w:r>
        <w:rPr>
          <w:rFonts w:hint="eastAsia"/>
          <w:color w:val="auto"/>
        </w:rPr>
        <w:br w:type="page"/>
      </w:r>
      <w:bookmarkStart w:id="43" w:name="_Toc5844"/>
      <w:bookmarkStart w:id="44" w:name="_Toc20658"/>
      <w:bookmarkStart w:id="45" w:name="_Toc40778420"/>
      <w:bookmarkStart w:id="46" w:name="_Toc3812"/>
      <w:r>
        <w:rPr>
          <w:rFonts w:hint="eastAsia"/>
          <w:color w:val="auto"/>
        </w:rPr>
        <w:t>工程概况</w:t>
      </w:r>
      <w:bookmarkEnd w:id="43"/>
      <w:bookmarkEnd w:id="44"/>
      <w:bookmarkEnd w:id="45"/>
      <w:bookmarkEnd w:id="46"/>
    </w:p>
    <w:p w14:paraId="68889D5E">
      <w:pPr>
        <w:pStyle w:val="3"/>
        <w:spacing w:before="156" w:after="156"/>
        <w:ind w:left="480" w:leftChars="0" w:firstLineChars="0"/>
        <w:rPr>
          <w:rFonts w:hint="default" w:eastAsia="宋体"/>
          <w:color w:val="auto"/>
          <w:lang w:val="en-US" w:eastAsia="zh-CN"/>
        </w:rPr>
      </w:pPr>
      <w:bookmarkStart w:id="47" w:name="_Toc256"/>
      <w:r>
        <w:rPr>
          <w:rFonts w:hint="eastAsia" w:eastAsia="宋体"/>
          <w:color w:val="auto"/>
          <w:lang w:eastAsia="zh-CN"/>
        </w:rPr>
        <w:t>项目概况</w:t>
      </w:r>
      <w:bookmarkEnd w:id="47"/>
    </w:p>
    <w:p w14:paraId="0613B84C">
      <w:pPr>
        <w:pStyle w:val="25"/>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44BDB088">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4B77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791482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13DA8BE8">
            <w:pPr>
              <w:tabs>
                <w:tab w:val="left" w:pos="2100"/>
              </w:tabs>
              <w:adjustRightInd w:val="0"/>
              <w:snapToGrid w:val="0"/>
              <w:spacing w:line="460" w:lineRule="exact"/>
              <w:ind w:firstLine="480" w:firstLineChars="200"/>
              <w:jc w:val="left"/>
              <w:rPr>
                <w:rFonts w:hint="default" w:eastAsia="仿宋"/>
                <w:b w:val="0"/>
                <w:bCs/>
                <w:sz w:val="24"/>
                <w:szCs w:val="24"/>
                <w:lang w:val="en-US" w:eastAsia="zh-CN"/>
              </w:rPr>
            </w:pPr>
            <w:r>
              <w:rPr>
                <w:rFonts w:hint="eastAsia" w:ascii="仿宋" w:hAnsi="仿宋" w:eastAsia="仿宋" w:cs="宋体"/>
                <w:lang w:val="en-US" w:eastAsia="zh-CN"/>
              </w:rPr>
              <w:t>彭州市龙兴寺片区 PZ2024-16 地块商住建设项目</w:t>
            </w:r>
          </w:p>
        </w:tc>
      </w:tr>
      <w:tr w14:paraId="2DC4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5DB0080">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617DD9AE">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成都市彭州区</w:t>
            </w:r>
          </w:p>
        </w:tc>
      </w:tr>
      <w:tr w14:paraId="722B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3A27B47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1153EAC7">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成都中宜蓉彭置业有限公司</w:t>
            </w:r>
          </w:p>
        </w:tc>
      </w:tr>
      <w:tr w14:paraId="2729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37B54F9">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71E1AC30">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四川省城市建设工程咨询集团有限公司</w:t>
            </w:r>
          </w:p>
        </w:tc>
      </w:tr>
      <w:tr w14:paraId="3ACD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56B3D7A">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22FDE062">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中交第二航务工程局有限公司</w:t>
            </w:r>
          </w:p>
        </w:tc>
      </w:tr>
      <w:tr w14:paraId="4491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C027257">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748EA78B">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0073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8C38F3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22809B85">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08AEECA1">
      <w:pPr>
        <w:pStyle w:val="3"/>
        <w:spacing w:before="156" w:after="156"/>
        <w:ind w:left="480" w:leftChars="0" w:firstLineChars="0"/>
        <w:rPr>
          <w:rFonts w:hint="eastAsia"/>
          <w:color w:val="auto"/>
          <w:lang w:eastAsia="zh-CN"/>
        </w:rPr>
      </w:pPr>
      <w:bookmarkStart w:id="49" w:name="_Toc3781"/>
      <w:bookmarkStart w:id="50" w:name="_Toc40778423"/>
      <w:bookmarkStart w:id="51" w:name="_Toc24090"/>
      <w:bookmarkStart w:id="52" w:name="_Toc18239"/>
      <w:r>
        <w:rPr>
          <w:rFonts w:hint="eastAsia"/>
          <w:color w:val="auto"/>
          <w:lang w:eastAsia="zh-CN"/>
        </w:rPr>
        <w:t>工程特点</w:t>
      </w:r>
      <w:bookmarkEnd w:id="49"/>
    </w:p>
    <w:p w14:paraId="08BB01B7">
      <w:pPr>
        <w:numPr>
          <w:ilvl w:val="0"/>
          <w:numId w:val="6"/>
        </w:numPr>
        <w:ind w:left="240" w:leftChars="0" w:firstLine="480" w:firstLineChars="0"/>
        <w:rPr>
          <w:color w:val="auto"/>
        </w:rPr>
      </w:pPr>
      <w:r>
        <w:rPr>
          <w:rFonts w:hint="eastAsia"/>
          <w:color w:val="auto"/>
        </w:rPr>
        <w:t>施工周边环境影响：</w:t>
      </w:r>
      <w:r>
        <w:rPr>
          <w:rFonts w:hint="eastAsia"/>
          <w:color w:val="auto"/>
          <w:lang w:eastAsia="zh-CN"/>
        </w:rPr>
        <w:t>施工环境良好，周边无建筑物，可保证塔机安</w:t>
      </w:r>
      <w:r>
        <w:rPr>
          <w:rFonts w:hint="eastAsia"/>
          <w:color w:val="auto"/>
          <w:lang w:val="en-US" w:eastAsia="zh-CN"/>
        </w:rPr>
        <w:t>装</w:t>
      </w:r>
      <w:r>
        <w:rPr>
          <w:rFonts w:hint="eastAsia"/>
          <w:color w:val="auto"/>
          <w:lang w:eastAsia="zh-CN"/>
        </w:rPr>
        <w:t>顺利进行；</w:t>
      </w:r>
    </w:p>
    <w:p w14:paraId="38FD671C">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工程主要风险点：</w:t>
      </w:r>
      <w:r>
        <w:rPr>
          <w:rFonts w:hint="eastAsia" w:ascii="Times New Roman" w:hAnsi="Times New Roman" w:eastAsia="宋体" w:cs="Times New Roman"/>
          <w:color w:val="auto"/>
          <w:lang w:eastAsia="zh-CN"/>
        </w:rPr>
        <w:t>该工程安装了</w:t>
      </w:r>
      <w:r>
        <w:rPr>
          <w:rFonts w:hint="eastAsia" w:ascii="Times New Roman" w:hAnsi="Times New Roman" w:eastAsia="宋体" w:cs="Times New Roman"/>
          <w:color w:val="auto"/>
          <w:lang w:val="en-US" w:eastAsia="zh-CN"/>
        </w:rPr>
        <w:t>三</w:t>
      </w:r>
      <w:r>
        <w:rPr>
          <w:rFonts w:hint="eastAsia" w:ascii="Times New Roman" w:hAnsi="Times New Roman" w:eastAsia="宋体" w:cs="Times New Roman"/>
          <w:color w:val="auto"/>
          <w:lang w:eastAsia="zh-CN"/>
        </w:rPr>
        <w:t>台塔机</w:t>
      </w:r>
      <w:r>
        <w:rPr>
          <w:rFonts w:hint="eastAsia" w:cs="Times New Roman"/>
          <w:color w:val="auto"/>
          <w:lang w:val="en-US" w:eastAsia="zh-CN"/>
        </w:rPr>
        <w:t>,三</w:t>
      </w:r>
      <w:r>
        <w:rPr>
          <w:rFonts w:hint="eastAsia" w:ascii="Times New Roman" w:hAnsi="Times New Roman" w:eastAsia="宋体" w:cs="Times New Roman"/>
          <w:color w:val="auto"/>
          <w:lang w:val="en-US" w:eastAsia="zh-CN"/>
        </w:rPr>
        <w:t>台</w:t>
      </w:r>
      <w:r>
        <w:rPr>
          <w:rFonts w:hint="eastAsia" w:ascii="Times New Roman" w:hAnsi="Times New Roman" w:eastAsia="宋体" w:cs="Times New Roman"/>
          <w:color w:val="auto"/>
          <w:lang w:eastAsia="zh-CN"/>
        </w:rPr>
        <w:t>塔机之间会有交汇</w:t>
      </w:r>
      <w:r>
        <w:rPr>
          <w:rFonts w:hint="eastAsia" w:ascii="Times New Roman" w:hAnsi="Times New Roman" w:eastAsia="宋体" w:cs="Times New Roman"/>
          <w:color w:val="auto"/>
        </w:rPr>
        <w:t>；</w:t>
      </w:r>
    </w:p>
    <w:p w14:paraId="0DC11DB0">
      <w:pPr>
        <w:numPr>
          <w:ilvl w:val="0"/>
          <w:numId w:val="6"/>
        </w:numPr>
        <w:ind w:left="240" w:leftChars="0" w:firstLine="48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重难点：</w:t>
      </w:r>
      <w:r>
        <w:rPr>
          <w:rFonts w:hint="eastAsia" w:ascii="Times New Roman" w:hAnsi="Times New Roman" w:eastAsia="宋体" w:cs="Times New Roman"/>
          <w:color w:val="auto"/>
          <w:lang w:eastAsia="zh-CN"/>
        </w:rPr>
        <w:t>由于塔机安装密集，属多塔作业，所以在塔机的使用安装过程中必须根据现场的实际情况作调整，严格按照多塔作业的要求进行施工。</w:t>
      </w:r>
    </w:p>
    <w:p w14:paraId="43A18ED4">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安装场地位置，由于塔式起重机部件比较重，安装时需选用25吨位汽车吊拼装吊装作业，在起重臂安装就位时难度较大，安全风险</w:t>
      </w:r>
      <w:r>
        <w:rPr>
          <w:rFonts w:hint="eastAsia" w:ascii="Times New Roman" w:hAnsi="Times New Roman" w:eastAsia="宋体" w:cs="Times New Roman"/>
          <w:color w:val="auto"/>
          <w:lang w:val="en-US" w:eastAsia="zh-CN"/>
        </w:rPr>
        <w:t>较</w:t>
      </w:r>
      <w:r>
        <w:rPr>
          <w:rFonts w:hint="eastAsia" w:ascii="Times New Roman" w:hAnsi="Times New Roman" w:eastAsia="宋体" w:cs="Times New Roman"/>
          <w:color w:val="auto"/>
        </w:rPr>
        <w:t>高，所以在</w:t>
      </w:r>
      <w:r>
        <w:rPr>
          <w:rFonts w:hint="eastAsia" w:ascii="Times New Roman" w:hAnsi="Times New Roman" w:eastAsia="宋体" w:cs="Times New Roman"/>
          <w:color w:val="auto"/>
          <w:lang w:val="en-US" w:eastAsia="zh-CN"/>
        </w:rPr>
        <w:t>安装</w:t>
      </w:r>
      <w:r>
        <w:rPr>
          <w:rFonts w:hint="eastAsia" w:ascii="Times New Roman" w:hAnsi="Times New Roman" w:eastAsia="宋体" w:cs="Times New Roman"/>
          <w:color w:val="auto"/>
        </w:rPr>
        <w:t>起重臂或平衡臂时必须系上揽风绳。</w:t>
      </w:r>
    </w:p>
    <w:p w14:paraId="54B6A1FB">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设备安装时一些部件比较重，所以要注意吊装前先进行试吊作业。</w:t>
      </w:r>
    </w:p>
    <w:p w14:paraId="331CF279">
      <w:pPr>
        <w:pStyle w:val="3"/>
        <w:spacing w:before="156" w:after="156"/>
        <w:ind w:left="480" w:leftChars="0" w:firstLineChars="0"/>
        <w:rPr>
          <w:color w:val="auto"/>
        </w:rPr>
      </w:pPr>
      <w:bookmarkStart w:id="53" w:name="_Toc7692"/>
      <w:r>
        <w:rPr>
          <w:rFonts w:hint="eastAsia"/>
          <w:color w:val="auto"/>
        </w:rPr>
        <w:t>施工布置</w:t>
      </w:r>
      <w:bookmarkEnd w:id="50"/>
      <w:bookmarkEnd w:id="51"/>
      <w:bookmarkEnd w:id="52"/>
      <w:r>
        <w:rPr>
          <w:rFonts w:hint="eastAsia"/>
          <w:color w:val="auto"/>
          <w:lang w:val="en-US" w:eastAsia="zh-CN"/>
        </w:rPr>
        <w:t>图</w:t>
      </w:r>
      <w:bookmarkEnd w:id="53"/>
    </w:p>
    <w:p w14:paraId="6FB0B6E9">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3#</w:t>
      </w:r>
      <w:r>
        <w:rPr>
          <w:rFonts w:hint="eastAsia"/>
          <w:color w:val="auto"/>
          <w:lang w:eastAsia="zh-CN"/>
        </w:rPr>
        <w:t>塔吊平面布置</w:t>
      </w:r>
      <w:r>
        <w:rPr>
          <w:rFonts w:hint="eastAsia"/>
          <w:color w:val="auto"/>
          <w:lang w:val="en-US" w:eastAsia="zh-CN"/>
        </w:rPr>
        <w:t>如下图。</w:t>
      </w:r>
    </w:p>
    <w:p w14:paraId="29FE3A89">
      <w:pPr>
        <w:pStyle w:val="38"/>
        <w:jc w:val="center"/>
        <w:rPr>
          <w:rFonts w:hint="eastAsia"/>
          <w:color w:val="auto"/>
          <w:lang w:val="en-US" w:eastAsia="zh-CN"/>
        </w:rPr>
      </w:pPr>
      <w:r>
        <w:drawing>
          <wp:inline distT="0" distB="0" distL="114300" distR="114300">
            <wp:extent cx="5694045" cy="4220210"/>
            <wp:effectExtent l="0" t="0" r="190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694045" cy="4220210"/>
                    </a:xfrm>
                    <a:prstGeom prst="rect">
                      <a:avLst/>
                    </a:prstGeom>
                    <a:noFill/>
                    <a:ln>
                      <a:noFill/>
                    </a:ln>
                  </pic:spPr>
                </pic:pic>
              </a:graphicData>
            </a:graphic>
          </wp:inline>
        </w:drawing>
      </w:r>
    </w:p>
    <w:p w14:paraId="03D97F16">
      <w:pPr>
        <w:ind w:firstLine="422"/>
        <w:jc w:val="center"/>
        <w:rPr>
          <w:rFonts w:hint="eastAsia" w:ascii="宋体" w:hAnsi="宋体" w:cs="宋体"/>
          <w:b/>
          <w:bCs/>
          <w:color w:val="auto"/>
          <w:sz w:val="21"/>
        </w:rPr>
      </w:pPr>
      <w:r>
        <w:rPr>
          <w:rFonts w:hint="eastAsia" w:ascii="宋体" w:hAnsi="宋体" w:cs="宋体"/>
          <w:b/>
          <w:bCs/>
          <w:color w:val="auto"/>
          <w:sz w:val="21"/>
        </w:rPr>
        <w:t>图2.3-1塔吊平面布置图</w:t>
      </w:r>
    </w:p>
    <w:p w14:paraId="4ACB971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spacing w:val="4"/>
          <w:lang w:eastAsia="zh-CN"/>
        </w:rPr>
      </w:pPr>
      <w:r>
        <w:rPr>
          <w:rFonts w:hint="eastAsia" w:eastAsia="宋体"/>
          <w:b/>
          <w:bCs/>
          <w:spacing w:val="4"/>
          <w:lang w:eastAsia="zh-CN"/>
        </w:rPr>
        <w:drawing>
          <wp:inline distT="0" distB="0" distL="114300" distR="114300">
            <wp:extent cx="5688330" cy="1369695"/>
            <wp:effectExtent l="0" t="0" r="7620" b="1905"/>
            <wp:docPr id="3" name="图片 3"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彭州市PZ2024-16地块住宅项目二期塔机布置方案（2025_1"/>
                    <pic:cNvPicPr>
                      <a:picLocks noChangeAspect="1"/>
                    </pic:cNvPicPr>
                  </pic:nvPicPr>
                  <pic:blipFill>
                    <a:blip r:embed="rId24"/>
                    <a:srcRect t="33418" b="32517"/>
                    <a:stretch>
                      <a:fillRect/>
                    </a:stretch>
                  </pic:blipFill>
                  <pic:spPr>
                    <a:xfrm>
                      <a:off x="0" y="0"/>
                      <a:ext cx="5688330" cy="1369695"/>
                    </a:xfrm>
                    <a:prstGeom prst="rect">
                      <a:avLst/>
                    </a:prstGeom>
                  </pic:spPr>
                </pic:pic>
              </a:graphicData>
            </a:graphic>
          </wp:inline>
        </w:drawing>
      </w:r>
    </w:p>
    <w:p w14:paraId="6CD69185">
      <w:pPr>
        <w:bidi w:val="0"/>
        <w:jc w:val="center"/>
        <w:rPr>
          <w:rFonts w:hint="eastAsia"/>
          <w:lang w:val="en-US" w:eastAsia="zh-CN"/>
        </w:rPr>
      </w:pPr>
      <w:r>
        <w:rPr>
          <w:rFonts w:hint="eastAsia" w:ascii="宋体" w:hAnsi="宋体" w:cs="宋体"/>
          <w:b/>
          <w:bCs/>
          <w:color w:val="auto"/>
          <w:sz w:val="21"/>
        </w:rPr>
        <w:t>图2.3-</w:t>
      </w:r>
      <w:r>
        <w:rPr>
          <w:rFonts w:hint="eastAsia" w:ascii="宋体" w:hAnsi="宋体" w:cs="宋体"/>
          <w:b/>
          <w:bCs/>
          <w:color w:val="auto"/>
          <w:sz w:val="21"/>
          <w:lang w:val="en-US" w:eastAsia="zh-CN"/>
        </w:rPr>
        <w:t>2</w:t>
      </w:r>
      <w:r>
        <w:rPr>
          <w:rFonts w:hint="eastAsia" w:ascii="宋体" w:hAnsi="宋体" w:cs="宋体"/>
          <w:b/>
          <w:bCs/>
          <w:color w:val="auto"/>
          <w:sz w:val="21"/>
        </w:rPr>
        <w:t>塔吊</w:t>
      </w:r>
      <w:r>
        <w:rPr>
          <w:rFonts w:hint="eastAsia" w:ascii="宋体" w:hAnsi="宋体" w:cs="宋体"/>
          <w:b/>
          <w:bCs/>
          <w:color w:val="auto"/>
          <w:sz w:val="21"/>
          <w:lang w:val="en-US" w:eastAsia="zh-CN"/>
        </w:rPr>
        <w:t>立</w:t>
      </w:r>
      <w:r>
        <w:rPr>
          <w:rFonts w:hint="eastAsia" w:ascii="宋体" w:hAnsi="宋体" w:cs="宋体"/>
          <w:b/>
          <w:bCs/>
          <w:color w:val="auto"/>
          <w:sz w:val="21"/>
        </w:rPr>
        <w:t>面布置图</w:t>
      </w:r>
    </w:p>
    <w:p w14:paraId="6F000B06">
      <w:pPr>
        <w:pStyle w:val="3"/>
        <w:spacing w:before="156" w:after="156"/>
        <w:ind w:left="480" w:leftChars="0" w:firstLineChars="0"/>
        <w:rPr>
          <w:color w:val="auto"/>
        </w:rPr>
      </w:pPr>
      <w:bookmarkStart w:id="54" w:name="_Toc29202"/>
      <w:bookmarkStart w:id="55" w:name="_Toc40778424"/>
      <w:bookmarkStart w:id="56" w:name="_Toc11812"/>
      <w:bookmarkStart w:id="57" w:name="_Toc933"/>
      <w:r>
        <w:rPr>
          <w:rFonts w:hint="eastAsia"/>
          <w:color w:val="auto"/>
        </w:rPr>
        <w:t>施工要求</w:t>
      </w:r>
      <w:bookmarkEnd w:id="54"/>
      <w:bookmarkEnd w:id="55"/>
      <w:bookmarkEnd w:id="56"/>
      <w:bookmarkEnd w:id="57"/>
    </w:p>
    <w:p w14:paraId="58B60EFE">
      <w:pPr>
        <w:pStyle w:val="48"/>
        <w:ind w:firstLine="480"/>
        <w:rPr>
          <w:rFonts w:hint="eastAsia" w:ascii="Times New Roman" w:hAnsi="Times New Roman" w:eastAsia="宋体" w:cs="Times New Roman"/>
          <w:color w:val="auto"/>
          <w:kern w:val="2"/>
          <w:lang w:eastAsia="zh-CN"/>
        </w:rPr>
      </w:pPr>
      <w:bookmarkStart w:id="58" w:name="_Hlk109141060"/>
      <w:bookmarkStart w:id="59" w:name="_Toc40778425"/>
      <w:bookmarkStart w:id="60" w:name="_Toc3182"/>
      <w:r>
        <w:rPr>
          <w:rFonts w:hint="eastAsia" w:ascii="Times New Roman" w:hAnsi="Times New Roman" w:cs="Times New Roman"/>
          <w:color w:val="auto"/>
          <w:kern w:val="2"/>
        </w:rPr>
        <w:t>（1）严格贯彻“安全第一”的原则，针对风险细化安全技术措施，预防和杜绝安全事故的发生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470BC6AC">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126DFDEF">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573BE899">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eastAsia="zh-CN"/>
        </w:rPr>
        <w:t>安装</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成本。</w:t>
      </w:r>
    </w:p>
    <w:bookmarkEnd w:id="58"/>
    <w:p w14:paraId="766367D1">
      <w:pPr>
        <w:pStyle w:val="3"/>
        <w:spacing w:before="156" w:after="156"/>
        <w:ind w:left="480" w:leftChars="0" w:firstLineChars="0"/>
        <w:rPr>
          <w:color w:val="auto"/>
        </w:rPr>
      </w:pPr>
      <w:bookmarkStart w:id="61" w:name="_Toc19716"/>
      <w:bookmarkStart w:id="62" w:name="_Toc15863"/>
      <w:r>
        <w:rPr>
          <w:rFonts w:hint="eastAsia"/>
          <w:color w:val="auto"/>
        </w:rPr>
        <w:t>技术保证条件</w:t>
      </w:r>
      <w:bookmarkEnd w:id="59"/>
      <w:bookmarkEnd w:id="60"/>
      <w:bookmarkEnd w:id="61"/>
      <w:bookmarkEnd w:id="62"/>
    </w:p>
    <w:p w14:paraId="00EDEABE">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07688B7C">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安装</w:t>
      </w:r>
      <w:r>
        <w:rPr>
          <w:rFonts w:hint="eastAsia" w:ascii="宋体" w:hAnsi="宋体" w:eastAsia="宋体" w:cs="宋体"/>
          <w:color w:val="auto"/>
          <w:sz w:val="24"/>
          <w:szCs w:val="24"/>
        </w:rPr>
        <w:t>作业之前，组织学习塔机安装安全专项施工方案，对班组作业人员进行技术方案交底，对分项工作内容、技术要求、安全措施以及注意事项等进行单独交底。</w:t>
      </w:r>
    </w:p>
    <w:p w14:paraId="253F4F47">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690D5172">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、多风，因合理安排作业时间，作业人员应注意保暖防冻；安装以及顶升操作时塔机最大安装高度处的风速≤10m/s（6级风内）。</w:t>
      </w:r>
    </w:p>
    <w:p w14:paraId="0FB30C42">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安装人员持证上岗；进入作业现场必须戴安全帽，施工人员均穿戴好安全防护用品，高空作业时系好安全带，穿防滑鞋，安全带要系牢固构件上并高挂低用，应采取防滑措施。</w:t>
      </w:r>
    </w:p>
    <w:p w14:paraId="0CF88B49">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4A6A3265">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（7）塔机标节顶升前以及起重臂吊装前，现场必须确认安全可靠方能继续作业。</w:t>
      </w:r>
    </w:p>
    <w:p w14:paraId="1D422BD9">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（8）对长大物件吊点位置选择应准确，保证被吊物件平衡，起吊前应先用缆风绳把两端系牢，防止旋转、摆动和碰撞。施工人员应听从起重指挥，吊装构件应缓慢。</w:t>
      </w:r>
    </w:p>
    <w:p w14:paraId="1236CB7C">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p>
    <w:p w14:paraId="197BA8EF">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2" w:type="default"/>
          <w:footerReference r:id="rId13"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lang w:val="en-US" w:eastAsia="zh-CN"/>
        </w:rPr>
        <w:t>（10）接地。塔机塔身必须有专用的接地线接至塔机专用接地体。注意：塔机接地线不得串接保险丝或开关。</w:t>
      </w:r>
    </w:p>
    <w:p w14:paraId="2355A447">
      <w:pPr>
        <w:pStyle w:val="2"/>
        <w:spacing w:before="156" w:after="156"/>
        <w:rPr>
          <w:color w:val="auto"/>
        </w:rPr>
      </w:pPr>
      <w:bookmarkStart w:id="63" w:name="_Toc10268"/>
      <w:bookmarkStart w:id="64" w:name="_Toc27935"/>
      <w:r>
        <w:rPr>
          <w:rFonts w:hint="eastAsia"/>
          <w:color w:val="auto"/>
        </w:rPr>
        <w:t>施工计划</w:t>
      </w:r>
      <w:bookmarkEnd w:id="41"/>
      <w:bookmarkEnd w:id="42"/>
      <w:bookmarkEnd w:id="63"/>
      <w:bookmarkEnd w:id="64"/>
    </w:p>
    <w:p w14:paraId="63F3DA54">
      <w:pPr>
        <w:pStyle w:val="3"/>
        <w:spacing w:before="156" w:after="156"/>
        <w:ind w:left="480" w:leftChars="0" w:firstLineChars="0"/>
        <w:rPr>
          <w:color w:val="auto"/>
        </w:rPr>
      </w:pPr>
      <w:bookmarkStart w:id="65" w:name="_Toc16967"/>
      <w:bookmarkStart w:id="66" w:name="_Toc40778432"/>
      <w:bookmarkStart w:id="67" w:name="_Toc32590"/>
      <w:bookmarkStart w:id="68" w:name="_Toc16409"/>
      <w:r>
        <w:rPr>
          <w:rFonts w:hint="eastAsia"/>
          <w:color w:val="auto"/>
        </w:rPr>
        <w:t>总体施工</w:t>
      </w:r>
      <w:bookmarkEnd w:id="65"/>
      <w:bookmarkEnd w:id="66"/>
      <w:r>
        <w:rPr>
          <w:rFonts w:hint="eastAsia"/>
          <w:color w:val="auto"/>
        </w:rPr>
        <w:t>部署</w:t>
      </w:r>
      <w:bookmarkEnd w:id="67"/>
      <w:bookmarkEnd w:id="68"/>
    </w:p>
    <w:p w14:paraId="08B4715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）在安装前必须到当地安监站进行安装告知工作。</w:t>
      </w:r>
    </w:p>
    <w:p w14:paraId="44F24CB8">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）首先在塔机基础施工完成后，安装单位组织安装班组提前一天到现场作好安装前的准备工作。</w:t>
      </w:r>
    </w:p>
    <w:p w14:paraId="2DDE686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）在安装前进行安全交底：由项目部牵头组织</w:t>
      </w:r>
      <w:r>
        <w:rPr>
          <w:rFonts w:hint="eastAsia"/>
          <w:color w:val="auto"/>
          <w:lang w:val="en-US" w:eastAsia="zh-CN"/>
        </w:rPr>
        <w:t>安装</w:t>
      </w:r>
      <w:r>
        <w:rPr>
          <w:rFonts w:hint="eastAsia"/>
          <w:color w:val="auto"/>
          <w:lang w:eastAsia="zh-CN"/>
        </w:rPr>
        <w:t>班组及项目部的相关人员一起进行安装前的技术交底工作。</w:t>
      </w:r>
    </w:p>
    <w:p w14:paraId="44E00539">
      <w:pPr>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）塔机安装完成后，由项目部及安装单位及项目部安全员一起对塔机进行自检。合格后再向特检院申请对塔机进行检测工作。检测合格后，才可使用塔机。</w:t>
      </w:r>
    </w:p>
    <w:p w14:paraId="73C33101">
      <w:pPr>
        <w:pStyle w:val="3"/>
        <w:spacing w:before="156" w:after="156"/>
        <w:ind w:left="480" w:leftChars="0" w:firstLineChars="0"/>
        <w:rPr>
          <w:color w:val="auto"/>
        </w:rPr>
      </w:pPr>
      <w:bookmarkStart w:id="69" w:name="_Toc14838"/>
      <w:bookmarkStart w:id="70" w:name="_Toc40778433"/>
      <w:bookmarkStart w:id="71" w:name="_Toc19207"/>
      <w:bookmarkStart w:id="72" w:name="_Toc8508"/>
      <w:bookmarkStart w:id="73" w:name="_Toc19376"/>
      <w:bookmarkStart w:id="74" w:name="_Toc40778434"/>
      <w:bookmarkStart w:id="75" w:name="_Toc17125"/>
      <w:r>
        <w:rPr>
          <w:rFonts w:hint="eastAsia"/>
          <w:color w:val="auto"/>
        </w:rPr>
        <w:t>施工进度计划</w:t>
      </w:r>
      <w:bookmarkEnd w:id="69"/>
      <w:bookmarkEnd w:id="70"/>
      <w:bookmarkEnd w:id="71"/>
      <w:bookmarkEnd w:id="72"/>
    </w:p>
    <w:p w14:paraId="65B224E7">
      <w:pPr>
        <w:pStyle w:val="50"/>
        <w:rPr>
          <w:color w:val="auto"/>
          <w:szCs w:val="22"/>
        </w:rPr>
      </w:pPr>
      <w:r>
        <w:rPr>
          <w:rFonts w:hint="eastAsia"/>
          <w:color w:val="auto"/>
        </w:rPr>
        <w:t>表 3.</w:t>
      </w:r>
      <w:r>
        <w:rPr>
          <w:rFonts w:hint="eastAsia"/>
          <w:color w:val="auto"/>
          <w:lang w:val="en-US" w:eastAsia="zh-CN"/>
        </w:rPr>
        <w:t>2</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XGT6013-6S1</w:t>
      </w:r>
      <w:r>
        <w:rPr>
          <w:rFonts w:hint="eastAsia"/>
          <w:color w:val="auto"/>
          <w:szCs w:val="22"/>
        </w:rPr>
        <w:t>安装进度计划表</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3DF435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F508AB2">
            <w:pPr>
              <w:pStyle w:val="44"/>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6DE1D045">
            <w:pPr>
              <w:pStyle w:val="44"/>
              <w:spacing w:before="60"/>
              <w:rPr>
                <w:rFonts w:hint="eastAsia"/>
                <w:color w:val="auto"/>
                <w:sz w:val="21"/>
                <w:szCs w:val="21"/>
              </w:rPr>
            </w:pPr>
            <w:r>
              <w:rPr>
                <w:rFonts w:hint="eastAsia"/>
                <w:color w:val="auto"/>
                <w:sz w:val="21"/>
                <w:szCs w:val="21"/>
              </w:rPr>
              <w:t>安装内容</w:t>
            </w:r>
          </w:p>
        </w:tc>
        <w:tc>
          <w:tcPr>
            <w:tcW w:w="1463" w:type="dxa"/>
            <w:shd w:val="clear" w:color="auto" w:fill="DEEBF6"/>
            <w:noWrap w:val="0"/>
            <w:vAlign w:val="center"/>
          </w:tcPr>
          <w:p w14:paraId="5CCBA258">
            <w:pPr>
              <w:pStyle w:val="44"/>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68D21BBD">
            <w:pPr>
              <w:pStyle w:val="44"/>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F471F71">
            <w:pPr>
              <w:pStyle w:val="44"/>
              <w:spacing w:before="60"/>
              <w:rPr>
                <w:rFonts w:hint="eastAsia"/>
                <w:color w:val="auto"/>
                <w:sz w:val="21"/>
                <w:szCs w:val="21"/>
              </w:rPr>
            </w:pPr>
            <w:r>
              <w:rPr>
                <w:rFonts w:hint="eastAsia"/>
                <w:color w:val="auto"/>
                <w:sz w:val="21"/>
                <w:szCs w:val="21"/>
              </w:rPr>
              <w:t>备注</w:t>
            </w:r>
          </w:p>
        </w:tc>
      </w:tr>
      <w:tr w14:paraId="117D3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D0CA97B">
            <w:pPr>
              <w:pStyle w:val="44"/>
              <w:spacing w:before="60"/>
              <w:rPr>
                <w:rFonts w:hint="eastAsia" w:eastAsia="宋体"/>
                <w:color w:val="auto"/>
                <w:sz w:val="21"/>
                <w:szCs w:val="21"/>
                <w:lang w:eastAsia="zh-CN"/>
              </w:rPr>
            </w:pPr>
            <w:r>
              <w:rPr>
                <w:rFonts w:hint="eastAsia"/>
                <w:color w:val="auto"/>
                <w:sz w:val="21"/>
                <w:szCs w:val="21"/>
                <w:lang w:val="en-US" w:eastAsia="zh-CN"/>
              </w:rPr>
              <w:t>1</w:t>
            </w:r>
          </w:p>
        </w:tc>
        <w:tc>
          <w:tcPr>
            <w:tcW w:w="3364" w:type="dxa"/>
            <w:noWrap w:val="0"/>
            <w:vAlign w:val="center"/>
          </w:tcPr>
          <w:p w14:paraId="2E6CD88A">
            <w:pPr>
              <w:pStyle w:val="44"/>
              <w:spacing w:before="60"/>
              <w:rPr>
                <w:color w:val="auto"/>
                <w:sz w:val="21"/>
                <w:szCs w:val="21"/>
              </w:rPr>
            </w:pPr>
            <w:r>
              <w:rPr>
                <w:rFonts w:hint="eastAsia"/>
                <w:color w:val="auto"/>
                <w:sz w:val="21"/>
                <w:szCs w:val="21"/>
              </w:rPr>
              <w:t>顶升加节</w:t>
            </w:r>
          </w:p>
        </w:tc>
        <w:tc>
          <w:tcPr>
            <w:tcW w:w="1463" w:type="dxa"/>
            <w:noWrap w:val="0"/>
            <w:vAlign w:val="center"/>
          </w:tcPr>
          <w:p w14:paraId="2AFD3C45">
            <w:pPr>
              <w:widowControl/>
              <w:adjustRightInd w:val="0"/>
              <w:snapToGrid w:val="0"/>
              <w:ind w:firstLine="0" w:firstLineChars="0"/>
              <w:jc w:val="center"/>
              <w:rPr>
                <w:rFonts w:hint="eastAsia" w:ascii="宋体" w:hAnsi="宋体"/>
                <w:color w:val="auto"/>
                <w:sz w:val="21"/>
                <w:szCs w:val="21"/>
              </w:rPr>
            </w:pPr>
          </w:p>
        </w:tc>
        <w:tc>
          <w:tcPr>
            <w:tcW w:w="1170" w:type="dxa"/>
            <w:noWrap w:val="0"/>
            <w:vAlign w:val="center"/>
          </w:tcPr>
          <w:p w14:paraId="60E7DFED">
            <w:pPr>
              <w:pStyle w:val="44"/>
              <w:spacing w:before="60"/>
              <w:rPr>
                <w:rFonts w:hint="eastAsia" w:eastAsia="宋体"/>
                <w:color w:val="auto"/>
                <w:sz w:val="21"/>
                <w:szCs w:val="21"/>
                <w:lang w:val="en-US" w:eastAsia="zh-CN"/>
              </w:rPr>
            </w:pPr>
            <w:r>
              <w:rPr>
                <w:rFonts w:hint="eastAsia"/>
                <w:color w:val="auto"/>
                <w:sz w:val="21"/>
                <w:szCs w:val="21"/>
                <w:lang w:val="en-US" w:eastAsia="zh-CN"/>
              </w:rPr>
              <w:t>1</w:t>
            </w:r>
          </w:p>
        </w:tc>
        <w:tc>
          <w:tcPr>
            <w:tcW w:w="1456" w:type="dxa"/>
            <w:noWrap w:val="0"/>
            <w:vAlign w:val="center"/>
          </w:tcPr>
          <w:p w14:paraId="10367585">
            <w:pPr>
              <w:pStyle w:val="44"/>
              <w:spacing w:before="60"/>
              <w:rPr>
                <w:rFonts w:hint="default" w:eastAsia="宋体"/>
                <w:color w:val="auto"/>
                <w:sz w:val="21"/>
                <w:szCs w:val="21"/>
                <w:lang w:val="en-US" w:eastAsia="zh-CN"/>
              </w:rPr>
            </w:pPr>
          </w:p>
        </w:tc>
      </w:tr>
      <w:tr w14:paraId="670A3D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7726C024">
            <w:pPr>
              <w:pStyle w:val="44"/>
              <w:spacing w:before="60"/>
              <w:rPr>
                <w:rFonts w:hint="eastAsia"/>
                <w:color w:val="auto"/>
                <w:sz w:val="21"/>
                <w:szCs w:val="21"/>
              </w:rPr>
            </w:pPr>
            <w:r>
              <w:rPr>
                <w:rFonts w:hint="eastAsia"/>
                <w:color w:val="auto"/>
                <w:sz w:val="21"/>
                <w:szCs w:val="21"/>
              </w:rPr>
              <w:t>合计</w:t>
            </w:r>
          </w:p>
        </w:tc>
        <w:tc>
          <w:tcPr>
            <w:tcW w:w="1170" w:type="dxa"/>
            <w:noWrap w:val="0"/>
            <w:vAlign w:val="center"/>
          </w:tcPr>
          <w:p w14:paraId="3CE99F5A">
            <w:pPr>
              <w:pStyle w:val="44"/>
              <w:spacing w:before="60"/>
              <w:rPr>
                <w:color w:val="auto"/>
                <w:sz w:val="21"/>
                <w:szCs w:val="21"/>
              </w:rPr>
            </w:pPr>
            <w:r>
              <w:rPr>
                <w:rFonts w:hint="eastAsia"/>
                <w:color w:val="auto"/>
                <w:sz w:val="21"/>
                <w:szCs w:val="21"/>
                <w:lang w:val="en-US" w:eastAsia="zh-CN"/>
              </w:rPr>
              <w:t>1</w:t>
            </w:r>
          </w:p>
        </w:tc>
        <w:tc>
          <w:tcPr>
            <w:tcW w:w="1456" w:type="dxa"/>
            <w:noWrap w:val="0"/>
            <w:vAlign w:val="center"/>
          </w:tcPr>
          <w:p w14:paraId="0A4FD58C">
            <w:pPr>
              <w:pStyle w:val="44"/>
              <w:spacing w:before="60"/>
              <w:rPr>
                <w:rFonts w:hint="eastAsia"/>
                <w:color w:val="auto"/>
                <w:sz w:val="21"/>
                <w:szCs w:val="21"/>
              </w:rPr>
            </w:pPr>
          </w:p>
        </w:tc>
      </w:tr>
    </w:tbl>
    <w:p w14:paraId="780F62D1">
      <w:pPr>
        <w:pStyle w:val="3"/>
        <w:spacing w:before="156" w:after="156"/>
        <w:ind w:left="480" w:leftChars="0" w:firstLineChars="0"/>
        <w:rPr>
          <w:color w:val="auto"/>
        </w:rPr>
      </w:pPr>
      <w:bookmarkStart w:id="76" w:name="_Toc1407"/>
      <w:r>
        <w:rPr>
          <w:rFonts w:hint="eastAsia"/>
          <w:color w:val="auto"/>
        </w:rPr>
        <w:t>材料计划</w:t>
      </w:r>
      <w:bookmarkEnd w:id="73"/>
      <w:bookmarkEnd w:id="74"/>
      <w:bookmarkEnd w:id="75"/>
      <w:bookmarkEnd w:id="76"/>
    </w:p>
    <w:p w14:paraId="78890753">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现场所使用的</w:t>
      </w:r>
      <w:r>
        <w:rPr>
          <w:rFonts w:hint="eastAsia" w:ascii="Times New Roman" w:hAnsi="Times New Roman" w:cs="Times New Roman"/>
          <w:color w:val="auto"/>
          <w:kern w:val="2"/>
          <w:lang w:eastAsia="zh-CN"/>
        </w:rPr>
        <w:t>汽车吊</w:t>
      </w:r>
      <w:r>
        <w:rPr>
          <w:rFonts w:hint="eastAsia" w:ascii="Times New Roman" w:hAnsi="Times New Roman" w:cs="Times New Roman"/>
          <w:color w:val="auto"/>
          <w:kern w:val="2"/>
        </w:rPr>
        <w:t>必须处于有效的检测检定有效期内，各类检测仪器应处于有效的检定期内，以保持其检定和校准状态的可信度，达到仪器在使用过程中性能保证的目的。</w:t>
      </w:r>
    </w:p>
    <w:p w14:paraId="16E1D5CF">
      <w:pPr>
        <w:pStyle w:val="48"/>
        <w:numPr>
          <w:ilvl w:val="0"/>
          <w:numId w:val="7"/>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5F0BEFDD">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 xml:space="preserve"> 测量仪器、仪表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6101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416DEC4E">
            <w:pPr>
              <w:pStyle w:val="44"/>
              <w:spacing w:before="60"/>
              <w:rPr>
                <w:color w:val="auto"/>
                <w:sz w:val="21"/>
                <w:szCs w:val="21"/>
              </w:rPr>
            </w:pPr>
            <w:r>
              <w:rPr>
                <w:rFonts w:hint="eastAsia"/>
                <w:color w:val="auto"/>
                <w:sz w:val="21"/>
                <w:szCs w:val="21"/>
              </w:rPr>
              <w:t>序号</w:t>
            </w:r>
          </w:p>
        </w:tc>
        <w:tc>
          <w:tcPr>
            <w:tcW w:w="1355" w:type="dxa"/>
            <w:noWrap w:val="0"/>
            <w:vAlign w:val="center"/>
          </w:tcPr>
          <w:p w14:paraId="0BCDFABA">
            <w:pPr>
              <w:pStyle w:val="44"/>
              <w:spacing w:before="60"/>
              <w:rPr>
                <w:color w:val="auto"/>
                <w:sz w:val="21"/>
                <w:szCs w:val="21"/>
              </w:rPr>
            </w:pPr>
            <w:r>
              <w:rPr>
                <w:rFonts w:hint="eastAsia"/>
                <w:color w:val="auto"/>
                <w:sz w:val="21"/>
                <w:szCs w:val="21"/>
              </w:rPr>
              <w:t>名称</w:t>
            </w:r>
          </w:p>
        </w:tc>
        <w:tc>
          <w:tcPr>
            <w:tcW w:w="992" w:type="dxa"/>
            <w:noWrap w:val="0"/>
            <w:vAlign w:val="center"/>
          </w:tcPr>
          <w:p w14:paraId="16E788D8">
            <w:pPr>
              <w:pStyle w:val="44"/>
              <w:spacing w:before="60"/>
              <w:rPr>
                <w:color w:val="auto"/>
                <w:sz w:val="21"/>
                <w:szCs w:val="21"/>
              </w:rPr>
            </w:pPr>
            <w:r>
              <w:rPr>
                <w:rFonts w:hint="eastAsia"/>
                <w:color w:val="auto"/>
                <w:sz w:val="21"/>
                <w:szCs w:val="21"/>
              </w:rPr>
              <w:t>规格</w:t>
            </w:r>
          </w:p>
        </w:tc>
        <w:tc>
          <w:tcPr>
            <w:tcW w:w="1276" w:type="dxa"/>
            <w:noWrap w:val="0"/>
            <w:vAlign w:val="center"/>
          </w:tcPr>
          <w:p w14:paraId="3ECFA2F8">
            <w:pPr>
              <w:pStyle w:val="44"/>
              <w:spacing w:before="60"/>
              <w:rPr>
                <w:color w:val="auto"/>
                <w:sz w:val="21"/>
                <w:szCs w:val="21"/>
              </w:rPr>
            </w:pPr>
            <w:r>
              <w:rPr>
                <w:rFonts w:hint="eastAsia"/>
                <w:color w:val="auto"/>
                <w:sz w:val="21"/>
                <w:szCs w:val="21"/>
              </w:rPr>
              <w:t>精度等级</w:t>
            </w:r>
          </w:p>
        </w:tc>
        <w:tc>
          <w:tcPr>
            <w:tcW w:w="850" w:type="dxa"/>
            <w:noWrap w:val="0"/>
            <w:vAlign w:val="center"/>
          </w:tcPr>
          <w:p w14:paraId="1EF2646A">
            <w:pPr>
              <w:pStyle w:val="44"/>
              <w:spacing w:before="60"/>
              <w:rPr>
                <w:color w:val="auto"/>
                <w:sz w:val="21"/>
                <w:szCs w:val="21"/>
              </w:rPr>
            </w:pPr>
            <w:r>
              <w:rPr>
                <w:rFonts w:hint="eastAsia"/>
                <w:color w:val="auto"/>
                <w:sz w:val="21"/>
                <w:szCs w:val="21"/>
              </w:rPr>
              <w:t>单位</w:t>
            </w:r>
          </w:p>
        </w:tc>
        <w:tc>
          <w:tcPr>
            <w:tcW w:w="709" w:type="dxa"/>
            <w:noWrap w:val="0"/>
            <w:vAlign w:val="center"/>
          </w:tcPr>
          <w:p w14:paraId="55918638">
            <w:pPr>
              <w:pStyle w:val="44"/>
              <w:spacing w:before="60"/>
              <w:rPr>
                <w:color w:val="auto"/>
                <w:sz w:val="21"/>
                <w:szCs w:val="21"/>
              </w:rPr>
            </w:pPr>
            <w:r>
              <w:rPr>
                <w:rFonts w:hint="eastAsia"/>
                <w:color w:val="auto"/>
                <w:sz w:val="21"/>
                <w:szCs w:val="21"/>
              </w:rPr>
              <w:t>数量</w:t>
            </w:r>
          </w:p>
        </w:tc>
        <w:tc>
          <w:tcPr>
            <w:tcW w:w="2693" w:type="dxa"/>
            <w:noWrap w:val="0"/>
            <w:vAlign w:val="center"/>
          </w:tcPr>
          <w:p w14:paraId="0DC7D60B">
            <w:pPr>
              <w:pStyle w:val="44"/>
              <w:spacing w:before="60"/>
              <w:rPr>
                <w:color w:val="auto"/>
                <w:sz w:val="21"/>
                <w:szCs w:val="21"/>
              </w:rPr>
            </w:pPr>
            <w:r>
              <w:rPr>
                <w:rFonts w:hint="eastAsia"/>
                <w:color w:val="auto"/>
                <w:sz w:val="21"/>
                <w:szCs w:val="21"/>
              </w:rPr>
              <w:t>备注</w:t>
            </w:r>
          </w:p>
        </w:tc>
      </w:tr>
      <w:tr w14:paraId="5B65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5ABED4AC">
            <w:pPr>
              <w:pStyle w:val="44"/>
              <w:spacing w:before="60"/>
              <w:rPr>
                <w:color w:val="auto"/>
                <w:sz w:val="21"/>
                <w:szCs w:val="21"/>
              </w:rPr>
            </w:pPr>
            <w:r>
              <w:rPr>
                <w:rFonts w:hint="eastAsia"/>
                <w:color w:val="auto"/>
                <w:sz w:val="21"/>
                <w:szCs w:val="21"/>
              </w:rPr>
              <w:t>1</w:t>
            </w:r>
          </w:p>
        </w:tc>
        <w:tc>
          <w:tcPr>
            <w:tcW w:w="1355" w:type="dxa"/>
            <w:noWrap w:val="0"/>
            <w:vAlign w:val="center"/>
          </w:tcPr>
          <w:p w14:paraId="4EEBC477">
            <w:pPr>
              <w:pStyle w:val="44"/>
              <w:spacing w:before="60"/>
              <w:rPr>
                <w:color w:val="auto"/>
                <w:sz w:val="21"/>
                <w:szCs w:val="21"/>
              </w:rPr>
            </w:pPr>
            <w:r>
              <w:rPr>
                <w:rFonts w:hint="eastAsia"/>
                <w:color w:val="auto"/>
                <w:sz w:val="21"/>
                <w:szCs w:val="21"/>
              </w:rPr>
              <w:t>水准仪</w:t>
            </w:r>
          </w:p>
        </w:tc>
        <w:tc>
          <w:tcPr>
            <w:tcW w:w="992" w:type="dxa"/>
            <w:noWrap w:val="0"/>
            <w:vAlign w:val="center"/>
          </w:tcPr>
          <w:p w14:paraId="6611D36E">
            <w:pPr>
              <w:pStyle w:val="44"/>
              <w:spacing w:before="60"/>
              <w:rPr>
                <w:color w:val="auto"/>
                <w:sz w:val="21"/>
                <w:szCs w:val="21"/>
              </w:rPr>
            </w:pPr>
            <w:r>
              <w:rPr>
                <w:rFonts w:hint="eastAsia"/>
                <w:color w:val="auto"/>
                <w:sz w:val="21"/>
                <w:szCs w:val="21"/>
              </w:rPr>
              <w:t>NA2</w:t>
            </w:r>
          </w:p>
        </w:tc>
        <w:tc>
          <w:tcPr>
            <w:tcW w:w="1276" w:type="dxa"/>
            <w:noWrap w:val="0"/>
            <w:vAlign w:val="center"/>
          </w:tcPr>
          <w:p w14:paraId="4748C3E0">
            <w:pPr>
              <w:pStyle w:val="44"/>
              <w:spacing w:before="60"/>
              <w:rPr>
                <w:color w:val="auto"/>
                <w:sz w:val="21"/>
                <w:szCs w:val="21"/>
              </w:rPr>
            </w:pPr>
            <w:r>
              <w:rPr>
                <w:rFonts w:hint="eastAsia"/>
                <w:color w:val="auto"/>
                <w:sz w:val="21"/>
                <w:szCs w:val="21"/>
              </w:rPr>
              <w:t>0.5mm</w:t>
            </w:r>
          </w:p>
        </w:tc>
        <w:tc>
          <w:tcPr>
            <w:tcW w:w="850" w:type="dxa"/>
            <w:noWrap w:val="0"/>
            <w:vAlign w:val="center"/>
          </w:tcPr>
          <w:p w14:paraId="5AD708F9">
            <w:pPr>
              <w:pStyle w:val="44"/>
              <w:spacing w:before="60"/>
              <w:rPr>
                <w:color w:val="auto"/>
                <w:sz w:val="21"/>
                <w:szCs w:val="21"/>
              </w:rPr>
            </w:pPr>
            <w:r>
              <w:rPr>
                <w:rFonts w:hint="eastAsia"/>
                <w:color w:val="auto"/>
                <w:sz w:val="21"/>
                <w:szCs w:val="21"/>
              </w:rPr>
              <w:t>台</w:t>
            </w:r>
          </w:p>
        </w:tc>
        <w:tc>
          <w:tcPr>
            <w:tcW w:w="709" w:type="dxa"/>
            <w:noWrap w:val="0"/>
            <w:vAlign w:val="center"/>
          </w:tcPr>
          <w:p w14:paraId="41523A2B">
            <w:pPr>
              <w:pStyle w:val="44"/>
              <w:spacing w:before="60"/>
              <w:rPr>
                <w:color w:val="auto"/>
                <w:sz w:val="21"/>
                <w:szCs w:val="21"/>
              </w:rPr>
            </w:pPr>
            <w:r>
              <w:rPr>
                <w:rFonts w:hint="eastAsia"/>
                <w:color w:val="auto"/>
                <w:sz w:val="21"/>
                <w:szCs w:val="21"/>
              </w:rPr>
              <w:t>1</w:t>
            </w:r>
          </w:p>
        </w:tc>
        <w:tc>
          <w:tcPr>
            <w:tcW w:w="2693" w:type="dxa"/>
            <w:noWrap w:val="0"/>
            <w:vAlign w:val="center"/>
          </w:tcPr>
          <w:p w14:paraId="161B9334">
            <w:pPr>
              <w:pStyle w:val="44"/>
              <w:spacing w:before="60"/>
              <w:rPr>
                <w:color w:val="auto"/>
                <w:sz w:val="21"/>
                <w:szCs w:val="21"/>
              </w:rPr>
            </w:pPr>
            <w:r>
              <w:rPr>
                <w:rFonts w:hint="eastAsia"/>
                <w:color w:val="auto"/>
                <w:sz w:val="21"/>
                <w:szCs w:val="21"/>
              </w:rPr>
              <w:t>检验合格并在有效期内</w:t>
            </w:r>
          </w:p>
        </w:tc>
      </w:tr>
      <w:tr w14:paraId="0DD9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7124879">
            <w:pPr>
              <w:pStyle w:val="44"/>
              <w:spacing w:before="60"/>
              <w:rPr>
                <w:color w:val="auto"/>
                <w:sz w:val="21"/>
                <w:szCs w:val="21"/>
              </w:rPr>
            </w:pPr>
            <w:r>
              <w:rPr>
                <w:rFonts w:hint="eastAsia"/>
                <w:color w:val="auto"/>
                <w:sz w:val="21"/>
                <w:szCs w:val="21"/>
              </w:rPr>
              <w:t>2</w:t>
            </w:r>
          </w:p>
        </w:tc>
        <w:tc>
          <w:tcPr>
            <w:tcW w:w="1355" w:type="dxa"/>
            <w:noWrap w:val="0"/>
            <w:vAlign w:val="center"/>
          </w:tcPr>
          <w:p w14:paraId="288E7328">
            <w:pPr>
              <w:pStyle w:val="44"/>
              <w:spacing w:before="60"/>
              <w:rPr>
                <w:color w:val="auto"/>
                <w:sz w:val="21"/>
                <w:szCs w:val="21"/>
              </w:rPr>
            </w:pPr>
            <w:r>
              <w:rPr>
                <w:rFonts w:hint="eastAsia"/>
                <w:color w:val="auto"/>
                <w:sz w:val="21"/>
                <w:szCs w:val="21"/>
              </w:rPr>
              <w:t>经纬仪</w:t>
            </w:r>
          </w:p>
        </w:tc>
        <w:tc>
          <w:tcPr>
            <w:tcW w:w="992" w:type="dxa"/>
            <w:noWrap w:val="0"/>
            <w:vAlign w:val="center"/>
          </w:tcPr>
          <w:p w14:paraId="52457B44">
            <w:pPr>
              <w:pStyle w:val="44"/>
              <w:spacing w:before="60"/>
              <w:rPr>
                <w:color w:val="auto"/>
                <w:sz w:val="21"/>
                <w:szCs w:val="21"/>
              </w:rPr>
            </w:pPr>
            <w:r>
              <w:rPr>
                <w:rFonts w:hint="eastAsia"/>
                <w:color w:val="auto"/>
                <w:sz w:val="21"/>
                <w:szCs w:val="21"/>
              </w:rPr>
              <w:t>TDJ2E</w:t>
            </w:r>
          </w:p>
        </w:tc>
        <w:tc>
          <w:tcPr>
            <w:tcW w:w="1276" w:type="dxa"/>
            <w:noWrap w:val="0"/>
            <w:vAlign w:val="center"/>
          </w:tcPr>
          <w:p w14:paraId="28B832FD">
            <w:pPr>
              <w:pStyle w:val="44"/>
              <w:spacing w:before="60"/>
              <w:rPr>
                <w:color w:val="auto"/>
                <w:sz w:val="21"/>
                <w:szCs w:val="21"/>
              </w:rPr>
            </w:pPr>
            <w:r>
              <w:rPr>
                <w:rFonts w:hint="eastAsia"/>
                <w:color w:val="auto"/>
                <w:sz w:val="21"/>
                <w:szCs w:val="21"/>
              </w:rPr>
              <w:t>6″</w:t>
            </w:r>
          </w:p>
        </w:tc>
        <w:tc>
          <w:tcPr>
            <w:tcW w:w="850" w:type="dxa"/>
            <w:noWrap w:val="0"/>
            <w:vAlign w:val="center"/>
          </w:tcPr>
          <w:p w14:paraId="248E29F4">
            <w:pPr>
              <w:pStyle w:val="44"/>
              <w:spacing w:before="60"/>
              <w:rPr>
                <w:color w:val="auto"/>
                <w:sz w:val="21"/>
                <w:szCs w:val="21"/>
              </w:rPr>
            </w:pPr>
            <w:r>
              <w:rPr>
                <w:rFonts w:hint="eastAsia"/>
                <w:color w:val="auto"/>
                <w:sz w:val="21"/>
                <w:szCs w:val="21"/>
              </w:rPr>
              <w:t>台</w:t>
            </w:r>
          </w:p>
        </w:tc>
        <w:tc>
          <w:tcPr>
            <w:tcW w:w="709" w:type="dxa"/>
            <w:noWrap w:val="0"/>
            <w:vAlign w:val="center"/>
          </w:tcPr>
          <w:p w14:paraId="76ABD63E">
            <w:pPr>
              <w:pStyle w:val="44"/>
              <w:spacing w:before="60"/>
              <w:rPr>
                <w:color w:val="auto"/>
                <w:sz w:val="21"/>
                <w:szCs w:val="21"/>
              </w:rPr>
            </w:pPr>
            <w:r>
              <w:rPr>
                <w:rFonts w:hint="eastAsia"/>
                <w:color w:val="auto"/>
                <w:sz w:val="21"/>
                <w:szCs w:val="21"/>
              </w:rPr>
              <w:t>1</w:t>
            </w:r>
          </w:p>
        </w:tc>
        <w:tc>
          <w:tcPr>
            <w:tcW w:w="2693" w:type="dxa"/>
            <w:noWrap w:val="0"/>
            <w:vAlign w:val="center"/>
          </w:tcPr>
          <w:p w14:paraId="17CC210E">
            <w:pPr>
              <w:pStyle w:val="44"/>
              <w:spacing w:before="60"/>
              <w:rPr>
                <w:color w:val="auto"/>
                <w:sz w:val="21"/>
                <w:szCs w:val="21"/>
              </w:rPr>
            </w:pPr>
            <w:r>
              <w:rPr>
                <w:rFonts w:hint="eastAsia"/>
                <w:color w:val="auto"/>
                <w:sz w:val="21"/>
                <w:szCs w:val="21"/>
              </w:rPr>
              <w:t>检验合格并在有效期内</w:t>
            </w:r>
          </w:p>
        </w:tc>
      </w:tr>
    </w:tbl>
    <w:p w14:paraId="305B2A66">
      <w:pPr>
        <w:ind w:firstLine="480"/>
        <w:rPr>
          <w:color w:val="auto"/>
        </w:rPr>
      </w:pPr>
      <w:r>
        <w:rPr>
          <w:rFonts w:hint="eastAsia"/>
          <w:color w:val="auto"/>
        </w:rPr>
        <w:t>（2）作业工机具统计表：</w:t>
      </w:r>
    </w:p>
    <w:p w14:paraId="64B84ACB">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w:t>
      </w:r>
      <w:r>
        <w:rPr>
          <w:rFonts w:hint="eastAsia" w:ascii="宋体" w:hAnsi="宋体" w:cs="黑体"/>
          <w:b/>
          <w:color w:val="auto"/>
          <w:sz w:val="21"/>
          <w:szCs w:val="21"/>
          <w:lang w:val="en-US" w:eastAsia="zh-CN"/>
        </w:rPr>
        <w:t>2</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5EFE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6A91A74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5E16C21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6703691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3EEB198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37EA8F4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081D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3A5B1D19">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103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B200D8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957D07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9CA5FB1">
            <w:pPr>
              <w:pStyle w:val="44"/>
              <w:spacing w:before="60"/>
              <w:ind w:firstLine="0" w:firstLineChars="0"/>
              <w:rPr>
                <w:rFonts w:hint="default" w:ascii="宋体" w:hAnsi="宋体" w:eastAsia="宋体" w:cs="宋体"/>
                <w:color w:val="auto"/>
                <w:sz w:val="21"/>
                <w:szCs w:val="21"/>
                <w:highlight w:val="yellow"/>
                <w:lang w:val="en-US" w:eastAsia="zh-CN"/>
              </w:rPr>
            </w:pPr>
            <w:r>
              <w:rPr>
                <w:rFonts w:hint="eastAsia" w:cs="宋体"/>
                <w:color w:val="auto"/>
                <w:sz w:val="21"/>
                <w:szCs w:val="21"/>
                <w:highlight w:val="none"/>
                <w:lang w:val="en-US" w:eastAsia="zh-CN"/>
              </w:rPr>
              <w:t>14</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59A5D2FC">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35D93396">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0E0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3BCEB27">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c>
          <w:tcPr>
            <w:tcW w:w="1077" w:type="dxa"/>
            <w:noWrap w:val="0"/>
            <w:vAlign w:val="center"/>
          </w:tcPr>
          <w:p w14:paraId="0B50B6C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20E226EA">
            <w:pPr>
              <w:pStyle w:val="44"/>
              <w:spacing w:before="60"/>
              <w:ind w:firstLine="0" w:firstLineChars="0"/>
              <w:rPr>
                <w:rFonts w:hint="eastAsia" w:cs="宋体"/>
                <w:color w:val="auto"/>
                <w:sz w:val="21"/>
                <w:szCs w:val="21"/>
                <w:highlight w:val="none"/>
                <w:lang w:val="en-US" w:eastAsia="zh-CN"/>
              </w:rPr>
            </w:pPr>
            <w:r>
              <w:rPr>
                <w:rFonts w:hint="eastAsia" w:cs="宋体"/>
                <w:color w:val="auto"/>
                <w:sz w:val="21"/>
                <w:szCs w:val="21"/>
                <w:highlight w:val="none"/>
                <w:lang w:val="en-US" w:eastAsia="zh-CN"/>
              </w:rPr>
              <w:t>16</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4CE3C7CE">
            <w:pPr>
              <w:pStyle w:val="44"/>
              <w:spacing w:before="60"/>
              <w:rPr>
                <w:rFonts w:hint="default"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2112CD49">
            <w:pPr>
              <w:pStyle w:val="44"/>
              <w:spacing w:before="60"/>
              <w:rPr>
                <w:rFonts w:hint="eastAsia" w:cs="宋体"/>
                <w:color w:val="auto"/>
                <w:sz w:val="21"/>
                <w:szCs w:val="21"/>
                <w:lang w:val="en-US" w:eastAsia="zh-CN"/>
              </w:rPr>
            </w:pPr>
            <w:r>
              <w:rPr>
                <w:rFonts w:hint="eastAsia" w:cs="宋体"/>
                <w:color w:val="auto"/>
                <w:sz w:val="21"/>
                <w:szCs w:val="21"/>
                <w:lang w:val="en-US" w:eastAsia="zh-CN"/>
              </w:rPr>
              <w:t>两点吊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23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FCCCF60">
            <w:pPr>
              <w:pStyle w:val="44"/>
              <w:spacing w:before="60"/>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77D8EA0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1DBCA8D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4482F42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1E0105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7DE3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2EC54664">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5136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DA50FD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857D7C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0B591388">
            <w:pPr>
              <w:pStyle w:val="44"/>
              <w:spacing w:before="60"/>
              <w:rPr>
                <w:rFonts w:hint="eastAsia" w:ascii="宋体" w:hAnsi="宋体" w:eastAsia="宋体" w:cs="宋体"/>
                <w:color w:val="auto"/>
                <w:sz w:val="21"/>
                <w:szCs w:val="21"/>
              </w:rPr>
            </w:pPr>
          </w:p>
        </w:tc>
        <w:tc>
          <w:tcPr>
            <w:tcW w:w="770" w:type="dxa"/>
            <w:noWrap w:val="0"/>
            <w:vAlign w:val="center"/>
          </w:tcPr>
          <w:p w14:paraId="1A625E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423A580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拼装、安装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09A6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87E4F3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77995BE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2A1BACE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022A383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38E7C5C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7B44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0AFE67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50C5DA8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5175DF8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33A1619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09FF50B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49C8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7DC36D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218890A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24A476D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535B6E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1B78F2A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BB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37E5DCB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68791E0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9E8C38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34A032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106C89F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982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1A6C1D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14C757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52D7393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3673C0B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3D4AD68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A1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F024E24">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BF0DEB0">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3FA4D14F">
            <w:pPr>
              <w:pStyle w:val="44"/>
              <w:spacing w:before="60"/>
              <w:rPr>
                <w:rFonts w:hint="eastAsia" w:ascii="宋体" w:hAnsi="宋体" w:eastAsia="宋体" w:cs="宋体"/>
                <w:color w:val="auto"/>
                <w:sz w:val="21"/>
                <w:szCs w:val="21"/>
              </w:rPr>
            </w:pPr>
          </w:p>
        </w:tc>
        <w:tc>
          <w:tcPr>
            <w:tcW w:w="770" w:type="dxa"/>
            <w:noWrap w:val="0"/>
            <w:vAlign w:val="center"/>
          </w:tcPr>
          <w:p w14:paraId="03334D2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5B7BA52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464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F9521B7">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510F527F">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2EBF7612">
            <w:pPr>
              <w:pStyle w:val="44"/>
              <w:spacing w:before="60"/>
              <w:rPr>
                <w:rFonts w:hint="eastAsia" w:ascii="宋体" w:hAnsi="宋体" w:eastAsia="宋体" w:cs="宋体"/>
                <w:color w:val="auto"/>
                <w:sz w:val="21"/>
                <w:szCs w:val="21"/>
              </w:rPr>
            </w:pPr>
          </w:p>
        </w:tc>
        <w:tc>
          <w:tcPr>
            <w:tcW w:w="770" w:type="dxa"/>
            <w:noWrap w:val="0"/>
            <w:vAlign w:val="center"/>
          </w:tcPr>
          <w:p w14:paraId="5DA6FB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4EC91C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7C86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1D739229">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5A94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8542F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303CDEC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735C13A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6DA67AA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162DCC7E">
            <w:pPr>
              <w:pStyle w:val="44"/>
              <w:spacing w:before="60"/>
              <w:rPr>
                <w:rFonts w:hint="eastAsia" w:ascii="宋体" w:hAnsi="宋体" w:eastAsia="宋体" w:cs="宋体"/>
                <w:color w:val="auto"/>
                <w:sz w:val="21"/>
                <w:szCs w:val="21"/>
              </w:rPr>
            </w:pPr>
          </w:p>
        </w:tc>
      </w:tr>
      <w:tr w14:paraId="3681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2B7CE6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1645A1B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2BFA95D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68F4273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682B41A4">
            <w:pPr>
              <w:pStyle w:val="44"/>
              <w:spacing w:before="60"/>
              <w:rPr>
                <w:rFonts w:hint="eastAsia" w:ascii="宋体" w:hAnsi="宋体" w:eastAsia="宋体" w:cs="宋体"/>
                <w:color w:val="auto"/>
                <w:sz w:val="21"/>
                <w:szCs w:val="21"/>
              </w:rPr>
            </w:pPr>
          </w:p>
        </w:tc>
      </w:tr>
      <w:tr w14:paraId="3AF8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9BA873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392CABF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6F33A8D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AE60E1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64815A2A">
            <w:pPr>
              <w:pStyle w:val="44"/>
              <w:spacing w:before="60"/>
              <w:rPr>
                <w:rFonts w:hint="eastAsia" w:ascii="宋体" w:hAnsi="宋体" w:eastAsia="宋体" w:cs="宋体"/>
                <w:color w:val="auto"/>
                <w:sz w:val="21"/>
                <w:szCs w:val="21"/>
              </w:rPr>
            </w:pPr>
          </w:p>
        </w:tc>
      </w:tr>
      <w:tr w14:paraId="0FB7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552151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42BE40B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111BEE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6682842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70CAEAB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2E1F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DAA528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CC958F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E3A5F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3AED9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05FF80A5">
            <w:pPr>
              <w:pStyle w:val="44"/>
              <w:spacing w:before="60"/>
              <w:rPr>
                <w:rFonts w:hint="eastAsia" w:ascii="宋体" w:hAnsi="宋体" w:eastAsia="宋体" w:cs="宋体"/>
                <w:color w:val="auto"/>
                <w:sz w:val="21"/>
                <w:szCs w:val="21"/>
              </w:rPr>
            </w:pPr>
          </w:p>
        </w:tc>
      </w:tr>
      <w:tr w14:paraId="56F0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3C788D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2CFFCC8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76874FF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069FB6D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14BAACE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配重处用</w:t>
            </w:r>
          </w:p>
        </w:tc>
      </w:tr>
      <w:tr w14:paraId="557E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220B28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1BA7BE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6C359A1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5F05346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32C56A92">
            <w:pPr>
              <w:pStyle w:val="44"/>
              <w:spacing w:before="60"/>
              <w:rPr>
                <w:rFonts w:hint="eastAsia" w:ascii="宋体" w:hAnsi="宋体" w:eastAsia="宋体" w:cs="宋体"/>
                <w:color w:val="auto"/>
                <w:sz w:val="21"/>
                <w:szCs w:val="21"/>
              </w:rPr>
            </w:pPr>
          </w:p>
        </w:tc>
      </w:tr>
    </w:tbl>
    <w:p w14:paraId="786E0F9B">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bookmarkStart w:id="77" w:name="_Toc40778436"/>
      <w:bookmarkStart w:id="78" w:name="_Toc31407"/>
    </w:p>
    <w:p w14:paraId="6D339A2C">
      <w:pPr>
        <w:pStyle w:val="2"/>
        <w:spacing w:before="156" w:after="156"/>
        <w:rPr>
          <w:color w:val="auto"/>
        </w:rPr>
      </w:pPr>
      <w:bookmarkStart w:id="79" w:name="_Toc26279"/>
      <w:bookmarkStart w:id="80" w:name="_Toc2174"/>
      <w:r>
        <w:rPr>
          <w:rFonts w:hint="eastAsia"/>
          <w:color w:val="auto"/>
        </w:rPr>
        <w:t>施工工艺技术</w:t>
      </w:r>
      <w:bookmarkEnd w:id="77"/>
      <w:bookmarkEnd w:id="78"/>
      <w:bookmarkEnd w:id="79"/>
      <w:bookmarkEnd w:id="80"/>
    </w:p>
    <w:p w14:paraId="656F5533">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1" w:name="_Toc23487"/>
      <w:bookmarkStart w:id="82" w:name="_Toc1745"/>
      <w:bookmarkStart w:id="83" w:name="_Toc40778437"/>
      <w:bookmarkStart w:id="84" w:name="_Toc26392"/>
      <w:bookmarkStart w:id="85" w:name="_Toc29597"/>
      <w:bookmarkStart w:id="86" w:name="_Toc1607"/>
      <w:bookmarkStart w:id="87" w:name="_Toc2911"/>
      <w:bookmarkStart w:id="88" w:name="_Toc11075"/>
      <w:r>
        <w:rPr>
          <w:rFonts w:hint="eastAsia"/>
          <w:color w:val="auto"/>
        </w:rPr>
        <w:t>总体施工方案</w:t>
      </w:r>
      <w:bookmarkEnd w:id="81"/>
      <w:bookmarkEnd w:id="82"/>
    </w:p>
    <w:p w14:paraId="0CF206F6">
      <w:pPr>
        <w:rPr>
          <w:rFonts w:hint="eastAsia"/>
          <w:color w:val="auto"/>
          <w:lang w:val="en-US" w:eastAsia="zh-CN"/>
        </w:rPr>
      </w:pPr>
      <w:r>
        <w:rPr>
          <w:rFonts w:hint="eastAsia"/>
          <w:color w:val="auto"/>
          <w:lang w:val="en-US" w:eastAsia="zh-CN"/>
        </w:rPr>
        <w:t>4.1.1根据说明书要求制作合格的塔机基础；</w:t>
      </w:r>
    </w:p>
    <w:p w14:paraId="7127C0FA">
      <w:pPr>
        <w:pStyle w:val="11"/>
        <w:rPr>
          <w:rFonts w:hint="eastAsia"/>
          <w:color w:val="auto"/>
          <w:lang w:val="en-US" w:eastAsia="zh-CN"/>
        </w:rPr>
      </w:pPr>
      <w:r>
        <w:rPr>
          <w:rFonts w:hint="eastAsia"/>
          <w:color w:val="auto"/>
          <w:lang w:val="en-US" w:eastAsia="zh-CN"/>
        </w:rPr>
        <w:t>4.1.2在告知完成后可安装塔机；</w:t>
      </w:r>
    </w:p>
    <w:p w14:paraId="76955F84">
      <w:pPr>
        <w:rPr>
          <w:rFonts w:hint="eastAsia"/>
          <w:color w:val="auto"/>
          <w:lang w:val="en-US" w:eastAsia="zh-CN"/>
        </w:rPr>
      </w:pPr>
      <w:r>
        <w:rPr>
          <w:rFonts w:hint="eastAsia"/>
          <w:color w:val="auto"/>
          <w:lang w:val="en-US" w:eastAsia="zh-CN"/>
        </w:rPr>
        <w:t>4.1.3在安装前项目部相关人员及安装单位相关人员进行安装前的技术交底；</w:t>
      </w:r>
    </w:p>
    <w:p w14:paraId="7E3D0078">
      <w:pPr>
        <w:pStyle w:val="11"/>
        <w:rPr>
          <w:rFonts w:hint="eastAsia"/>
          <w:color w:val="auto"/>
          <w:lang w:val="en-US" w:eastAsia="zh-CN"/>
        </w:rPr>
      </w:pPr>
      <w:r>
        <w:rPr>
          <w:rFonts w:hint="eastAsia"/>
          <w:color w:val="auto"/>
          <w:lang w:val="en-US" w:eastAsia="zh-CN"/>
        </w:rPr>
        <w:t>4.1.4在塔机的安装过程中必须以说明书及安装方案进行施工；</w:t>
      </w:r>
    </w:p>
    <w:p w14:paraId="4710FDD1">
      <w:pPr>
        <w:rPr>
          <w:rFonts w:hint="eastAsia"/>
          <w:color w:val="auto"/>
          <w:lang w:val="en-US" w:eastAsia="zh-CN"/>
        </w:rPr>
      </w:pPr>
      <w:r>
        <w:rPr>
          <w:rFonts w:hint="eastAsia"/>
          <w:color w:val="auto"/>
          <w:lang w:val="en-US" w:eastAsia="zh-CN"/>
        </w:rPr>
        <w:t>4.1.5安装完成后安装单位自检完成后向当地特检部门申请检测；</w:t>
      </w:r>
    </w:p>
    <w:p w14:paraId="696D2C11">
      <w:pPr>
        <w:pStyle w:val="11"/>
        <w:rPr>
          <w:rFonts w:hint="default"/>
          <w:color w:val="auto"/>
          <w:lang w:val="en-US" w:eastAsia="zh-CN"/>
        </w:rPr>
      </w:pPr>
      <w:r>
        <w:rPr>
          <w:rFonts w:hint="eastAsia"/>
          <w:color w:val="auto"/>
          <w:lang w:val="en-US" w:eastAsia="zh-CN"/>
        </w:rPr>
        <w:t>4.1.6检测合格后（如需要使用登记，则在使用登记完成后）才可使用塔机。</w:t>
      </w:r>
    </w:p>
    <w:bookmarkEnd w:id="83"/>
    <w:bookmarkEnd w:id="84"/>
    <w:bookmarkEnd w:id="85"/>
    <w:bookmarkEnd w:id="86"/>
    <w:bookmarkEnd w:id="87"/>
    <w:bookmarkEnd w:id="88"/>
    <w:p w14:paraId="3694138C">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89" w:name="_Toc25282"/>
      <w:bookmarkStart w:id="90" w:name="_Toc13042"/>
      <w:bookmarkStart w:id="91" w:name="_Toc40778439"/>
      <w:bookmarkStart w:id="92" w:name="_Toc21364"/>
      <w:bookmarkStart w:id="93" w:name="_Toc14477"/>
      <w:bookmarkStart w:id="94" w:name="_Toc3526"/>
      <w:bookmarkStart w:id="95" w:name="_Toc29750"/>
      <w:bookmarkStart w:id="96" w:name="_Toc24606"/>
      <w:bookmarkStart w:id="97" w:name="_Toc7048"/>
      <w:r>
        <w:rPr>
          <w:rFonts w:hint="eastAsia" w:eastAsia="宋体"/>
          <w:color w:val="auto"/>
        </w:rPr>
        <w:t>施工准备</w:t>
      </w:r>
      <w:bookmarkEnd w:id="89"/>
      <w:bookmarkEnd w:id="90"/>
    </w:p>
    <w:p w14:paraId="2F29944C">
      <w:pPr>
        <w:rPr>
          <w:rFonts w:hint="eastAsia"/>
          <w:color w:val="auto"/>
        </w:rPr>
      </w:pPr>
      <w:r>
        <w:rPr>
          <w:rFonts w:hint="eastAsia"/>
          <w:color w:val="auto"/>
          <w:lang w:val="en-US" w:eastAsia="zh-CN"/>
        </w:rPr>
        <w:t>（1）技术准备</w:t>
      </w:r>
    </w:p>
    <w:p w14:paraId="73DB40D9">
      <w:pPr>
        <w:pStyle w:val="48"/>
        <w:numPr>
          <w:ilvl w:val="0"/>
          <w:numId w:val="0"/>
        </w:numPr>
        <w:snapToGrid/>
        <w:ind w:leftChars="200"/>
        <w:rPr>
          <w:color w:val="auto"/>
        </w:rPr>
      </w:pPr>
      <w:r>
        <w:rPr>
          <w:rFonts w:hint="eastAsia"/>
          <w:color w:val="auto"/>
          <w:lang w:val="en-US" w:eastAsia="zh-CN"/>
        </w:rPr>
        <w:t>1）</w:t>
      </w:r>
      <w:r>
        <w:rPr>
          <w:rFonts w:hint="eastAsia"/>
          <w:color w:val="auto"/>
        </w:rPr>
        <w:t>塔式起重机安装所需说明书、图纸等技术资料齐全</w:t>
      </w:r>
      <w:r>
        <w:rPr>
          <w:rFonts w:hint="eastAsia"/>
          <w:color w:val="auto"/>
          <w:lang w:eastAsia="zh-CN"/>
        </w:rPr>
        <w:t>。</w:t>
      </w:r>
    </w:p>
    <w:p w14:paraId="689AE38E">
      <w:pPr>
        <w:pStyle w:val="48"/>
        <w:numPr>
          <w:ilvl w:val="0"/>
          <w:numId w:val="0"/>
        </w:numPr>
        <w:snapToGrid/>
        <w:ind w:leftChars="200"/>
        <w:rPr>
          <w:color w:val="auto"/>
        </w:rPr>
      </w:pPr>
      <w:r>
        <w:rPr>
          <w:rFonts w:hint="eastAsia"/>
          <w:color w:val="auto"/>
          <w:lang w:val="en-US" w:eastAsia="zh-CN"/>
        </w:rPr>
        <w:t>2）</w:t>
      </w:r>
      <w:r>
        <w:rPr>
          <w:rFonts w:hint="eastAsia"/>
          <w:color w:val="auto"/>
        </w:rPr>
        <w:t>经评审、审核、报批后的安装方案，且施工安全、技术交底等资料齐全</w:t>
      </w:r>
      <w:r>
        <w:rPr>
          <w:rFonts w:hint="eastAsia"/>
          <w:color w:val="auto"/>
          <w:lang w:eastAsia="zh-CN"/>
        </w:rPr>
        <w:t>。</w:t>
      </w:r>
    </w:p>
    <w:p w14:paraId="6E893720">
      <w:pPr>
        <w:pStyle w:val="48"/>
        <w:numPr>
          <w:ilvl w:val="0"/>
          <w:numId w:val="0"/>
        </w:numPr>
        <w:snapToGrid/>
        <w:ind w:firstLine="480" w:firstLineChars="200"/>
        <w:rPr>
          <w:color w:val="auto"/>
        </w:rPr>
      </w:pPr>
      <w:r>
        <w:rPr>
          <w:rFonts w:hint="eastAsia"/>
          <w:color w:val="auto"/>
          <w:lang w:val="en-US" w:eastAsia="zh-CN"/>
        </w:rPr>
        <w:t>3</w:t>
      </w:r>
      <w:r>
        <w:rPr>
          <w:rFonts w:hint="eastAsia"/>
          <w:color w:val="auto"/>
          <w:lang w:eastAsia="zh-CN"/>
        </w:rPr>
        <w:t>）</w:t>
      </w:r>
      <w:r>
        <w:rPr>
          <w:rFonts w:hint="eastAsia"/>
          <w:color w:val="auto"/>
        </w:rPr>
        <w:t>安装单位、人员、设备、机具等等相关资质审核合格，并完成向监理及国家特种设备监督机构的报备工作</w:t>
      </w:r>
      <w:r>
        <w:rPr>
          <w:rFonts w:hint="eastAsia"/>
          <w:color w:val="auto"/>
          <w:lang w:eastAsia="zh-CN"/>
        </w:rPr>
        <w:t>。</w:t>
      </w:r>
    </w:p>
    <w:p w14:paraId="22057A0B">
      <w:pPr>
        <w:pStyle w:val="48"/>
        <w:numPr>
          <w:ilvl w:val="0"/>
          <w:numId w:val="0"/>
        </w:numPr>
        <w:snapToGrid/>
        <w:ind w:leftChars="200"/>
        <w:rPr>
          <w:color w:val="auto"/>
        </w:rPr>
      </w:pPr>
      <w:r>
        <w:rPr>
          <w:rFonts w:hint="eastAsia"/>
          <w:color w:val="auto"/>
          <w:lang w:val="en-US" w:eastAsia="zh-CN"/>
        </w:rPr>
        <w:t>（2）</w:t>
      </w:r>
      <w:r>
        <w:rPr>
          <w:rFonts w:hint="eastAsia"/>
          <w:color w:val="auto"/>
        </w:rPr>
        <w:t>施工安全技术交底：</w:t>
      </w:r>
    </w:p>
    <w:p w14:paraId="2BDF389A">
      <w:pPr>
        <w:pStyle w:val="48"/>
        <w:numPr>
          <w:ilvl w:val="0"/>
          <w:numId w:val="8"/>
        </w:numPr>
        <w:snapToGrid/>
        <w:ind w:firstLine="480" w:firstLineChars="200"/>
        <w:rPr>
          <w:color w:val="auto"/>
        </w:rPr>
      </w:pPr>
      <w:r>
        <w:rPr>
          <w:color w:val="auto"/>
        </w:rPr>
        <w:t>施工前，现场技术负责人对所参加作业人员进行安全、技术交底</w:t>
      </w:r>
      <w:r>
        <w:rPr>
          <w:rFonts w:hint="eastAsia"/>
          <w:color w:val="auto"/>
        </w:rPr>
        <w:t>；管理</w:t>
      </w:r>
      <w:r>
        <w:rPr>
          <w:color w:val="auto"/>
        </w:rPr>
        <w:t>人员明确施工工艺</w:t>
      </w:r>
      <w:r>
        <w:rPr>
          <w:rFonts w:hint="eastAsia"/>
          <w:color w:val="auto"/>
        </w:rPr>
        <w:t>；</w:t>
      </w:r>
      <w:r>
        <w:rPr>
          <w:color w:val="auto"/>
        </w:rPr>
        <w:t>作业人员明确施工程序、施工方法，了解施工工艺要求及安全注意事项，作业人员提前深入现场，熟悉施工环境，明确施工过程危险点及控制点</w:t>
      </w:r>
      <w:r>
        <w:rPr>
          <w:rFonts w:hint="eastAsia"/>
          <w:color w:val="auto"/>
          <w:lang w:eastAsia="zh-CN"/>
        </w:rPr>
        <w:t>。</w:t>
      </w:r>
    </w:p>
    <w:p w14:paraId="299189F4">
      <w:pPr>
        <w:pStyle w:val="48"/>
        <w:numPr>
          <w:ilvl w:val="0"/>
          <w:numId w:val="8"/>
        </w:numPr>
        <w:snapToGrid/>
        <w:ind w:left="0" w:leftChars="0" w:firstLine="480" w:firstLineChars="200"/>
        <w:rPr>
          <w:color w:val="auto"/>
        </w:rPr>
      </w:pPr>
      <w:r>
        <w:rPr>
          <w:color w:val="auto"/>
        </w:rPr>
        <w:t>做好安全技术交底工作，确保每位施工人员接受安全教育，熟悉安装要点和安全防范知识。</w:t>
      </w:r>
    </w:p>
    <w:p w14:paraId="14967737">
      <w:pPr>
        <w:pStyle w:val="48"/>
        <w:numPr>
          <w:ilvl w:val="0"/>
          <w:numId w:val="0"/>
        </w:numPr>
        <w:snapToGrid/>
        <w:ind w:leftChars="200"/>
        <w:rPr>
          <w:rFonts w:hint="eastAsia" w:ascii="宋体" w:hAnsi="宋体"/>
          <w:color w:val="auto"/>
          <w:szCs w:val="24"/>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）施工前准备</w:t>
      </w:r>
      <w:bookmarkStart w:id="98" w:name="_Hlk109141563"/>
    </w:p>
    <w:p w14:paraId="390BB2A5">
      <w:pPr>
        <w:pStyle w:val="48"/>
        <w:numPr>
          <w:ilvl w:val="0"/>
          <w:numId w:val="0"/>
        </w:numPr>
        <w:snapToGrid/>
        <w:ind w:firstLine="480" w:firstLineChars="200"/>
        <w:rPr>
          <w:rFonts w:hint="eastAsia"/>
          <w:color w:val="auto"/>
        </w:rPr>
      </w:pPr>
      <w:r>
        <w:rPr>
          <w:rFonts w:hint="eastAsia"/>
          <w:color w:val="auto"/>
          <w:lang w:val="en-US" w:eastAsia="zh-CN"/>
        </w:rPr>
        <w:t>1）</w:t>
      </w:r>
      <w:r>
        <w:rPr>
          <w:rFonts w:hint="eastAsia"/>
          <w:color w:val="auto"/>
        </w:rPr>
        <w:t xml:space="preserve">设备运输至现场部件齐全、完好，重点检查包括： </w:t>
      </w:r>
    </w:p>
    <w:p w14:paraId="78CC02A5">
      <w:pPr>
        <w:pStyle w:val="48"/>
        <w:numPr>
          <w:ilvl w:val="0"/>
          <w:numId w:val="0"/>
        </w:numPr>
        <w:snapToGrid/>
        <w:rPr>
          <w:rFonts w:hint="eastAsia"/>
          <w:color w:val="auto"/>
          <w:lang w:eastAsia="zh-CN"/>
        </w:rPr>
      </w:pPr>
      <w:r>
        <w:rPr>
          <w:rFonts w:hint="eastAsia"/>
          <w:color w:val="auto"/>
          <w:lang w:val="en-US" w:eastAsia="zh-CN"/>
        </w:rPr>
        <w:t>　　2）塔机各部件</w:t>
      </w:r>
      <w:r>
        <w:rPr>
          <w:color w:val="auto"/>
        </w:rPr>
        <w:t>外形尺寸、数量是否与设计图纸一致</w:t>
      </w:r>
      <w:r>
        <w:rPr>
          <w:rFonts w:hint="eastAsia"/>
          <w:color w:val="auto"/>
        </w:rPr>
        <w:t>，</w:t>
      </w:r>
      <w:r>
        <w:rPr>
          <w:rFonts w:hint="eastAsia"/>
          <w:color w:val="auto"/>
          <w:lang w:eastAsia="zh-CN"/>
        </w:rPr>
        <w:t>基础混凝土强度达说明书要求，基础水平高差不得大于</w:t>
      </w:r>
      <w:r>
        <w:rPr>
          <w:rFonts w:hint="eastAsia"/>
          <w:color w:val="auto"/>
          <w:lang w:val="en-US" w:eastAsia="zh-CN"/>
        </w:rPr>
        <w:t>1/1000，排水设施完善，</w:t>
      </w:r>
      <w:r>
        <w:rPr>
          <w:rFonts w:hint="eastAsia"/>
          <w:color w:val="auto"/>
        </w:rPr>
        <w:t>合格证书是否齐全有效</w:t>
      </w:r>
      <w:r>
        <w:rPr>
          <w:rFonts w:hint="eastAsia"/>
          <w:color w:val="auto"/>
          <w:lang w:eastAsia="zh-CN"/>
        </w:rPr>
        <w:t>。</w:t>
      </w:r>
    </w:p>
    <w:p w14:paraId="2707E469">
      <w:pPr>
        <w:pStyle w:val="48"/>
        <w:numPr>
          <w:ilvl w:val="0"/>
          <w:numId w:val="0"/>
        </w:numPr>
        <w:snapToGrid/>
        <w:rPr>
          <w:rFonts w:hint="eastAsia"/>
          <w:color w:val="auto"/>
        </w:rPr>
      </w:pPr>
      <w:r>
        <w:rPr>
          <w:rFonts w:hint="eastAsia"/>
          <w:color w:val="auto"/>
          <w:lang w:val="en-US" w:eastAsia="zh-CN"/>
        </w:rPr>
        <w:t>　　3）</w:t>
      </w:r>
      <w:r>
        <w:rPr>
          <w:color w:val="auto"/>
        </w:rPr>
        <w:t>部件焊缝是否有夹渣、裂纹等缺陷</w:t>
      </w:r>
      <w:r>
        <w:rPr>
          <w:rFonts w:hint="eastAsia"/>
          <w:color w:val="auto"/>
          <w:lang w:eastAsia="zh-CN"/>
        </w:rPr>
        <w:t>。</w:t>
      </w:r>
    </w:p>
    <w:p w14:paraId="01CDBF74">
      <w:pPr>
        <w:pStyle w:val="48"/>
        <w:numPr>
          <w:ilvl w:val="0"/>
          <w:numId w:val="0"/>
        </w:numPr>
        <w:snapToGrid/>
        <w:rPr>
          <w:rFonts w:hint="eastAsia"/>
          <w:color w:val="auto"/>
        </w:rPr>
      </w:pPr>
      <w:r>
        <w:rPr>
          <w:rFonts w:hint="eastAsia"/>
          <w:color w:val="auto"/>
          <w:lang w:val="en-US" w:eastAsia="zh-CN"/>
        </w:rPr>
        <w:t>　　4）</w:t>
      </w:r>
      <w:r>
        <w:rPr>
          <w:color w:val="auto"/>
        </w:rPr>
        <w:t>部件是否有变形及损坏等</w:t>
      </w:r>
      <w:r>
        <w:rPr>
          <w:rFonts w:hint="eastAsia"/>
          <w:color w:val="auto"/>
        </w:rPr>
        <w:t>。存在缺陷需处理检验合格</w:t>
      </w:r>
      <w:r>
        <w:rPr>
          <w:rFonts w:hint="eastAsia"/>
          <w:color w:val="auto"/>
          <w:lang w:eastAsia="zh-CN"/>
        </w:rPr>
        <w:t>。</w:t>
      </w:r>
    </w:p>
    <w:p w14:paraId="5325E2BE">
      <w:pPr>
        <w:pStyle w:val="48"/>
        <w:numPr>
          <w:ilvl w:val="0"/>
          <w:numId w:val="0"/>
        </w:numPr>
        <w:snapToGrid/>
        <w:ind w:firstLine="480" w:firstLineChars="200"/>
        <w:rPr>
          <w:color w:val="auto"/>
        </w:rPr>
      </w:pPr>
      <w:r>
        <w:rPr>
          <w:rFonts w:hint="eastAsia"/>
          <w:color w:val="auto"/>
          <w:lang w:val="en-US" w:eastAsia="zh-CN"/>
        </w:rPr>
        <w:t>5）</w:t>
      </w:r>
      <w:r>
        <w:rPr>
          <w:rFonts w:hint="eastAsia"/>
          <w:color w:val="auto"/>
        </w:rPr>
        <w:t>项目技术部出具塔机基础合格证明；且根据汽车起重机站位的情况，对所处位置的地基进行换填处理，并根据实际情况支垫钢板、枕木，吊车进场前应进行承载力实验。</w:t>
      </w:r>
    </w:p>
    <w:p w14:paraId="6735CCCB">
      <w:pPr>
        <w:pStyle w:val="48"/>
        <w:numPr>
          <w:ilvl w:val="0"/>
          <w:numId w:val="0"/>
        </w:numPr>
        <w:snapToGrid/>
        <w:ind w:firstLine="480" w:firstLineChars="200"/>
        <w:rPr>
          <w:color w:val="auto"/>
        </w:rPr>
      </w:pPr>
      <w:r>
        <w:rPr>
          <w:rFonts w:hint="eastAsia"/>
          <w:color w:val="auto"/>
          <w:lang w:val="en-US" w:eastAsia="zh-CN"/>
        </w:rPr>
        <w:t>6）</w:t>
      </w:r>
      <w:r>
        <w:rPr>
          <w:rFonts w:hint="eastAsia"/>
          <w:color w:val="auto"/>
        </w:rPr>
        <w:t>安装场地选择：场地选择要求平整开阔，地基牢实，四周无影响施工的障碍物，平台场地能供塔机安装设备顺利进出。</w:t>
      </w:r>
    </w:p>
    <w:p w14:paraId="739176E6">
      <w:pPr>
        <w:pStyle w:val="48"/>
        <w:numPr>
          <w:ilvl w:val="0"/>
          <w:numId w:val="0"/>
        </w:numPr>
        <w:snapToGrid/>
        <w:ind w:firstLine="480" w:firstLineChars="200"/>
        <w:rPr>
          <w:color w:val="auto"/>
        </w:rPr>
      </w:pPr>
      <w:r>
        <w:rPr>
          <w:rFonts w:hint="eastAsia"/>
          <w:color w:val="auto"/>
          <w:lang w:val="en-US" w:eastAsia="zh-CN"/>
        </w:rPr>
        <w:t>7）</w:t>
      </w:r>
      <w:r>
        <w:rPr>
          <w:rFonts w:hint="eastAsia"/>
          <w:color w:val="auto"/>
        </w:rPr>
        <w:t>设备</w:t>
      </w:r>
      <w:r>
        <w:rPr>
          <w:color w:val="auto"/>
        </w:rPr>
        <w:t>安装所需</w:t>
      </w:r>
      <w:r>
        <w:rPr>
          <w:rFonts w:hint="eastAsia"/>
          <w:color w:val="auto"/>
        </w:rPr>
        <w:t>汽车吊及</w:t>
      </w:r>
      <w:r>
        <w:rPr>
          <w:color w:val="auto"/>
        </w:rPr>
        <w:t>作业机具、仪器仪表等需准备充分</w:t>
      </w:r>
      <w:r>
        <w:rPr>
          <w:rFonts w:hint="eastAsia"/>
          <w:color w:val="auto"/>
        </w:rPr>
        <w:t>，报验完毕</w:t>
      </w:r>
      <w:r>
        <w:rPr>
          <w:rFonts w:hint="eastAsia"/>
          <w:color w:val="auto"/>
          <w:lang w:eastAsia="zh-CN"/>
        </w:rPr>
        <w:t>。</w:t>
      </w:r>
    </w:p>
    <w:p w14:paraId="30342A24">
      <w:pPr>
        <w:pStyle w:val="48"/>
        <w:numPr>
          <w:ilvl w:val="0"/>
          <w:numId w:val="0"/>
        </w:numPr>
        <w:snapToGrid/>
        <w:ind w:firstLine="480" w:firstLineChars="200"/>
        <w:rPr>
          <w:color w:val="auto"/>
        </w:rPr>
      </w:pPr>
      <w:r>
        <w:rPr>
          <w:rFonts w:hint="eastAsia"/>
          <w:color w:val="auto"/>
          <w:lang w:val="en-US" w:eastAsia="zh-CN"/>
        </w:rPr>
        <w:t>8）</w:t>
      </w:r>
      <w:r>
        <w:rPr>
          <w:rFonts w:hint="eastAsia"/>
          <w:color w:val="auto"/>
        </w:rPr>
        <w:t>完成了吊装作业演练，统一明确指挥口令、用语，并按《危险作业施工许可管理办法》要求办理作业许可证，完善相关资料。</w:t>
      </w:r>
    </w:p>
    <w:p w14:paraId="4407B47E">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对安装现场进行清理，将现场的建筑材料、泥土、废料废物等杂物清扫干净。同时拉起安全警戒线，闲杂人员在安装范围一律不准通行，同时设置安全专职人员负责值班警戒</w:t>
      </w:r>
      <w:r>
        <w:rPr>
          <w:rFonts w:hint="eastAsia"/>
          <w:color w:val="auto"/>
          <w:lang w:eastAsia="zh-CN"/>
        </w:rPr>
        <w:t>。</w:t>
      </w:r>
    </w:p>
    <w:p w14:paraId="681C8063">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备好施工机具、工具和安全防护用品。做到吊装前后检查、每班前检查，严格执行相关标准，对存在安全隐患的工索具应禁止使用，达到报废条件的，应立即报废并销毁，禁止再次使用。</w:t>
      </w:r>
    </w:p>
    <w:bookmarkEnd w:id="98"/>
    <w:p w14:paraId="29E161D7">
      <w:pPr>
        <w:pStyle w:val="48"/>
        <w:numPr>
          <w:ilvl w:val="0"/>
          <w:numId w:val="0"/>
        </w:numPr>
        <w:snapToGrid/>
        <w:ind w:firstLine="240" w:firstLineChars="100"/>
        <w:rPr>
          <w:color w:val="auto"/>
        </w:rPr>
      </w:pPr>
      <w:bookmarkStart w:id="99" w:name="_Hlk1091415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作业环境要求</w:t>
      </w:r>
    </w:p>
    <w:p w14:paraId="1F642939">
      <w:pPr>
        <w:pStyle w:val="48"/>
        <w:numPr>
          <w:ilvl w:val="0"/>
          <w:numId w:val="0"/>
        </w:numPr>
        <w:snapToGrid/>
        <w:ind w:leftChars="200"/>
        <w:rPr>
          <w:color w:val="auto"/>
        </w:rPr>
      </w:pPr>
      <w:r>
        <w:rPr>
          <w:rFonts w:hint="eastAsia"/>
          <w:color w:val="auto"/>
          <w:lang w:val="en-US" w:eastAsia="zh-CN"/>
        </w:rPr>
        <w:t>1）</w:t>
      </w:r>
      <w:r>
        <w:rPr>
          <w:rFonts w:hint="eastAsia"/>
          <w:color w:val="auto"/>
        </w:rPr>
        <w:t>吊装施工区域设立警戒线并设专人监护，与施工无关人员禁止进入</w:t>
      </w:r>
      <w:r>
        <w:rPr>
          <w:rFonts w:hint="eastAsia"/>
          <w:color w:val="auto"/>
          <w:lang w:eastAsia="zh-CN"/>
        </w:rPr>
        <w:t>。</w:t>
      </w:r>
    </w:p>
    <w:p w14:paraId="76AC09A3">
      <w:pPr>
        <w:pStyle w:val="48"/>
        <w:numPr>
          <w:ilvl w:val="0"/>
          <w:numId w:val="0"/>
        </w:numPr>
        <w:snapToGrid/>
        <w:ind w:leftChars="200"/>
        <w:rPr>
          <w:color w:val="auto"/>
        </w:rPr>
      </w:pPr>
      <w:r>
        <w:rPr>
          <w:rFonts w:hint="eastAsia"/>
          <w:color w:val="auto"/>
          <w:lang w:val="en-US" w:eastAsia="zh-CN"/>
        </w:rPr>
        <w:t>2）</w:t>
      </w:r>
      <w:r>
        <w:rPr>
          <w:rFonts w:hint="eastAsia"/>
          <w:color w:val="auto"/>
        </w:rPr>
        <w:t>汽车式起重机工作区域平整、坚实、无障碍物</w:t>
      </w:r>
      <w:r>
        <w:rPr>
          <w:rFonts w:hint="eastAsia"/>
          <w:color w:val="auto"/>
          <w:lang w:eastAsia="zh-CN"/>
        </w:rPr>
        <w:t>。</w:t>
      </w:r>
    </w:p>
    <w:p w14:paraId="2B5D1C03">
      <w:pPr>
        <w:pStyle w:val="48"/>
        <w:numPr>
          <w:ilvl w:val="0"/>
          <w:numId w:val="0"/>
        </w:numPr>
        <w:snapToGrid/>
        <w:ind w:leftChars="200"/>
        <w:rPr>
          <w:color w:val="auto"/>
        </w:rPr>
      </w:pPr>
      <w:r>
        <w:rPr>
          <w:rFonts w:hint="eastAsia"/>
          <w:color w:val="auto"/>
          <w:lang w:val="en-US" w:eastAsia="zh-CN"/>
        </w:rPr>
        <w:t>3）</w:t>
      </w:r>
      <w:r>
        <w:rPr>
          <w:rFonts w:hint="eastAsia"/>
          <w:color w:val="auto"/>
        </w:rPr>
        <w:t>提供电源，保障施工时塔式起重机能正常调试运转</w:t>
      </w:r>
      <w:r>
        <w:rPr>
          <w:rFonts w:hint="eastAsia"/>
          <w:color w:val="auto"/>
          <w:lang w:eastAsia="zh-CN"/>
        </w:rPr>
        <w:t>。</w:t>
      </w:r>
    </w:p>
    <w:p w14:paraId="74E7DBBE">
      <w:pPr>
        <w:pStyle w:val="48"/>
        <w:numPr>
          <w:ilvl w:val="0"/>
          <w:numId w:val="0"/>
        </w:numPr>
        <w:snapToGrid/>
        <w:ind w:leftChars="200"/>
        <w:rPr>
          <w:color w:val="auto"/>
        </w:rPr>
      </w:pPr>
      <w:r>
        <w:rPr>
          <w:rFonts w:hint="eastAsia"/>
          <w:color w:val="auto"/>
          <w:lang w:val="en-US" w:eastAsia="zh-CN"/>
        </w:rPr>
        <w:t>4）</w:t>
      </w:r>
      <w:r>
        <w:rPr>
          <w:rFonts w:hint="eastAsia"/>
          <w:color w:val="auto"/>
        </w:rPr>
        <w:t>夜间施工时，施工场所应保证足够的照明</w:t>
      </w:r>
      <w:r>
        <w:rPr>
          <w:rFonts w:hint="eastAsia"/>
          <w:color w:val="auto"/>
          <w:lang w:eastAsia="zh-CN"/>
        </w:rPr>
        <w:t>。</w:t>
      </w:r>
    </w:p>
    <w:p w14:paraId="66049B43">
      <w:pPr>
        <w:pStyle w:val="48"/>
        <w:numPr>
          <w:ilvl w:val="0"/>
          <w:numId w:val="0"/>
        </w:numPr>
        <w:snapToGrid/>
        <w:ind w:leftChars="200"/>
        <w:rPr>
          <w:color w:val="auto"/>
        </w:rPr>
      </w:pPr>
      <w:r>
        <w:rPr>
          <w:rFonts w:hint="eastAsia"/>
          <w:color w:val="auto"/>
          <w:lang w:val="en-US" w:eastAsia="zh-CN"/>
        </w:rPr>
        <w:t>5）</w:t>
      </w:r>
      <w:r>
        <w:rPr>
          <w:rFonts w:hint="eastAsia"/>
          <w:color w:val="auto"/>
        </w:rPr>
        <w:t>塔式起重机安装所需轨道铺设施工完毕，验收合格并且轨道梁满足吊装要求</w:t>
      </w:r>
      <w:r>
        <w:rPr>
          <w:rFonts w:hint="eastAsia"/>
          <w:color w:val="auto"/>
          <w:lang w:eastAsia="zh-CN"/>
        </w:rPr>
        <w:t>。</w:t>
      </w:r>
    </w:p>
    <w:p w14:paraId="26A0E2DC">
      <w:pPr>
        <w:pStyle w:val="48"/>
        <w:numPr>
          <w:ilvl w:val="0"/>
          <w:numId w:val="0"/>
        </w:numPr>
        <w:snapToGrid/>
        <w:ind w:leftChars="200"/>
        <w:rPr>
          <w:rFonts w:hint="eastAsia"/>
          <w:color w:val="auto"/>
        </w:rPr>
      </w:pPr>
      <w:r>
        <w:rPr>
          <w:rFonts w:hint="eastAsia"/>
          <w:color w:val="auto"/>
          <w:lang w:val="en-US" w:eastAsia="zh-CN"/>
        </w:rPr>
        <w:t>6）</w:t>
      </w:r>
      <w:r>
        <w:rPr>
          <w:rFonts w:hint="eastAsia"/>
          <w:color w:val="auto"/>
        </w:rPr>
        <w:t>保证塔式起重机安装作业空间充足、道路畅通，材料堆放区须进行临时清空和场地平整</w:t>
      </w:r>
      <w:r>
        <w:rPr>
          <w:rFonts w:hint="eastAsia"/>
          <w:color w:val="auto"/>
          <w:lang w:eastAsia="zh-CN"/>
        </w:rPr>
        <w:t>。</w:t>
      </w:r>
    </w:p>
    <w:p w14:paraId="7A476C49">
      <w:pPr>
        <w:pStyle w:val="48"/>
        <w:numPr>
          <w:ilvl w:val="0"/>
          <w:numId w:val="0"/>
        </w:numPr>
        <w:snapToGrid/>
        <w:ind w:leftChars="200"/>
        <w:rPr>
          <w:rFonts w:hint="eastAsia"/>
          <w:color w:val="auto"/>
        </w:rPr>
      </w:pPr>
      <w:r>
        <w:rPr>
          <w:rFonts w:hint="eastAsia"/>
          <w:color w:val="auto"/>
        </w:rPr>
        <w:t>（</w:t>
      </w:r>
      <w:r>
        <w:rPr>
          <w:rFonts w:hint="eastAsia"/>
          <w:color w:val="auto"/>
          <w:lang w:val="en-US" w:eastAsia="zh-CN"/>
        </w:rPr>
        <w:t>5</w:t>
      </w:r>
      <w:r>
        <w:rPr>
          <w:rFonts w:hint="eastAsia"/>
          <w:color w:val="auto"/>
        </w:rPr>
        <w:t>）电源设置</w:t>
      </w:r>
    </w:p>
    <w:p w14:paraId="236C25B3">
      <w:pPr>
        <w:pStyle w:val="48"/>
        <w:ind w:left="0" w:leftChars="0" w:firstLine="480" w:firstLineChars="200"/>
        <w:rPr>
          <w:rFonts w:hint="eastAsia"/>
          <w:color w:val="auto"/>
        </w:rPr>
      </w:pPr>
      <w:r>
        <w:rPr>
          <w:rFonts w:hint="eastAsia"/>
          <w:color w:val="auto"/>
        </w:rPr>
        <w:t>本机采用380</w:t>
      </w:r>
      <w:r>
        <w:rPr>
          <w:color w:val="auto"/>
        </w:rPr>
        <w:t>V,</w:t>
      </w:r>
      <w:r>
        <w:rPr>
          <w:rFonts w:hint="eastAsia"/>
          <w:color w:val="auto"/>
        </w:rPr>
        <w:t>三相五线制供电，电压变化范围不超过额定值的（+5%</w:t>
      </w:r>
      <w:r>
        <w:rPr>
          <w:rFonts w:hint="eastAsia" w:ascii="宋体" w:hAnsi="宋体" w:eastAsia="宋体" w:cs="宋体"/>
          <w:color w:val="auto"/>
        </w:rPr>
        <w:t>～</w:t>
      </w:r>
      <w:r>
        <w:rPr>
          <w:rFonts w:hint="eastAsia"/>
          <w:color w:val="auto"/>
        </w:rPr>
        <w:t>10%）。塔机的电源用</w:t>
      </w:r>
      <w:r>
        <w:rPr>
          <w:color w:val="auto"/>
        </w:rPr>
        <w:t>YCW3x25+2x10mm²</w:t>
      </w:r>
      <w:r>
        <w:rPr>
          <w:rFonts w:hint="eastAsia"/>
          <w:color w:val="auto"/>
        </w:rPr>
        <w:t>五芯型橡套电缆从塔身中间经驾驶室至电控箱。全机共有3个电气箱，即；电气控制箱、电阻箱、接线端子箱，均放在塔机平衡臂上。司机室内设有一个总电源空气开关。全机总功率为</w:t>
      </w:r>
      <w:r>
        <w:rPr>
          <w:color w:val="auto"/>
        </w:rPr>
        <w:t>54kW(</w:t>
      </w:r>
      <w:r>
        <w:rPr>
          <w:rFonts w:hint="eastAsia"/>
          <w:color w:val="auto"/>
        </w:rPr>
        <w:t>不包含顶升机构）。二级配电箱距离塔身不超过3米的范围内。</w:t>
      </w:r>
    </w:p>
    <w:bookmarkEnd w:id="91"/>
    <w:bookmarkEnd w:id="92"/>
    <w:bookmarkEnd w:id="93"/>
    <w:bookmarkEnd w:id="94"/>
    <w:bookmarkEnd w:id="95"/>
    <w:bookmarkEnd w:id="96"/>
    <w:bookmarkEnd w:id="97"/>
    <w:bookmarkEnd w:id="99"/>
    <w:p w14:paraId="10633D4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0" w:name="_Toc24247"/>
      <w:bookmarkStart w:id="101" w:name="_Toc663"/>
      <w:bookmarkStart w:id="102" w:name="_Toc19280"/>
      <w:bookmarkStart w:id="103" w:name="_Toc6189"/>
      <w:bookmarkStart w:id="104" w:name="_Toc18789"/>
      <w:bookmarkStart w:id="105" w:name="_Toc14138"/>
      <w:bookmarkStart w:id="106" w:name="_Toc19383"/>
      <w:bookmarkStart w:id="107" w:name="_Toc40778440"/>
      <w:r>
        <w:rPr>
          <w:rFonts w:hint="eastAsia"/>
          <w:color w:val="auto"/>
          <w:lang w:val="en-US" w:eastAsia="zh-CN"/>
        </w:rPr>
        <w:t>XGT6013-6S1</w:t>
      </w:r>
      <w:bookmarkEnd w:id="100"/>
      <w:bookmarkEnd w:id="101"/>
      <w:bookmarkEnd w:id="102"/>
      <w:bookmarkEnd w:id="103"/>
      <w:r>
        <w:rPr>
          <w:rFonts w:hint="eastAsia"/>
          <w:color w:val="auto"/>
          <w:lang w:val="en-US" w:eastAsia="zh-CN"/>
        </w:rPr>
        <w:t>顶升加节步骤</w:t>
      </w:r>
      <w:bookmarkEnd w:id="104"/>
    </w:p>
    <w:p w14:paraId="39F7F717">
      <w:pPr>
        <w:ind w:firstLine="480"/>
        <w:rPr>
          <w:rFonts w:hint="eastAsia" w:ascii="宋体" w:hAnsi="宋体" w:eastAsia="宋体" w:cs="宋体"/>
          <w:color w:val="auto"/>
          <w:kern w:val="0"/>
          <w:sz w:val="24"/>
          <w:szCs w:val="24"/>
          <w:lang w:val="en-US" w:eastAsia="zh-CN" w:bidi="ar"/>
        </w:rPr>
      </w:pPr>
      <w:r>
        <w:rPr>
          <w:rFonts w:hint="eastAsia"/>
          <w:color w:val="auto"/>
          <w:szCs w:val="24"/>
          <w:highlight w:val="none"/>
          <w:lang w:val="en-US" w:eastAsia="zh-CN"/>
        </w:rPr>
        <w:t>塔</w:t>
      </w:r>
      <w:r>
        <w:rPr>
          <w:rFonts w:hint="eastAsia" w:ascii="Times New Roman" w:hAnsi="Times New Roman"/>
          <w:color w:val="auto"/>
          <w:szCs w:val="24"/>
          <w:highlight w:val="none"/>
        </w:rPr>
        <w:t>机</w:t>
      </w:r>
      <w:r>
        <w:rPr>
          <w:rFonts w:hint="eastAsia"/>
          <w:color w:val="auto"/>
          <w:szCs w:val="24"/>
          <w:highlight w:val="none"/>
          <w:lang w:val="en-US" w:eastAsia="zh-CN"/>
        </w:rPr>
        <w:t>目前安装</w:t>
      </w:r>
      <w:r>
        <w:rPr>
          <w:rFonts w:hint="eastAsia" w:ascii="Times New Roman" w:hAnsi="Times New Roman"/>
          <w:color w:val="auto"/>
          <w:szCs w:val="24"/>
          <w:highlight w:val="none"/>
        </w:rPr>
        <w:t>高度为</w:t>
      </w:r>
      <w:r>
        <w:rPr>
          <w:rFonts w:hint="eastAsia"/>
          <w:color w:val="auto"/>
          <w:szCs w:val="24"/>
          <w:highlight w:val="none"/>
          <w:lang w:val="en-US" w:eastAsia="zh-CN"/>
        </w:rPr>
        <w:t>23.2</w:t>
      </w:r>
      <w:r>
        <w:rPr>
          <w:rFonts w:hint="eastAsia" w:ascii="Times New Roman" w:hAnsi="Times New Roman"/>
          <w:color w:val="auto"/>
          <w:szCs w:val="24"/>
          <w:highlight w:val="none"/>
        </w:rPr>
        <w:t>m，总共安装标准节</w:t>
      </w:r>
      <w:r>
        <w:rPr>
          <w:rFonts w:hint="eastAsia"/>
          <w:color w:val="auto"/>
          <w:szCs w:val="24"/>
          <w:highlight w:val="none"/>
          <w:lang w:val="en-US" w:eastAsia="zh-CN"/>
        </w:rPr>
        <w:t>6</w:t>
      </w:r>
      <w:r>
        <w:rPr>
          <w:rFonts w:hint="eastAsia" w:ascii="Times New Roman" w:hAnsi="Times New Roman"/>
          <w:color w:val="auto"/>
          <w:szCs w:val="24"/>
          <w:highlight w:val="none"/>
        </w:rPr>
        <w:t>节</w:t>
      </w:r>
      <w:r>
        <w:rPr>
          <w:rFonts w:hint="eastAsia"/>
          <w:color w:val="auto"/>
          <w:szCs w:val="24"/>
          <w:highlight w:val="none"/>
          <w:lang w:eastAsia="zh-CN"/>
        </w:rPr>
        <w:t>，</w:t>
      </w:r>
      <w:r>
        <w:rPr>
          <w:rFonts w:hint="eastAsia" w:ascii="Times New Roman" w:hAnsi="Times New Roman"/>
          <w:color w:val="auto"/>
          <w:szCs w:val="24"/>
        </w:rPr>
        <w:t>根据现场施工需求</w:t>
      </w:r>
      <w:r>
        <w:rPr>
          <w:rFonts w:hint="eastAsia" w:ascii="Times New Roman" w:hAnsi="Times New Roman"/>
          <w:color w:val="auto"/>
          <w:szCs w:val="24"/>
          <w:highlight w:val="none"/>
        </w:rPr>
        <w:t>，塔机</w:t>
      </w:r>
      <w:r>
        <w:rPr>
          <w:rFonts w:hint="eastAsia"/>
          <w:color w:val="auto"/>
          <w:szCs w:val="24"/>
          <w:highlight w:val="none"/>
          <w:lang w:val="en-US" w:eastAsia="zh-CN"/>
        </w:rPr>
        <w:t>需顶升到34.4</w:t>
      </w:r>
      <w:r>
        <w:rPr>
          <w:rFonts w:hint="eastAsia" w:ascii="Times New Roman" w:hAnsi="Times New Roman"/>
          <w:color w:val="auto"/>
          <w:szCs w:val="24"/>
          <w:highlight w:val="none"/>
        </w:rPr>
        <w:t>m，</w:t>
      </w:r>
      <w:r>
        <w:rPr>
          <w:rFonts w:hint="eastAsia"/>
          <w:color w:val="auto"/>
          <w:szCs w:val="24"/>
          <w:highlight w:val="none"/>
          <w:lang w:val="en-US" w:eastAsia="zh-CN"/>
        </w:rPr>
        <w:t>再安装</w:t>
      </w:r>
      <w:r>
        <w:rPr>
          <w:rFonts w:hint="eastAsia" w:ascii="Times New Roman" w:hAnsi="Times New Roman"/>
          <w:color w:val="auto"/>
          <w:szCs w:val="24"/>
          <w:highlight w:val="none"/>
        </w:rPr>
        <w:t>标准节</w:t>
      </w:r>
      <w:r>
        <w:rPr>
          <w:rFonts w:hint="eastAsia"/>
          <w:color w:val="auto"/>
          <w:szCs w:val="24"/>
          <w:highlight w:val="none"/>
          <w:lang w:val="en-US" w:eastAsia="zh-CN"/>
        </w:rPr>
        <w:t>4</w:t>
      </w:r>
      <w:r>
        <w:rPr>
          <w:rFonts w:hint="eastAsia" w:ascii="Times New Roman" w:hAnsi="Times New Roman"/>
          <w:color w:val="auto"/>
          <w:szCs w:val="24"/>
          <w:highlight w:val="none"/>
        </w:rPr>
        <w:t>节。</w:t>
      </w:r>
      <w:r>
        <w:rPr>
          <w:rFonts w:hint="eastAsia" w:ascii="Times New Roman" w:hAnsi="Times New Roman"/>
          <w:color w:val="auto"/>
          <w:szCs w:val="24"/>
        </w:rPr>
        <w:t>塔吊顶升加节前，首先应进行顶升交底和操作人员技能培训，待顶升操作人员清晰</w:t>
      </w:r>
      <w:bookmarkStart w:id="353" w:name="_GoBack"/>
      <w:bookmarkEnd w:id="353"/>
      <w:r>
        <w:rPr>
          <w:rFonts w:hint="eastAsia" w:ascii="Times New Roman" w:hAnsi="Times New Roman"/>
          <w:color w:val="auto"/>
          <w:szCs w:val="24"/>
        </w:rPr>
        <w:t>其工作界面后，方可开始顶升。</w:t>
      </w:r>
    </w:p>
    <w:p w14:paraId="188F1C7C">
      <w:pPr>
        <w:pStyle w:val="4"/>
        <w:bidi w:val="0"/>
        <w:rPr>
          <w:rFonts w:hint="eastAsia" w:ascii="宋体" w:hAnsi="宋体" w:eastAsia="宋体" w:cs="宋体"/>
          <w:color w:val="auto"/>
          <w:kern w:val="0"/>
          <w:sz w:val="24"/>
          <w:szCs w:val="24"/>
          <w:lang w:val="en-US" w:eastAsia="zh-CN" w:bidi="ar"/>
        </w:rPr>
      </w:pPr>
      <w:r>
        <w:rPr>
          <w:rFonts w:ascii="黑体" w:hAnsi="宋体" w:eastAsia="黑体" w:cs="黑体"/>
          <w:color w:val="auto"/>
          <w:kern w:val="0"/>
          <w:sz w:val="24"/>
          <w:szCs w:val="24"/>
          <w:lang w:val="en-US" w:eastAsia="zh-CN" w:bidi="ar"/>
        </w:rPr>
        <w:t>顶升前的准备工作</w:t>
      </w:r>
    </w:p>
    <w:p w14:paraId="5D512B6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按液压泵站要求给其油箱加油，顶升横梁防脱装置的销轴退出踏步的圆孔。 </w:t>
      </w:r>
    </w:p>
    <w:p w14:paraId="39E7395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清理好各个塔身节，在塔身节连接套内涂上黄油，将待顶升加高用的标准节在顶升位置时的起重臂下排成一排，这样能使塔机在整个顶升加节过程中不用回转机构，能使顶升加节过程所用时间最短。 </w:t>
      </w:r>
    </w:p>
    <w:p w14:paraId="7EAC7D2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放松电缆长度略大于总的顶升高度，并紧固好电缆。</w:t>
      </w:r>
    </w:p>
    <w:p w14:paraId="0C3D375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将起重臂旋转至爬升架前方，平衡臂处于爬升架的后方（顶升油缸必须位于平衡臂下方）爬升架平台上准备好塔身高强度螺栓。 </w:t>
      </w:r>
    </w:p>
    <w:p w14:paraId="37A9833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检查、调试并确认顶升机构工作正确、可靠，保证爬升架能按塔机爬升规定的程序上升、下降、可靠停止；运行过程中应平稳，无爬行、振动现象。 </w:t>
      </w:r>
    </w:p>
    <w:p w14:paraId="440F830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检查爬升架支承系统，确保各部分运动灵活，承重可靠。 </w:t>
      </w:r>
    </w:p>
    <w:p w14:paraId="6BE5711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液压顶升机构应保证安全，溢流阀的调整压力不得大于系统额定工作压力</w:t>
      </w:r>
      <w:r>
        <w:rPr>
          <w:rFonts w:ascii="Calibri" w:hAnsi="Calibri" w:eastAsia="宋体" w:cs="Calibri"/>
          <w:color w:val="auto"/>
          <w:kern w:val="0"/>
          <w:sz w:val="24"/>
          <w:szCs w:val="24"/>
          <w:lang w:val="en-US" w:eastAsia="zh-CN" w:bidi="ar"/>
        </w:rPr>
        <w:t>110%</w:t>
      </w:r>
      <w:r>
        <w:rPr>
          <w:rFonts w:hint="eastAsia" w:ascii="宋体" w:hAnsi="宋体" w:eastAsia="宋体" w:cs="宋体"/>
          <w:color w:val="auto"/>
          <w:kern w:val="0"/>
          <w:sz w:val="24"/>
          <w:szCs w:val="24"/>
          <w:lang w:val="en-US" w:eastAsia="zh-CN" w:bidi="ar"/>
        </w:rPr>
        <w:t xml:space="preserve">。 </w:t>
      </w:r>
    </w:p>
    <w:p w14:paraId="71CF9948">
      <w:pPr>
        <w:pStyle w:val="4"/>
        <w:bidi w:val="0"/>
        <w:rPr>
          <w:rFonts w:ascii="黑体" w:hAnsi="宋体" w:eastAsia="黑体" w:cs="黑体"/>
          <w:color w:val="auto"/>
          <w:kern w:val="0"/>
          <w:sz w:val="24"/>
          <w:szCs w:val="24"/>
          <w:lang w:val="en-US" w:eastAsia="zh-CN" w:bidi="ar"/>
        </w:rPr>
      </w:pPr>
      <w:r>
        <w:rPr>
          <w:rFonts w:ascii="黑体" w:hAnsi="宋体" w:eastAsia="黑体" w:cs="黑体"/>
          <w:color w:val="auto"/>
          <w:kern w:val="0"/>
          <w:sz w:val="24"/>
          <w:szCs w:val="24"/>
          <w:lang w:val="en-US" w:eastAsia="zh-CN" w:bidi="ar"/>
        </w:rPr>
        <w:t>顶升时的配平</w:t>
      </w:r>
    </w:p>
    <w:p w14:paraId="6E8917F5">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概述</w:t>
      </w:r>
    </w:p>
    <w:p w14:paraId="2F0BC1F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2EDC822D">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理论配平数据</w:t>
      </w:r>
    </w:p>
    <w:p w14:paraId="204405DF">
      <w:pPr>
        <w:keepNext w:val="0"/>
        <w:keepLines w:val="0"/>
        <w:widowControl/>
        <w:suppressLineNumbers w:val="0"/>
        <w:jc w:val="left"/>
        <w:rPr>
          <w:rFonts w:hint="eastAsia"/>
          <w:color w:val="auto"/>
        </w:rPr>
      </w:pPr>
      <w:r>
        <w:rPr>
          <w:rFonts w:hint="eastAsia"/>
          <w:color w:val="auto"/>
          <w:lang w:eastAsia="zh-CN"/>
        </w:rPr>
        <w:t>注意：</w:t>
      </w:r>
      <w:r>
        <w:rPr>
          <w:rFonts w:hint="eastAsia" w:ascii="宋体" w:hAnsi="宋体" w:eastAsia="宋体" w:cs="宋体"/>
          <w:b w:val="0"/>
          <w:bCs w:val="0"/>
          <w:color w:val="auto"/>
          <w:kern w:val="0"/>
          <w:sz w:val="24"/>
          <w:szCs w:val="24"/>
          <w:lang w:val="en-US" w:eastAsia="zh-CN" w:bidi="ar"/>
        </w:rPr>
        <w:t xml:space="preserve">必须使得塔机上部重心落在顶升油缸梁的位置上，方能进行塔机的顶升工作，否则可能会导致塔机倾覆，造成人身伤害安全事故！ </w:t>
      </w:r>
    </w:p>
    <w:p w14:paraId="5EEDA97C">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5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IMG_256"/>
                    <pic:cNvPicPr>
                      <a:picLocks noChangeAspect="1"/>
                    </pic:cNvPicPr>
                  </pic:nvPicPr>
                  <pic:blipFill>
                    <a:blip r:embed="rId25"/>
                    <a:stretch>
                      <a:fillRect/>
                    </a:stretch>
                  </pic:blipFill>
                  <pic:spPr>
                    <a:xfrm>
                      <a:off x="0" y="0"/>
                      <a:ext cx="4648200" cy="1397635"/>
                    </a:xfrm>
                    <a:prstGeom prst="rect">
                      <a:avLst/>
                    </a:prstGeom>
                    <a:noFill/>
                    <a:ln>
                      <a:noFill/>
                    </a:ln>
                  </pic:spPr>
                </pic:pic>
              </a:graphicData>
            </a:graphic>
          </wp:inline>
        </w:drawing>
      </w:r>
    </w:p>
    <w:p w14:paraId="2BB1657B">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－1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0ABBAFB7">
      <w:pPr>
        <w:pStyle w:val="38"/>
        <w:rPr>
          <w:rFonts w:ascii="宋体" w:hAnsi="宋体" w:eastAsia="宋体" w:cs="宋体"/>
          <w:color w:val="auto"/>
          <w:kern w:val="0"/>
          <w:sz w:val="24"/>
          <w:szCs w:val="24"/>
          <w:lang w:val="en-US" w:eastAsia="zh-CN" w:bidi="ar"/>
        </w:rPr>
      </w:pPr>
    </w:p>
    <w:p w14:paraId="28AC83F2">
      <w:pPr>
        <w:keepNext w:val="0"/>
        <w:keepLines w:val="0"/>
        <w:widowControl/>
        <w:suppressLineNumbers w:val="0"/>
        <w:ind w:left="0" w:leftChars="0" w:firstLine="0" w:firstLineChars="0"/>
        <w:jc w:val="center"/>
        <w:rPr>
          <w:color w:val="auto"/>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098F9C6B">
      <w:pPr>
        <w:keepNext w:val="0"/>
        <w:keepLines w:val="0"/>
        <w:widowControl/>
        <w:suppressLineNumbers w:val="0"/>
        <w:ind w:left="0" w:leftChars="0" w:firstLine="0" w:firstLineChars="0"/>
        <w:jc w:val="left"/>
        <w:rPr>
          <w:rFonts w:hint="eastAsia" w:eastAsia="宋体"/>
          <w:color w:val="auto"/>
          <w:lang w:eastAsia="zh-CN"/>
        </w:rPr>
      </w:pPr>
      <w:r>
        <w:drawing>
          <wp:inline distT="0" distB="0" distL="114300" distR="114300">
            <wp:extent cx="5650230" cy="2258695"/>
            <wp:effectExtent l="0" t="0" r="7620" b="8255"/>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26"/>
                    <a:stretch>
                      <a:fillRect/>
                    </a:stretch>
                  </pic:blipFill>
                  <pic:spPr>
                    <a:xfrm>
                      <a:off x="0" y="0"/>
                      <a:ext cx="5650230" cy="2258695"/>
                    </a:xfrm>
                    <a:prstGeom prst="rect">
                      <a:avLst/>
                    </a:prstGeom>
                    <a:noFill/>
                    <a:ln>
                      <a:noFill/>
                    </a:ln>
                  </pic:spPr>
                </pic:pic>
              </a:graphicData>
            </a:graphic>
          </wp:inline>
        </w:drawing>
      </w:r>
    </w:p>
    <w:p w14:paraId="290A9B76">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注意一：</w:t>
      </w:r>
      <w:r>
        <w:rPr>
          <w:rFonts w:hint="eastAsia" w:ascii="宋体" w:hAnsi="宋体" w:eastAsia="宋体" w:cs="宋体"/>
          <w:b w:val="0"/>
          <w:bCs w:val="0"/>
          <w:color w:val="auto"/>
          <w:kern w:val="0"/>
          <w:sz w:val="24"/>
          <w:szCs w:val="24"/>
          <w:lang w:val="en-US" w:eastAsia="zh-CN" w:bidi="ar"/>
        </w:rPr>
        <w:t>上表中的数据为理论配平尺寸，实际配平时以观察下支座支腿与塔身主弦杆在一条垂直线上，并观察爬升架 8 个导轮与塔身主弦杆间隙基本相同为准，否则可能造成配平错误，导致顶升倾覆安全事故。</w:t>
      </w:r>
    </w:p>
    <w:p w14:paraId="2CDA63CA">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198C3744">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1）回转起重臂。</w:t>
      </w:r>
    </w:p>
    <w:p w14:paraId="57188AAA">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2）移动小车。 </w:t>
      </w:r>
    </w:p>
    <w:p w14:paraId="58CC34B1">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3）提升重物（上升及下降）。 </w:t>
      </w:r>
    </w:p>
    <w:p w14:paraId="53F1F4D0">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2D4F4EBA">
      <w:pPr>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）一般说明</w:t>
      </w:r>
    </w:p>
    <w:p w14:paraId="7CA469C5">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69F75DE3">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顶升原理</w:t>
      </w:r>
    </w:p>
    <w:p w14:paraId="40C0FAD1">
      <w:pPr>
        <w:ind w:firstLine="480"/>
        <w:rPr>
          <w:rFonts w:hint="eastAsia" w:ascii="宋体" w:hAnsi="宋体" w:eastAsia="宋体" w:cs="宋体"/>
          <w:color w:val="auto"/>
          <w:szCs w:val="24"/>
        </w:rPr>
      </w:pPr>
      <w:r>
        <w:rPr>
          <w:rFonts w:hint="eastAsia" w:ascii="宋体" w:hAnsi="宋体" w:eastAsia="宋体" w:cs="宋体"/>
          <w:color w:val="auto"/>
          <w:szCs w:val="24"/>
        </w:rPr>
        <w:t>1)顶升程序包括一系列操作过程，这些操作过程需要重复进行几次。</w:t>
      </w:r>
    </w:p>
    <w:p w14:paraId="191608CB">
      <w:pPr>
        <w:ind w:firstLine="480"/>
        <w:rPr>
          <w:rFonts w:hint="eastAsia" w:ascii="宋体" w:hAnsi="宋体" w:eastAsia="宋体" w:cs="宋体"/>
          <w:color w:val="auto"/>
          <w:szCs w:val="24"/>
        </w:rPr>
      </w:pPr>
      <w:r>
        <w:rPr>
          <w:rFonts w:hint="eastAsia" w:ascii="宋体" w:hAnsi="宋体" w:eastAsia="宋体" w:cs="宋体"/>
          <w:color w:val="auto"/>
          <w:szCs w:val="24"/>
        </w:rPr>
        <w:t>2)将顶升横梁上的挂靴放入标准节上就近的一组顶升耳座内，并用安全销将挂靴与标准节固定，防止挂靴脱出顶升耳座。</w:t>
      </w:r>
    </w:p>
    <w:p w14:paraId="5CFA78F7">
      <w:pPr>
        <w:ind w:firstLine="480"/>
        <w:rPr>
          <w:rFonts w:hint="eastAsia" w:ascii="宋体" w:hAnsi="宋体" w:eastAsia="宋体" w:cs="宋体"/>
          <w:color w:val="auto"/>
          <w:szCs w:val="24"/>
        </w:rPr>
      </w:pPr>
      <w:r>
        <w:rPr>
          <w:rFonts w:hint="eastAsia" w:ascii="宋体" w:hAnsi="宋体" w:eastAsia="宋体" w:cs="宋体"/>
          <w:color w:val="auto"/>
          <w:szCs w:val="24"/>
        </w:rPr>
        <w:t>3)将塔机回转以上部分配平，使其重心位置落在顶升油缸上。</w:t>
      </w:r>
    </w:p>
    <w:p w14:paraId="4570F61D">
      <w:pPr>
        <w:ind w:firstLine="480"/>
        <w:rPr>
          <w:rFonts w:hint="eastAsia" w:ascii="宋体" w:hAnsi="宋体" w:eastAsia="宋体" w:cs="宋体"/>
          <w:color w:val="auto"/>
          <w:szCs w:val="24"/>
        </w:rPr>
      </w:pPr>
      <w:r>
        <w:rPr>
          <w:rFonts w:hint="eastAsia" w:ascii="宋体" w:hAnsi="宋体" w:eastAsia="宋体" w:cs="宋体"/>
          <w:color w:val="auto"/>
          <w:szCs w:val="24"/>
        </w:rPr>
        <w:t>4)用顶升横梁上的顶升油缸顶起塔机下支座及以上部分。</w:t>
      </w:r>
    </w:p>
    <w:p w14:paraId="77AB0F2C">
      <w:pPr>
        <w:ind w:firstLine="480"/>
        <w:rPr>
          <w:rFonts w:hint="eastAsia" w:ascii="宋体" w:hAnsi="宋体" w:eastAsia="宋体" w:cs="宋体"/>
          <w:color w:val="auto"/>
          <w:szCs w:val="24"/>
        </w:rPr>
      </w:pPr>
      <w:r>
        <w:rPr>
          <w:rFonts w:hint="eastAsia" w:ascii="宋体" w:hAnsi="宋体" w:eastAsia="宋体" w:cs="宋体"/>
          <w:color w:val="auto"/>
          <w:szCs w:val="24"/>
        </w:rPr>
        <w:t>5)用套架制动块将顶起的塔机部分支撑在塔身的顶各项耳座上。</w:t>
      </w:r>
    </w:p>
    <w:p w14:paraId="4F14545C">
      <w:pPr>
        <w:ind w:firstLine="480"/>
        <w:rPr>
          <w:rFonts w:hint="eastAsia" w:ascii="宋体" w:hAnsi="宋体" w:eastAsia="宋体" w:cs="宋体"/>
          <w:color w:val="auto"/>
          <w:szCs w:val="24"/>
        </w:rPr>
      </w:pPr>
      <w:r>
        <w:rPr>
          <w:rFonts w:hint="eastAsia" w:ascii="宋体" w:hAnsi="宋体" w:eastAsia="宋体" w:cs="宋体"/>
          <w:color w:val="auto"/>
          <w:szCs w:val="24"/>
        </w:rPr>
        <w:t>6)抽出将挂靴锁闭在耳座上的安全销。</w:t>
      </w:r>
    </w:p>
    <w:p w14:paraId="04E8E3A9">
      <w:pPr>
        <w:ind w:firstLine="480"/>
        <w:rPr>
          <w:rFonts w:hint="eastAsia" w:ascii="宋体" w:hAnsi="宋体" w:eastAsia="宋体" w:cs="宋体"/>
          <w:color w:val="auto"/>
          <w:szCs w:val="24"/>
        </w:rPr>
      </w:pPr>
      <w:r>
        <w:rPr>
          <w:rFonts w:hint="eastAsia" w:ascii="宋体" w:hAnsi="宋体" w:eastAsia="宋体" w:cs="宋体"/>
          <w:color w:val="auto"/>
          <w:szCs w:val="24"/>
        </w:rPr>
        <w:t>7)收回油缸活塞杆，将顶升横梁组件提起。</w:t>
      </w:r>
    </w:p>
    <w:p w14:paraId="452F5CA9">
      <w:pPr>
        <w:ind w:firstLine="480"/>
        <w:rPr>
          <w:rFonts w:hint="eastAsia" w:ascii="宋体" w:hAnsi="宋体" w:eastAsia="宋体" w:cs="宋体"/>
          <w:color w:val="auto"/>
          <w:szCs w:val="24"/>
        </w:rPr>
      </w:pPr>
      <w:r>
        <w:rPr>
          <w:rFonts w:hint="eastAsia" w:ascii="宋体" w:hAnsi="宋体" w:eastAsia="宋体" w:cs="宋体"/>
          <w:color w:val="auto"/>
          <w:szCs w:val="24"/>
        </w:rPr>
        <w:t>8)重新将顶升横梁放到上一对顶升耳座内，再开始做下一个工作循环。</w:t>
      </w:r>
    </w:p>
    <w:p w14:paraId="7EFFB579">
      <w:pPr>
        <w:ind w:firstLine="480"/>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Cs w:val="24"/>
        </w:rPr>
        <w:t>9)顶升油缸活塞杆的工作行程略为1.6米，顶升两次可安装一节标准节。</w:t>
      </w:r>
    </w:p>
    <w:p w14:paraId="70E2FC4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（5）配平起重机 </w:t>
      </w:r>
    </w:p>
    <w:p w14:paraId="74F61E0D">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1）准备 </w:t>
      </w:r>
    </w:p>
    <w:p w14:paraId="7519EB80">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检查确认引进平台上放置着一个标节。 检查确认爬升架由销轴固定到特殊节上。 将变幅小车（有/无载荷须根据要求）移到理论上的平衡距离。取下最后一节标节与特殊节之间的螺栓。 </w:t>
      </w:r>
    </w:p>
    <w:p w14:paraId="0F619206">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2）配平 </w:t>
      </w:r>
    </w:p>
    <w:p w14:paraId="23BAA665">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color w:val="auto"/>
          <w:kern w:val="0"/>
          <w:sz w:val="24"/>
          <w:szCs w:val="24"/>
          <w:lang w:val="en-US" w:eastAsia="zh-CN" w:bidi="ar"/>
        </w:rPr>
        <w:t>注</w:t>
      </w:r>
      <w:r>
        <w:rPr>
          <w:rFonts w:hint="eastAsia" w:ascii="宋体" w:hAnsi="宋体" w:eastAsia="宋体" w:cs="宋体"/>
          <w:b w:val="0"/>
          <w:bCs w:val="0"/>
          <w:color w:val="auto"/>
          <w:kern w:val="0"/>
          <w:sz w:val="24"/>
          <w:szCs w:val="24"/>
          <w:lang w:val="en-US" w:eastAsia="zh-CN" w:bidi="ar"/>
        </w:rPr>
        <w:t>意：只有在特殊节支脚被顶起离开塔身连接套时方可进行配平微调。</w:t>
      </w:r>
    </w:p>
    <w:p w14:paraId="3034141B">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864735" cy="1334135"/>
            <wp:effectExtent l="0" t="0" r="12065" b="18415"/>
            <wp:docPr id="5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descr="IMG_256"/>
                    <pic:cNvPicPr>
                      <a:picLocks noChangeAspect="1"/>
                    </pic:cNvPicPr>
                  </pic:nvPicPr>
                  <pic:blipFill>
                    <a:blip r:embed="rId27"/>
                    <a:stretch>
                      <a:fillRect/>
                    </a:stretch>
                  </pic:blipFill>
                  <pic:spPr>
                    <a:xfrm>
                      <a:off x="0" y="0"/>
                      <a:ext cx="4864735" cy="1334135"/>
                    </a:xfrm>
                    <a:prstGeom prst="rect">
                      <a:avLst/>
                    </a:prstGeom>
                    <a:noFill/>
                    <a:ln>
                      <a:noFill/>
                    </a:ln>
                  </pic:spPr>
                </pic:pic>
              </a:graphicData>
            </a:graphic>
          </wp:inline>
        </w:drawing>
      </w:r>
    </w:p>
    <w:p w14:paraId="689CD175">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3C318704">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塔机配平前，必须先将载重小车运行到配平参考位置，并吊起一节标准节（顶升时必须根据实际情况的需要调整），然后拆除特殊节四个支腿与标准节的连接螺栓。 </w:t>
      </w:r>
    </w:p>
    <w:p w14:paraId="42273FF3">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将液压顶升系统操纵杆推至“顶升”方向，使爬升架顶升至特殊节支腿刚刚脱离塔身节的主弦杆的位置。 </w:t>
      </w:r>
    </w:p>
    <w:p w14:paraId="487538A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通过检验特殊节支腿与塔身主弦杆是否在一条垂直线上，并观察爬升架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个导轮与塔身主弦杆间隙是否基本相同来检查塔机是否平衡。略微调整载重小车的配平位置，直至平衡。必须使得塔机上部重心落在顶升油缸梁的位置上。 </w:t>
      </w:r>
    </w:p>
    <w:p w14:paraId="7C0E33C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记录下载重小车的配平位置。但要注意该位置随起重臂长度不同而改变。 </w:t>
      </w:r>
    </w:p>
    <w:p w14:paraId="0E01905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操纵液压系统使爬升架下降，连接好特殊节塔身节间的连接螺栓。</w:t>
      </w:r>
    </w:p>
    <w:p w14:paraId="53A8BB5F">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（6）顶升作业</w:t>
      </w:r>
    </w:p>
    <w:p w14:paraId="06EE1541">
      <w:pPr>
        <w:keepNext w:val="0"/>
        <w:keepLines w:val="0"/>
        <w:widowControl/>
        <w:suppressLineNumbers w:val="0"/>
        <w:jc w:val="left"/>
        <w:rPr>
          <w:rFonts w:hint="eastAsia"/>
          <w:color w:val="auto"/>
          <w:lang w:val="en-US" w:eastAsia="zh-CN"/>
        </w:rPr>
      </w:pPr>
      <w:r>
        <w:rPr>
          <w:rFonts w:hint="eastAsia"/>
          <w:color w:val="auto"/>
          <w:lang w:val="en-US" w:eastAsia="zh-CN"/>
        </w:rPr>
        <w:t>1）顶升作业顺序</w:t>
      </w:r>
    </w:p>
    <w:p w14:paraId="5B10053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3B7B321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171950" cy="1095375"/>
            <wp:effectExtent l="0" t="0" r="0" b="9525"/>
            <wp:docPr id="5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256"/>
                    <pic:cNvPicPr>
                      <a:picLocks noChangeAspect="1"/>
                    </pic:cNvPicPr>
                  </pic:nvPicPr>
                  <pic:blipFill>
                    <a:blip r:embed="rId28"/>
                    <a:stretch>
                      <a:fillRect/>
                    </a:stretch>
                  </pic:blipFill>
                  <pic:spPr>
                    <a:xfrm>
                      <a:off x="0" y="0"/>
                      <a:ext cx="4171950" cy="1095375"/>
                    </a:xfrm>
                    <a:prstGeom prst="rect">
                      <a:avLst/>
                    </a:prstGeom>
                    <a:noFill/>
                    <a:ln>
                      <a:noFill/>
                    </a:ln>
                  </pic:spPr>
                </pic:pic>
              </a:graphicData>
            </a:graphic>
          </wp:inline>
        </w:drawing>
      </w:r>
    </w:p>
    <w:p w14:paraId="26736C75">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塔机配平调整</w:t>
      </w:r>
      <w:r>
        <w:rPr>
          <w:rFonts w:hint="eastAsia" w:ascii="宋体" w:hAnsi="宋体" w:eastAsia="宋体" w:cs="宋体"/>
          <w:b/>
          <w:bCs/>
          <w:color w:val="auto"/>
          <w:sz w:val="21"/>
          <w:szCs w:val="21"/>
          <w:lang w:val="en-US" w:eastAsia="zh-CN"/>
        </w:rPr>
        <w:t>示意图</w:t>
      </w:r>
    </w:p>
    <w:p w14:paraId="3126B8C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使用回转机构上的回转制动器，将塔机上部机构处于制动状态，卸下塔身顶部与特殊节连接的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个高强度螺栓。 </w:t>
      </w:r>
    </w:p>
    <w:p w14:paraId="56EC327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开动液压顶升系统，使油缸活塞杆伸出，将顶升横梁两端的销轴（</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）落入距顶升横梁最近的塔身节踏步（</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）的圆弧槽内，插入防脱销【防脱销的使用详见 </w:t>
      </w:r>
      <w:r>
        <w:rPr>
          <w:rFonts w:hint="default" w:ascii="Times New Roman" w:hAnsi="Times New Roman" w:eastAsia="宋体" w:cs="Times New Roman"/>
          <w:color w:val="auto"/>
          <w:kern w:val="0"/>
          <w:sz w:val="24"/>
          <w:szCs w:val="24"/>
          <w:lang w:val="en-US" w:eastAsia="zh-CN" w:bidi="ar"/>
        </w:rPr>
        <w:t>23.4</w:t>
      </w:r>
      <w:r>
        <w:rPr>
          <w:rFonts w:hint="eastAsia" w:ascii="宋体" w:hAnsi="宋体" w:eastAsia="宋体" w:cs="宋体"/>
          <w:color w:val="auto"/>
          <w:kern w:val="0"/>
          <w:sz w:val="24"/>
          <w:szCs w:val="24"/>
          <w:lang w:val="en-US" w:eastAsia="zh-CN" w:bidi="ar"/>
        </w:rPr>
        <w:t>《防脱销的使用》】（要设专人负责观察顶升横梁两端销轴都必须落入踏步圆弧槽内），确认无误后继续顶升，将爬升架及以上部分顶起</w:t>
      </w:r>
      <w:r>
        <w:rPr>
          <w:rFonts w:hint="default" w:ascii="Times New Roman" w:hAnsi="Times New Roman" w:eastAsia="宋体" w:cs="Times New Roman"/>
          <w:color w:val="auto"/>
          <w:kern w:val="0"/>
          <w:sz w:val="24"/>
          <w:szCs w:val="24"/>
          <w:lang w:val="en-US" w:eastAsia="zh-CN" w:bidi="ar"/>
        </w:rPr>
        <w:t xml:space="preserve">10~50mm </w:t>
      </w:r>
      <w:r>
        <w:rPr>
          <w:rFonts w:hint="eastAsia" w:ascii="宋体" w:hAnsi="宋体" w:eastAsia="宋体" w:cs="宋体"/>
          <w:color w:val="auto"/>
          <w:kern w:val="0"/>
          <w:sz w:val="24"/>
          <w:szCs w:val="24"/>
          <w:lang w:val="en-US" w:eastAsia="zh-CN" w:bidi="ar"/>
        </w:rPr>
        <w:t>时停止，检查顶升横梁等爬升架传力部件是否有异响、变形，油缸活塞杆是否有自动回缩等异常现象，确认正常后，继续顶升；</w:t>
      </w:r>
    </w:p>
    <w:p w14:paraId="4F602D2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顶升略超过半个塔身节高度并使爬升架上的活动爬爪（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）滑过一对踏步并自动复位后，停止顶升，并回缩油缸；确认两个活动爬爪（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）全部准确地压在踏步（</w:t>
      </w:r>
      <w:r>
        <w:rPr>
          <w:rFonts w:hint="default" w:ascii="Times New Roman" w:hAnsi="Times New Roman" w:eastAsia="宋体" w:cs="Times New Roman"/>
          <w:color w:val="auto"/>
          <w:kern w:val="0"/>
          <w:sz w:val="24"/>
          <w:szCs w:val="24"/>
          <w:lang w:val="en-US" w:eastAsia="zh-CN" w:bidi="ar"/>
        </w:rPr>
        <w:t>C</w:t>
      </w:r>
      <w:r>
        <w:rPr>
          <w:rFonts w:hint="eastAsia" w:ascii="宋体" w:hAnsi="宋体" w:eastAsia="宋体" w:cs="宋体"/>
          <w:color w:val="auto"/>
          <w:kern w:val="0"/>
          <w:sz w:val="24"/>
          <w:szCs w:val="24"/>
          <w:lang w:val="en-US" w:eastAsia="zh-CN" w:bidi="ar"/>
        </w:rPr>
        <w:t>）顶端的平面上并承受住爬升架及其以上部分的重量，且无局部变形、异响等异常情况；</w:t>
      </w:r>
    </w:p>
    <w:p w14:paraId="16774F53">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5215890" cy="2591435"/>
            <wp:effectExtent l="0" t="0" r="3810" b="18415"/>
            <wp:docPr id="6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descr="IMG_256"/>
                    <pic:cNvPicPr>
                      <a:picLocks noChangeAspect="1"/>
                    </pic:cNvPicPr>
                  </pic:nvPicPr>
                  <pic:blipFill>
                    <a:blip r:embed="rId29"/>
                    <a:stretch>
                      <a:fillRect/>
                    </a:stretch>
                  </pic:blipFill>
                  <pic:spPr>
                    <a:xfrm>
                      <a:off x="0" y="0"/>
                      <a:ext cx="5215890" cy="2591435"/>
                    </a:xfrm>
                    <a:prstGeom prst="rect">
                      <a:avLst/>
                    </a:prstGeom>
                    <a:noFill/>
                    <a:ln>
                      <a:noFill/>
                    </a:ln>
                  </pic:spPr>
                </pic:pic>
              </a:graphicData>
            </a:graphic>
          </wp:inline>
        </w:drawing>
      </w:r>
    </w:p>
    <w:p w14:paraId="67281882">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意图一</w:t>
      </w:r>
    </w:p>
    <w:p w14:paraId="027C5FE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）上的标准节（</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）拉进至塔身正上方，稍微缩回油缸，将新引进的标准节落在塔身顶部并对正，拆下引进轮。用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件高强度螺栓（每根高强度螺栓必须有两个螺母）将上、下标准节连接牢靠（预紧力矩 </w:t>
      </w:r>
      <w:r>
        <w:rPr>
          <w:rFonts w:hint="default" w:ascii="Times New Roman" w:hAnsi="Times New Roman" w:eastAsia="宋体" w:cs="Times New Roman"/>
          <w:color w:val="auto"/>
          <w:kern w:val="0"/>
          <w:sz w:val="24"/>
          <w:szCs w:val="24"/>
          <w:lang w:val="en-US" w:eastAsia="zh-CN" w:bidi="ar"/>
        </w:rPr>
        <w:t>1600N·m</w:t>
      </w:r>
      <w:r>
        <w:rPr>
          <w:rFonts w:hint="eastAsia" w:ascii="宋体" w:hAnsi="宋体" w:eastAsia="宋体" w:cs="宋体"/>
          <w:color w:val="auto"/>
          <w:kern w:val="0"/>
          <w:sz w:val="24"/>
          <w:szCs w:val="24"/>
          <w:lang w:val="en-US" w:eastAsia="zh-CN" w:bidi="ar"/>
        </w:rPr>
        <w:t>）；</w:t>
      </w:r>
    </w:p>
    <w:p w14:paraId="2B0ACD8E">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238375" cy="2800350"/>
            <wp:effectExtent l="0" t="0" r="9525" b="0"/>
            <wp:docPr id="6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descr="IMG_256"/>
                    <pic:cNvPicPr>
                      <a:picLocks noChangeAspect="1"/>
                    </pic:cNvPicPr>
                  </pic:nvPicPr>
                  <pic:blipFill>
                    <a:blip r:embed="rId30"/>
                    <a:stretch>
                      <a:fillRect/>
                    </a:stretch>
                  </pic:blipFill>
                  <pic:spPr>
                    <a:xfrm>
                      <a:off x="0" y="0"/>
                      <a:ext cx="2238375" cy="2800350"/>
                    </a:xfrm>
                    <a:prstGeom prst="rect">
                      <a:avLst/>
                    </a:prstGeom>
                    <a:noFill/>
                    <a:ln>
                      <a:noFill/>
                    </a:ln>
                  </pic:spPr>
                </pic:pic>
              </a:graphicData>
            </a:graphic>
          </wp:inline>
        </w:drawing>
      </w:r>
    </w:p>
    <w:p w14:paraId="34543979">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w:t>
      </w:r>
      <w:r>
        <w:rPr>
          <w:rFonts w:hint="eastAsia" w:ascii="宋体" w:hAnsi="宋体" w:cs="宋体"/>
          <w:b/>
          <w:bCs/>
          <w:color w:val="auto"/>
          <w:sz w:val="21"/>
          <w:szCs w:val="21"/>
          <w:lang w:val="en-US" w:eastAsia="zh-CN"/>
        </w:rPr>
        <w:t>二</w:t>
      </w:r>
    </w:p>
    <w:p w14:paraId="1B75625F">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3ECC91D3">
      <w:pPr>
        <w:pStyle w:val="38"/>
        <w:rPr>
          <w:rFonts w:hint="eastAsia" w:ascii="宋体" w:hAnsi="宋体" w:eastAsia="宋体" w:cs="宋体"/>
          <w:color w:val="auto"/>
          <w:kern w:val="0"/>
          <w:sz w:val="24"/>
          <w:szCs w:val="24"/>
          <w:lang w:val="en-US" w:eastAsia="zh-CN" w:bidi="ar"/>
        </w:rPr>
      </w:pPr>
    </w:p>
    <w:p w14:paraId="0C4EECD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销轴及防脱销收回后，继续缩回油缸，将特殊节落在新的塔身顶部上，并对正，用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件高强度螺栓将下支座与塔身连接牢靠（每根高强度螺栓必须有两个螺母），即完成一节标准节的加节工作。</w:t>
      </w:r>
    </w:p>
    <w:p w14:paraId="1075661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顶升作业注意事项</w:t>
      </w:r>
    </w:p>
    <w:p w14:paraId="465BCCA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塔机最高处风速大于</w:t>
      </w:r>
      <w:r>
        <w:rPr>
          <w:rFonts w:ascii="Calibri" w:hAnsi="Calibri" w:eastAsia="宋体" w:cs="Calibri"/>
          <w:color w:val="auto"/>
          <w:kern w:val="0"/>
          <w:sz w:val="24"/>
          <w:szCs w:val="24"/>
          <w:lang w:val="en-US" w:eastAsia="zh-CN" w:bidi="ar"/>
        </w:rPr>
        <w:t>12m/s</w:t>
      </w:r>
      <w:r>
        <w:rPr>
          <w:rFonts w:hint="eastAsia" w:ascii="宋体" w:hAnsi="宋体" w:eastAsia="宋体" w:cs="宋体"/>
          <w:color w:val="auto"/>
          <w:kern w:val="0"/>
          <w:sz w:val="24"/>
          <w:szCs w:val="24"/>
          <w:lang w:val="en-US" w:eastAsia="zh-CN" w:bidi="ar"/>
        </w:rPr>
        <w:t xml:space="preserve">时，不得进行顶升作业。 </w:t>
      </w:r>
    </w:p>
    <w:p w14:paraId="3F38147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4EC2F45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10EC3B1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若要连续加高几节标准节，则每加完一节后，用塔机自身起吊下一节标准节前，塔身</w:t>
      </w:r>
      <w:r>
        <w:rPr>
          <w:rFonts w:hint="default" w:ascii="Calibri" w:hAnsi="Calibri" w:eastAsia="宋体" w:cs="Calibri"/>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个主弦杆和特殊节必须有</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个的螺栓连接，唯有在这种情况下，允许这</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根螺栓每根只用一个螺母。 </w:t>
      </w:r>
    </w:p>
    <w:p w14:paraId="2433EA20">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xml:space="preserve">　　所加标准节上的踏步，必须与已有塔身节对正。 </w:t>
      </w:r>
    </w:p>
    <w:p w14:paraId="59FCEDE5">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在特殊节与塔身没有用螺栓连接好之前，严禁起重臂回转、载重小车变幅和吊装作业。 </w:t>
      </w:r>
    </w:p>
    <w:p w14:paraId="6393C07B">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在顶升过程中，若液压顶升系统出现异常，应立即停止顶升，收回油缸，将下支座落在塔身顶部，并用</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件高强度螺栓将特殊节与塔身连接牢靠后，再排除液压系统的故障。 </w:t>
      </w:r>
    </w:p>
    <w:p w14:paraId="19E4F069">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54CB75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防脱销装置的使用方法</w:t>
      </w:r>
    </w:p>
    <w:p w14:paraId="30DDC18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防脱装置由两部分组成，一是顶升横梁上的插销，二是标准节踏步的防脱插销孔，其使用方法如下： </w:t>
      </w:r>
    </w:p>
    <w:p w14:paraId="4D7DE5C2">
      <w:pPr>
        <w:keepNext w:val="0"/>
        <w:keepLines w:val="0"/>
        <w:widowControl/>
        <w:suppressLineNumbers w:val="0"/>
        <w:jc w:val="left"/>
        <w:rPr>
          <w:color w:val="auto"/>
        </w:rPr>
      </w:pP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）塔机开始顶升加节或降塔减节时，顶升横梁的销轴搁置在标准节的圆弧槽内，须将顶升横梁的防脱销插入标准节的防脱销孔内，且固定在前槽内。 </w:t>
      </w:r>
    </w:p>
    <w:p w14:paraId="2DCAD6CC">
      <w:pPr>
        <w:keepNext w:val="0"/>
        <w:keepLines w:val="0"/>
        <w:widowControl/>
        <w:suppressLineNumbers w:val="0"/>
        <w:jc w:val="left"/>
        <w:rPr>
          <w:color w:val="auto"/>
        </w:rPr>
      </w:pPr>
      <w:r>
        <w:rPr>
          <w:rFonts w:hint="default"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）在完成一个顶升步骤、顶升横梁要脱离标准节踏步时，须先将防脱销轴退出标准节防脱销孔，固定在后槽内。</w:t>
      </w:r>
    </w:p>
    <w:p w14:paraId="3FB5B05D">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w:t>
      </w:r>
      <w:r>
        <w:rPr>
          <w:rFonts w:hint="eastAsia" w:ascii="宋体" w:hAnsi="宋体" w:eastAsia="宋体" w:cs="宋体"/>
          <w:b w:val="0"/>
          <w:bCs w:val="0"/>
          <w:color w:val="auto"/>
          <w:kern w:val="0"/>
          <w:sz w:val="24"/>
          <w:szCs w:val="24"/>
          <w:lang w:val="en-US" w:eastAsia="zh-CN" w:bidi="ar"/>
        </w:rPr>
        <w:t xml:space="preserve">防脱销轴未退出标准节防脱销孔，启动顶升机构强行使顶升横梁脱离标准节踏步会损坏防脱销轴。 </w:t>
      </w:r>
    </w:p>
    <w:p w14:paraId="5D7177E0">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858770" cy="2228850"/>
            <wp:effectExtent l="0" t="0" r="17780" b="0"/>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31"/>
                    <a:stretch>
                      <a:fillRect/>
                    </a:stretch>
                  </pic:blipFill>
                  <pic:spPr>
                    <a:xfrm>
                      <a:off x="0" y="0"/>
                      <a:ext cx="2858770" cy="2228850"/>
                    </a:xfrm>
                    <a:prstGeom prst="rect">
                      <a:avLst/>
                    </a:prstGeom>
                    <a:noFill/>
                    <a:ln>
                      <a:noFill/>
                    </a:ln>
                  </pic:spPr>
                </pic:pic>
              </a:graphicData>
            </a:graphic>
          </wp:inline>
        </w:drawing>
      </w:r>
    </w:p>
    <w:p w14:paraId="5FECD063">
      <w:pPr>
        <w:keepNext w:val="0"/>
        <w:keepLines w:val="0"/>
        <w:widowControl/>
        <w:suppressLineNumbers w:val="0"/>
        <w:ind w:left="0" w:leftChars="0" w:firstLine="0" w:firstLineChars="0"/>
        <w:jc w:val="center"/>
        <w:rPr>
          <w:rFonts w:hint="eastAsia" w:ascii="Times New Roman" w:hAnsi="Times New Roman"/>
          <w:color w:val="auto"/>
          <w:szCs w:val="24"/>
        </w:rPr>
      </w:pPr>
      <w:r>
        <w:rPr>
          <w:rFonts w:hint="eastAsia" w:ascii="宋体" w:hAnsi="宋体" w:eastAsia="宋体" w:cs="宋体"/>
          <w:b/>
          <w:bCs/>
          <w:color w:val="auto"/>
          <w:sz w:val="21"/>
          <w:szCs w:val="21"/>
        </w:rPr>
        <w:t xml:space="preserve">图 </w:t>
      </w:r>
      <w:r>
        <w:rPr>
          <w:rFonts w:hint="eastAsia" w:ascii="宋体" w:hAnsi="宋体" w:cs="宋体"/>
          <w:b/>
          <w:bCs/>
          <w:color w:val="auto"/>
          <w:sz w:val="21"/>
          <w:szCs w:val="21"/>
          <w:lang w:eastAsia="zh-CN"/>
        </w:rPr>
        <w:t>4.3</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塔机顶升防脱示</w:t>
      </w:r>
      <w:r>
        <w:rPr>
          <w:rFonts w:hint="eastAsia" w:ascii="宋体" w:hAnsi="宋体" w:eastAsia="宋体" w:cs="宋体"/>
          <w:b/>
          <w:bCs/>
          <w:color w:val="auto"/>
          <w:sz w:val="21"/>
          <w:szCs w:val="21"/>
          <w:lang w:val="en-US" w:eastAsia="zh-CN"/>
        </w:rPr>
        <w:t>意图</w:t>
      </w:r>
    </w:p>
    <w:p w14:paraId="10460137">
      <w:pPr>
        <w:ind w:firstLine="482"/>
        <w:outlineLvl w:val="9"/>
        <w:rPr>
          <w:rFonts w:hint="eastAsia" w:ascii="宋体" w:hAnsi="宋体" w:eastAsia="宋体" w:cs="宋体"/>
          <w:b w:val="0"/>
          <w:bCs w:val="0"/>
          <w:color w:val="auto"/>
        </w:rPr>
      </w:pPr>
      <w:bookmarkStart w:id="108" w:name="_Toc16361523"/>
      <w:bookmarkStart w:id="109" w:name="_Toc499105256"/>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9</w:t>
      </w:r>
      <w:r>
        <w:rPr>
          <w:rFonts w:hint="eastAsia" w:ascii="宋体" w:hAnsi="宋体" w:eastAsia="宋体" w:cs="宋体"/>
          <w:b w:val="0"/>
          <w:bCs w:val="0"/>
          <w:color w:val="auto"/>
          <w:lang w:eastAsia="zh-CN"/>
        </w:rPr>
        <w:t>）</w:t>
      </w:r>
      <w:r>
        <w:rPr>
          <w:rFonts w:hint="eastAsia" w:ascii="宋体" w:hAnsi="宋体" w:eastAsia="宋体" w:cs="宋体"/>
          <w:b w:val="0"/>
          <w:bCs w:val="0"/>
          <w:color w:val="auto"/>
        </w:rPr>
        <w:t>顶升后的收尾工作</w:t>
      </w:r>
      <w:bookmarkEnd w:id="108"/>
      <w:bookmarkEnd w:id="109"/>
    </w:p>
    <w:p w14:paraId="2A4876D5">
      <w:pPr>
        <w:ind w:firstLine="480"/>
        <w:rPr>
          <w:rFonts w:hint="eastAsia" w:ascii="Times New Roman" w:hAnsi="Times New Roman"/>
          <w:color w:val="auto"/>
          <w:szCs w:val="24"/>
        </w:rPr>
      </w:pPr>
      <w:r>
        <w:rPr>
          <w:rFonts w:hint="eastAsia" w:ascii="Times New Roman" w:hAnsi="Times New Roman"/>
          <w:color w:val="auto"/>
          <w:szCs w:val="24"/>
          <w:lang w:val="en-US" w:eastAsia="zh-CN"/>
        </w:rPr>
        <w:t>1）</w:t>
      </w:r>
      <w:r>
        <w:rPr>
          <w:rFonts w:hint="eastAsia" w:ascii="Times New Roman" w:hAnsi="Times New Roman"/>
          <w:color w:val="auto"/>
          <w:szCs w:val="24"/>
        </w:rPr>
        <w:t>顶升结束后利用套架制动块将顶升套架支承在塔身上，收回压缩升油缸。</w:t>
      </w:r>
    </w:p>
    <w:p w14:paraId="0CCCCDA0">
      <w:pPr>
        <w:ind w:firstLine="480"/>
        <w:rPr>
          <w:rFonts w:hint="eastAsia" w:ascii="Times New Roman" w:hAnsi="Times New Roman"/>
          <w:color w:val="auto"/>
          <w:szCs w:val="24"/>
        </w:rPr>
      </w:pPr>
      <w:r>
        <w:rPr>
          <w:rFonts w:hint="eastAsia" w:ascii="Times New Roman" w:hAnsi="Times New Roman"/>
          <w:color w:val="auto"/>
          <w:szCs w:val="24"/>
          <w:lang w:val="en-US" w:eastAsia="zh-CN"/>
        </w:rPr>
        <w:t>2）</w:t>
      </w:r>
      <w:r>
        <w:rPr>
          <w:rFonts w:hint="eastAsia" w:ascii="Times New Roman" w:hAnsi="Times New Roman"/>
          <w:color w:val="auto"/>
          <w:szCs w:val="24"/>
        </w:rPr>
        <w:t>顶升工作全面完成后可以半顶升套架下降到标准节底部或拆除顶升套架，以降低整个塔机的重心和减小迎风面积，沿海及其他风压较大的地区必须将顶升套架下降至塔机底部或拆除顶升套架。</w:t>
      </w:r>
    </w:p>
    <w:p w14:paraId="1A59581E">
      <w:pPr>
        <w:ind w:firstLine="480"/>
        <w:rPr>
          <w:rFonts w:hint="eastAsia" w:ascii="Times New Roman" w:hAnsi="Times New Roman"/>
          <w:color w:val="auto"/>
          <w:szCs w:val="24"/>
        </w:rPr>
      </w:pPr>
      <w:r>
        <w:rPr>
          <w:rFonts w:hint="eastAsia" w:ascii="Times New Roman" w:hAnsi="Times New Roman"/>
          <w:color w:val="auto"/>
          <w:szCs w:val="24"/>
          <w:lang w:val="en-US" w:eastAsia="zh-CN"/>
        </w:rPr>
        <w:t>3）</w:t>
      </w:r>
      <w:r>
        <w:rPr>
          <w:rFonts w:hint="eastAsia" w:ascii="Times New Roman" w:hAnsi="Times New Roman"/>
          <w:color w:val="auto"/>
          <w:szCs w:val="24"/>
        </w:rPr>
        <w:t>顶升完毕后可将引进梁缩回下支座内或者拆除引进梁。以免吊钩在最小幅度工作时碰到。</w:t>
      </w:r>
    </w:p>
    <w:bookmarkEnd w:id="105"/>
    <w:bookmarkEnd w:id="106"/>
    <w:bookmarkEnd w:id="107"/>
    <w:p w14:paraId="19574607">
      <w:pPr>
        <w:rPr>
          <w:color w:val="auto"/>
        </w:rPr>
      </w:pPr>
      <w:bookmarkStart w:id="110" w:name="_Toc17690"/>
      <w:bookmarkStart w:id="111" w:name="_Toc16196"/>
      <w:bookmarkStart w:id="112" w:name="_Toc24330"/>
      <w:bookmarkStart w:id="113" w:name="_Toc40778442"/>
      <w:r>
        <w:rPr>
          <w:rFonts w:hint="eastAsia"/>
          <w:color w:val="auto"/>
        </w:rPr>
        <w:br w:type="page"/>
      </w:r>
    </w:p>
    <w:p w14:paraId="50726DE5">
      <w:pPr>
        <w:pStyle w:val="2"/>
        <w:pageBreakBefore w:val="0"/>
        <w:kinsoku/>
        <w:wordWrap/>
        <w:overflowPunct/>
        <w:topLinePunct w:val="0"/>
        <w:bidi w:val="0"/>
        <w:snapToGrid/>
        <w:spacing w:before="156" w:after="156" w:line="360" w:lineRule="auto"/>
        <w:textAlignment w:val="auto"/>
        <w:rPr>
          <w:color w:val="auto"/>
        </w:rPr>
      </w:pPr>
      <w:r>
        <w:rPr>
          <w:rFonts w:hint="eastAsia"/>
          <w:color w:val="auto"/>
        </w:rPr>
        <w:t>质量管理</w:t>
      </w:r>
      <w:r>
        <w:rPr>
          <w:color w:val="auto"/>
        </w:rPr>
        <w:t>措施</w:t>
      </w:r>
      <w:bookmarkEnd w:id="110"/>
      <w:bookmarkEnd w:id="111"/>
    </w:p>
    <w:bookmarkEnd w:id="112"/>
    <w:bookmarkEnd w:id="113"/>
    <w:p w14:paraId="76ECB213">
      <w:pPr>
        <w:pStyle w:val="3"/>
        <w:rPr>
          <w:color w:val="auto"/>
        </w:rPr>
      </w:pPr>
      <w:bookmarkStart w:id="114" w:name="_Toc20434"/>
      <w:bookmarkStart w:id="115" w:name="_Toc10656"/>
      <w:bookmarkStart w:id="116" w:name="_Toc6975"/>
      <w:r>
        <w:rPr>
          <w:rFonts w:hint="eastAsia"/>
          <w:color w:val="auto"/>
        </w:rPr>
        <w:t>质量管理组织机构</w:t>
      </w:r>
      <w:bookmarkEnd w:id="114"/>
      <w:bookmarkEnd w:id="115"/>
      <w:bookmarkEnd w:id="116"/>
    </w:p>
    <w:p w14:paraId="627F2D4B">
      <w:pPr>
        <w:rPr>
          <w:color w:val="auto"/>
          <w:shd w:val="clear" w:color="auto" w:fill="auto"/>
        </w:rPr>
      </w:pPr>
      <w:r>
        <w:rPr>
          <w:color w:val="auto"/>
        </w:rPr>
        <w:t>为保证</w:t>
      </w:r>
      <w:r>
        <w:rPr>
          <w:rFonts w:hint="eastAsia"/>
          <w:color w:val="auto"/>
          <w:lang w:val="en-US" w:eastAsia="zh-CN"/>
        </w:rPr>
        <w:t>塔</w:t>
      </w:r>
      <w:r>
        <w:rPr>
          <w:rFonts w:hint="eastAsia"/>
          <w:color w:val="auto"/>
        </w:rPr>
        <w:t>式起重机</w:t>
      </w:r>
      <w:r>
        <w:rPr>
          <w:color w:val="auto"/>
        </w:rPr>
        <w:t>安装过程中的施</w:t>
      </w:r>
      <w:r>
        <w:rPr>
          <w:rFonts w:hint="eastAsia"/>
          <w:color w:val="auto"/>
        </w:rPr>
        <w:t>工</w:t>
      </w:r>
      <w:r>
        <w:rPr>
          <w:color w:val="auto"/>
        </w:rPr>
        <w:t>质量、安全</w:t>
      </w:r>
      <w:r>
        <w:rPr>
          <w:rFonts w:hint="eastAsia"/>
          <w:color w:val="auto"/>
        </w:rPr>
        <w:t>及文明生产等符合管理要求</w:t>
      </w:r>
      <w:r>
        <w:rPr>
          <w:color w:val="auto"/>
        </w:rPr>
        <w:t>，</w:t>
      </w:r>
      <w:r>
        <w:rPr>
          <w:color w:val="auto"/>
          <w:shd w:val="clear" w:color="auto" w:fill="auto"/>
        </w:rPr>
        <w:t>特成立以施工质量、安全为一体的</w:t>
      </w:r>
      <w:r>
        <w:rPr>
          <w:rFonts w:hint="eastAsia"/>
          <w:color w:val="auto"/>
          <w:shd w:val="clear" w:color="auto" w:fill="auto"/>
          <w:lang w:val="en-US" w:eastAsia="zh-CN"/>
        </w:rPr>
        <w:t>塔</w:t>
      </w:r>
      <w:r>
        <w:rPr>
          <w:rFonts w:hint="eastAsia"/>
          <w:color w:val="auto"/>
          <w:shd w:val="clear" w:color="auto" w:fill="auto"/>
        </w:rPr>
        <w:t>式起重机</w:t>
      </w:r>
      <w:r>
        <w:rPr>
          <w:rFonts w:hint="eastAsia"/>
          <w:color w:val="auto"/>
          <w:shd w:val="clear" w:color="auto" w:fill="auto"/>
          <w:lang w:val="en-US" w:eastAsia="zh-CN"/>
        </w:rPr>
        <w:t>安装</w:t>
      </w:r>
      <w:r>
        <w:rPr>
          <w:color w:val="auto"/>
          <w:shd w:val="clear" w:color="auto" w:fill="auto"/>
        </w:rPr>
        <w:t>施工组织机构。</w:t>
      </w:r>
    </w:p>
    <w:p w14:paraId="528CF020">
      <w:pPr>
        <w:pStyle w:val="50"/>
        <w:rPr>
          <w:rFonts w:hint="eastAsia" w:eastAsia="宋体"/>
          <w:color w:val="auto"/>
          <w:shd w:val="clear" w:color="FFFFFF" w:fill="D9D9D9"/>
          <w:lang w:eastAsia="zh-CN"/>
        </w:rPr>
      </w:pPr>
      <w:r>
        <w:rPr>
          <w:color w:val="auto"/>
          <w:shd w:val="clear" w:color="FFFFFF" w:fill="D9D9D9"/>
        </w:rPr>
        <w:drawing>
          <wp:inline distT="0" distB="0" distL="114300" distR="114300">
            <wp:extent cx="5168900" cy="2486660"/>
            <wp:effectExtent l="0" t="0" r="12700" b="8890"/>
            <wp:docPr id="65" name="图片 1124"/>
            <wp:cNvGraphicFramePr/>
            <a:graphic xmlns:a="http://schemas.openxmlformats.org/drawingml/2006/main">
              <a:graphicData uri="http://schemas.openxmlformats.org/drawingml/2006/picture">
                <pic:pic xmlns:pic="http://schemas.openxmlformats.org/drawingml/2006/picture">
                  <pic:nvPicPr>
                    <pic:cNvPr id="65" name="图片 1124"/>
                    <pic:cNvPicPr/>
                  </pic:nvPicPr>
                  <pic:blipFill>
                    <a:blip r:embed="rId32"/>
                    <a:stretch>
                      <a:fillRect/>
                    </a:stretch>
                  </pic:blipFill>
                  <pic:spPr>
                    <a:xfrm>
                      <a:off x="0" y="0"/>
                      <a:ext cx="5168900" cy="2486660"/>
                    </a:xfrm>
                    <a:prstGeom prst="rect">
                      <a:avLst/>
                    </a:prstGeom>
                    <a:noFill/>
                    <a:ln>
                      <a:noFill/>
                    </a:ln>
                  </pic:spPr>
                </pic:pic>
              </a:graphicData>
            </a:graphic>
          </wp:inline>
        </w:drawing>
      </w:r>
    </w:p>
    <w:p w14:paraId="52F18609">
      <w:pPr>
        <w:pStyle w:val="48"/>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rFonts w:hint="eastAsia"/>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14:paraId="1CE142C7">
      <w:pPr>
        <w:ind w:firstLine="480"/>
        <w:rPr>
          <w:rFonts w:ascii="Times New Roman" w:hAnsi="Times New Roman"/>
          <w:color w:val="auto"/>
          <w:szCs w:val="24"/>
          <w:highlight w:val="none"/>
        </w:rPr>
      </w:pPr>
      <w:r>
        <w:rPr>
          <w:rFonts w:hint="eastAsia" w:ascii="Times New Roman" w:hAnsi="Times New Roman"/>
          <w:color w:val="auto"/>
          <w:szCs w:val="24"/>
        </w:rPr>
        <w:t>建立健全管理体系，坚持管生产必须管安全的原则，健全岗位责任制，从组织上、制度上、</w:t>
      </w:r>
      <w:r>
        <w:rPr>
          <w:rFonts w:hint="eastAsia" w:ascii="Times New Roman" w:hAnsi="Times New Roman"/>
          <w:color w:val="auto"/>
          <w:szCs w:val="24"/>
          <w:highlight w:val="none"/>
        </w:rPr>
        <w:t>防范措施上保证安全生产，做到规范施工，安全操作。</w:t>
      </w:r>
    </w:p>
    <w:p w14:paraId="4B320904">
      <w:pPr>
        <w:pStyle w:val="3"/>
        <w:rPr>
          <w:rFonts w:hint="default" w:ascii="Cambria" w:hAnsi="Cambria"/>
          <w:b/>
          <w:bCs/>
          <w:color w:val="auto"/>
          <w:sz w:val="28"/>
          <w:highlight w:val="none"/>
          <w:shd w:val="clear" w:color="auto" w:fill="auto"/>
        </w:rPr>
      </w:pPr>
      <w:bookmarkStart w:id="117" w:name="_Toc30252"/>
      <w:bookmarkStart w:id="118" w:name="_Toc27061"/>
      <w:bookmarkStart w:id="119" w:name="_Toc20038"/>
      <w:r>
        <w:rPr>
          <w:rFonts w:hint="default" w:ascii="Cambria" w:hAnsi="Cambria"/>
          <w:b/>
          <w:bCs/>
          <w:color w:val="auto"/>
          <w:sz w:val="28"/>
          <w:highlight w:val="none"/>
          <w:shd w:val="clear" w:color="auto" w:fill="auto"/>
        </w:rPr>
        <w:t>质量通病及质量通病预防</w:t>
      </w:r>
      <w:bookmarkEnd w:id="117"/>
      <w:bookmarkEnd w:id="118"/>
    </w:p>
    <w:p w14:paraId="0FDB9234">
      <w:pPr>
        <w:pStyle w:val="70"/>
        <w:ind w:firstLine="422"/>
        <w:rPr>
          <w:rFonts w:hint="eastAsia" w:eastAsia="仿宋"/>
          <w:color w:val="auto"/>
          <w:highlight w:val="none"/>
          <w:lang w:eastAsia="zh-CN"/>
        </w:rPr>
      </w:pPr>
      <w:r>
        <w:rPr>
          <w:rFonts w:hint="eastAsia"/>
          <w:color w:val="auto"/>
          <w:highlight w:val="none"/>
          <w:lang w:val="en-US" w:eastAsia="zh-CN"/>
        </w:rPr>
        <w:t>5</w:t>
      </w:r>
      <w:r>
        <w:rPr>
          <w:color w:val="auto"/>
          <w:highlight w:val="none"/>
        </w:rPr>
        <w:t>.</w:t>
      </w:r>
      <w:r>
        <w:rPr>
          <w:rFonts w:hint="eastAsia"/>
          <w:color w:val="auto"/>
          <w:highlight w:val="none"/>
          <w:lang w:val="en-US" w:eastAsia="zh-CN"/>
        </w:rPr>
        <w:t>2</w:t>
      </w:r>
      <w:r>
        <w:rPr>
          <w:color w:val="auto"/>
          <w:highlight w:val="none"/>
        </w:rPr>
        <w:t xml:space="preserve">-1 </w:t>
      </w:r>
      <w:r>
        <w:rPr>
          <w:rFonts w:hint="eastAsia"/>
          <w:color w:val="auto"/>
          <w:highlight w:val="none"/>
        </w:rPr>
        <w:t>塔吊安装质量通病预防措施</w:t>
      </w:r>
    </w:p>
    <w:tbl>
      <w:tblPr>
        <w:tblStyle w:val="26"/>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644"/>
        <w:gridCol w:w="6558"/>
      </w:tblGrid>
      <w:tr w14:paraId="1E7DDA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0" w:hRule="atLeast"/>
          <w:jc w:val="center"/>
        </w:trPr>
        <w:tc>
          <w:tcPr>
            <w:tcW w:w="847" w:type="dxa"/>
            <w:tcBorders>
              <w:tl2br w:val="nil"/>
              <w:tr2bl w:val="nil"/>
            </w:tcBorders>
            <w:shd w:val="clear" w:color="auto" w:fill="C7DAF1"/>
            <w:noWrap w:val="0"/>
            <w:vAlign w:val="center"/>
          </w:tcPr>
          <w:p w14:paraId="2A7AE4DE">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项次</w:t>
            </w:r>
          </w:p>
        </w:tc>
        <w:tc>
          <w:tcPr>
            <w:tcW w:w="1644" w:type="dxa"/>
            <w:tcBorders>
              <w:tl2br w:val="nil"/>
              <w:tr2bl w:val="nil"/>
            </w:tcBorders>
            <w:shd w:val="clear" w:color="auto" w:fill="C7DAF1"/>
            <w:noWrap w:val="0"/>
            <w:vAlign w:val="center"/>
          </w:tcPr>
          <w:p w14:paraId="2A3E0D62">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质量通病</w:t>
            </w:r>
          </w:p>
        </w:tc>
        <w:tc>
          <w:tcPr>
            <w:tcW w:w="6558" w:type="dxa"/>
            <w:tcBorders>
              <w:tl2br w:val="nil"/>
              <w:tr2bl w:val="nil"/>
            </w:tcBorders>
            <w:shd w:val="clear" w:color="auto" w:fill="C7DAF1"/>
            <w:noWrap w:val="0"/>
            <w:vAlign w:val="center"/>
          </w:tcPr>
          <w:p w14:paraId="18EF0F4A">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预防措施</w:t>
            </w:r>
          </w:p>
        </w:tc>
      </w:tr>
      <w:tr w14:paraId="64C0BB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091CC49C">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644" w:type="dxa"/>
            <w:tcBorders>
              <w:tl2br w:val="nil"/>
              <w:tr2bl w:val="nil"/>
            </w:tcBorders>
            <w:noWrap w:val="0"/>
            <w:vAlign w:val="center"/>
          </w:tcPr>
          <w:p w14:paraId="1826FDE6">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安装作业前未对设备进行全面检查</w:t>
            </w:r>
          </w:p>
        </w:tc>
        <w:tc>
          <w:tcPr>
            <w:tcW w:w="6558" w:type="dxa"/>
            <w:tcBorders>
              <w:tl2br w:val="nil"/>
              <w:tr2bl w:val="nil"/>
            </w:tcBorders>
            <w:noWrap w:val="0"/>
            <w:vAlign w:val="center"/>
          </w:tcPr>
          <w:p w14:paraId="3ACAB23C">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7DE0EF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56EBC986">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1644" w:type="dxa"/>
            <w:tcBorders>
              <w:tl2br w:val="nil"/>
              <w:tr2bl w:val="nil"/>
            </w:tcBorders>
            <w:noWrap w:val="0"/>
            <w:vAlign w:val="center"/>
          </w:tcPr>
          <w:p w14:paraId="401B675F">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在顶程式标准前须对顶升系统进行全面检查</w:t>
            </w:r>
          </w:p>
        </w:tc>
        <w:tc>
          <w:tcPr>
            <w:tcW w:w="6558" w:type="dxa"/>
            <w:tcBorders>
              <w:tl2br w:val="nil"/>
              <w:tr2bl w:val="nil"/>
            </w:tcBorders>
            <w:noWrap w:val="0"/>
            <w:vAlign w:val="center"/>
          </w:tcPr>
          <w:p w14:paraId="58E9E834">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在顶升加节前，安装人员必须对顶升系统进行检查，防止在顶升时油箱油不足或油管漏油等现象，造成顶升时发生安全隐患。</w:t>
            </w:r>
          </w:p>
        </w:tc>
      </w:tr>
      <w:tr w14:paraId="41D31F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7A1182E5">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p>
        </w:tc>
        <w:tc>
          <w:tcPr>
            <w:tcW w:w="1644" w:type="dxa"/>
            <w:tcBorders>
              <w:tl2br w:val="nil"/>
              <w:tr2bl w:val="nil"/>
            </w:tcBorders>
            <w:noWrap w:val="0"/>
            <w:vAlign w:val="center"/>
          </w:tcPr>
          <w:p w14:paraId="1EC34875">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在顶升加节完成时必须检查回转与构与爬升架的连接肖轴是否安装完成</w:t>
            </w:r>
          </w:p>
        </w:tc>
        <w:tc>
          <w:tcPr>
            <w:tcW w:w="6558" w:type="dxa"/>
            <w:tcBorders>
              <w:tl2br w:val="nil"/>
              <w:tr2bl w:val="nil"/>
            </w:tcBorders>
            <w:noWrap w:val="0"/>
            <w:vAlign w:val="center"/>
          </w:tcPr>
          <w:p w14:paraId="049BF952">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在顶升加节完成后，安装人员在使用回转或变幅机构时，必须要检查标准节与爬升架及爬升架与特殊节的连接肖轴是否安装完成，避免造成安全隐患。</w:t>
            </w:r>
          </w:p>
        </w:tc>
      </w:tr>
      <w:tr w14:paraId="6E4CEC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7E876602">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644" w:type="dxa"/>
            <w:tcBorders>
              <w:tl2br w:val="nil"/>
              <w:tr2bl w:val="nil"/>
            </w:tcBorders>
            <w:noWrap w:val="0"/>
            <w:vAlign w:val="center"/>
          </w:tcPr>
          <w:p w14:paraId="5C5D2DD1">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在安装前对安装人员进行技术交底</w:t>
            </w:r>
          </w:p>
        </w:tc>
        <w:tc>
          <w:tcPr>
            <w:tcW w:w="6558" w:type="dxa"/>
            <w:tcBorders>
              <w:tl2br w:val="nil"/>
              <w:tr2bl w:val="nil"/>
            </w:tcBorders>
            <w:noWrap w:val="0"/>
            <w:vAlign w:val="center"/>
          </w:tcPr>
          <w:p w14:paraId="0B9CE4A1">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在安装塔吊前必须对安装人员进行技术交底，严格按照安装方案及说明书的要求去作业，在安装过程中发现问题及时停止作业，问题处理完成，再能进行后续施工。</w:t>
            </w:r>
          </w:p>
        </w:tc>
      </w:tr>
    </w:tbl>
    <w:p w14:paraId="669F9EF9">
      <w:pPr>
        <w:pStyle w:val="3"/>
        <w:rPr>
          <w:color w:val="auto"/>
          <w:highlight w:val="none"/>
        </w:rPr>
      </w:pPr>
      <w:bookmarkStart w:id="120" w:name="_Toc17809"/>
      <w:bookmarkStart w:id="121" w:name="_Toc533345492"/>
      <w:bookmarkStart w:id="122" w:name="_Toc14944"/>
      <w:bookmarkStart w:id="123" w:name="_Toc22190"/>
      <w:r>
        <w:rPr>
          <w:rFonts w:hint="eastAsia"/>
          <w:color w:val="auto"/>
          <w:highlight w:val="none"/>
        </w:rPr>
        <w:t>质量保证措施</w:t>
      </w:r>
      <w:bookmarkEnd w:id="120"/>
      <w:bookmarkEnd w:id="121"/>
      <w:bookmarkEnd w:id="122"/>
      <w:bookmarkEnd w:id="123"/>
    </w:p>
    <w:p w14:paraId="6A9E5B23">
      <w:pPr>
        <w:pStyle w:val="51"/>
        <w:numPr>
          <w:ilvl w:val="0"/>
          <w:numId w:val="9"/>
        </w:numPr>
        <w:ind w:left="-480" w:leftChars="0" w:firstLineChars="0"/>
      </w:pPr>
      <w:r>
        <w:rPr>
          <w:rFonts w:hint="eastAsia"/>
        </w:rPr>
        <w:t>严格执行国家现行制作、安装施工验收规范和施工图设计要求及设备说明书提出的有关要求，项目部拟定相应质量计划并规范操作；</w:t>
      </w:r>
    </w:p>
    <w:p w14:paraId="18680D7E">
      <w:pPr>
        <w:pStyle w:val="51"/>
        <w:numPr>
          <w:ilvl w:val="0"/>
          <w:numId w:val="9"/>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2F35A777">
      <w:pPr>
        <w:pStyle w:val="51"/>
        <w:numPr>
          <w:ilvl w:val="0"/>
          <w:numId w:val="9"/>
        </w:numPr>
        <w:ind w:left="-480" w:leftChars="0" w:firstLineChars="0"/>
      </w:pPr>
      <w:r>
        <w:rPr>
          <w:rFonts w:hint="eastAsia"/>
        </w:rPr>
        <w:t>实行施工全过程的质量控制。在工程开工前，确定关键工序停工检验点，一般工序实行工序交叉检，上道工序不合格，不得转入下道工序；</w:t>
      </w:r>
    </w:p>
    <w:p w14:paraId="4A8C22AA">
      <w:pPr>
        <w:pStyle w:val="51"/>
        <w:numPr>
          <w:ilvl w:val="0"/>
          <w:numId w:val="9"/>
        </w:numPr>
        <w:ind w:left="-480" w:leftChars="0" w:firstLineChars="0"/>
      </w:pPr>
      <w:r>
        <w:rPr>
          <w:rFonts w:hint="eastAsia"/>
        </w:rPr>
        <w:t>施工队详细填写质量验收检查表，以保证质量施工原始记录的及时、完整和准确；</w:t>
      </w:r>
    </w:p>
    <w:p w14:paraId="26711763">
      <w:pPr>
        <w:pStyle w:val="51"/>
        <w:numPr>
          <w:ilvl w:val="0"/>
          <w:numId w:val="9"/>
        </w:numPr>
        <w:ind w:left="-480" w:leftChars="0" w:firstLineChars="0"/>
      </w:pPr>
      <w:r>
        <w:rPr>
          <w:rFonts w:hint="eastAsia"/>
        </w:rPr>
        <w:t>项目工程师要按使用单位提供图纸及实测数据，编制施工方案或技术措施，施工前向施工人员作详细的技术交底；</w:t>
      </w:r>
    </w:p>
    <w:p w14:paraId="6CFF9172">
      <w:pPr>
        <w:pStyle w:val="51"/>
        <w:numPr>
          <w:ilvl w:val="0"/>
          <w:numId w:val="9"/>
        </w:numPr>
        <w:ind w:left="-480" w:leftChars="0" w:firstLineChars="0"/>
      </w:pPr>
      <w:r>
        <w:rPr>
          <w:rFonts w:hint="eastAsia"/>
        </w:rPr>
        <w:t>施工使用的水准仪、经纬仪与盒尺等检验器具，必须严格按国家有关要求定期校验和核查，未经检验或过期、失准的计量器具严禁使用；</w:t>
      </w:r>
    </w:p>
    <w:p w14:paraId="074E3005">
      <w:pPr>
        <w:pStyle w:val="51"/>
        <w:numPr>
          <w:ilvl w:val="0"/>
          <w:numId w:val="9"/>
        </w:numPr>
        <w:ind w:left="-480" w:leftChars="0" w:firstLineChars="0"/>
        <w:rPr>
          <w:highlight w:val="none"/>
        </w:rPr>
      </w:pPr>
      <w:r>
        <w:rPr>
          <w:rFonts w:hint="eastAsia"/>
        </w:rPr>
        <w:t>各种设备的交接、验收、保管、存放应按有关要求进行。存放保管应按设备材料就按要求进行，认真核对名称、型号、规格、</w:t>
      </w:r>
      <w:r>
        <w:rPr>
          <w:rFonts w:hint="eastAsia"/>
          <w:highlight w:val="none"/>
        </w:rPr>
        <w:t>数量</w:t>
      </w:r>
      <w:r>
        <w:rPr>
          <w:rFonts w:hint="default"/>
          <w:highlight w:val="none"/>
          <w:lang w:val="en-US"/>
        </w:rPr>
        <w:t>.</w:t>
      </w:r>
    </w:p>
    <w:p w14:paraId="246255F2">
      <w:pPr>
        <w:rPr>
          <w:highlight w:val="none"/>
        </w:rPr>
      </w:pPr>
    </w:p>
    <w:p w14:paraId="10FA4683">
      <w:pPr>
        <w:pStyle w:val="3"/>
        <w:rPr>
          <w:color w:val="auto"/>
          <w:highlight w:val="none"/>
        </w:rPr>
      </w:pPr>
      <w:bookmarkStart w:id="124" w:name="_Toc31784"/>
      <w:bookmarkStart w:id="125" w:name="_Toc533345493"/>
      <w:bookmarkStart w:id="126" w:name="_Toc30509"/>
      <w:bookmarkStart w:id="127" w:name="_Toc28273"/>
      <w:r>
        <w:rPr>
          <w:rFonts w:hint="eastAsia"/>
          <w:color w:val="auto"/>
          <w:highlight w:val="none"/>
        </w:rPr>
        <w:t>作业过程中控制点的设置</w:t>
      </w:r>
      <w:bookmarkEnd w:id="124"/>
      <w:bookmarkEnd w:id="125"/>
      <w:bookmarkEnd w:id="126"/>
      <w:bookmarkEnd w:id="127"/>
    </w:p>
    <w:p w14:paraId="73FCFD2F">
      <w:pPr>
        <w:pStyle w:val="70"/>
        <w:ind w:firstLine="0" w:firstLineChars="0"/>
        <w:rPr>
          <w:color w:val="auto"/>
          <w:highlight w:val="none"/>
        </w:rPr>
      </w:pPr>
      <w:r>
        <w:rPr>
          <w:rFonts w:hint="eastAsia"/>
          <w:color w:val="auto"/>
          <w:highlight w:val="none"/>
        </w:rPr>
        <w:t>表</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关键控制点</w:t>
      </w:r>
    </w:p>
    <w:p w14:paraId="005CA0AC">
      <w:pPr>
        <w:ind w:left="0" w:leftChars="0" w:firstLine="0" w:firstLineChars="0"/>
        <w:rPr>
          <w:color w:val="auto"/>
          <w:highlight w:val="none"/>
        </w:rPr>
      </w:pPr>
    </w:p>
    <w:tbl>
      <w:tblPr>
        <w:tblStyle w:val="26"/>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
        <w:gridCol w:w="669"/>
        <w:gridCol w:w="944"/>
        <w:gridCol w:w="1801"/>
        <w:gridCol w:w="803"/>
        <w:gridCol w:w="390"/>
        <w:gridCol w:w="356"/>
        <w:gridCol w:w="240"/>
        <w:gridCol w:w="198"/>
        <w:gridCol w:w="227"/>
        <w:gridCol w:w="303"/>
        <w:gridCol w:w="467"/>
        <w:gridCol w:w="738"/>
        <w:gridCol w:w="816"/>
      </w:tblGrid>
      <w:tr w14:paraId="053ED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restart"/>
            <w:tcBorders>
              <w:tl2br w:val="nil"/>
              <w:tr2bl w:val="nil"/>
            </w:tcBorders>
            <w:shd w:val="clear" w:color="auto" w:fill="DAE3F3"/>
            <w:noWrap w:val="0"/>
            <w:tcMar>
              <w:top w:w="15" w:type="dxa"/>
              <w:left w:w="15" w:type="dxa"/>
              <w:right w:w="15" w:type="dxa"/>
            </w:tcMar>
            <w:vAlign w:val="center"/>
          </w:tcPr>
          <w:p w14:paraId="51913592">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序号</w:t>
            </w:r>
          </w:p>
        </w:tc>
        <w:tc>
          <w:tcPr>
            <w:tcW w:w="669" w:type="dxa"/>
            <w:vMerge w:val="restart"/>
            <w:tcBorders>
              <w:tl2br w:val="nil"/>
              <w:tr2bl w:val="nil"/>
            </w:tcBorders>
            <w:shd w:val="clear" w:color="auto" w:fill="DAE3F3"/>
            <w:noWrap w:val="0"/>
            <w:tcMar>
              <w:top w:w="15" w:type="dxa"/>
              <w:left w:w="15" w:type="dxa"/>
              <w:right w:w="15" w:type="dxa"/>
            </w:tcMar>
            <w:vAlign w:val="center"/>
          </w:tcPr>
          <w:p w14:paraId="415FA6E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作业活动单元</w:t>
            </w:r>
          </w:p>
        </w:tc>
        <w:tc>
          <w:tcPr>
            <w:tcW w:w="944" w:type="dxa"/>
            <w:vMerge w:val="restart"/>
            <w:tcBorders>
              <w:tl2br w:val="nil"/>
              <w:tr2bl w:val="nil"/>
            </w:tcBorders>
            <w:shd w:val="clear" w:color="auto" w:fill="DAE3F3"/>
            <w:noWrap w:val="0"/>
            <w:tcMar>
              <w:top w:w="15" w:type="dxa"/>
              <w:left w:w="15" w:type="dxa"/>
              <w:right w:w="15" w:type="dxa"/>
            </w:tcMar>
            <w:vAlign w:val="center"/>
          </w:tcPr>
          <w:p w14:paraId="59E25ECC">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活动的内容</w:t>
            </w:r>
          </w:p>
        </w:tc>
        <w:tc>
          <w:tcPr>
            <w:tcW w:w="1801" w:type="dxa"/>
            <w:vMerge w:val="restart"/>
            <w:tcBorders>
              <w:tl2br w:val="nil"/>
              <w:tr2bl w:val="nil"/>
            </w:tcBorders>
            <w:shd w:val="clear" w:color="auto" w:fill="DAE3F3"/>
            <w:noWrap w:val="0"/>
            <w:tcMar>
              <w:top w:w="15" w:type="dxa"/>
              <w:left w:w="15" w:type="dxa"/>
              <w:right w:w="15" w:type="dxa"/>
            </w:tcMar>
            <w:vAlign w:val="center"/>
          </w:tcPr>
          <w:p w14:paraId="22E7B64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危害因素</w:t>
            </w:r>
          </w:p>
        </w:tc>
        <w:tc>
          <w:tcPr>
            <w:tcW w:w="803" w:type="dxa"/>
            <w:vMerge w:val="restart"/>
            <w:tcBorders>
              <w:tl2br w:val="nil"/>
              <w:tr2bl w:val="nil"/>
            </w:tcBorders>
            <w:shd w:val="clear" w:color="auto" w:fill="DAE3F3"/>
            <w:noWrap w:val="0"/>
            <w:tcMar>
              <w:top w:w="15" w:type="dxa"/>
              <w:left w:w="15" w:type="dxa"/>
              <w:right w:w="15" w:type="dxa"/>
            </w:tcMar>
            <w:vAlign w:val="center"/>
          </w:tcPr>
          <w:p w14:paraId="5F756412">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潜在事故类型</w:t>
            </w:r>
          </w:p>
        </w:tc>
        <w:tc>
          <w:tcPr>
            <w:tcW w:w="1714" w:type="dxa"/>
            <w:gridSpan w:val="6"/>
            <w:tcBorders>
              <w:tl2br w:val="nil"/>
              <w:tr2bl w:val="nil"/>
            </w:tcBorders>
            <w:shd w:val="clear" w:color="auto" w:fill="DAE3F3"/>
            <w:noWrap/>
            <w:tcMar>
              <w:top w:w="15" w:type="dxa"/>
              <w:left w:w="15" w:type="dxa"/>
              <w:right w:w="15" w:type="dxa"/>
            </w:tcMar>
            <w:vAlign w:val="center"/>
          </w:tcPr>
          <w:p w14:paraId="5F01F84F">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危险危害因素评价</w:t>
            </w:r>
          </w:p>
        </w:tc>
        <w:tc>
          <w:tcPr>
            <w:tcW w:w="467" w:type="dxa"/>
            <w:tcBorders>
              <w:tl2br w:val="nil"/>
              <w:tr2bl w:val="nil"/>
            </w:tcBorders>
            <w:shd w:val="clear" w:color="auto" w:fill="DAE3F3"/>
            <w:noWrap/>
            <w:tcMar>
              <w:top w:w="15" w:type="dxa"/>
              <w:left w:w="15" w:type="dxa"/>
              <w:right w:w="15" w:type="dxa"/>
            </w:tcMar>
            <w:vAlign w:val="center"/>
          </w:tcPr>
          <w:p w14:paraId="712589A4">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738" w:type="dxa"/>
            <w:tcBorders>
              <w:tl2br w:val="nil"/>
              <w:tr2bl w:val="nil"/>
            </w:tcBorders>
            <w:shd w:val="clear" w:color="auto" w:fill="DAE3F3"/>
            <w:noWrap/>
            <w:tcMar>
              <w:top w:w="15" w:type="dxa"/>
              <w:left w:w="15" w:type="dxa"/>
              <w:right w:w="15" w:type="dxa"/>
            </w:tcMar>
            <w:vAlign w:val="center"/>
          </w:tcPr>
          <w:p w14:paraId="3CF3D265">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816" w:type="dxa"/>
            <w:tcBorders>
              <w:tl2br w:val="nil"/>
              <w:tr2bl w:val="nil"/>
            </w:tcBorders>
            <w:shd w:val="clear" w:color="auto" w:fill="DAE3F3"/>
            <w:noWrap/>
            <w:tcMar>
              <w:top w:w="15" w:type="dxa"/>
              <w:left w:w="15" w:type="dxa"/>
              <w:right w:w="15" w:type="dxa"/>
            </w:tcMar>
            <w:vAlign w:val="center"/>
          </w:tcPr>
          <w:p w14:paraId="04B88B42">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r>
      <w:tr w14:paraId="5F8876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DAE3F3"/>
            <w:noWrap w:val="0"/>
            <w:tcMar>
              <w:top w:w="15" w:type="dxa"/>
              <w:left w:w="15" w:type="dxa"/>
              <w:right w:w="15" w:type="dxa"/>
            </w:tcMar>
            <w:vAlign w:val="center"/>
          </w:tcPr>
          <w:p w14:paraId="26CF9F18">
            <w:pPr>
              <w:widowControl/>
              <w:spacing w:line="240" w:lineRule="exact"/>
              <w:ind w:firstLine="0" w:firstLineChars="0"/>
              <w:jc w:val="center"/>
              <w:rPr>
                <w:rFonts w:ascii="宋体" w:hAnsi="宋体" w:cs="宋体"/>
                <w:color w:val="auto"/>
                <w:sz w:val="18"/>
                <w:szCs w:val="18"/>
                <w:highlight w:val="none"/>
              </w:rPr>
            </w:pPr>
          </w:p>
        </w:tc>
        <w:tc>
          <w:tcPr>
            <w:tcW w:w="669" w:type="dxa"/>
            <w:vMerge w:val="continue"/>
            <w:tcBorders>
              <w:tl2br w:val="nil"/>
              <w:tr2bl w:val="nil"/>
            </w:tcBorders>
            <w:shd w:val="clear" w:color="auto" w:fill="DAE3F3"/>
            <w:noWrap w:val="0"/>
            <w:tcMar>
              <w:top w:w="15" w:type="dxa"/>
              <w:left w:w="15" w:type="dxa"/>
              <w:right w:w="15" w:type="dxa"/>
            </w:tcMar>
            <w:vAlign w:val="center"/>
          </w:tcPr>
          <w:p w14:paraId="2410C6B3">
            <w:pPr>
              <w:widowControl/>
              <w:spacing w:line="240" w:lineRule="exact"/>
              <w:ind w:firstLine="0" w:firstLineChars="0"/>
              <w:jc w:val="center"/>
              <w:rPr>
                <w:rFonts w:ascii="宋体" w:hAnsi="宋体" w:cs="宋体"/>
                <w:color w:val="auto"/>
                <w:sz w:val="18"/>
                <w:szCs w:val="18"/>
                <w:highlight w:val="none"/>
              </w:rPr>
            </w:pPr>
          </w:p>
        </w:tc>
        <w:tc>
          <w:tcPr>
            <w:tcW w:w="944" w:type="dxa"/>
            <w:vMerge w:val="continue"/>
            <w:tcBorders>
              <w:tl2br w:val="nil"/>
              <w:tr2bl w:val="nil"/>
            </w:tcBorders>
            <w:shd w:val="clear" w:color="auto" w:fill="DAE3F3"/>
            <w:noWrap w:val="0"/>
            <w:tcMar>
              <w:top w:w="15" w:type="dxa"/>
              <w:left w:w="15" w:type="dxa"/>
              <w:right w:w="15" w:type="dxa"/>
            </w:tcMar>
            <w:vAlign w:val="center"/>
          </w:tcPr>
          <w:p w14:paraId="6166ECEB">
            <w:pPr>
              <w:widowControl/>
              <w:spacing w:line="240" w:lineRule="exact"/>
              <w:ind w:firstLine="0" w:firstLineChars="0"/>
              <w:jc w:val="center"/>
              <w:rPr>
                <w:rFonts w:ascii="宋体" w:hAnsi="宋体" w:cs="宋体"/>
                <w:color w:val="auto"/>
                <w:sz w:val="18"/>
                <w:szCs w:val="18"/>
                <w:highlight w:val="none"/>
              </w:rPr>
            </w:pPr>
          </w:p>
        </w:tc>
        <w:tc>
          <w:tcPr>
            <w:tcW w:w="1801" w:type="dxa"/>
            <w:vMerge w:val="continue"/>
            <w:tcBorders>
              <w:tl2br w:val="nil"/>
              <w:tr2bl w:val="nil"/>
            </w:tcBorders>
            <w:shd w:val="clear" w:color="auto" w:fill="DAE3F3"/>
            <w:noWrap w:val="0"/>
            <w:tcMar>
              <w:top w:w="15" w:type="dxa"/>
              <w:left w:w="15" w:type="dxa"/>
              <w:right w:w="15" w:type="dxa"/>
            </w:tcMar>
            <w:vAlign w:val="center"/>
          </w:tcPr>
          <w:p w14:paraId="0A9E9D8B">
            <w:pPr>
              <w:widowControl/>
              <w:spacing w:line="240" w:lineRule="exact"/>
              <w:ind w:firstLine="0" w:firstLineChars="0"/>
              <w:jc w:val="center"/>
              <w:rPr>
                <w:rFonts w:ascii="宋体" w:hAnsi="宋体" w:cs="宋体"/>
                <w:color w:val="auto"/>
                <w:sz w:val="18"/>
                <w:szCs w:val="18"/>
                <w:highlight w:val="none"/>
              </w:rPr>
            </w:pPr>
          </w:p>
        </w:tc>
        <w:tc>
          <w:tcPr>
            <w:tcW w:w="803" w:type="dxa"/>
            <w:vMerge w:val="continue"/>
            <w:tcBorders>
              <w:tl2br w:val="nil"/>
              <w:tr2bl w:val="nil"/>
            </w:tcBorders>
            <w:shd w:val="clear" w:color="auto" w:fill="DAE3F3"/>
            <w:noWrap w:val="0"/>
            <w:tcMar>
              <w:top w:w="15" w:type="dxa"/>
              <w:left w:w="15" w:type="dxa"/>
              <w:right w:w="15" w:type="dxa"/>
            </w:tcMar>
            <w:vAlign w:val="center"/>
          </w:tcPr>
          <w:p w14:paraId="11A997A7">
            <w:pPr>
              <w:widowControl/>
              <w:spacing w:line="240" w:lineRule="exact"/>
              <w:ind w:firstLine="0" w:firstLineChars="0"/>
              <w:jc w:val="center"/>
              <w:rPr>
                <w:rFonts w:ascii="宋体" w:hAnsi="宋体" w:cs="宋体"/>
                <w:color w:val="auto"/>
                <w:sz w:val="18"/>
                <w:szCs w:val="18"/>
                <w:highlight w:val="none"/>
              </w:rPr>
            </w:pPr>
          </w:p>
        </w:tc>
        <w:tc>
          <w:tcPr>
            <w:tcW w:w="746" w:type="dxa"/>
            <w:gridSpan w:val="2"/>
            <w:tcBorders>
              <w:tl2br w:val="nil"/>
              <w:tr2bl w:val="nil"/>
            </w:tcBorders>
            <w:shd w:val="clear" w:color="auto" w:fill="DAE3F3"/>
            <w:noWrap w:val="0"/>
            <w:tcMar>
              <w:top w:w="15" w:type="dxa"/>
              <w:left w:w="15" w:type="dxa"/>
              <w:right w:w="15" w:type="dxa"/>
            </w:tcMar>
            <w:vAlign w:val="center"/>
          </w:tcPr>
          <w:p w14:paraId="0B60EAC6">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直接判断</w:t>
            </w:r>
          </w:p>
        </w:tc>
        <w:tc>
          <w:tcPr>
            <w:tcW w:w="968" w:type="dxa"/>
            <w:gridSpan w:val="4"/>
            <w:tcBorders>
              <w:tl2br w:val="nil"/>
              <w:tr2bl w:val="nil"/>
            </w:tcBorders>
            <w:shd w:val="clear" w:color="auto" w:fill="DAE3F3"/>
            <w:noWrap w:val="0"/>
            <w:tcMar>
              <w:top w:w="15" w:type="dxa"/>
              <w:left w:w="15" w:type="dxa"/>
              <w:right w:w="15" w:type="dxa"/>
            </w:tcMar>
            <w:vAlign w:val="center"/>
          </w:tcPr>
          <w:p w14:paraId="38023E80">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D=LEC</w:t>
            </w:r>
          </w:p>
        </w:tc>
        <w:tc>
          <w:tcPr>
            <w:tcW w:w="467" w:type="dxa"/>
            <w:vMerge w:val="restart"/>
            <w:tcBorders>
              <w:tl2br w:val="nil"/>
              <w:tr2bl w:val="nil"/>
            </w:tcBorders>
            <w:shd w:val="clear" w:color="auto" w:fill="DAE3F3"/>
            <w:noWrap w:val="0"/>
            <w:tcMar>
              <w:top w:w="15" w:type="dxa"/>
              <w:left w:w="15" w:type="dxa"/>
              <w:right w:w="15" w:type="dxa"/>
            </w:tcMar>
            <w:vAlign w:val="center"/>
          </w:tcPr>
          <w:p w14:paraId="21451BD7">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危害级别</w:t>
            </w:r>
          </w:p>
        </w:tc>
        <w:tc>
          <w:tcPr>
            <w:tcW w:w="738" w:type="dxa"/>
            <w:vMerge w:val="restart"/>
            <w:tcBorders>
              <w:tl2br w:val="nil"/>
              <w:tr2bl w:val="nil"/>
            </w:tcBorders>
            <w:shd w:val="clear" w:color="auto" w:fill="DAE3F3"/>
            <w:noWrap w:val="0"/>
            <w:tcMar>
              <w:top w:w="15" w:type="dxa"/>
              <w:left w:w="15" w:type="dxa"/>
              <w:right w:w="15" w:type="dxa"/>
            </w:tcMar>
            <w:vAlign w:val="center"/>
          </w:tcPr>
          <w:p w14:paraId="55D5659D">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现行法律法规</w:t>
            </w:r>
          </w:p>
        </w:tc>
        <w:tc>
          <w:tcPr>
            <w:tcW w:w="816" w:type="dxa"/>
            <w:vMerge w:val="restart"/>
            <w:tcBorders>
              <w:tl2br w:val="nil"/>
              <w:tr2bl w:val="nil"/>
            </w:tcBorders>
            <w:shd w:val="clear" w:color="auto" w:fill="DAE3F3"/>
            <w:noWrap w:val="0"/>
            <w:tcMar>
              <w:top w:w="15" w:type="dxa"/>
              <w:left w:w="15" w:type="dxa"/>
              <w:right w:w="15" w:type="dxa"/>
            </w:tcMar>
            <w:vAlign w:val="center"/>
          </w:tcPr>
          <w:p w14:paraId="41F12410">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控制措施</w:t>
            </w:r>
          </w:p>
        </w:tc>
      </w:tr>
      <w:tr w14:paraId="7F6014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auto"/>
            <w:noWrap w:val="0"/>
            <w:tcMar>
              <w:top w:w="15" w:type="dxa"/>
              <w:left w:w="15" w:type="dxa"/>
              <w:right w:w="15" w:type="dxa"/>
            </w:tcMar>
            <w:vAlign w:val="center"/>
          </w:tcPr>
          <w:p w14:paraId="322AF358">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auto"/>
            <w:noWrap w:val="0"/>
            <w:tcMar>
              <w:top w:w="15" w:type="dxa"/>
              <w:left w:w="15" w:type="dxa"/>
              <w:right w:w="15" w:type="dxa"/>
            </w:tcMar>
            <w:vAlign w:val="center"/>
          </w:tcPr>
          <w:p w14:paraId="4EE0B3B8">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auto"/>
            <w:noWrap w:val="0"/>
            <w:tcMar>
              <w:top w:w="15" w:type="dxa"/>
              <w:left w:w="15" w:type="dxa"/>
              <w:right w:w="15" w:type="dxa"/>
            </w:tcMar>
            <w:vAlign w:val="center"/>
          </w:tcPr>
          <w:p w14:paraId="54ED9600">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auto"/>
            <w:noWrap w:val="0"/>
            <w:tcMar>
              <w:top w:w="15" w:type="dxa"/>
              <w:left w:w="15" w:type="dxa"/>
              <w:right w:w="15" w:type="dxa"/>
            </w:tcMar>
            <w:vAlign w:val="center"/>
          </w:tcPr>
          <w:p w14:paraId="635624F5">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auto"/>
            <w:noWrap w:val="0"/>
            <w:tcMar>
              <w:top w:w="15" w:type="dxa"/>
              <w:left w:w="15" w:type="dxa"/>
              <w:right w:w="15" w:type="dxa"/>
            </w:tcMar>
            <w:vAlign w:val="center"/>
          </w:tcPr>
          <w:p w14:paraId="245D6E0F">
            <w:pPr>
              <w:widowControl/>
              <w:spacing w:line="240" w:lineRule="exact"/>
              <w:ind w:firstLine="0" w:firstLineChars="0"/>
              <w:jc w:val="center"/>
              <w:rPr>
                <w:rFonts w:ascii="宋体" w:hAnsi="宋体" w:cs="宋体"/>
                <w:color w:val="auto"/>
                <w:sz w:val="18"/>
                <w:szCs w:val="18"/>
              </w:rPr>
            </w:pPr>
          </w:p>
        </w:tc>
        <w:tc>
          <w:tcPr>
            <w:tcW w:w="390" w:type="dxa"/>
            <w:tcBorders>
              <w:tl2br w:val="nil"/>
              <w:tr2bl w:val="nil"/>
            </w:tcBorders>
            <w:shd w:val="clear" w:color="auto" w:fill="DAE3F3"/>
            <w:noWrap w:val="0"/>
            <w:tcMar>
              <w:top w:w="15" w:type="dxa"/>
              <w:left w:w="15" w:type="dxa"/>
              <w:right w:w="15" w:type="dxa"/>
            </w:tcMar>
            <w:vAlign w:val="center"/>
          </w:tcPr>
          <w:p w14:paraId="5D0C200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是</w:t>
            </w:r>
          </w:p>
        </w:tc>
        <w:tc>
          <w:tcPr>
            <w:tcW w:w="356" w:type="dxa"/>
            <w:tcBorders>
              <w:tl2br w:val="nil"/>
              <w:tr2bl w:val="nil"/>
            </w:tcBorders>
            <w:shd w:val="clear" w:color="auto" w:fill="DAE3F3"/>
            <w:noWrap w:val="0"/>
            <w:tcMar>
              <w:top w:w="15" w:type="dxa"/>
              <w:left w:w="15" w:type="dxa"/>
              <w:right w:w="15" w:type="dxa"/>
            </w:tcMar>
            <w:vAlign w:val="center"/>
          </w:tcPr>
          <w:p w14:paraId="1E359B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shd w:val="clear" w:color="auto" w:fill="DAE3F3"/>
            <w:noWrap w:val="0"/>
            <w:tcMar>
              <w:top w:w="15" w:type="dxa"/>
              <w:left w:w="15" w:type="dxa"/>
              <w:right w:w="15" w:type="dxa"/>
            </w:tcMar>
            <w:vAlign w:val="center"/>
          </w:tcPr>
          <w:p w14:paraId="1A5932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L</w:t>
            </w:r>
          </w:p>
        </w:tc>
        <w:tc>
          <w:tcPr>
            <w:tcW w:w="198" w:type="dxa"/>
            <w:tcBorders>
              <w:tl2br w:val="nil"/>
              <w:tr2bl w:val="nil"/>
            </w:tcBorders>
            <w:shd w:val="clear" w:color="auto" w:fill="DAE3F3"/>
            <w:noWrap w:val="0"/>
            <w:tcMar>
              <w:top w:w="15" w:type="dxa"/>
              <w:left w:w="15" w:type="dxa"/>
              <w:right w:w="15" w:type="dxa"/>
            </w:tcMar>
            <w:vAlign w:val="center"/>
          </w:tcPr>
          <w:p w14:paraId="5C5FE6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E</w:t>
            </w:r>
          </w:p>
        </w:tc>
        <w:tc>
          <w:tcPr>
            <w:tcW w:w="227" w:type="dxa"/>
            <w:tcBorders>
              <w:tl2br w:val="nil"/>
              <w:tr2bl w:val="nil"/>
            </w:tcBorders>
            <w:shd w:val="clear" w:color="auto" w:fill="DAE3F3"/>
            <w:noWrap w:val="0"/>
            <w:tcMar>
              <w:top w:w="15" w:type="dxa"/>
              <w:left w:w="15" w:type="dxa"/>
              <w:right w:w="15" w:type="dxa"/>
            </w:tcMar>
            <w:vAlign w:val="center"/>
          </w:tcPr>
          <w:p w14:paraId="60C4E6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C</w:t>
            </w:r>
          </w:p>
        </w:tc>
        <w:tc>
          <w:tcPr>
            <w:tcW w:w="303" w:type="dxa"/>
            <w:tcBorders>
              <w:tl2br w:val="nil"/>
              <w:tr2bl w:val="nil"/>
            </w:tcBorders>
            <w:shd w:val="clear" w:color="auto" w:fill="DAE3F3"/>
            <w:noWrap w:val="0"/>
            <w:tcMar>
              <w:top w:w="15" w:type="dxa"/>
              <w:left w:w="15" w:type="dxa"/>
              <w:right w:w="15" w:type="dxa"/>
            </w:tcMar>
            <w:vAlign w:val="center"/>
          </w:tcPr>
          <w:p w14:paraId="12E771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w:t>
            </w:r>
          </w:p>
        </w:tc>
        <w:tc>
          <w:tcPr>
            <w:tcW w:w="467" w:type="dxa"/>
            <w:vMerge w:val="continue"/>
            <w:tcBorders>
              <w:tl2br w:val="nil"/>
              <w:tr2bl w:val="nil"/>
            </w:tcBorders>
            <w:noWrap w:val="0"/>
            <w:tcMar>
              <w:top w:w="15" w:type="dxa"/>
              <w:left w:w="15" w:type="dxa"/>
              <w:right w:w="15" w:type="dxa"/>
            </w:tcMar>
            <w:vAlign w:val="center"/>
          </w:tcPr>
          <w:p w14:paraId="68103FE0">
            <w:pPr>
              <w:widowControl/>
              <w:spacing w:line="240" w:lineRule="exact"/>
              <w:ind w:firstLine="0" w:firstLineChars="0"/>
              <w:jc w:val="center"/>
              <w:rPr>
                <w:rFonts w:ascii="宋体" w:hAnsi="宋体" w:cs="宋体"/>
                <w:color w:val="auto"/>
                <w:sz w:val="18"/>
                <w:szCs w:val="18"/>
              </w:rPr>
            </w:pPr>
          </w:p>
        </w:tc>
        <w:tc>
          <w:tcPr>
            <w:tcW w:w="738" w:type="dxa"/>
            <w:vMerge w:val="continue"/>
            <w:tcBorders>
              <w:tl2br w:val="nil"/>
              <w:tr2bl w:val="nil"/>
            </w:tcBorders>
            <w:noWrap w:val="0"/>
            <w:tcMar>
              <w:top w:w="15" w:type="dxa"/>
              <w:left w:w="15" w:type="dxa"/>
              <w:right w:w="15" w:type="dxa"/>
            </w:tcMar>
            <w:vAlign w:val="center"/>
          </w:tcPr>
          <w:p w14:paraId="1B5A47A6">
            <w:pPr>
              <w:widowControl/>
              <w:spacing w:line="240" w:lineRule="exact"/>
              <w:ind w:firstLine="0" w:firstLineChars="0"/>
              <w:jc w:val="center"/>
              <w:rPr>
                <w:rFonts w:ascii="宋体" w:hAnsi="宋体" w:cs="宋体"/>
                <w:color w:val="auto"/>
                <w:sz w:val="18"/>
                <w:szCs w:val="18"/>
              </w:rPr>
            </w:pPr>
          </w:p>
        </w:tc>
        <w:tc>
          <w:tcPr>
            <w:tcW w:w="816" w:type="dxa"/>
            <w:vMerge w:val="continue"/>
            <w:tcBorders>
              <w:tl2br w:val="nil"/>
              <w:tr2bl w:val="nil"/>
            </w:tcBorders>
            <w:noWrap w:val="0"/>
            <w:tcMar>
              <w:top w:w="15" w:type="dxa"/>
              <w:left w:w="15" w:type="dxa"/>
              <w:right w:w="15" w:type="dxa"/>
            </w:tcMar>
            <w:vAlign w:val="center"/>
          </w:tcPr>
          <w:p w14:paraId="4FB7800A">
            <w:pPr>
              <w:widowControl/>
              <w:spacing w:line="240" w:lineRule="exact"/>
              <w:ind w:firstLine="0" w:firstLineChars="0"/>
              <w:jc w:val="center"/>
              <w:rPr>
                <w:rFonts w:ascii="宋体" w:hAnsi="宋体" w:cs="宋体"/>
                <w:color w:val="auto"/>
                <w:sz w:val="18"/>
                <w:szCs w:val="18"/>
              </w:rPr>
            </w:pPr>
          </w:p>
        </w:tc>
      </w:tr>
      <w:tr w14:paraId="6CBE8C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2BCC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669" w:type="dxa"/>
            <w:tcBorders>
              <w:tl2br w:val="nil"/>
              <w:tr2bl w:val="nil"/>
            </w:tcBorders>
            <w:noWrap w:val="0"/>
            <w:tcMar>
              <w:top w:w="15" w:type="dxa"/>
              <w:left w:w="15" w:type="dxa"/>
              <w:right w:w="15" w:type="dxa"/>
            </w:tcMar>
            <w:vAlign w:val="center"/>
          </w:tcPr>
          <w:p w14:paraId="343006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A7676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7B5B67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1E72CB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E0DC3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53522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4B58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9D11E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6490D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4117C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ADBA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4773A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3817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30A7A1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73C1F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669" w:type="dxa"/>
            <w:tcBorders>
              <w:tl2br w:val="nil"/>
              <w:tr2bl w:val="nil"/>
            </w:tcBorders>
            <w:noWrap w:val="0"/>
            <w:tcMar>
              <w:top w:w="15" w:type="dxa"/>
              <w:left w:w="15" w:type="dxa"/>
              <w:right w:w="15" w:type="dxa"/>
            </w:tcMar>
            <w:vAlign w:val="center"/>
          </w:tcPr>
          <w:p w14:paraId="0F39D7D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F5E9E2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B0E5E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机械设备基础的承载能力不足</w:t>
            </w:r>
          </w:p>
        </w:tc>
        <w:tc>
          <w:tcPr>
            <w:tcW w:w="803" w:type="dxa"/>
            <w:tcBorders>
              <w:tl2br w:val="nil"/>
              <w:tr2bl w:val="nil"/>
            </w:tcBorders>
            <w:noWrap w:val="0"/>
            <w:tcMar>
              <w:top w:w="15" w:type="dxa"/>
              <w:left w:w="15" w:type="dxa"/>
              <w:right w:w="15" w:type="dxa"/>
            </w:tcMar>
            <w:vAlign w:val="center"/>
          </w:tcPr>
          <w:p w14:paraId="7B93AF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5F8803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0F9C6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C43E0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98FF8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B921A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6ECD9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A4785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53BC0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8E7C1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检查基础承载力</w:t>
            </w:r>
          </w:p>
        </w:tc>
      </w:tr>
      <w:tr w14:paraId="122D6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32C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669" w:type="dxa"/>
            <w:tcBorders>
              <w:tl2br w:val="nil"/>
              <w:tr2bl w:val="nil"/>
            </w:tcBorders>
            <w:noWrap w:val="0"/>
            <w:tcMar>
              <w:top w:w="15" w:type="dxa"/>
              <w:left w:w="15" w:type="dxa"/>
              <w:right w:w="15" w:type="dxa"/>
            </w:tcMar>
            <w:vAlign w:val="center"/>
          </w:tcPr>
          <w:p w14:paraId="6EE75A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21516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24CD5E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操作人员无证操作</w:t>
            </w:r>
          </w:p>
        </w:tc>
        <w:tc>
          <w:tcPr>
            <w:tcW w:w="803" w:type="dxa"/>
            <w:tcBorders>
              <w:tl2br w:val="nil"/>
              <w:tr2bl w:val="nil"/>
            </w:tcBorders>
            <w:noWrap w:val="0"/>
            <w:tcMar>
              <w:top w:w="15" w:type="dxa"/>
              <w:left w:w="15" w:type="dxa"/>
              <w:right w:w="15" w:type="dxa"/>
            </w:tcMar>
            <w:vAlign w:val="center"/>
          </w:tcPr>
          <w:p w14:paraId="48EAF4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86645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C9EC5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7BA5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32F2F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DEEAB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21855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661F0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F71DA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F5F3B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要求操作人员持证上岗</w:t>
            </w:r>
          </w:p>
        </w:tc>
      </w:tr>
      <w:tr w14:paraId="464076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24CE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w:t>
            </w:r>
          </w:p>
        </w:tc>
        <w:tc>
          <w:tcPr>
            <w:tcW w:w="669" w:type="dxa"/>
            <w:tcBorders>
              <w:tl2br w:val="nil"/>
              <w:tr2bl w:val="nil"/>
            </w:tcBorders>
            <w:noWrap w:val="0"/>
            <w:tcMar>
              <w:top w:w="15" w:type="dxa"/>
              <w:left w:w="15" w:type="dxa"/>
              <w:right w:w="15" w:type="dxa"/>
            </w:tcMar>
            <w:vAlign w:val="center"/>
          </w:tcPr>
          <w:p w14:paraId="0838E1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2A214F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5C1D3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4B30E7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5A245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116D3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3FD20D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666B15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C22D8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BCB6B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ED815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1F263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14482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作业前进行教育</w:t>
            </w:r>
          </w:p>
        </w:tc>
      </w:tr>
      <w:tr w14:paraId="0CB3C5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313FC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5</w:t>
            </w:r>
          </w:p>
        </w:tc>
        <w:tc>
          <w:tcPr>
            <w:tcW w:w="669" w:type="dxa"/>
            <w:tcBorders>
              <w:tl2br w:val="nil"/>
              <w:tr2bl w:val="nil"/>
            </w:tcBorders>
            <w:noWrap w:val="0"/>
            <w:tcMar>
              <w:top w:w="15" w:type="dxa"/>
              <w:left w:w="15" w:type="dxa"/>
              <w:right w:w="15" w:type="dxa"/>
            </w:tcMar>
            <w:vAlign w:val="center"/>
          </w:tcPr>
          <w:p w14:paraId="7F2043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476F7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158EB9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指挥人员无证指挥</w:t>
            </w:r>
          </w:p>
        </w:tc>
        <w:tc>
          <w:tcPr>
            <w:tcW w:w="803" w:type="dxa"/>
            <w:tcBorders>
              <w:tl2br w:val="nil"/>
              <w:tr2bl w:val="nil"/>
            </w:tcBorders>
            <w:noWrap w:val="0"/>
            <w:tcMar>
              <w:top w:w="15" w:type="dxa"/>
              <w:left w:w="15" w:type="dxa"/>
              <w:right w:w="15" w:type="dxa"/>
            </w:tcMar>
            <w:vAlign w:val="center"/>
          </w:tcPr>
          <w:p w14:paraId="364BFC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4E471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90E15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2FA1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78B6B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711B3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91A2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166BC8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186AC2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7E686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要求指挥人员持证上岗</w:t>
            </w:r>
          </w:p>
        </w:tc>
      </w:tr>
      <w:tr w14:paraId="03488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6C91A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669" w:type="dxa"/>
            <w:tcBorders>
              <w:tl2br w:val="nil"/>
              <w:tr2bl w:val="nil"/>
            </w:tcBorders>
            <w:noWrap w:val="0"/>
            <w:tcMar>
              <w:top w:w="15" w:type="dxa"/>
              <w:left w:w="15" w:type="dxa"/>
              <w:right w:w="15" w:type="dxa"/>
            </w:tcMar>
            <w:vAlign w:val="center"/>
          </w:tcPr>
          <w:p w14:paraId="0D8FD4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B3803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63F02E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7D99D3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4F8F97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A1E7A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3558E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9BBBA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6A48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02848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75261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BE3D5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8316E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设备使用前检查</w:t>
            </w:r>
          </w:p>
        </w:tc>
      </w:tr>
      <w:tr w14:paraId="54845D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F432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669" w:type="dxa"/>
            <w:tcBorders>
              <w:tl2br w:val="nil"/>
              <w:tr2bl w:val="nil"/>
            </w:tcBorders>
            <w:noWrap w:val="0"/>
            <w:tcMar>
              <w:top w:w="15" w:type="dxa"/>
              <w:left w:w="15" w:type="dxa"/>
              <w:right w:w="15" w:type="dxa"/>
            </w:tcMar>
            <w:vAlign w:val="center"/>
          </w:tcPr>
          <w:p w14:paraId="7885F1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CA76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CF0E4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6C7E8A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6E7D8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D66F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EB38F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EEF35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3356D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9AA26E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181E75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4AAC1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A234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3BC6CA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071AD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w:t>
            </w:r>
          </w:p>
        </w:tc>
        <w:tc>
          <w:tcPr>
            <w:tcW w:w="669" w:type="dxa"/>
            <w:tcBorders>
              <w:tl2br w:val="nil"/>
              <w:tr2bl w:val="nil"/>
            </w:tcBorders>
            <w:noWrap w:val="0"/>
            <w:tcMar>
              <w:top w:w="15" w:type="dxa"/>
              <w:left w:w="15" w:type="dxa"/>
              <w:right w:w="15" w:type="dxa"/>
            </w:tcMar>
            <w:vAlign w:val="center"/>
          </w:tcPr>
          <w:p w14:paraId="1C235D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4F512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74DD43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79F45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5AF82D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1E6D0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081E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30F11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8B62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6B8EE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3F3B16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CA805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7D48F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039317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CE31EF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9</w:t>
            </w:r>
          </w:p>
        </w:tc>
        <w:tc>
          <w:tcPr>
            <w:tcW w:w="669" w:type="dxa"/>
            <w:tcBorders>
              <w:tl2br w:val="nil"/>
              <w:tr2bl w:val="nil"/>
            </w:tcBorders>
            <w:noWrap w:val="0"/>
            <w:tcMar>
              <w:top w:w="15" w:type="dxa"/>
              <w:left w:w="15" w:type="dxa"/>
              <w:right w:w="15" w:type="dxa"/>
            </w:tcMar>
            <w:vAlign w:val="center"/>
          </w:tcPr>
          <w:p w14:paraId="2FD92D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51356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73BE56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安装、拆除资质不符合要求</w:t>
            </w:r>
          </w:p>
        </w:tc>
        <w:tc>
          <w:tcPr>
            <w:tcW w:w="803" w:type="dxa"/>
            <w:tcBorders>
              <w:tl2br w:val="nil"/>
              <w:tr2bl w:val="nil"/>
            </w:tcBorders>
            <w:noWrap w:val="0"/>
            <w:tcMar>
              <w:top w:w="15" w:type="dxa"/>
              <w:left w:w="15" w:type="dxa"/>
              <w:right w:w="15" w:type="dxa"/>
            </w:tcMar>
            <w:vAlign w:val="center"/>
          </w:tcPr>
          <w:p w14:paraId="0AE7EF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5FEFA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CD7B7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CA9A5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74300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63A76E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2DBA5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06ED92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6628B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653C88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使用资质合格的单位施工</w:t>
            </w:r>
          </w:p>
        </w:tc>
      </w:tr>
      <w:tr w14:paraId="2FC1CC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7D20C4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10</w:t>
            </w:r>
          </w:p>
        </w:tc>
        <w:tc>
          <w:tcPr>
            <w:tcW w:w="669" w:type="dxa"/>
            <w:tcBorders>
              <w:tl2br w:val="nil"/>
              <w:tr2bl w:val="nil"/>
            </w:tcBorders>
            <w:noWrap w:val="0"/>
            <w:tcMar>
              <w:top w:w="15" w:type="dxa"/>
              <w:left w:w="15" w:type="dxa"/>
              <w:right w:w="15" w:type="dxa"/>
            </w:tcMar>
            <w:vAlign w:val="center"/>
          </w:tcPr>
          <w:p w14:paraId="218B3A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8D6B5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63E291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特种作业人员无证上岗</w:t>
            </w:r>
          </w:p>
        </w:tc>
        <w:tc>
          <w:tcPr>
            <w:tcW w:w="803" w:type="dxa"/>
            <w:tcBorders>
              <w:tl2br w:val="nil"/>
              <w:tr2bl w:val="nil"/>
            </w:tcBorders>
            <w:noWrap w:val="0"/>
            <w:tcMar>
              <w:top w:w="15" w:type="dxa"/>
              <w:left w:w="15" w:type="dxa"/>
              <w:right w:w="15" w:type="dxa"/>
            </w:tcMar>
            <w:vAlign w:val="center"/>
          </w:tcPr>
          <w:p w14:paraId="1258B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63893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388E0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833E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100A4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5518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19267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16983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501C4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465EF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检查特种作业人员持证上岗</w:t>
            </w:r>
          </w:p>
        </w:tc>
      </w:tr>
      <w:tr w14:paraId="50E223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FAF2FB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11</w:t>
            </w:r>
          </w:p>
        </w:tc>
        <w:tc>
          <w:tcPr>
            <w:tcW w:w="669" w:type="dxa"/>
            <w:tcBorders>
              <w:tl2br w:val="nil"/>
              <w:tr2bl w:val="nil"/>
            </w:tcBorders>
            <w:noWrap w:val="0"/>
            <w:tcMar>
              <w:top w:w="15" w:type="dxa"/>
              <w:left w:w="15" w:type="dxa"/>
              <w:right w:w="15" w:type="dxa"/>
            </w:tcMar>
            <w:vAlign w:val="center"/>
          </w:tcPr>
          <w:p w14:paraId="2C8E89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0C985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4A6083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安装、拆除专项方案未经公司批准，不能指导作业，未按方案作业</w:t>
            </w:r>
          </w:p>
        </w:tc>
        <w:tc>
          <w:tcPr>
            <w:tcW w:w="803" w:type="dxa"/>
            <w:tcBorders>
              <w:tl2br w:val="nil"/>
              <w:tr2bl w:val="nil"/>
            </w:tcBorders>
            <w:noWrap w:val="0"/>
            <w:tcMar>
              <w:top w:w="15" w:type="dxa"/>
              <w:left w:w="15" w:type="dxa"/>
              <w:right w:w="15" w:type="dxa"/>
            </w:tcMar>
            <w:vAlign w:val="center"/>
          </w:tcPr>
          <w:p w14:paraId="234B09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42D031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80955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4A1F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EEF1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79A31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73E40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0FE4AA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0AE6E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2C45DF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方案审核完善</w:t>
            </w:r>
          </w:p>
        </w:tc>
      </w:tr>
      <w:tr w14:paraId="4A07E4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885F6B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12</w:t>
            </w:r>
          </w:p>
        </w:tc>
        <w:tc>
          <w:tcPr>
            <w:tcW w:w="669" w:type="dxa"/>
            <w:tcBorders>
              <w:tl2br w:val="nil"/>
              <w:tr2bl w:val="nil"/>
            </w:tcBorders>
            <w:noWrap w:val="0"/>
            <w:tcMar>
              <w:top w:w="15" w:type="dxa"/>
              <w:left w:w="15" w:type="dxa"/>
              <w:right w:w="15" w:type="dxa"/>
            </w:tcMar>
            <w:vAlign w:val="center"/>
          </w:tcPr>
          <w:p w14:paraId="5F284D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7D03E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46D8AD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安装、拆除作业前未进行安全技术交底或交底内容不全面、详细</w:t>
            </w:r>
          </w:p>
        </w:tc>
        <w:tc>
          <w:tcPr>
            <w:tcW w:w="803" w:type="dxa"/>
            <w:tcBorders>
              <w:tl2br w:val="nil"/>
              <w:tr2bl w:val="nil"/>
            </w:tcBorders>
            <w:noWrap w:val="0"/>
            <w:tcMar>
              <w:top w:w="15" w:type="dxa"/>
              <w:left w:w="15" w:type="dxa"/>
              <w:right w:w="15" w:type="dxa"/>
            </w:tcMar>
            <w:vAlign w:val="center"/>
          </w:tcPr>
          <w:p w14:paraId="4B22A5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0A9812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7EE3B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2EAE0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79037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1033F0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46AD97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7DAA47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1F71F7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1AC6C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安全技术交底</w:t>
            </w:r>
          </w:p>
        </w:tc>
      </w:tr>
      <w:tr w14:paraId="21A3F3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9D58E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13</w:t>
            </w:r>
          </w:p>
        </w:tc>
        <w:tc>
          <w:tcPr>
            <w:tcW w:w="669" w:type="dxa"/>
            <w:tcBorders>
              <w:tl2br w:val="nil"/>
              <w:tr2bl w:val="nil"/>
            </w:tcBorders>
            <w:noWrap w:val="0"/>
            <w:tcMar>
              <w:top w:w="15" w:type="dxa"/>
              <w:left w:w="15" w:type="dxa"/>
              <w:right w:w="15" w:type="dxa"/>
            </w:tcMar>
            <w:vAlign w:val="center"/>
          </w:tcPr>
          <w:p w14:paraId="27CA3A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A6D64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F698C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塔机基础不符合设计要求</w:t>
            </w:r>
          </w:p>
        </w:tc>
        <w:tc>
          <w:tcPr>
            <w:tcW w:w="803" w:type="dxa"/>
            <w:tcBorders>
              <w:tl2br w:val="nil"/>
              <w:tr2bl w:val="nil"/>
            </w:tcBorders>
            <w:noWrap w:val="0"/>
            <w:tcMar>
              <w:top w:w="15" w:type="dxa"/>
              <w:left w:w="15" w:type="dxa"/>
              <w:right w:w="15" w:type="dxa"/>
            </w:tcMar>
            <w:vAlign w:val="center"/>
          </w:tcPr>
          <w:p w14:paraId="6EB4FA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520B46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0B840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B78CB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595F1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C26AD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4AE70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D791A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90715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96D08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检查基础情况</w:t>
            </w:r>
          </w:p>
        </w:tc>
      </w:tr>
      <w:tr w14:paraId="137510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B74C8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14</w:t>
            </w:r>
          </w:p>
        </w:tc>
        <w:tc>
          <w:tcPr>
            <w:tcW w:w="669" w:type="dxa"/>
            <w:tcBorders>
              <w:tl2br w:val="nil"/>
              <w:tr2bl w:val="nil"/>
            </w:tcBorders>
            <w:noWrap w:val="0"/>
            <w:tcMar>
              <w:top w:w="15" w:type="dxa"/>
              <w:left w:w="15" w:type="dxa"/>
              <w:right w:w="15" w:type="dxa"/>
            </w:tcMar>
            <w:vAlign w:val="center"/>
          </w:tcPr>
          <w:p w14:paraId="12B48E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0CB83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272C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安装、拆除作业前未对塔机各部件进行检查</w:t>
            </w:r>
          </w:p>
        </w:tc>
        <w:tc>
          <w:tcPr>
            <w:tcW w:w="803" w:type="dxa"/>
            <w:tcBorders>
              <w:tl2br w:val="nil"/>
              <w:tr2bl w:val="nil"/>
            </w:tcBorders>
            <w:noWrap w:val="0"/>
            <w:tcMar>
              <w:top w:w="15" w:type="dxa"/>
              <w:left w:w="15" w:type="dxa"/>
              <w:right w:w="15" w:type="dxa"/>
            </w:tcMar>
            <w:vAlign w:val="center"/>
          </w:tcPr>
          <w:p w14:paraId="38D0A6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77AB2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DA571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C08C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8B77E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4E13A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230FB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301AF2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0614BC2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7EAF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058177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1B975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15</w:t>
            </w:r>
          </w:p>
        </w:tc>
        <w:tc>
          <w:tcPr>
            <w:tcW w:w="669" w:type="dxa"/>
            <w:tcBorders>
              <w:tl2br w:val="nil"/>
              <w:tr2bl w:val="nil"/>
            </w:tcBorders>
            <w:noWrap w:val="0"/>
            <w:tcMar>
              <w:top w:w="15" w:type="dxa"/>
              <w:left w:w="15" w:type="dxa"/>
              <w:right w:w="15" w:type="dxa"/>
            </w:tcMar>
            <w:vAlign w:val="center"/>
          </w:tcPr>
          <w:p w14:paraId="6B6605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7913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54863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工序转换时，未检查是否具备下一步施工的条件</w:t>
            </w:r>
          </w:p>
        </w:tc>
        <w:tc>
          <w:tcPr>
            <w:tcW w:w="803" w:type="dxa"/>
            <w:tcBorders>
              <w:tl2br w:val="nil"/>
              <w:tr2bl w:val="nil"/>
            </w:tcBorders>
            <w:noWrap w:val="0"/>
            <w:tcMar>
              <w:top w:w="15" w:type="dxa"/>
              <w:left w:w="15" w:type="dxa"/>
              <w:right w:w="15" w:type="dxa"/>
            </w:tcMar>
            <w:vAlign w:val="center"/>
          </w:tcPr>
          <w:p w14:paraId="45D076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66F109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19642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FD94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0CEA0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1932E8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76B06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D5072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1F305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8508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56BE36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4FF664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16</w:t>
            </w:r>
          </w:p>
        </w:tc>
        <w:tc>
          <w:tcPr>
            <w:tcW w:w="669" w:type="dxa"/>
            <w:tcBorders>
              <w:tl2br w:val="nil"/>
              <w:tr2bl w:val="nil"/>
            </w:tcBorders>
            <w:noWrap w:val="0"/>
            <w:tcMar>
              <w:top w:w="15" w:type="dxa"/>
              <w:left w:w="15" w:type="dxa"/>
              <w:right w:w="15" w:type="dxa"/>
            </w:tcMar>
            <w:vAlign w:val="center"/>
          </w:tcPr>
          <w:p w14:paraId="160D9C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BC4FD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0B6F3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73DB83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83AC42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6E4C5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2984C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449023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011B1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2AEFD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BFBB2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E04A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B8AA6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F0C8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CE5F82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17</w:t>
            </w:r>
          </w:p>
        </w:tc>
        <w:tc>
          <w:tcPr>
            <w:tcW w:w="669" w:type="dxa"/>
            <w:tcBorders>
              <w:tl2br w:val="nil"/>
              <w:tr2bl w:val="nil"/>
            </w:tcBorders>
            <w:noWrap w:val="0"/>
            <w:tcMar>
              <w:top w:w="15" w:type="dxa"/>
              <w:left w:w="15" w:type="dxa"/>
              <w:right w:w="15" w:type="dxa"/>
            </w:tcMar>
            <w:vAlign w:val="center"/>
          </w:tcPr>
          <w:p w14:paraId="13F158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4C788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6F5BB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安装、拆除起重臂、平衡臂未用系缆风绳</w:t>
            </w:r>
          </w:p>
        </w:tc>
        <w:tc>
          <w:tcPr>
            <w:tcW w:w="803" w:type="dxa"/>
            <w:tcBorders>
              <w:tl2br w:val="nil"/>
              <w:tr2bl w:val="nil"/>
            </w:tcBorders>
            <w:noWrap w:val="0"/>
            <w:tcMar>
              <w:top w:w="15" w:type="dxa"/>
              <w:left w:w="15" w:type="dxa"/>
              <w:right w:w="15" w:type="dxa"/>
            </w:tcMar>
            <w:vAlign w:val="center"/>
          </w:tcPr>
          <w:p w14:paraId="6846B2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4DE96D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32F39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11254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CE398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39FE8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EE469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114484C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1D0B0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EA398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系好缆风绳</w:t>
            </w:r>
          </w:p>
        </w:tc>
      </w:tr>
      <w:tr w14:paraId="2FD7CA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B03959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18</w:t>
            </w:r>
          </w:p>
        </w:tc>
        <w:tc>
          <w:tcPr>
            <w:tcW w:w="669" w:type="dxa"/>
            <w:tcBorders>
              <w:tl2br w:val="nil"/>
              <w:tr2bl w:val="nil"/>
            </w:tcBorders>
            <w:noWrap w:val="0"/>
            <w:tcMar>
              <w:top w:w="15" w:type="dxa"/>
              <w:left w:w="15" w:type="dxa"/>
              <w:right w:w="15" w:type="dxa"/>
            </w:tcMar>
            <w:vAlign w:val="center"/>
          </w:tcPr>
          <w:p w14:paraId="4E021E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BCB6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15679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安装、拆除起重臂前未（吊卸）吊装平衡重</w:t>
            </w:r>
          </w:p>
        </w:tc>
        <w:tc>
          <w:tcPr>
            <w:tcW w:w="803" w:type="dxa"/>
            <w:tcBorders>
              <w:tl2br w:val="nil"/>
              <w:tr2bl w:val="nil"/>
            </w:tcBorders>
            <w:noWrap w:val="0"/>
            <w:tcMar>
              <w:top w:w="15" w:type="dxa"/>
              <w:left w:w="15" w:type="dxa"/>
              <w:right w:w="15" w:type="dxa"/>
            </w:tcMar>
            <w:vAlign w:val="center"/>
          </w:tcPr>
          <w:p w14:paraId="288A79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34DED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9661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3A77C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12E63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0D1F95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397E6D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639B8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7573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AAF7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吊卸平衡重</w:t>
            </w:r>
          </w:p>
        </w:tc>
      </w:tr>
      <w:tr w14:paraId="25AF4F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BA6A6E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19</w:t>
            </w:r>
          </w:p>
        </w:tc>
        <w:tc>
          <w:tcPr>
            <w:tcW w:w="669" w:type="dxa"/>
            <w:tcBorders>
              <w:tl2br w:val="nil"/>
              <w:tr2bl w:val="nil"/>
            </w:tcBorders>
            <w:noWrap w:val="0"/>
            <w:tcMar>
              <w:top w:w="15" w:type="dxa"/>
              <w:left w:w="15" w:type="dxa"/>
              <w:right w:w="15" w:type="dxa"/>
            </w:tcMar>
            <w:vAlign w:val="center"/>
          </w:tcPr>
          <w:p w14:paraId="186F26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42715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41713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加节顶升或者降节拆除时未配平或不符合要求</w:t>
            </w:r>
          </w:p>
        </w:tc>
        <w:tc>
          <w:tcPr>
            <w:tcW w:w="803" w:type="dxa"/>
            <w:tcBorders>
              <w:tl2br w:val="nil"/>
              <w:tr2bl w:val="nil"/>
            </w:tcBorders>
            <w:noWrap w:val="0"/>
            <w:tcMar>
              <w:top w:w="15" w:type="dxa"/>
              <w:left w:w="15" w:type="dxa"/>
              <w:right w:w="15" w:type="dxa"/>
            </w:tcMar>
            <w:vAlign w:val="center"/>
          </w:tcPr>
          <w:p w14:paraId="624010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6290C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7EEB2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F3A8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3BDC3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74B01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6757A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83222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B3957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15A62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作业前进行配平</w:t>
            </w:r>
          </w:p>
        </w:tc>
      </w:tr>
      <w:tr w14:paraId="601B5E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CB61A1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20</w:t>
            </w:r>
          </w:p>
        </w:tc>
        <w:tc>
          <w:tcPr>
            <w:tcW w:w="669" w:type="dxa"/>
            <w:tcBorders>
              <w:tl2br w:val="nil"/>
              <w:tr2bl w:val="nil"/>
            </w:tcBorders>
            <w:noWrap w:val="0"/>
            <w:tcMar>
              <w:top w:w="15" w:type="dxa"/>
              <w:left w:w="15" w:type="dxa"/>
              <w:right w:w="15" w:type="dxa"/>
            </w:tcMar>
            <w:vAlign w:val="center"/>
          </w:tcPr>
          <w:p w14:paraId="131EEC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9401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43A34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下支座与塔身螺栓没有连接好的情况下回转吊臂、小车变幅、吊装作业</w:t>
            </w:r>
          </w:p>
        </w:tc>
        <w:tc>
          <w:tcPr>
            <w:tcW w:w="803" w:type="dxa"/>
            <w:tcBorders>
              <w:tl2br w:val="nil"/>
              <w:tr2bl w:val="nil"/>
            </w:tcBorders>
            <w:noWrap w:val="0"/>
            <w:tcMar>
              <w:top w:w="15" w:type="dxa"/>
              <w:left w:w="15" w:type="dxa"/>
              <w:right w:w="15" w:type="dxa"/>
            </w:tcMar>
            <w:vAlign w:val="center"/>
          </w:tcPr>
          <w:p w14:paraId="306B4D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004C4B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95D8A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77E91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62716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B9735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55A26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3CA09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10520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82FD2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作业前进行检查确认</w:t>
            </w:r>
          </w:p>
        </w:tc>
      </w:tr>
      <w:tr w14:paraId="55CAA4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F14AB5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21</w:t>
            </w:r>
          </w:p>
        </w:tc>
        <w:tc>
          <w:tcPr>
            <w:tcW w:w="669" w:type="dxa"/>
            <w:tcBorders>
              <w:tl2br w:val="nil"/>
              <w:tr2bl w:val="nil"/>
            </w:tcBorders>
            <w:noWrap w:val="0"/>
            <w:tcMar>
              <w:top w:w="15" w:type="dxa"/>
              <w:left w:w="15" w:type="dxa"/>
              <w:right w:w="15" w:type="dxa"/>
            </w:tcMar>
            <w:vAlign w:val="center"/>
          </w:tcPr>
          <w:p w14:paraId="466001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D44AF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4DB98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顶升过程中液压系统出现故障</w:t>
            </w:r>
          </w:p>
        </w:tc>
        <w:tc>
          <w:tcPr>
            <w:tcW w:w="803" w:type="dxa"/>
            <w:tcBorders>
              <w:tl2br w:val="nil"/>
              <w:tr2bl w:val="nil"/>
            </w:tcBorders>
            <w:noWrap w:val="0"/>
            <w:tcMar>
              <w:top w:w="15" w:type="dxa"/>
              <w:left w:w="15" w:type="dxa"/>
              <w:right w:w="15" w:type="dxa"/>
            </w:tcMar>
            <w:vAlign w:val="center"/>
          </w:tcPr>
          <w:p w14:paraId="780866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5FA7AB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A9E3F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D615C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0A60E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5573B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9EA77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17404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718F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DDB6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作业前进行维修液压系统</w:t>
            </w:r>
          </w:p>
        </w:tc>
      </w:tr>
      <w:tr w14:paraId="45E71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75FF33B">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22</w:t>
            </w:r>
          </w:p>
        </w:tc>
        <w:tc>
          <w:tcPr>
            <w:tcW w:w="669" w:type="dxa"/>
            <w:tcBorders>
              <w:tl2br w:val="nil"/>
              <w:tr2bl w:val="nil"/>
            </w:tcBorders>
            <w:noWrap w:val="0"/>
            <w:tcMar>
              <w:top w:w="15" w:type="dxa"/>
              <w:left w:w="15" w:type="dxa"/>
              <w:right w:w="15" w:type="dxa"/>
            </w:tcMar>
            <w:vAlign w:val="center"/>
          </w:tcPr>
          <w:p w14:paraId="7EF91A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8CC24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617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附着连接不符合要求，预埋件制作、埋设不符合要求</w:t>
            </w:r>
          </w:p>
        </w:tc>
        <w:tc>
          <w:tcPr>
            <w:tcW w:w="803" w:type="dxa"/>
            <w:tcBorders>
              <w:tl2br w:val="nil"/>
              <w:tr2bl w:val="nil"/>
            </w:tcBorders>
            <w:noWrap w:val="0"/>
            <w:tcMar>
              <w:top w:w="15" w:type="dxa"/>
              <w:left w:w="15" w:type="dxa"/>
              <w:right w:w="15" w:type="dxa"/>
            </w:tcMar>
            <w:vAlign w:val="center"/>
          </w:tcPr>
          <w:p w14:paraId="71F39C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4E545C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E2BF9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6C76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04D2F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4436C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641D0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E08F3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A669D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E8069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专业技术员监督施工</w:t>
            </w:r>
          </w:p>
        </w:tc>
      </w:tr>
      <w:tr w14:paraId="7E298A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E9BDA6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23</w:t>
            </w:r>
          </w:p>
        </w:tc>
        <w:tc>
          <w:tcPr>
            <w:tcW w:w="669" w:type="dxa"/>
            <w:tcBorders>
              <w:tl2br w:val="nil"/>
              <w:tr2bl w:val="nil"/>
            </w:tcBorders>
            <w:noWrap w:val="0"/>
            <w:tcMar>
              <w:top w:w="15" w:type="dxa"/>
              <w:left w:w="15" w:type="dxa"/>
              <w:right w:w="15" w:type="dxa"/>
            </w:tcMar>
            <w:vAlign w:val="center"/>
          </w:tcPr>
          <w:p w14:paraId="5C3B0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53F09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6F02A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附着框架顶块未顶紧，连接螺栓未紧固、松动</w:t>
            </w:r>
          </w:p>
        </w:tc>
        <w:tc>
          <w:tcPr>
            <w:tcW w:w="803" w:type="dxa"/>
            <w:tcBorders>
              <w:tl2br w:val="nil"/>
              <w:tr2bl w:val="nil"/>
            </w:tcBorders>
            <w:noWrap w:val="0"/>
            <w:tcMar>
              <w:top w:w="15" w:type="dxa"/>
              <w:left w:w="15" w:type="dxa"/>
              <w:right w:w="15" w:type="dxa"/>
            </w:tcMar>
            <w:vAlign w:val="center"/>
          </w:tcPr>
          <w:p w14:paraId="333FA7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07401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4D0B4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7FD6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5F13D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0CCDB0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0BE32C6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4690B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1C7FC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10B70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施工前进行检查</w:t>
            </w:r>
          </w:p>
        </w:tc>
      </w:tr>
      <w:tr w14:paraId="54F58B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C1930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24</w:t>
            </w:r>
          </w:p>
        </w:tc>
        <w:tc>
          <w:tcPr>
            <w:tcW w:w="669" w:type="dxa"/>
            <w:tcBorders>
              <w:tl2br w:val="nil"/>
              <w:tr2bl w:val="nil"/>
            </w:tcBorders>
            <w:noWrap w:val="0"/>
            <w:tcMar>
              <w:top w:w="15" w:type="dxa"/>
              <w:left w:w="15" w:type="dxa"/>
              <w:right w:w="15" w:type="dxa"/>
            </w:tcMar>
            <w:vAlign w:val="center"/>
          </w:tcPr>
          <w:p w14:paraId="6335C4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2ACF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C64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54851D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47F62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F2A6E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00586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DFEA4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E755D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4DBFF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8B767C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72A0F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1A57A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1952E7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55AF99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25</w:t>
            </w:r>
          </w:p>
        </w:tc>
        <w:tc>
          <w:tcPr>
            <w:tcW w:w="669" w:type="dxa"/>
            <w:tcBorders>
              <w:tl2br w:val="nil"/>
              <w:tr2bl w:val="nil"/>
            </w:tcBorders>
            <w:noWrap w:val="0"/>
            <w:tcMar>
              <w:top w:w="15" w:type="dxa"/>
              <w:left w:w="15" w:type="dxa"/>
              <w:right w:w="15" w:type="dxa"/>
            </w:tcMar>
            <w:vAlign w:val="center"/>
          </w:tcPr>
          <w:p w14:paraId="4A6146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C2266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6E42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安装、拆除作业中指挥人员无证指挥、信号不明</w:t>
            </w:r>
          </w:p>
        </w:tc>
        <w:tc>
          <w:tcPr>
            <w:tcW w:w="803" w:type="dxa"/>
            <w:tcBorders>
              <w:tl2br w:val="nil"/>
              <w:tr2bl w:val="nil"/>
            </w:tcBorders>
            <w:noWrap w:val="0"/>
            <w:tcMar>
              <w:top w:w="15" w:type="dxa"/>
              <w:left w:w="15" w:type="dxa"/>
              <w:right w:w="15" w:type="dxa"/>
            </w:tcMar>
            <w:vAlign w:val="center"/>
          </w:tcPr>
          <w:p w14:paraId="757C26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0EEE0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835AD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4664F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634E08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527A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FABA6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ECDE6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DD571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2337D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专业指挥人员指挥</w:t>
            </w:r>
          </w:p>
        </w:tc>
      </w:tr>
      <w:tr w14:paraId="11F817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FD6E4A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26</w:t>
            </w:r>
          </w:p>
        </w:tc>
        <w:tc>
          <w:tcPr>
            <w:tcW w:w="669" w:type="dxa"/>
            <w:tcBorders>
              <w:tl2br w:val="nil"/>
              <w:tr2bl w:val="nil"/>
            </w:tcBorders>
            <w:noWrap w:val="0"/>
            <w:tcMar>
              <w:top w:w="15" w:type="dxa"/>
              <w:left w:w="15" w:type="dxa"/>
              <w:right w:w="15" w:type="dxa"/>
            </w:tcMar>
            <w:vAlign w:val="center"/>
          </w:tcPr>
          <w:p w14:paraId="138D51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17753A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32154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5FE199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3256C8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DBCAA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D921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3B9FB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DF9FE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6E480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24CAB0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3FF16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61DF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对操作人员进行教育培训</w:t>
            </w:r>
          </w:p>
        </w:tc>
      </w:tr>
      <w:tr w14:paraId="27249C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8E465B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27</w:t>
            </w:r>
          </w:p>
        </w:tc>
        <w:tc>
          <w:tcPr>
            <w:tcW w:w="669" w:type="dxa"/>
            <w:tcBorders>
              <w:tl2br w:val="nil"/>
              <w:tr2bl w:val="nil"/>
            </w:tcBorders>
            <w:noWrap w:val="0"/>
            <w:tcMar>
              <w:top w:w="15" w:type="dxa"/>
              <w:left w:w="15" w:type="dxa"/>
              <w:right w:w="15" w:type="dxa"/>
            </w:tcMar>
            <w:vAlign w:val="center"/>
          </w:tcPr>
          <w:p w14:paraId="5D8641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E97F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C2BBB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08ABD9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0A1ADE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7D120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AC75E7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C68E6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A1A13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32BCE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87FF2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F9638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0FAF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01B77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1DEB7E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28</w:t>
            </w:r>
          </w:p>
        </w:tc>
        <w:tc>
          <w:tcPr>
            <w:tcW w:w="669" w:type="dxa"/>
            <w:tcBorders>
              <w:tl2br w:val="nil"/>
              <w:tr2bl w:val="nil"/>
            </w:tcBorders>
            <w:noWrap w:val="0"/>
            <w:tcMar>
              <w:top w:w="15" w:type="dxa"/>
              <w:left w:w="15" w:type="dxa"/>
              <w:right w:w="15" w:type="dxa"/>
            </w:tcMar>
            <w:vAlign w:val="center"/>
          </w:tcPr>
          <w:p w14:paraId="56A99A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E34C7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BAEF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履带吊载重量不满足要求</w:t>
            </w:r>
          </w:p>
        </w:tc>
        <w:tc>
          <w:tcPr>
            <w:tcW w:w="803" w:type="dxa"/>
            <w:tcBorders>
              <w:tl2br w:val="nil"/>
              <w:tr2bl w:val="nil"/>
            </w:tcBorders>
            <w:noWrap w:val="0"/>
            <w:tcMar>
              <w:top w:w="15" w:type="dxa"/>
              <w:left w:w="15" w:type="dxa"/>
              <w:right w:w="15" w:type="dxa"/>
            </w:tcMar>
            <w:vAlign w:val="center"/>
          </w:tcPr>
          <w:p w14:paraId="1B77FD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倾翻</w:t>
            </w:r>
          </w:p>
        </w:tc>
        <w:tc>
          <w:tcPr>
            <w:tcW w:w="390" w:type="dxa"/>
            <w:tcBorders>
              <w:tl2br w:val="nil"/>
              <w:tr2bl w:val="nil"/>
            </w:tcBorders>
            <w:noWrap w:val="0"/>
            <w:tcMar>
              <w:top w:w="15" w:type="dxa"/>
              <w:left w:w="15" w:type="dxa"/>
              <w:right w:w="15" w:type="dxa"/>
            </w:tcMar>
            <w:vAlign w:val="center"/>
          </w:tcPr>
          <w:p w14:paraId="22CF8C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3EAEC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5D8C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B5F25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18CD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63B2D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750B73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5C3AE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9D0B9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按要求配备履带吊</w:t>
            </w:r>
          </w:p>
        </w:tc>
      </w:tr>
      <w:tr w14:paraId="171CD4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8F0572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29</w:t>
            </w:r>
          </w:p>
        </w:tc>
        <w:tc>
          <w:tcPr>
            <w:tcW w:w="669" w:type="dxa"/>
            <w:tcBorders>
              <w:tl2br w:val="nil"/>
              <w:tr2bl w:val="nil"/>
            </w:tcBorders>
            <w:noWrap w:val="0"/>
            <w:tcMar>
              <w:top w:w="15" w:type="dxa"/>
              <w:left w:w="15" w:type="dxa"/>
              <w:right w:w="15" w:type="dxa"/>
            </w:tcMar>
            <w:vAlign w:val="center"/>
          </w:tcPr>
          <w:p w14:paraId="26555E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3D52D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6F43B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503E7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5AA1DF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F75B2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736BF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46920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21415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BF4C5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575CA3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D6791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3CA07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725385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85F858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30</w:t>
            </w:r>
          </w:p>
        </w:tc>
        <w:tc>
          <w:tcPr>
            <w:tcW w:w="669" w:type="dxa"/>
            <w:tcBorders>
              <w:tl2br w:val="nil"/>
              <w:tr2bl w:val="nil"/>
            </w:tcBorders>
            <w:noWrap w:val="0"/>
            <w:tcMar>
              <w:top w:w="15" w:type="dxa"/>
              <w:left w:w="15" w:type="dxa"/>
              <w:right w:w="15" w:type="dxa"/>
            </w:tcMar>
            <w:vAlign w:val="center"/>
          </w:tcPr>
          <w:p w14:paraId="7A6C0D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D27B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9134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2D59C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15B7A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ADBAF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0A18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3402F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2BF32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932AE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32B79E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6ADEB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9F51D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599D80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92367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31</w:t>
            </w:r>
          </w:p>
        </w:tc>
        <w:tc>
          <w:tcPr>
            <w:tcW w:w="669" w:type="dxa"/>
            <w:tcBorders>
              <w:tl2br w:val="nil"/>
              <w:tr2bl w:val="nil"/>
            </w:tcBorders>
            <w:noWrap w:val="0"/>
            <w:tcMar>
              <w:top w:w="15" w:type="dxa"/>
              <w:left w:w="15" w:type="dxa"/>
              <w:right w:w="15" w:type="dxa"/>
            </w:tcMar>
            <w:vAlign w:val="center"/>
          </w:tcPr>
          <w:p w14:paraId="262E04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69BDA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54E69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吊重时吊点选择不当，夹角不符合要求</w:t>
            </w:r>
          </w:p>
        </w:tc>
        <w:tc>
          <w:tcPr>
            <w:tcW w:w="803" w:type="dxa"/>
            <w:tcBorders>
              <w:tl2br w:val="nil"/>
              <w:tr2bl w:val="nil"/>
            </w:tcBorders>
            <w:noWrap w:val="0"/>
            <w:tcMar>
              <w:top w:w="15" w:type="dxa"/>
              <w:left w:w="15" w:type="dxa"/>
              <w:right w:w="15" w:type="dxa"/>
            </w:tcMar>
            <w:vAlign w:val="center"/>
          </w:tcPr>
          <w:p w14:paraId="0AA151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F875D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2F5FF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CA738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559975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D1FF4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BE790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1974D7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B0228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0F47C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正确选择吊点和夹角</w:t>
            </w:r>
          </w:p>
        </w:tc>
      </w:tr>
      <w:tr w14:paraId="10C604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D2B106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32</w:t>
            </w:r>
          </w:p>
        </w:tc>
        <w:tc>
          <w:tcPr>
            <w:tcW w:w="669" w:type="dxa"/>
            <w:tcBorders>
              <w:tl2br w:val="nil"/>
              <w:tr2bl w:val="nil"/>
            </w:tcBorders>
            <w:noWrap w:val="0"/>
            <w:tcMar>
              <w:top w:w="15" w:type="dxa"/>
              <w:left w:w="15" w:type="dxa"/>
              <w:right w:w="15" w:type="dxa"/>
            </w:tcMar>
            <w:vAlign w:val="center"/>
          </w:tcPr>
          <w:p w14:paraId="056622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EA4D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AD30A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特种作业人员未正确使用安全防护用品</w:t>
            </w:r>
          </w:p>
        </w:tc>
        <w:tc>
          <w:tcPr>
            <w:tcW w:w="803" w:type="dxa"/>
            <w:tcBorders>
              <w:tl2br w:val="nil"/>
              <w:tr2bl w:val="nil"/>
            </w:tcBorders>
            <w:noWrap w:val="0"/>
            <w:tcMar>
              <w:top w:w="15" w:type="dxa"/>
              <w:left w:w="15" w:type="dxa"/>
              <w:right w:w="15" w:type="dxa"/>
            </w:tcMar>
            <w:vAlign w:val="center"/>
          </w:tcPr>
          <w:p w14:paraId="57C83E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23141A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E7397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4655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A6049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0F867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9494B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52E6FC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08E4B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0C56B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2E6B78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CF342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33</w:t>
            </w:r>
          </w:p>
        </w:tc>
        <w:tc>
          <w:tcPr>
            <w:tcW w:w="669" w:type="dxa"/>
            <w:tcBorders>
              <w:tl2br w:val="nil"/>
              <w:tr2bl w:val="nil"/>
            </w:tcBorders>
            <w:noWrap w:val="0"/>
            <w:tcMar>
              <w:top w:w="15" w:type="dxa"/>
              <w:left w:w="15" w:type="dxa"/>
              <w:right w:w="15" w:type="dxa"/>
            </w:tcMar>
            <w:vAlign w:val="center"/>
          </w:tcPr>
          <w:p w14:paraId="49409A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2925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A027B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安装、拆除作业人员注意力不集中，麻痹大意</w:t>
            </w:r>
          </w:p>
        </w:tc>
        <w:tc>
          <w:tcPr>
            <w:tcW w:w="803" w:type="dxa"/>
            <w:tcBorders>
              <w:tl2br w:val="nil"/>
              <w:tr2bl w:val="nil"/>
            </w:tcBorders>
            <w:noWrap w:val="0"/>
            <w:tcMar>
              <w:top w:w="15" w:type="dxa"/>
              <w:left w:w="15" w:type="dxa"/>
              <w:right w:w="15" w:type="dxa"/>
            </w:tcMar>
            <w:vAlign w:val="center"/>
          </w:tcPr>
          <w:p w14:paraId="6C435A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7DC488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A292B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56AF4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02892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C3B49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15B1B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5C723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640A0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B05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w:t>
            </w:r>
          </w:p>
        </w:tc>
      </w:tr>
      <w:tr w14:paraId="579624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3C3D3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34</w:t>
            </w:r>
          </w:p>
        </w:tc>
        <w:tc>
          <w:tcPr>
            <w:tcW w:w="669" w:type="dxa"/>
            <w:tcBorders>
              <w:tl2br w:val="nil"/>
              <w:tr2bl w:val="nil"/>
            </w:tcBorders>
            <w:noWrap w:val="0"/>
            <w:tcMar>
              <w:top w:w="15" w:type="dxa"/>
              <w:left w:w="15" w:type="dxa"/>
              <w:right w:w="15" w:type="dxa"/>
            </w:tcMar>
            <w:vAlign w:val="center"/>
          </w:tcPr>
          <w:p w14:paraId="1BF08D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49B6D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E787B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安装拆除作业时安全防护不到位</w:t>
            </w:r>
          </w:p>
        </w:tc>
        <w:tc>
          <w:tcPr>
            <w:tcW w:w="803" w:type="dxa"/>
            <w:tcBorders>
              <w:tl2br w:val="nil"/>
              <w:tr2bl w:val="nil"/>
            </w:tcBorders>
            <w:noWrap w:val="0"/>
            <w:tcMar>
              <w:top w:w="15" w:type="dxa"/>
              <w:left w:w="15" w:type="dxa"/>
              <w:right w:w="15" w:type="dxa"/>
            </w:tcMar>
            <w:vAlign w:val="center"/>
          </w:tcPr>
          <w:p w14:paraId="14A9F1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302CAE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8F22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754EE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4E4BC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4014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0AF0F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6FBB1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D040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09C09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5FE57A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A794B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35</w:t>
            </w:r>
          </w:p>
        </w:tc>
        <w:tc>
          <w:tcPr>
            <w:tcW w:w="669" w:type="dxa"/>
            <w:tcBorders>
              <w:tl2br w:val="nil"/>
              <w:tr2bl w:val="nil"/>
            </w:tcBorders>
            <w:noWrap w:val="0"/>
            <w:tcMar>
              <w:top w:w="15" w:type="dxa"/>
              <w:left w:w="15" w:type="dxa"/>
              <w:right w:w="15" w:type="dxa"/>
            </w:tcMar>
            <w:vAlign w:val="center"/>
          </w:tcPr>
          <w:p w14:paraId="21A7E8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64C51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E0E6F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上人爬梯无护圈或护圈不符合要求</w:t>
            </w:r>
          </w:p>
        </w:tc>
        <w:tc>
          <w:tcPr>
            <w:tcW w:w="803" w:type="dxa"/>
            <w:tcBorders>
              <w:tl2br w:val="nil"/>
              <w:tr2bl w:val="nil"/>
            </w:tcBorders>
            <w:noWrap w:val="0"/>
            <w:tcMar>
              <w:top w:w="15" w:type="dxa"/>
              <w:left w:w="15" w:type="dxa"/>
              <w:right w:w="15" w:type="dxa"/>
            </w:tcMar>
            <w:vAlign w:val="center"/>
          </w:tcPr>
          <w:p w14:paraId="520851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0AA69D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0EA75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5DD1B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01EE8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D871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B299B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6BA70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CA241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0D8A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DCB11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37FCBC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36</w:t>
            </w:r>
          </w:p>
        </w:tc>
        <w:tc>
          <w:tcPr>
            <w:tcW w:w="669" w:type="dxa"/>
            <w:tcBorders>
              <w:tl2br w:val="nil"/>
              <w:tr2bl w:val="nil"/>
            </w:tcBorders>
            <w:noWrap w:val="0"/>
            <w:tcMar>
              <w:top w:w="15" w:type="dxa"/>
              <w:left w:w="15" w:type="dxa"/>
              <w:right w:w="15" w:type="dxa"/>
            </w:tcMar>
            <w:vAlign w:val="center"/>
          </w:tcPr>
          <w:p w14:paraId="068E09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2A24D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11B8C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上塔人行通道无防护栏或不符合要求</w:t>
            </w:r>
          </w:p>
        </w:tc>
        <w:tc>
          <w:tcPr>
            <w:tcW w:w="803" w:type="dxa"/>
            <w:tcBorders>
              <w:tl2br w:val="nil"/>
              <w:tr2bl w:val="nil"/>
            </w:tcBorders>
            <w:noWrap w:val="0"/>
            <w:tcMar>
              <w:top w:w="15" w:type="dxa"/>
              <w:left w:w="15" w:type="dxa"/>
              <w:right w:w="15" w:type="dxa"/>
            </w:tcMar>
            <w:vAlign w:val="center"/>
          </w:tcPr>
          <w:p w14:paraId="3865AC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08416D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6724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2B2E4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FA5A8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AAB7C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50ECA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490EA8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43B036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348F7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498C7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23C69C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37</w:t>
            </w:r>
          </w:p>
        </w:tc>
        <w:tc>
          <w:tcPr>
            <w:tcW w:w="669" w:type="dxa"/>
            <w:tcBorders>
              <w:tl2br w:val="nil"/>
              <w:tr2bl w:val="nil"/>
            </w:tcBorders>
            <w:noWrap w:val="0"/>
            <w:tcMar>
              <w:top w:w="15" w:type="dxa"/>
              <w:left w:w="15" w:type="dxa"/>
              <w:right w:w="15" w:type="dxa"/>
            </w:tcMar>
            <w:vAlign w:val="center"/>
          </w:tcPr>
          <w:p w14:paraId="5B9097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5F2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2CE3F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施工作业中缺少防暑降温措施</w:t>
            </w:r>
          </w:p>
        </w:tc>
        <w:tc>
          <w:tcPr>
            <w:tcW w:w="803" w:type="dxa"/>
            <w:tcBorders>
              <w:tl2br w:val="nil"/>
              <w:tr2bl w:val="nil"/>
            </w:tcBorders>
            <w:noWrap w:val="0"/>
            <w:tcMar>
              <w:top w:w="15" w:type="dxa"/>
              <w:left w:w="15" w:type="dxa"/>
              <w:right w:w="15" w:type="dxa"/>
            </w:tcMar>
            <w:vAlign w:val="center"/>
          </w:tcPr>
          <w:p w14:paraId="254330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41564E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F8C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E11FF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A7F19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C05B6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D3E61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C5BEC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F125E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6EE05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配备药品</w:t>
            </w:r>
          </w:p>
        </w:tc>
      </w:tr>
      <w:tr w14:paraId="441EC4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DF1C75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38</w:t>
            </w:r>
          </w:p>
        </w:tc>
        <w:tc>
          <w:tcPr>
            <w:tcW w:w="669" w:type="dxa"/>
            <w:tcBorders>
              <w:tl2br w:val="nil"/>
              <w:tr2bl w:val="nil"/>
            </w:tcBorders>
            <w:noWrap w:val="0"/>
            <w:tcMar>
              <w:top w:w="15" w:type="dxa"/>
              <w:left w:w="15" w:type="dxa"/>
              <w:right w:w="15" w:type="dxa"/>
            </w:tcMar>
            <w:vAlign w:val="center"/>
          </w:tcPr>
          <w:p w14:paraId="01D7C2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F0B62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86BA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夜间作业照明不足</w:t>
            </w:r>
          </w:p>
        </w:tc>
        <w:tc>
          <w:tcPr>
            <w:tcW w:w="803" w:type="dxa"/>
            <w:tcBorders>
              <w:tl2br w:val="nil"/>
              <w:tr2bl w:val="nil"/>
            </w:tcBorders>
            <w:noWrap w:val="0"/>
            <w:tcMar>
              <w:top w:w="15" w:type="dxa"/>
              <w:left w:w="15" w:type="dxa"/>
              <w:right w:w="15" w:type="dxa"/>
            </w:tcMar>
            <w:vAlign w:val="center"/>
          </w:tcPr>
          <w:p w14:paraId="4CC8A6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140464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D6C3F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05C39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5661D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0364B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CF0F3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AA3D6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556C6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6148A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2C595A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A49105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39</w:t>
            </w:r>
          </w:p>
        </w:tc>
        <w:tc>
          <w:tcPr>
            <w:tcW w:w="669" w:type="dxa"/>
            <w:tcBorders>
              <w:tl2br w:val="nil"/>
              <w:tr2bl w:val="nil"/>
            </w:tcBorders>
            <w:noWrap w:val="0"/>
            <w:tcMar>
              <w:top w:w="15" w:type="dxa"/>
              <w:left w:w="15" w:type="dxa"/>
              <w:right w:w="15" w:type="dxa"/>
            </w:tcMar>
            <w:vAlign w:val="center"/>
          </w:tcPr>
          <w:p w14:paraId="608076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2A432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88B17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安装、拆除作业区和四周未布置警戒线、挂醒目安全示警牌</w:t>
            </w:r>
          </w:p>
        </w:tc>
        <w:tc>
          <w:tcPr>
            <w:tcW w:w="803" w:type="dxa"/>
            <w:tcBorders>
              <w:tl2br w:val="nil"/>
              <w:tr2bl w:val="nil"/>
            </w:tcBorders>
            <w:noWrap w:val="0"/>
            <w:tcMar>
              <w:top w:w="15" w:type="dxa"/>
              <w:left w:w="15" w:type="dxa"/>
              <w:right w:w="15" w:type="dxa"/>
            </w:tcMar>
            <w:vAlign w:val="center"/>
          </w:tcPr>
          <w:p w14:paraId="2BEA6B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002687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3E951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96A86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BF97F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97DB7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54B67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5E4B51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67B22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005A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34F725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CB4FE7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40</w:t>
            </w:r>
          </w:p>
        </w:tc>
        <w:tc>
          <w:tcPr>
            <w:tcW w:w="669" w:type="dxa"/>
            <w:tcBorders>
              <w:tl2br w:val="nil"/>
              <w:tr2bl w:val="nil"/>
            </w:tcBorders>
            <w:noWrap w:val="0"/>
            <w:tcMar>
              <w:top w:w="15" w:type="dxa"/>
              <w:left w:w="15" w:type="dxa"/>
              <w:right w:w="15" w:type="dxa"/>
            </w:tcMar>
            <w:vAlign w:val="center"/>
          </w:tcPr>
          <w:p w14:paraId="779FCF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06689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9233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安装、拆除作业现场未及时清除障碍物</w:t>
            </w:r>
          </w:p>
        </w:tc>
        <w:tc>
          <w:tcPr>
            <w:tcW w:w="803" w:type="dxa"/>
            <w:tcBorders>
              <w:tl2br w:val="nil"/>
              <w:tr2bl w:val="nil"/>
            </w:tcBorders>
            <w:noWrap w:val="0"/>
            <w:tcMar>
              <w:top w:w="15" w:type="dxa"/>
              <w:left w:w="15" w:type="dxa"/>
              <w:right w:w="15" w:type="dxa"/>
            </w:tcMar>
            <w:vAlign w:val="center"/>
          </w:tcPr>
          <w:p w14:paraId="194B83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B4559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93B1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E29FC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EEAEB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E243B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30E81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5CD78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46A976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D2039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施工前检查</w:t>
            </w:r>
          </w:p>
        </w:tc>
      </w:tr>
      <w:tr w14:paraId="2499F7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2AEAEC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41</w:t>
            </w:r>
          </w:p>
        </w:tc>
        <w:tc>
          <w:tcPr>
            <w:tcW w:w="669" w:type="dxa"/>
            <w:tcBorders>
              <w:tl2br w:val="nil"/>
              <w:tr2bl w:val="nil"/>
            </w:tcBorders>
            <w:noWrap w:val="0"/>
            <w:tcMar>
              <w:top w:w="15" w:type="dxa"/>
              <w:left w:w="15" w:type="dxa"/>
              <w:right w:w="15" w:type="dxa"/>
            </w:tcMar>
            <w:vAlign w:val="center"/>
          </w:tcPr>
          <w:p w14:paraId="0DABE5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FC2D7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56A194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运行机构制动未调试好</w:t>
            </w:r>
          </w:p>
        </w:tc>
        <w:tc>
          <w:tcPr>
            <w:tcW w:w="803" w:type="dxa"/>
            <w:tcBorders>
              <w:tl2br w:val="nil"/>
              <w:tr2bl w:val="nil"/>
            </w:tcBorders>
            <w:noWrap w:val="0"/>
            <w:tcMar>
              <w:top w:w="15" w:type="dxa"/>
              <w:left w:w="15" w:type="dxa"/>
              <w:right w:w="15" w:type="dxa"/>
            </w:tcMar>
            <w:vAlign w:val="center"/>
          </w:tcPr>
          <w:p w14:paraId="4298B2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F3FCD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17105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3A494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C7F0D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6189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AC009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6A9B7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69C41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541BC2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6AFF9B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107DEC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42</w:t>
            </w:r>
          </w:p>
        </w:tc>
        <w:tc>
          <w:tcPr>
            <w:tcW w:w="669" w:type="dxa"/>
            <w:tcBorders>
              <w:tl2br w:val="nil"/>
              <w:tr2bl w:val="nil"/>
            </w:tcBorders>
            <w:noWrap w:val="0"/>
            <w:tcMar>
              <w:top w:w="15" w:type="dxa"/>
              <w:left w:w="15" w:type="dxa"/>
              <w:right w:w="15" w:type="dxa"/>
            </w:tcMar>
            <w:vAlign w:val="center"/>
          </w:tcPr>
          <w:p w14:paraId="318DE2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14E36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719DC0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无人指挥进行操作</w:t>
            </w:r>
          </w:p>
        </w:tc>
        <w:tc>
          <w:tcPr>
            <w:tcW w:w="803" w:type="dxa"/>
            <w:tcBorders>
              <w:tl2br w:val="nil"/>
              <w:tr2bl w:val="nil"/>
            </w:tcBorders>
            <w:noWrap w:val="0"/>
            <w:tcMar>
              <w:top w:w="15" w:type="dxa"/>
              <w:left w:w="15" w:type="dxa"/>
              <w:right w:w="15" w:type="dxa"/>
            </w:tcMar>
            <w:vAlign w:val="center"/>
          </w:tcPr>
          <w:p w14:paraId="4436B6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3B39A5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F33E6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FB06C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7C4DD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8F1F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2AD48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FA267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853F2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0B61EB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派专人指挥</w:t>
            </w:r>
          </w:p>
        </w:tc>
      </w:tr>
      <w:tr w14:paraId="5F9C01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93A6010">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43</w:t>
            </w:r>
          </w:p>
        </w:tc>
        <w:tc>
          <w:tcPr>
            <w:tcW w:w="669" w:type="dxa"/>
            <w:tcBorders>
              <w:tl2br w:val="nil"/>
              <w:tr2bl w:val="nil"/>
            </w:tcBorders>
            <w:noWrap w:val="0"/>
            <w:tcMar>
              <w:top w:w="15" w:type="dxa"/>
              <w:left w:w="15" w:type="dxa"/>
              <w:right w:w="15" w:type="dxa"/>
            </w:tcMar>
            <w:vAlign w:val="center"/>
          </w:tcPr>
          <w:p w14:paraId="67348A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BC4E2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74126B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安全保护装置失效</w:t>
            </w:r>
          </w:p>
        </w:tc>
        <w:tc>
          <w:tcPr>
            <w:tcW w:w="803" w:type="dxa"/>
            <w:tcBorders>
              <w:tl2br w:val="nil"/>
              <w:tr2bl w:val="nil"/>
            </w:tcBorders>
            <w:noWrap w:val="0"/>
            <w:tcMar>
              <w:top w:w="15" w:type="dxa"/>
              <w:left w:w="15" w:type="dxa"/>
              <w:right w:w="15" w:type="dxa"/>
            </w:tcMar>
            <w:vAlign w:val="center"/>
          </w:tcPr>
          <w:p w14:paraId="7843E4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180C58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7A878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42973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0BC4E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D227C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1DDEF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5A372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706B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4EEE6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541037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D2C00B">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44</w:t>
            </w:r>
          </w:p>
        </w:tc>
        <w:tc>
          <w:tcPr>
            <w:tcW w:w="669" w:type="dxa"/>
            <w:tcBorders>
              <w:tl2br w:val="nil"/>
              <w:tr2bl w:val="nil"/>
            </w:tcBorders>
            <w:noWrap w:val="0"/>
            <w:tcMar>
              <w:top w:w="15" w:type="dxa"/>
              <w:left w:w="15" w:type="dxa"/>
              <w:right w:w="15" w:type="dxa"/>
            </w:tcMar>
            <w:vAlign w:val="center"/>
          </w:tcPr>
          <w:p w14:paraId="3BC845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84DF9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3F8A05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无专用电箱，或者专用电箱电器配置不符合要求</w:t>
            </w:r>
          </w:p>
        </w:tc>
        <w:tc>
          <w:tcPr>
            <w:tcW w:w="803" w:type="dxa"/>
            <w:tcBorders>
              <w:tl2br w:val="nil"/>
              <w:tr2bl w:val="nil"/>
            </w:tcBorders>
            <w:noWrap w:val="0"/>
            <w:tcMar>
              <w:top w:w="15" w:type="dxa"/>
              <w:left w:w="15" w:type="dxa"/>
              <w:right w:w="15" w:type="dxa"/>
            </w:tcMar>
            <w:vAlign w:val="center"/>
          </w:tcPr>
          <w:p w14:paraId="55B337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43A264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ED496A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F5DBD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9530E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1771F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05D9C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582DF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C08071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5914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配置符合要求的电箱</w:t>
            </w:r>
          </w:p>
        </w:tc>
      </w:tr>
      <w:tr w14:paraId="7841FF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4648A2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45</w:t>
            </w:r>
          </w:p>
        </w:tc>
        <w:tc>
          <w:tcPr>
            <w:tcW w:w="669" w:type="dxa"/>
            <w:tcBorders>
              <w:tl2br w:val="nil"/>
              <w:tr2bl w:val="nil"/>
            </w:tcBorders>
            <w:noWrap w:val="0"/>
            <w:tcMar>
              <w:top w:w="15" w:type="dxa"/>
              <w:left w:w="15" w:type="dxa"/>
              <w:right w:w="15" w:type="dxa"/>
            </w:tcMar>
            <w:vAlign w:val="center"/>
          </w:tcPr>
          <w:p w14:paraId="205F63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B692E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5EAC56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违反“一机、一闸、一漏、一箱”</w:t>
            </w:r>
          </w:p>
        </w:tc>
        <w:tc>
          <w:tcPr>
            <w:tcW w:w="803" w:type="dxa"/>
            <w:tcBorders>
              <w:tl2br w:val="nil"/>
              <w:tr2bl w:val="nil"/>
            </w:tcBorders>
            <w:noWrap w:val="0"/>
            <w:tcMar>
              <w:top w:w="15" w:type="dxa"/>
              <w:left w:w="15" w:type="dxa"/>
              <w:right w:w="15" w:type="dxa"/>
            </w:tcMar>
            <w:vAlign w:val="center"/>
          </w:tcPr>
          <w:p w14:paraId="19E67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607A8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E5CEF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9D76F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56D64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E6EAD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9209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719F6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8B6D3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DE1C4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13D8A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B3A09A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46</w:t>
            </w:r>
          </w:p>
        </w:tc>
        <w:tc>
          <w:tcPr>
            <w:tcW w:w="669" w:type="dxa"/>
            <w:tcBorders>
              <w:tl2br w:val="nil"/>
              <w:tr2bl w:val="nil"/>
            </w:tcBorders>
            <w:noWrap w:val="0"/>
            <w:tcMar>
              <w:top w:w="15" w:type="dxa"/>
              <w:left w:w="15" w:type="dxa"/>
              <w:right w:w="15" w:type="dxa"/>
            </w:tcMar>
            <w:vAlign w:val="center"/>
          </w:tcPr>
          <w:p w14:paraId="38DB8F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54512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2814EE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不符合“三级配电二级保护”要求导致防护不足</w:t>
            </w:r>
          </w:p>
        </w:tc>
        <w:tc>
          <w:tcPr>
            <w:tcW w:w="803" w:type="dxa"/>
            <w:tcBorders>
              <w:tl2br w:val="nil"/>
              <w:tr2bl w:val="nil"/>
            </w:tcBorders>
            <w:noWrap w:val="0"/>
            <w:tcMar>
              <w:top w:w="15" w:type="dxa"/>
              <w:left w:w="15" w:type="dxa"/>
              <w:right w:w="15" w:type="dxa"/>
            </w:tcMar>
            <w:vAlign w:val="center"/>
          </w:tcPr>
          <w:p w14:paraId="5D0F02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265D40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B6D5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8F761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6D27B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B1835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544D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738B4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3F67E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C5DD7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严格检查，完善保护装置</w:t>
            </w:r>
          </w:p>
        </w:tc>
      </w:tr>
      <w:tr w14:paraId="214575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A63254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47</w:t>
            </w:r>
          </w:p>
        </w:tc>
        <w:tc>
          <w:tcPr>
            <w:tcW w:w="669" w:type="dxa"/>
            <w:tcBorders>
              <w:tl2br w:val="nil"/>
              <w:tr2bl w:val="nil"/>
            </w:tcBorders>
            <w:noWrap w:val="0"/>
            <w:tcMar>
              <w:top w:w="15" w:type="dxa"/>
              <w:left w:w="15" w:type="dxa"/>
              <w:right w:w="15" w:type="dxa"/>
            </w:tcMar>
            <w:vAlign w:val="center"/>
          </w:tcPr>
          <w:p w14:paraId="3D0090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94305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41CBD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电气设施金属外壳末接地</w:t>
            </w:r>
          </w:p>
        </w:tc>
        <w:tc>
          <w:tcPr>
            <w:tcW w:w="803" w:type="dxa"/>
            <w:tcBorders>
              <w:tl2br w:val="nil"/>
              <w:tr2bl w:val="nil"/>
            </w:tcBorders>
            <w:noWrap w:val="0"/>
            <w:tcMar>
              <w:top w:w="15" w:type="dxa"/>
              <w:left w:w="15" w:type="dxa"/>
              <w:right w:w="15" w:type="dxa"/>
            </w:tcMar>
            <w:vAlign w:val="center"/>
          </w:tcPr>
          <w:p w14:paraId="782582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79EF91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BCC9E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E892E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15260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1A52E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33A7C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352881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95E9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902C7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58DA8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D49F65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48</w:t>
            </w:r>
          </w:p>
        </w:tc>
        <w:tc>
          <w:tcPr>
            <w:tcW w:w="669" w:type="dxa"/>
            <w:tcBorders>
              <w:tl2br w:val="nil"/>
              <w:tr2bl w:val="nil"/>
            </w:tcBorders>
            <w:noWrap w:val="0"/>
            <w:tcMar>
              <w:top w:w="15" w:type="dxa"/>
              <w:left w:w="15" w:type="dxa"/>
              <w:right w:w="15" w:type="dxa"/>
            </w:tcMar>
            <w:vAlign w:val="center"/>
          </w:tcPr>
          <w:p w14:paraId="114DBD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06E7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6B8CC2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潮湿环境作业漏电保护器参数过大或不灵敏</w:t>
            </w:r>
          </w:p>
        </w:tc>
        <w:tc>
          <w:tcPr>
            <w:tcW w:w="803" w:type="dxa"/>
            <w:tcBorders>
              <w:tl2br w:val="nil"/>
              <w:tr2bl w:val="nil"/>
            </w:tcBorders>
            <w:noWrap w:val="0"/>
            <w:tcMar>
              <w:top w:w="15" w:type="dxa"/>
              <w:left w:w="15" w:type="dxa"/>
              <w:right w:w="15" w:type="dxa"/>
            </w:tcMar>
            <w:vAlign w:val="center"/>
          </w:tcPr>
          <w:p w14:paraId="73197E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5BB1F8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71E52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C90DC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2611B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472C2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A5BF0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79CB5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BB841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A9304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6D3628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BF7552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49</w:t>
            </w:r>
          </w:p>
        </w:tc>
        <w:tc>
          <w:tcPr>
            <w:tcW w:w="669" w:type="dxa"/>
            <w:tcBorders>
              <w:tl2br w:val="nil"/>
              <w:tr2bl w:val="nil"/>
            </w:tcBorders>
            <w:noWrap w:val="0"/>
            <w:tcMar>
              <w:top w:w="15" w:type="dxa"/>
              <w:left w:w="15" w:type="dxa"/>
              <w:right w:w="15" w:type="dxa"/>
            </w:tcMar>
            <w:vAlign w:val="center"/>
          </w:tcPr>
          <w:p w14:paraId="20FB1B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E1AC0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212B41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气瓶的使用与管理不符合要求</w:t>
            </w:r>
          </w:p>
        </w:tc>
        <w:tc>
          <w:tcPr>
            <w:tcW w:w="803" w:type="dxa"/>
            <w:tcBorders>
              <w:tl2br w:val="nil"/>
              <w:tr2bl w:val="nil"/>
            </w:tcBorders>
            <w:noWrap w:val="0"/>
            <w:tcMar>
              <w:top w:w="15" w:type="dxa"/>
              <w:left w:w="15" w:type="dxa"/>
              <w:right w:w="15" w:type="dxa"/>
            </w:tcMar>
            <w:vAlign w:val="center"/>
          </w:tcPr>
          <w:p w14:paraId="009013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爆炸</w:t>
            </w:r>
          </w:p>
        </w:tc>
        <w:tc>
          <w:tcPr>
            <w:tcW w:w="390" w:type="dxa"/>
            <w:tcBorders>
              <w:tl2br w:val="nil"/>
              <w:tr2bl w:val="nil"/>
            </w:tcBorders>
            <w:noWrap w:val="0"/>
            <w:tcMar>
              <w:top w:w="15" w:type="dxa"/>
              <w:left w:w="15" w:type="dxa"/>
              <w:right w:w="15" w:type="dxa"/>
            </w:tcMar>
            <w:vAlign w:val="center"/>
          </w:tcPr>
          <w:p w14:paraId="3001CC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6FC3C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14493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C24A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C8581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28F69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97518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D8718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659E7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严格检查，规范使用</w:t>
            </w:r>
          </w:p>
        </w:tc>
      </w:tr>
    </w:tbl>
    <w:p w14:paraId="5FBA94F0">
      <w:pPr>
        <w:rPr>
          <w:color w:val="auto"/>
        </w:rPr>
      </w:pPr>
      <w:r>
        <w:rPr>
          <w:rFonts w:hint="eastAsia"/>
          <w:color w:val="auto"/>
        </w:rPr>
        <w:br w:type="page"/>
      </w:r>
    </w:p>
    <w:p w14:paraId="6F648730">
      <w:pPr>
        <w:pStyle w:val="2"/>
        <w:spacing w:before="156" w:after="156"/>
        <w:rPr>
          <w:color w:val="auto"/>
        </w:rPr>
      </w:pPr>
      <w:bookmarkStart w:id="128" w:name="_Toc18407"/>
      <w:r>
        <w:rPr>
          <w:rFonts w:hint="eastAsia"/>
          <w:color w:val="auto"/>
        </w:rPr>
        <w:t>施工危险源辨识及安全保证措施</w:t>
      </w:r>
      <w:bookmarkEnd w:id="119"/>
      <w:bookmarkEnd w:id="128"/>
    </w:p>
    <w:p w14:paraId="5BC65C6B">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29" w:name="_Toc4915"/>
      <w:bookmarkStart w:id="130" w:name="_Toc25334"/>
      <w:r>
        <w:rPr>
          <w:rFonts w:hint="eastAsia"/>
          <w:color w:val="auto"/>
        </w:rPr>
        <w:t>危险源辨识及分析</w:t>
      </w:r>
      <w:bookmarkEnd w:id="129"/>
      <w:bookmarkEnd w:id="130"/>
      <w:bookmarkStart w:id="131" w:name="_Toc903"/>
      <w:bookmarkStart w:id="132" w:name="_Toc1775"/>
    </w:p>
    <w:p w14:paraId="6D1C5757">
      <w:pPr>
        <w:pStyle w:val="4"/>
        <w:spacing w:before="10" w:after="10" w:line="360" w:lineRule="auto"/>
        <w:rPr>
          <w:color w:val="auto"/>
        </w:rPr>
      </w:pPr>
      <w:bookmarkStart w:id="133" w:name="_Toc12784"/>
      <w:r>
        <w:rPr>
          <w:rFonts w:hint="eastAsia" w:ascii="宋体" w:hAnsi="宋体" w:cs="宋体"/>
          <w:bCs w:val="0"/>
          <w:color w:val="auto"/>
          <w:sz w:val="24"/>
          <w:szCs w:val="24"/>
        </w:rPr>
        <w:t>危险因素辨识及评价</w:t>
      </w:r>
      <w:bookmarkEnd w:id="133"/>
    </w:p>
    <w:p w14:paraId="28D2EF93">
      <w:pPr>
        <w:numPr>
          <w:ilvl w:val="0"/>
          <w:numId w:val="10"/>
        </w:numPr>
        <w:spacing w:line="336" w:lineRule="auto"/>
        <w:ind w:firstLine="480" w:firstLineChars="200"/>
        <w:rPr>
          <w:rFonts w:hint="eastAsia"/>
          <w:color w:val="auto"/>
          <w:sz w:val="24"/>
          <w:szCs w:val="28"/>
        </w:rPr>
      </w:pPr>
      <w:r>
        <w:rPr>
          <w:rFonts w:hint="eastAsia"/>
          <w:color w:val="auto"/>
          <w:sz w:val="24"/>
          <w:szCs w:val="28"/>
        </w:rPr>
        <w:t>危险源评价方法</w:t>
      </w:r>
    </w:p>
    <w:p w14:paraId="58D75288">
      <w:pP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按照《中交二航局生产过程危险有害因素辨识及评价管理办法》，结合本项目实际情况参照《中交二航局有害因素辨识及评价一览表（202</w:t>
      </w:r>
      <w:r>
        <w:rPr>
          <w:rFonts w:ascii="宋体" w:hAnsi="宋体" w:cs="宋体"/>
          <w:color w:val="auto"/>
          <w:kern w:val="0"/>
          <w:sz w:val="24"/>
        </w:rPr>
        <w:t>2</w:t>
      </w:r>
      <w:r>
        <w:rPr>
          <w:rFonts w:hint="eastAsia" w:ascii="宋体" w:hAnsi="宋体" w:cs="宋体"/>
          <w:color w:val="auto"/>
          <w:kern w:val="0"/>
          <w:sz w:val="24"/>
        </w:rPr>
        <w:t>指导版）》进行辨识评价。作业条件评价法危险性等级划分标准详下表：</w:t>
      </w:r>
    </w:p>
    <w:p w14:paraId="7E5BFCE0">
      <w:pPr>
        <w:spacing w:line="320" w:lineRule="exact"/>
        <w:jc w:val="center"/>
        <w:rPr>
          <w:rFonts w:hint="eastAsia" w:ascii="宋体" w:hAnsi="宋体"/>
          <w:color w:val="auto"/>
          <w:szCs w:val="21"/>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.1-1作业条件评价法危险性等级划分标准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047"/>
        <w:gridCol w:w="3047"/>
      </w:tblGrid>
      <w:tr w14:paraId="7855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38E853F7">
            <w:pPr>
              <w:pStyle w:val="10"/>
              <w:ind w:firstLine="0" w:firstLineChars="0"/>
              <w:jc w:val="center"/>
              <w:rPr>
                <w:rFonts w:hint="eastAsia" w:ascii="宋体" w:hAnsi="宋体" w:cs="宋体"/>
                <w:color w:val="auto"/>
              </w:rPr>
            </w:pPr>
            <w:r>
              <w:rPr>
                <w:rFonts w:hint="eastAsia" w:ascii="宋体" w:hAnsi="宋体" w:cs="宋体"/>
                <w:color w:val="auto"/>
              </w:rPr>
              <w:t>D值区间</w:t>
            </w:r>
          </w:p>
        </w:tc>
        <w:tc>
          <w:tcPr>
            <w:tcW w:w="4740" w:type="dxa"/>
            <w:noWrap w:val="0"/>
            <w:vAlign w:val="top"/>
          </w:tcPr>
          <w:p w14:paraId="2797B2F4">
            <w:pPr>
              <w:pStyle w:val="10"/>
              <w:ind w:firstLine="0" w:firstLineChars="0"/>
              <w:jc w:val="center"/>
              <w:rPr>
                <w:rFonts w:hint="eastAsia" w:ascii="宋体" w:hAnsi="宋体" w:cs="宋体"/>
                <w:color w:val="auto"/>
              </w:rPr>
            </w:pPr>
            <w:r>
              <w:rPr>
                <w:rFonts w:hint="eastAsia" w:ascii="宋体" w:hAnsi="宋体" w:cs="宋体"/>
                <w:color w:val="auto"/>
              </w:rPr>
              <w:t>风险等级</w:t>
            </w:r>
          </w:p>
        </w:tc>
        <w:tc>
          <w:tcPr>
            <w:tcW w:w="4740" w:type="dxa"/>
            <w:noWrap w:val="0"/>
            <w:vAlign w:val="top"/>
          </w:tcPr>
          <w:p w14:paraId="2AF80EB2">
            <w:pPr>
              <w:pStyle w:val="10"/>
              <w:ind w:firstLine="0" w:firstLineChars="0"/>
              <w:jc w:val="center"/>
              <w:rPr>
                <w:rFonts w:hint="eastAsia" w:ascii="宋体" w:hAnsi="宋体" w:cs="宋体"/>
                <w:color w:val="auto"/>
              </w:rPr>
            </w:pPr>
            <w:r>
              <w:rPr>
                <w:rFonts w:hint="eastAsia" w:ascii="宋体" w:hAnsi="宋体" w:cs="宋体"/>
                <w:color w:val="auto"/>
              </w:rPr>
              <w:t>色标</w:t>
            </w:r>
          </w:p>
        </w:tc>
      </w:tr>
      <w:tr w14:paraId="7CE7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28B0195B">
            <w:pPr>
              <w:pStyle w:val="10"/>
              <w:ind w:firstLine="0" w:firstLineChars="0"/>
              <w:jc w:val="center"/>
              <w:rPr>
                <w:rFonts w:hint="eastAsia" w:ascii="宋体" w:hAnsi="宋体" w:cs="宋体"/>
                <w:color w:val="auto"/>
              </w:rPr>
            </w:pPr>
            <w:r>
              <w:rPr>
                <w:rFonts w:hint="eastAsia" w:ascii="宋体" w:hAnsi="宋体" w:cs="宋体"/>
                <w:color w:val="auto"/>
              </w:rPr>
              <w:t>D&gt;320</w:t>
            </w:r>
          </w:p>
        </w:tc>
        <w:tc>
          <w:tcPr>
            <w:tcW w:w="4740" w:type="dxa"/>
            <w:shd w:val="clear" w:color="auto" w:fill="auto"/>
            <w:noWrap w:val="0"/>
            <w:vAlign w:val="top"/>
          </w:tcPr>
          <w:p w14:paraId="2A2B5476">
            <w:pPr>
              <w:pStyle w:val="10"/>
              <w:ind w:firstLine="0" w:firstLineChars="0"/>
              <w:jc w:val="center"/>
              <w:rPr>
                <w:rFonts w:hint="eastAsia" w:ascii="宋体" w:hAnsi="宋体" w:cs="宋体"/>
                <w:color w:val="auto"/>
              </w:rPr>
            </w:pPr>
            <w:r>
              <w:rPr>
                <w:rFonts w:hint="eastAsia" w:ascii="宋体" w:hAnsi="宋体" w:cs="宋体"/>
                <w:color w:val="auto"/>
              </w:rPr>
              <w:t>重大风险</w:t>
            </w:r>
          </w:p>
        </w:tc>
        <w:tc>
          <w:tcPr>
            <w:tcW w:w="4740" w:type="dxa"/>
            <w:shd w:val="clear" w:color="auto" w:fill="FF0000"/>
            <w:noWrap w:val="0"/>
            <w:vAlign w:val="top"/>
          </w:tcPr>
          <w:p w14:paraId="752BAE6E">
            <w:pPr>
              <w:pStyle w:val="10"/>
              <w:ind w:firstLine="0" w:firstLineChars="0"/>
              <w:jc w:val="center"/>
              <w:rPr>
                <w:rFonts w:hint="eastAsia" w:ascii="宋体" w:hAnsi="宋体" w:cs="宋体"/>
                <w:color w:val="auto"/>
              </w:rPr>
            </w:pPr>
          </w:p>
        </w:tc>
      </w:tr>
      <w:tr w14:paraId="094E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682A4D28">
            <w:pPr>
              <w:pStyle w:val="10"/>
              <w:ind w:firstLine="0" w:firstLineChars="0"/>
              <w:jc w:val="center"/>
              <w:rPr>
                <w:rFonts w:hint="eastAsia" w:ascii="宋体" w:hAnsi="宋体" w:cs="宋体"/>
                <w:color w:val="auto"/>
              </w:rPr>
            </w:pPr>
            <w:r>
              <w:rPr>
                <w:rFonts w:hint="eastAsia" w:ascii="宋体" w:hAnsi="宋体" w:cs="宋体"/>
                <w:color w:val="auto"/>
              </w:rPr>
              <w:t>320≥D&gt;160</w:t>
            </w:r>
          </w:p>
        </w:tc>
        <w:tc>
          <w:tcPr>
            <w:tcW w:w="4740" w:type="dxa"/>
            <w:shd w:val="clear" w:color="auto" w:fill="auto"/>
            <w:noWrap w:val="0"/>
            <w:vAlign w:val="top"/>
          </w:tcPr>
          <w:p w14:paraId="46FD647F">
            <w:pPr>
              <w:pStyle w:val="10"/>
              <w:ind w:firstLine="0" w:firstLineChars="0"/>
              <w:jc w:val="center"/>
              <w:rPr>
                <w:rFonts w:hint="eastAsia" w:ascii="宋体" w:hAnsi="宋体" w:cs="宋体"/>
                <w:color w:val="auto"/>
              </w:rPr>
            </w:pPr>
            <w:r>
              <w:rPr>
                <w:rFonts w:hint="eastAsia" w:ascii="宋体" w:hAnsi="宋体" w:cs="宋体"/>
                <w:color w:val="auto"/>
              </w:rPr>
              <w:t>较大风险</w:t>
            </w:r>
          </w:p>
        </w:tc>
        <w:tc>
          <w:tcPr>
            <w:tcW w:w="4740" w:type="dxa"/>
            <w:shd w:val="clear" w:color="auto" w:fill="FFC000"/>
            <w:noWrap w:val="0"/>
            <w:vAlign w:val="top"/>
          </w:tcPr>
          <w:p w14:paraId="4E07FA01">
            <w:pPr>
              <w:pStyle w:val="10"/>
              <w:ind w:firstLine="0" w:firstLineChars="0"/>
              <w:jc w:val="center"/>
              <w:rPr>
                <w:rFonts w:hint="eastAsia" w:ascii="宋体" w:hAnsi="宋体" w:cs="宋体"/>
                <w:color w:val="auto"/>
              </w:rPr>
            </w:pPr>
          </w:p>
        </w:tc>
      </w:tr>
      <w:tr w14:paraId="31B3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4B05D9A8">
            <w:pPr>
              <w:pStyle w:val="10"/>
              <w:ind w:firstLine="0" w:firstLineChars="0"/>
              <w:jc w:val="center"/>
              <w:rPr>
                <w:rFonts w:hint="eastAsia" w:ascii="宋体" w:hAnsi="宋体" w:cs="宋体"/>
                <w:color w:val="auto"/>
              </w:rPr>
            </w:pPr>
            <w:r>
              <w:rPr>
                <w:rFonts w:hint="eastAsia" w:ascii="宋体" w:hAnsi="宋体" w:cs="宋体"/>
                <w:color w:val="auto"/>
              </w:rPr>
              <w:t>160≥D&gt;70</w:t>
            </w:r>
          </w:p>
        </w:tc>
        <w:tc>
          <w:tcPr>
            <w:tcW w:w="4740" w:type="dxa"/>
            <w:shd w:val="clear" w:color="auto" w:fill="auto"/>
            <w:noWrap w:val="0"/>
            <w:vAlign w:val="top"/>
          </w:tcPr>
          <w:p w14:paraId="408AECB8">
            <w:pPr>
              <w:pStyle w:val="10"/>
              <w:ind w:firstLine="0" w:firstLineChars="0"/>
              <w:jc w:val="center"/>
              <w:rPr>
                <w:rFonts w:hint="eastAsia" w:ascii="宋体" w:hAnsi="宋体" w:cs="宋体"/>
                <w:color w:val="auto"/>
              </w:rPr>
            </w:pPr>
            <w:r>
              <w:rPr>
                <w:rFonts w:hint="eastAsia" w:ascii="宋体" w:hAnsi="宋体" w:cs="宋体"/>
                <w:color w:val="auto"/>
              </w:rPr>
              <w:t>一般风险</w:t>
            </w:r>
          </w:p>
        </w:tc>
        <w:tc>
          <w:tcPr>
            <w:tcW w:w="4740" w:type="dxa"/>
            <w:shd w:val="clear" w:color="auto" w:fill="FFFF00"/>
            <w:noWrap w:val="0"/>
            <w:vAlign w:val="top"/>
          </w:tcPr>
          <w:p w14:paraId="21428112">
            <w:pPr>
              <w:pStyle w:val="10"/>
              <w:ind w:firstLine="0" w:firstLineChars="0"/>
              <w:jc w:val="center"/>
              <w:rPr>
                <w:rFonts w:hint="eastAsia" w:ascii="宋体" w:hAnsi="宋体" w:cs="宋体"/>
                <w:color w:val="auto"/>
              </w:rPr>
            </w:pPr>
          </w:p>
        </w:tc>
      </w:tr>
      <w:tr w14:paraId="38BA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0D94D5C1">
            <w:pPr>
              <w:pStyle w:val="10"/>
              <w:ind w:firstLine="0" w:firstLineChars="0"/>
              <w:jc w:val="center"/>
              <w:rPr>
                <w:rFonts w:hint="eastAsia" w:ascii="宋体" w:hAnsi="宋体" w:cs="宋体"/>
                <w:color w:val="auto"/>
              </w:rPr>
            </w:pPr>
            <w:r>
              <w:rPr>
                <w:rFonts w:hint="eastAsia" w:ascii="宋体" w:hAnsi="宋体" w:cs="宋体"/>
                <w:color w:val="auto"/>
              </w:rPr>
              <w:t>D≤70</w:t>
            </w:r>
          </w:p>
        </w:tc>
        <w:tc>
          <w:tcPr>
            <w:tcW w:w="4740" w:type="dxa"/>
            <w:shd w:val="clear" w:color="auto" w:fill="auto"/>
            <w:noWrap w:val="0"/>
            <w:vAlign w:val="top"/>
          </w:tcPr>
          <w:p w14:paraId="5826E613">
            <w:pPr>
              <w:pStyle w:val="10"/>
              <w:ind w:firstLine="0" w:firstLineChars="0"/>
              <w:jc w:val="center"/>
              <w:rPr>
                <w:rFonts w:hint="eastAsia" w:ascii="宋体" w:hAnsi="宋体" w:cs="宋体"/>
                <w:color w:val="auto"/>
              </w:rPr>
            </w:pPr>
            <w:r>
              <w:rPr>
                <w:rFonts w:hint="eastAsia" w:ascii="宋体" w:hAnsi="宋体" w:cs="宋体"/>
                <w:color w:val="auto"/>
              </w:rPr>
              <w:t>较小风险</w:t>
            </w:r>
          </w:p>
        </w:tc>
        <w:tc>
          <w:tcPr>
            <w:tcW w:w="4740" w:type="dxa"/>
            <w:shd w:val="clear" w:color="auto" w:fill="00B050"/>
            <w:noWrap w:val="0"/>
            <w:vAlign w:val="top"/>
          </w:tcPr>
          <w:p w14:paraId="34B7A511">
            <w:pPr>
              <w:pStyle w:val="10"/>
              <w:ind w:firstLine="0" w:firstLineChars="0"/>
              <w:jc w:val="center"/>
              <w:rPr>
                <w:rFonts w:hint="eastAsia" w:ascii="宋体" w:hAnsi="宋体" w:cs="宋体"/>
                <w:color w:val="auto"/>
              </w:rPr>
            </w:pPr>
          </w:p>
        </w:tc>
      </w:tr>
    </w:tbl>
    <w:p w14:paraId="023BF6E7">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重大风险由公司组织分子公司、项目部共同管控，公司重点监督检查；较大风险分子公司组织项目部共同管控，分子公司重点监督检查；一般风险由项目部管控；较小风险由班组管控。</w:t>
      </w:r>
    </w:p>
    <w:p w14:paraId="5DA98158">
      <w:pPr>
        <w:numPr>
          <w:ilvl w:val="0"/>
          <w:numId w:val="10"/>
        </w:numPr>
        <w:spacing w:line="336" w:lineRule="auto"/>
        <w:ind w:firstLine="480" w:firstLineChars="200"/>
        <w:rPr>
          <w:rFonts w:hint="eastAsia"/>
          <w:color w:val="auto"/>
          <w:sz w:val="24"/>
          <w:szCs w:val="28"/>
        </w:rPr>
      </w:pPr>
      <w:r>
        <w:rPr>
          <w:rFonts w:hint="eastAsia"/>
          <w:color w:val="auto"/>
          <w:sz w:val="24"/>
          <w:szCs w:val="28"/>
        </w:rPr>
        <w:t>危险源辨识与评价</w:t>
      </w:r>
    </w:p>
    <w:p w14:paraId="3A4E3114">
      <w:pPr>
        <w:pStyle w:val="58"/>
        <w:rPr>
          <w:color w:val="auto"/>
        </w:rPr>
        <w:sectPr>
          <w:headerReference r:id="rId14" w:type="default"/>
          <w:footerReference r:id="rId15"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720" w:num="1"/>
          <w:docGrid w:type="linesAndChars" w:linePitch="326" w:charSpace="0"/>
        </w:sectPr>
      </w:pPr>
    </w:p>
    <w:p w14:paraId="22D27020">
      <w:pPr>
        <w:pStyle w:val="48"/>
        <w:keepNext w:val="0"/>
        <w:keepLines w:val="0"/>
        <w:pageBreakBefore w:val="0"/>
        <w:widowControl/>
        <w:kinsoku/>
        <w:wordWrap/>
        <w:overflowPunct/>
        <w:topLinePunct w:val="0"/>
        <w:autoSpaceDE/>
        <w:autoSpaceDN/>
        <w:bidi w:val="0"/>
        <w:adjustRightInd w:val="0"/>
        <w:snapToGrid w:val="0"/>
        <w:ind w:left="0" w:leftChars="0" w:firstLine="480"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表6.1-2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0"/>
        <w:gridCol w:w="472"/>
        <w:gridCol w:w="3"/>
        <w:gridCol w:w="5243"/>
        <w:gridCol w:w="1204"/>
        <w:gridCol w:w="316"/>
        <w:gridCol w:w="286"/>
        <w:gridCol w:w="481"/>
        <w:gridCol w:w="406"/>
        <w:gridCol w:w="481"/>
        <w:gridCol w:w="587"/>
        <w:gridCol w:w="391"/>
        <w:gridCol w:w="1036"/>
        <w:gridCol w:w="1342"/>
        <w:gridCol w:w="1288"/>
      </w:tblGrid>
      <w:tr w14:paraId="70C6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noWrap w:val="0"/>
            <w:vAlign w:val="center"/>
          </w:tcPr>
          <w:p w14:paraId="193B7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9ED8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14929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noWrap w:val="0"/>
            <w:vAlign w:val="center"/>
          </w:tcPr>
          <w:p w14:paraId="0CA9C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noWrap w:val="0"/>
            <w:vAlign w:val="center"/>
          </w:tcPr>
          <w:p w14:paraId="3C77D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6D09C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noWrap w:val="0"/>
            <w:vAlign w:val="center"/>
          </w:tcPr>
          <w:p w14:paraId="754076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noWrap w:val="0"/>
            <w:vAlign w:val="center"/>
          </w:tcPr>
          <w:p w14:paraId="61690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62804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noWrap w:val="0"/>
            <w:vAlign w:val="center"/>
          </w:tcPr>
          <w:p w14:paraId="34D48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5484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3811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6577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E5E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7B7D1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012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DE0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noWrap w:val="0"/>
            <w:vAlign w:val="center"/>
          </w:tcPr>
          <w:p w14:paraId="413A4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24320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noWrap w:val="0"/>
            <w:vAlign w:val="center"/>
          </w:tcPr>
          <w:p w14:paraId="43C35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7A8C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noWrap w:val="0"/>
            <w:vAlign w:val="center"/>
          </w:tcPr>
          <w:p w14:paraId="5313A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3285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5CDA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DD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9BD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CB53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B75B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7123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5017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noWrap w:val="0"/>
            <w:vAlign w:val="center"/>
          </w:tcPr>
          <w:p w14:paraId="20458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1D890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noWrap w:val="0"/>
            <w:vAlign w:val="center"/>
          </w:tcPr>
          <w:p w14:paraId="014B9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5C5B2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56714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387F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noWrap w:val="0"/>
            <w:vAlign w:val="center"/>
          </w:tcPr>
          <w:p w14:paraId="3CA515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347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00E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D76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DD5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88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734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79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59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BA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90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2E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3A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B9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63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4F83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0819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E7FA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161CC8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649E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6C5E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47759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F3F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E0F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22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309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43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D4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CE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F5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7E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B9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03B4F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EE7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389D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91C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35B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25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53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6D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79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FD9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B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37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6D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BD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6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CBED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C60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1EB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326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80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0F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5B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DB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219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35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F2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32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3A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89B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3B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2B1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C26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A233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4BA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52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ACA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15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43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5A0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B8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E2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35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7B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E1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9B5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FD29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520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6952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552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808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63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5F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9D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B90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9D8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63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73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CE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24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D8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EE3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CDCA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82C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24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79C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BE8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05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2B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65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AC9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55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BC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47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2E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AE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769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F96B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980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C2D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86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96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8C5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5A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BC3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3F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3E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82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CC2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CA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6C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A91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268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A8E3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D7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05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708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5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BA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879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21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0B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79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7A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8B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1A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10A2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AF5B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55E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AD1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57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A8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81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98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8DB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F4C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B0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18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33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EB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AB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2AE8F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C8B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7D79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A61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6B5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2C8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21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D9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D89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A3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A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73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A8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72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A34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557D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4D5D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1CCB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FCF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6C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7F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FE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29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EC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7BB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16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2D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C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1A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8D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48F8B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2D155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A5D6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4DC6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DEAF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D73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B5B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98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507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E2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7F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989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27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32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FB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AD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499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E8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C8E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B4F4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E5A4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B1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5DB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9A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AD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89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9D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8EA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F5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CD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6B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C1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B2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B2F0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DD25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492B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60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5A4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7CE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FF0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5A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371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DBF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29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6EF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0D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5EF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4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3A2B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4572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EE15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94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63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CE0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F5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CD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C1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D87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95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6A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4C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A9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16213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DA31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CC75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E69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586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7DF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32E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7A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31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079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90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95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80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6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A8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D2DC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7DDD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FD2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241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2D6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716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6B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A2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E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F12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F8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9D8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71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AC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16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5F39C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1F3F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D28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18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44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0E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67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82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1EC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9E3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DE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3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E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E9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86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7FE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C17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6F8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3E8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CC6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BA1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7D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B3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6C3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86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30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0E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87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BD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69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6B33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82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FF3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54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283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CCA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9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5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95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5F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AA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62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BEC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11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48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D6A5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2584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8B3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477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596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7F4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6E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B1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5E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41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B9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BA5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F1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C0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D2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7F3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1D92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7AE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423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56F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265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B1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B0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A7E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941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47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46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BE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E5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37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59DB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EE68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A62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EA3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2E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84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07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52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A7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4A2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5C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FE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63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60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A1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ED94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428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A02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2B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144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2B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91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435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263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7D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5CB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9F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D3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6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F3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690B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95A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4E00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21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724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24B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EF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E0E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22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32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4C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0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42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87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65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25E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8CB2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EFF6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4F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5BC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3B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EC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AE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B69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2A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E4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55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87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2A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3A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9A3E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B8A7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97B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A33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3F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6A5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9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CD9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35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01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36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9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A8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7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5A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D7AF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101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E49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37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F8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B3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E9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38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8F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A8D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F6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90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10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8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52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46BF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5373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0FA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BFD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66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DA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5C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C0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BF3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37F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35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C6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B46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FA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BB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65EE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1CEB1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8045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0FE80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14C1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79A99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966B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4B7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9A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11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6F0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CD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0D7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AE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03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DF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5F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F4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241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D4D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1527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38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E74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81A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6C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53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21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71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2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19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63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DA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AD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CF3C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FEB3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BC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06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39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B1A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B3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29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68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50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B9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CA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1E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AEA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04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AFA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9ABE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81A5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8C6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834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F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05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73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D0E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FE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AE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C3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48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44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CF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2CC2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435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C381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4A9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A01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BF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5E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AB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44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73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19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D0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1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3D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23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550C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AD9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3B8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9F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BAA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9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12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F4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2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E01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9B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06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8E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557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31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018C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5EA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6E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D6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952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E31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AF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24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F3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68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39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ED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0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59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55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66E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A86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494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83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22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36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8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D2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34E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2C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2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F4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74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E5F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C8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31A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FA1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188C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3F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EE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5A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DE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79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40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B6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04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A1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4D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A0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AC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2FA5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1507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882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A8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6EA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81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3F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81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ED7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5CA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FA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60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37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3D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AF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2C8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6C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E34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4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1F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A9D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B6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68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85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ACE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C0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8D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DD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ED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7F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BC0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27BA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1290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2E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4F8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7B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08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33D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963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4CE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39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72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8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0F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B69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6B2F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DEF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907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CAE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1EF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4F7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3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8D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59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66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76A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9D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B1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9D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85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8AF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F23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792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047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28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18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3E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80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C0C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C0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203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FA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0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14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FB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2461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48F9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0BB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B0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9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65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E1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BF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DAD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5BE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CF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00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B5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CF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3B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30616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B174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B03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DF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A8C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4E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77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EB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8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B6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0B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3E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84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84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45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680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769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BE9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758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C2C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0F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4C7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84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1E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8B3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A8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8C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A8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CD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42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396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19B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8376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5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E1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13F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2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09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F7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278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94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7A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C3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EC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83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A4F9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E8A7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D40A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01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4B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00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9F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42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164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A01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E9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74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37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4F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01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DCF9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B99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36F5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F8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4D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F67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2E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AC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51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E4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CB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3F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87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ED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89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BF7E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A71E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269E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49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AE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7DF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BA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A5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2B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6D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BF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28D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A2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E2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ED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88ED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94D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87CB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E96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DE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1C1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C1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0B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4A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413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F9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30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AE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43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33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82E8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4D39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EDE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E11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789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537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7B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64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2C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E04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46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08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1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C2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4C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4236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358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C4A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5F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1EB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32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4C9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70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0C6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278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EFB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08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A3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66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EE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6A968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755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DB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86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15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3E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D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3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0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E3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1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47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5B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A8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8D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1A86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C63B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74E9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375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5C8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F4E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DF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0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71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0B8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F3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61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1D5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05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46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BAA6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4F3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84A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717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BD6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531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C5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77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FB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C1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F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8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CE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7A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52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F71E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0ABA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11B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19E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298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CD2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12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9A4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62B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E7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95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D2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4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4E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F2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8622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C6B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E17A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24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D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28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41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30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9A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00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FE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C2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F0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59F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1CB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25F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60593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458C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116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E365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44E5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310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414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D6B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DF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60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F4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FC7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D2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E67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8E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F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7C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9EC5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04E7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4B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19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C8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47A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D37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2D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7D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D57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67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4E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D6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6A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A4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DAD2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80B6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4FB8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D5B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E2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5E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CF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16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52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2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77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4D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E9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08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36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7B2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4FC7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A631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59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C8C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6C7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55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46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1C0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32D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C8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E9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0D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89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59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3D4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0CB4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72A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57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BB7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0D6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19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B0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946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732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C3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10C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C3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97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32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C2EB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167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CC23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28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80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83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1A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6D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2C1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59A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DF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7E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04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85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7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7939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EF33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CBE3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70E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0E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C19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F4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1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9D1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CD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1B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12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E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9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DA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115D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167B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8CD2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AE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06F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966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6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DD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9F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75F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27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C3E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6A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2D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DB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964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308A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F9AF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79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A8A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E1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36E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B3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47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5C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C77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B6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5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CF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97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FE2A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B67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55EA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4E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B24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A5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32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F8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276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A6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72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7B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D1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4D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D8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381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0E1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B7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348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41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43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94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0E9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C59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EE3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6B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50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EE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35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6D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AF4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F62FC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8E1BB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E49E9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0DCD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BDB6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B2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B76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9F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02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A9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866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5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2B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60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126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D0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EA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80B3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F7A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310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A2F9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72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956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2B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9A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5C6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73D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A6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A3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02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AE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8F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3391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EDB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8EA8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CE3F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97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54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7C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E6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94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AB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4F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D72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41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E7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A1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2D0D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4B61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E93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B2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4E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1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A8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2A8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DB4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48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A7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D8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4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7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4F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7B6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A10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50D5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72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FA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FB7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54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B4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B34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7B9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1B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D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A3B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AD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A9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0A9E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85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4011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7F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F4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5A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D6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7F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7B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28F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10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22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A7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62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70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52E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040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B2A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95B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3D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F3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F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87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9C0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0B7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C3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3EE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038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0B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25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0888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22E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4D5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D5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62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DE0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7F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344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B3C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90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FC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85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82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9F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BE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366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C6D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CCC5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CF3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60A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9E7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DA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229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15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3D6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BD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59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85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714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D6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6BF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EF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76C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3A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527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5E5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9D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FC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33E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E6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14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C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27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A4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00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7A86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5674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4C0A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C0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149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0CC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4F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79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0F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B39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A2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CA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B9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55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F3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7737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ED7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B1B0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E74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0B1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E6C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5A3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C1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3E1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E6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C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D3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16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2DB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20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77D8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A2D5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7B78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A3A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B0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08C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38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79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39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42C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3D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1E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3E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66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0D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8ED1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A3E7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3378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08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97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CC4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68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BC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124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19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45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C5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B8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86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ECF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EB8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D4DC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8B2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D66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671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DFE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65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F6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173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BD0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37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41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F2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41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1C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5D6A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1D1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1524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AB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2D0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8C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7D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84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01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27C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01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02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C0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0D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02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D17E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388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7E4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169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AC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0A7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BD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6A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767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65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16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5B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33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43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DF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8BE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070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54A7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2B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21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6D4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E9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220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02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C88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94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6C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2C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9B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F7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6687C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34A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A42D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85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3A2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8D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2A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E8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7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B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E0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DD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B2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52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2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AA45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21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6D6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D2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DF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2A2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D8F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C3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A2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F6A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D8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34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A1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59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62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9D31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66F5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2828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AB1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F7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3AF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DE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2A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7C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03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2E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4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DE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7A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E6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4D6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F71E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459C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92C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44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99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A20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2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C30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38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17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295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67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88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F0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1346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7CD1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958F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A8F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3E40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792E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5FF8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C0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621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3D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FE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A6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3F8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79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1C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DD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8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12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1ECB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2390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8CB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5D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5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80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3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EE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390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349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7A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4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FB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02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6B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8BAC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4E1E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79D8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A3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636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5B0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A4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80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58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C8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D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9D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B1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B8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E0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F04C8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1027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81B9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810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66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3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4A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7B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9DD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A39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DA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EA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E6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BF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3E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D44C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A8B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C2CA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84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B4A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41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FC7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D0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BC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156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AA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3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97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70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D5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2A90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6CF8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7DE0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2E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5E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88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24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C1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00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B7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9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14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22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2D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70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9329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3AC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E77E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3B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F5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A9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16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2E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01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6F4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02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4E5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D9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90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70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AD3B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90A1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66D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1D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4F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CC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04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A0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7E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76B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E9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20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71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53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18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AC36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FBFB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510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FCE8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D08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C0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B9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DE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3A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BCB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88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4F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FF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DF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8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77A4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CE1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9EF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EB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B11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A37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BA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47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97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EA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DF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62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B0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E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8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62AF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8B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43F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A04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4CC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8A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3D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69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C1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7E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D1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A4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10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C9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BE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7FB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319C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35A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05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590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9E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69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76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FD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51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564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91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71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84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4A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20F3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25F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6D26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B9E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ABF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1F3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D1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F3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287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256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DC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0F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F7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0A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4B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8D211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692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B8A0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C7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49D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CEB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48A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F3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B4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5EE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3D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D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E0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42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53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F212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879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9F06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AE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41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8E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D8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8C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93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1E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0D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5E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78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01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590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959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21A1A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D554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36FE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4F22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06C0B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187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F8C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6B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3A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91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1EF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0C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12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70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CE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3E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88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0BF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4C9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193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5A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FB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91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B47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2B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D0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DEA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72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BC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43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7E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58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B210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4BA0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445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048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96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900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97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AE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E25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D48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95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E0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CA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1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C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E346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83BD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57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93E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1CA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00D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0A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DB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0F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1DC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50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28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DE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00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6B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790D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12D4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B10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71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FEA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311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17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13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C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D1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42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D1E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EA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9C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4C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DEAC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07F5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3C5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1BC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6F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90F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43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50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73D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A5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318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E5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FA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6B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3F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729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6BF9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C3E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50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CA6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75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8C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53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666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4D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77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E5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D6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E6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49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E4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97B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8DD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17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D9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F2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33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52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11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8D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C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5D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5D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C7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26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30E8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2306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74E8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D5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C75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81B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6E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C2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D16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96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A9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93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B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4B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8B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DC21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558A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C5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9F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A86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5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D2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D9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5E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5B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6F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26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FC3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E0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14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B84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CA2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A71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C5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D86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83F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11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719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FB5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0DD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84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62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71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A7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79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901B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D0BE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B722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289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03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E2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9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B5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C2D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B5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1F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79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D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52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57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B8D2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A5D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03D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4A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63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7D1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65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B7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A04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7EB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06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16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48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8C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AA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7CB6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5D1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D390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F3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6FA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61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46C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1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17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01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5E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8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5E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6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71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022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01D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79C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73E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4F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13B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2E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51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0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EC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5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4A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9FB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E1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76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0EE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5596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0E3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791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57E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D45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56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2D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B7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41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16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53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07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6C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D5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82E9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D993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0DD9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3AF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AC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5C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F6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22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6E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D66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AD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95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C4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BF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45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4037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ACD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A1B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F5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B0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7EA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7A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2C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3C9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85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91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63B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BF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37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9C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8FD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5E5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7296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E17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B9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448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A8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B2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236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4B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25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C2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DF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F2B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B5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C502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42B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E9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5F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F8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3A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46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A5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F4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76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CC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4C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94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9B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A4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0559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83A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175A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C2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CF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88C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B0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04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6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B6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B9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12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C8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09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AA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1EE2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17B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0C3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9A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C5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8A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0C0BD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CD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6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1DA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AA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8D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AD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CB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9B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30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7C7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9AE8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0AEC1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3166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4E613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24120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34D6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39C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7FF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2C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9F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8B7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599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DA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D2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63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54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48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EF15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1B68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A790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AE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0D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B7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67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C9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123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407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45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30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6A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E1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85B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E194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3776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866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0C4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3E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AF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BC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3D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2C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EAE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A2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3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6C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D9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03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D6A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5C4F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A2EF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DD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99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7B2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39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E2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E2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540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9292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8B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EB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ECE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43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FE57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F36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AD91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5B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E55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DAA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46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DF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FE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CFD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53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393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95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A3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ED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7096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6E2D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549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239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20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FE1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EF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C0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6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7B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7A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BB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BC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21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19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E5F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079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BC3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91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6A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F9D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07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71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88B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54E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7C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33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A8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3A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E3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A9AC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D273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C89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2C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7B9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6C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F7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CA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F76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59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3A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98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0C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62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12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A997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E093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B4E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272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51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8A8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C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A1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6B5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AB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24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3C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3D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1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7A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333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CF6A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809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4A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E7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F92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44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5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EA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317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7EE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BC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AC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F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C4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C3C6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FF8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775E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A4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11B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4B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7A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45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F0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B9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AC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6B3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29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31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9A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4FC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A5E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97D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2A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E32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57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3E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A5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E20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C62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3E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2F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85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59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1F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5F9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E01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948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94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49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E2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F4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1F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A8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EFA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D48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60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D3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26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C4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FB6F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FDEA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98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E1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E0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C4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5F730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44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D0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4E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B5F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CA3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6B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E4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AA6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51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313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563B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5AF5E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7CA5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3D64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3738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E494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D1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EE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0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0D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D3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502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86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7A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7E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E9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4C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10D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1DF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67A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C17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D2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C7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0A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BF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C97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36C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C9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F0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A3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58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42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62C5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885B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86F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DE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250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0BE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7AB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6D1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95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05B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E8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84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99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4F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4F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4748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180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6A71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D47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3B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B7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67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BF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011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80E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84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1F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BF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A9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8E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EF9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0AF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0EC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A7B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2A4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807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94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A4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566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56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53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58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DF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7F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0B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DF00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9A8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C060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19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16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F5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1E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05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CCB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5E4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133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D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7E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FD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26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69B3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A7F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7D51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12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E6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56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45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6D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43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A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45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A0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81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87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D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33E4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3A4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CF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3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5D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F92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27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60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DB9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8E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08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E5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CC5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C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DD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5D51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E3A3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DCB4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77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61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6B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40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03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FC9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C9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4E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B2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16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A7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38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138D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412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AE2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FAFD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E29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A78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9C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C23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CF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AE1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66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0C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94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6B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A2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2D83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C15C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51EA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BF0633D">
      <w:pPr>
        <w:bidi w:val="0"/>
        <w:outlineLvl w:val="2"/>
        <w:rPr>
          <w:rFonts w:hint="eastAsia" w:ascii="宋体" w:hAnsi="宋体" w:eastAsia="宋体" w:cs="宋体"/>
          <w:b/>
          <w:bCs/>
          <w:color w:val="auto"/>
          <w:sz w:val="24"/>
          <w:szCs w:val="24"/>
          <w:lang w:val="en-US" w:eastAsia="zh-CN"/>
        </w:rPr>
      </w:pPr>
      <w:bookmarkStart w:id="134" w:name="_Toc7455"/>
      <w:r>
        <w:rPr>
          <w:rFonts w:hint="eastAsia" w:ascii="宋体" w:hAnsi="宋体" w:eastAsia="宋体" w:cs="宋体"/>
          <w:b/>
          <w:bCs/>
          <w:color w:val="auto"/>
          <w:sz w:val="24"/>
          <w:szCs w:val="24"/>
          <w:lang w:val="en-US" w:eastAsia="zh-CN"/>
        </w:rPr>
        <w:t>6.1.2针对较大风险和重大分险编制施工安全风险控制措施</w:t>
      </w:r>
      <w:bookmarkEnd w:id="134"/>
    </w:p>
    <w:p w14:paraId="400BDDDE">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表6.1-3旋挖及吊装</w:t>
      </w:r>
      <w:r>
        <w:rPr>
          <w:rFonts w:hint="eastAsia" w:ascii="宋体" w:hAnsi="宋体" w:eastAsia="宋体" w:cs="宋体"/>
          <w:b/>
          <w:color w:val="auto"/>
          <w:sz w:val="24"/>
        </w:rPr>
        <w:t>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pPr w:leftFromText="181" w:rightFromText="181" w:vertAnchor="text" w:horzAnchor="page" w:tblpX="1401" w:tblpY="114"/>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8"/>
        <w:gridCol w:w="876"/>
        <w:gridCol w:w="5818"/>
        <w:gridCol w:w="1186"/>
        <w:gridCol w:w="2551"/>
        <w:gridCol w:w="1615"/>
        <w:gridCol w:w="1018"/>
      </w:tblGrid>
      <w:tr w14:paraId="1A38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tcBorders>
              <w:top w:val="single" w:color="000000" w:sz="4" w:space="0"/>
              <w:left w:val="single" w:color="000000" w:sz="4" w:space="0"/>
              <w:bottom w:val="single" w:color="000000" w:sz="4" w:space="0"/>
              <w:right w:val="single" w:color="000000" w:sz="4" w:space="0"/>
            </w:tcBorders>
            <w:noWrap w:val="0"/>
            <w:vAlign w:val="center"/>
          </w:tcPr>
          <w:p w14:paraId="6BBC6A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56" w:type="pct"/>
            <w:tcBorders>
              <w:top w:val="single" w:color="000000" w:sz="4" w:space="0"/>
              <w:left w:val="single" w:color="000000" w:sz="4" w:space="0"/>
              <w:bottom w:val="single" w:color="000000" w:sz="4" w:space="0"/>
              <w:right w:val="single" w:color="000000" w:sz="4" w:space="0"/>
            </w:tcBorders>
            <w:noWrap w:val="0"/>
            <w:vAlign w:val="center"/>
          </w:tcPr>
          <w:p w14:paraId="160DD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853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46" w:type="pct"/>
            <w:tcBorders>
              <w:top w:val="single" w:color="000000" w:sz="4" w:space="0"/>
              <w:left w:val="single" w:color="000000" w:sz="4" w:space="0"/>
              <w:bottom w:val="single" w:color="000000" w:sz="4" w:space="0"/>
              <w:right w:val="single" w:color="000000" w:sz="4" w:space="0"/>
            </w:tcBorders>
            <w:noWrap w:val="0"/>
            <w:vAlign w:val="center"/>
          </w:tcPr>
          <w:p w14:paraId="35DD8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51A23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897" w:type="pct"/>
            <w:tcBorders>
              <w:top w:val="single" w:color="000000" w:sz="4" w:space="0"/>
              <w:left w:val="single" w:color="000000" w:sz="4" w:space="0"/>
              <w:bottom w:val="single" w:color="000000" w:sz="4" w:space="0"/>
              <w:right w:val="single" w:color="000000" w:sz="4" w:space="0"/>
            </w:tcBorders>
            <w:noWrap w:val="0"/>
            <w:vAlign w:val="center"/>
          </w:tcPr>
          <w:p w14:paraId="04A0D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56B6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58" w:type="pct"/>
            <w:tcBorders>
              <w:top w:val="single" w:color="000000" w:sz="4" w:space="0"/>
              <w:left w:val="single" w:color="000000" w:sz="4" w:space="0"/>
              <w:bottom w:val="single" w:color="000000" w:sz="4" w:space="0"/>
              <w:right w:val="single" w:color="000000" w:sz="4" w:space="0"/>
            </w:tcBorders>
            <w:noWrap w:val="0"/>
            <w:vAlign w:val="center"/>
          </w:tcPr>
          <w:p w14:paraId="344F4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47E9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vMerge w:val="restart"/>
            <w:tcBorders>
              <w:top w:val="single" w:color="000000" w:sz="4" w:space="0"/>
              <w:left w:val="single" w:color="000000" w:sz="4" w:space="0"/>
              <w:right w:val="single" w:color="000000" w:sz="4" w:space="0"/>
            </w:tcBorders>
            <w:shd w:val="clear" w:color="auto" w:fill="auto"/>
            <w:noWrap w:val="0"/>
            <w:vAlign w:val="center"/>
          </w:tcPr>
          <w:p w14:paraId="5E78E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56" w:type="pct"/>
            <w:vMerge w:val="restart"/>
            <w:tcBorders>
              <w:top w:val="single" w:color="000000" w:sz="4" w:space="0"/>
              <w:left w:val="single" w:color="000000" w:sz="4" w:space="0"/>
              <w:right w:val="single" w:color="000000" w:sz="4" w:space="0"/>
            </w:tcBorders>
            <w:shd w:val="clear" w:color="auto" w:fill="auto"/>
            <w:noWrap w:val="0"/>
            <w:vAlign w:val="center"/>
          </w:tcPr>
          <w:p w14:paraId="2E132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5438D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restart"/>
            <w:tcBorders>
              <w:top w:val="single" w:color="000000" w:sz="4" w:space="0"/>
              <w:left w:val="single" w:color="000000" w:sz="4" w:space="0"/>
              <w:right w:val="single" w:color="000000" w:sz="4" w:space="0"/>
            </w:tcBorders>
            <w:shd w:val="clear" w:color="auto" w:fill="auto"/>
            <w:noWrap w:val="0"/>
            <w:vAlign w:val="center"/>
          </w:tcPr>
          <w:p w14:paraId="5D045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A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12ED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897" w:type="pct"/>
            <w:tcBorders>
              <w:top w:val="single" w:color="000000" w:sz="4" w:space="0"/>
              <w:left w:val="single" w:color="000000" w:sz="4" w:space="0"/>
              <w:right w:val="single" w:color="000000" w:sz="4" w:space="0"/>
            </w:tcBorders>
            <w:noWrap w:val="0"/>
            <w:vAlign w:val="center"/>
          </w:tcPr>
          <w:p w14:paraId="3D093D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68" w:type="pct"/>
            <w:tcBorders>
              <w:top w:val="single" w:color="000000" w:sz="4" w:space="0"/>
              <w:left w:val="single" w:color="000000" w:sz="4" w:space="0"/>
              <w:right w:val="single" w:color="000000" w:sz="4" w:space="0"/>
            </w:tcBorders>
            <w:noWrap w:val="0"/>
            <w:vAlign w:val="center"/>
          </w:tcPr>
          <w:p w14:paraId="1CBADC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left w:val="single" w:color="000000" w:sz="4" w:space="0"/>
              <w:bottom w:val="single" w:color="auto" w:sz="4" w:space="0"/>
              <w:right w:val="single" w:color="000000" w:sz="4" w:space="0"/>
            </w:tcBorders>
            <w:noWrap w:val="0"/>
            <w:vAlign w:val="center"/>
          </w:tcPr>
          <w:p w14:paraId="15CC7E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97D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46" w:type="pct"/>
            <w:vMerge w:val="continue"/>
            <w:tcBorders>
              <w:left w:val="single" w:color="000000" w:sz="4" w:space="0"/>
              <w:right w:val="single" w:color="000000" w:sz="4" w:space="0"/>
            </w:tcBorders>
            <w:shd w:val="clear" w:color="auto" w:fill="auto"/>
            <w:noWrap w:val="0"/>
            <w:vAlign w:val="center"/>
          </w:tcPr>
          <w:p w14:paraId="1C50C0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56" w:type="pct"/>
            <w:vMerge w:val="continue"/>
            <w:tcBorders>
              <w:left w:val="single" w:color="000000" w:sz="4" w:space="0"/>
              <w:right w:val="single" w:color="000000" w:sz="4" w:space="0"/>
            </w:tcBorders>
            <w:shd w:val="clear" w:color="auto" w:fill="auto"/>
            <w:noWrap w:val="0"/>
            <w:vAlign w:val="center"/>
          </w:tcPr>
          <w:p w14:paraId="434DDD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6F02A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F7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2211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897" w:type="pct"/>
            <w:tcBorders>
              <w:top w:val="single" w:color="000000" w:sz="4" w:space="0"/>
              <w:left w:val="single" w:color="000000" w:sz="4" w:space="0"/>
              <w:bottom w:val="single" w:color="auto" w:sz="4" w:space="0"/>
              <w:right w:val="single" w:color="000000" w:sz="4" w:space="0"/>
            </w:tcBorders>
            <w:noWrap w:val="0"/>
            <w:vAlign w:val="center"/>
          </w:tcPr>
          <w:p w14:paraId="1E3D7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68" w:type="pct"/>
            <w:tcBorders>
              <w:top w:val="single" w:color="000000" w:sz="4" w:space="0"/>
              <w:left w:val="single" w:color="000000" w:sz="4" w:space="0"/>
              <w:bottom w:val="single" w:color="auto" w:sz="4" w:space="0"/>
              <w:right w:val="single" w:color="000000" w:sz="4" w:space="0"/>
            </w:tcBorders>
            <w:noWrap w:val="0"/>
            <w:vAlign w:val="center"/>
          </w:tcPr>
          <w:p w14:paraId="103894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756E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5ED5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7127E5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768D6A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auto" w:sz="4" w:space="0"/>
              <w:right w:val="single" w:color="000000" w:sz="4" w:space="0"/>
            </w:tcBorders>
            <w:shd w:val="clear" w:color="auto" w:fill="auto"/>
            <w:noWrap w:val="0"/>
            <w:vAlign w:val="center"/>
          </w:tcPr>
          <w:p w14:paraId="521D0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5CD1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0D598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CED1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9624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5AC4E3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E6C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22FF8E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2C48A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right w:val="single" w:color="000000" w:sz="4" w:space="0"/>
            </w:tcBorders>
            <w:shd w:val="clear" w:color="auto" w:fill="auto"/>
            <w:noWrap w:val="0"/>
            <w:vAlign w:val="center"/>
          </w:tcPr>
          <w:p w14:paraId="53EC7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5935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8CC7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2AE72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2D946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6AB93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A928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146" w:type="pct"/>
            <w:vMerge w:val="continue"/>
            <w:tcBorders>
              <w:left w:val="single" w:color="000000" w:sz="4" w:space="0"/>
              <w:right w:val="single" w:color="000000" w:sz="4" w:space="0"/>
            </w:tcBorders>
            <w:shd w:val="clear" w:color="auto" w:fill="auto"/>
            <w:noWrap w:val="0"/>
            <w:vAlign w:val="center"/>
          </w:tcPr>
          <w:p w14:paraId="60C148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74B87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3497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5D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BDDF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DBDE6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290EDA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2E14C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07411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077F2A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0AD690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E756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AB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CBE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F56A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752A4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4AD0C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54A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left w:val="single" w:color="000000" w:sz="4" w:space="0"/>
              <w:right w:val="single" w:color="000000" w:sz="4" w:space="0"/>
            </w:tcBorders>
            <w:shd w:val="clear" w:color="auto" w:fill="auto"/>
            <w:noWrap w:val="0"/>
            <w:vAlign w:val="center"/>
          </w:tcPr>
          <w:p w14:paraId="5D05D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left w:val="single" w:color="000000" w:sz="4" w:space="0"/>
              <w:right w:val="single" w:color="000000" w:sz="4" w:space="0"/>
            </w:tcBorders>
            <w:shd w:val="clear" w:color="auto" w:fill="auto"/>
            <w:noWrap w:val="0"/>
            <w:vAlign w:val="center"/>
          </w:tcPr>
          <w:p w14:paraId="57C416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27CE2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7D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DA03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89920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6FF6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873E4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076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6ECFA5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DA9B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F3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82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8439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EF356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38160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810F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CE34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46" w:type="pct"/>
            <w:vMerge w:val="continue"/>
            <w:tcBorders>
              <w:left w:val="single" w:color="000000" w:sz="4" w:space="0"/>
              <w:right w:val="single" w:color="000000" w:sz="4" w:space="0"/>
            </w:tcBorders>
            <w:shd w:val="clear" w:color="auto" w:fill="auto"/>
            <w:noWrap w:val="0"/>
            <w:vAlign w:val="center"/>
          </w:tcPr>
          <w:p w14:paraId="613C57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8CF52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right w:val="single" w:color="000000" w:sz="4" w:space="0"/>
            </w:tcBorders>
            <w:shd w:val="clear" w:color="auto" w:fill="auto"/>
            <w:noWrap w:val="0"/>
            <w:vAlign w:val="center"/>
          </w:tcPr>
          <w:p w14:paraId="7B5E5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46" w:type="pct"/>
            <w:tcBorders>
              <w:top w:val="single" w:color="000000" w:sz="4" w:space="0"/>
              <w:left w:val="single" w:color="000000" w:sz="4" w:space="0"/>
              <w:right w:val="single" w:color="000000" w:sz="4" w:space="0"/>
            </w:tcBorders>
            <w:shd w:val="clear" w:color="auto" w:fill="auto"/>
            <w:noWrap w:val="0"/>
            <w:vAlign w:val="center"/>
          </w:tcPr>
          <w:p w14:paraId="39777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17" w:type="pct"/>
            <w:tcBorders>
              <w:top w:val="single" w:color="000000" w:sz="4" w:space="0"/>
              <w:left w:val="single" w:color="000000" w:sz="4" w:space="0"/>
              <w:right w:val="single" w:color="000000" w:sz="4" w:space="0"/>
            </w:tcBorders>
            <w:shd w:val="clear" w:color="auto" w:fill="FFC000"/>
            <w:noWrap w:val="0"/>
            <w:vAlign w:val="center"/>
          </w:tcPr>
          <w:p w14:paraId="6E2F17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0E50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774C25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right w:val="single" w:color="000000" w:sz="4" w:space="0"/>
            </w:tcBorders>
            <w:noWrap w:val="0"/>
            <w:vAlign w:val="center"/>
          </w:tcPr>
          <w:p w14:paraId="134FD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73A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bottom w:val="single" w:color="auto" w:sz="4" w:space="0"/>
              <w:right w:val="single" w:color="000000" w:sz="4" w:space="0"/>
            </w:tcBorders>
            <w:shd w:val="clear" w:color="auto" w:fill="auto"/>
            <w:noWrap w:val="0"/>
            <w:vAlign w:val="center"/>
          </w:tcPr>
          <w:p w14:paraId="12EC24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bottom w:val="single" w:color="auto" w:sz="4" w:space="0"/>
              <w:right w:val="single" w:color="000000" w:sz="4" w:space="0"/>
            </w:tcBorders>
            <w:shd w:val="clear" w:color="auto" w:fill="auto"/>
            <w:noWrap w:val="0"/>
            <w:vAlign w:val="center"/>
          </w:tcPr>
          <w:p w14:paraId="3B818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D907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1F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8885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33DB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82B12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8866E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2C0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DC818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1058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E0F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6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E33C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1D52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F7799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764FA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71580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E167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6069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FE938B5">
            <w:pPr>
              <w:keepNext w:val="0"/>
              <w:keepLines w:val="0"/>
              <w:pageBreakBefore w:val="0"/>
              <w:kinsoku/>
              <w:wordWrap/>
              <w:overflowPunct/>
              <w:topLinePunct w:val="0"/>
              <w:autoSpaceDE/>
              <w:autoSpaceDN/>
              <w:bidi w:val="0"/>
              <w:adjustRightInd/>
              <w:snapToGrid/>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97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342E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restart"/>
            <w:tcBorders>
              <w:top w:val="single" w:color="auto" w:sz="4" w:space="0"/>
              <w:left w:val="single" w:color="000000" w:sz="4" w:space="0"/>
              <w:bottom w:val="single" w:color="auto" w:sz="4" w:space="0"/>
              <w:right w:val="single" w:color="000000" w:sz="4" w:space="0"/>
            </w:tcBorders>
            <w:noWrap w:val="0"/>
            <w:vAlign w:val="center"/>
          </w:tcPr>
          <w:p w14:paraId="673486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68" w:type="pct"/>
            <w:vMerge w:val="restart"/>
            <w:tcBorders>
              <w:top w:val="single" w:color="auto" w:sz="4" w:space="0"/>
              <w:left w:val="single" w:color="000000" w:sz="4" w:space="0"/>
              <w:bottom w:val="single" w:color="auto" w:sz="4" w:space="0"/>
              <w:right w:val="single" w:color="000000" w:sz="4" w:space="0"/>
            </w:tcBorders>
            <w:noWrap w:val="0"/>
            <w:vAlign w:val="center"/>
          </w:tcPr>
          <w:p w14:paraId="3C5BFE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C17A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1629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2539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CC6F6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E464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1452F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D6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99D3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76736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0EA612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88D2B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A6D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6E06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CFFC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9AFB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CF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D6F3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221100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74D4D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14EF1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EBC0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BC08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E789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43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A0D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9EF8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AD4B1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5F06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1C61F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F98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2702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3009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C8DEB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E0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869E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30E5CA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52819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D925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bl>
    <w:p w14:paraId="352A82DD">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4BEB0F7C">
      <w:pPr>
        <w:pStyle w:val="38"/>
        <w:rPr>
          <w:color w:val="auto"/>
        </w:rPr>
        <w:sectPr>
          <w:pgSz w:w="16838" w:h="11906" w:orient="landscape"/>
          <w:pgMar w:top="1701" w:right="1418" w:bottom="1134" w:left="1418" w:header="851" w:footer="851" w:gutter="0"/>
          <w:pgBorders>
            <w:top w:val="none" w:sz="0" w:space="0"/>
            <w:left w:val="none" w:sz="0" w:space="0"/>
            <w:bottom w:val="none" w:sz="0" w:space="0"/>
            <w:right w:val="none" w:sz="0" w:space="0"/>
          </w:pgBorders>
          <w:pgNumType w:fmt="decimal"/>
          <w:cols w:space="720" w:num="1"/>
          <w:docGrid w:type="linesAndChars" w:linePitch="326" w:charSpace="0"/>
        </w:sectPr>
      </w:pPr>
    </w:p>
    <w:bookmarkEnd w:id="131"/>
    <w:bookmarkEnd w:id="132"/>
    <w:p w14:paraId="0775E8C3">
      <w:pPr>
        <w:pStyle w:val="3"/>
        <w:spacing w:line="240" w:lineRule="auto"/>
        <w:rPr>
          <w:rFonts w:hint="eastAsia" w:ascii="宋体" w:hAnsi="宋体" w:eastAsia="宋体" w:cs="宋体"/>
          <w:color w:val="auto"/>
          <w:kern w:val="0"/>
          <w:szCs w:val="28"/>
        </w:rPr>
      </w:pPr>
      <w:bookmarkStart w:id="135" w:name="_Toc23989"/>
      <w:bookmarkStart w:id="136" w:name="_Toc28775"/>
      <w:bookmarkStart w:id="137" w:name="_Toc16351"/>
      <w:bookmarkStart w:id="138" w:name="_Toc23646"/>
      <w:bookmarkStart w:id="139" w:name="_Toc121569420"/>
      <w:bookmarkStart w:id="140" w:name="_Toc2026"/>
      <w:bookmarkStart w:id="141" w:name="_Toc5520"/>
      <w:bookmarkStart w:id="142" w:name="_Toc6917"/>
      <w:bookmarkStart w:id="143" w:name="_Toc17347"/>
      <w:bookmarkStart w:id="144" w:name="_Toc5668"/>
      <w:bookmarkStart w:id="145" w:name="_Toc40778445"/>
      <w:bookmarkStart w:id="146" w:name="_Toc14971"/>
      <w:bookmarkStart w:id="147" w:name="_Toc11379"/>
      <w:r>
        <w:rPr>
          <w:rFonts w:hint="eastAsia" w:ascii="宋体" w:hAnsi="宋体" w:eastAsia="宋体" w:cs="宋体"/>
          <w:color w:val="auto"/>
          <w:kern w:val="0"/>
          <w:szCs w:val="28"/>
        </w:rPr>
        <w:t>组织保障措施</w:t>
      </w:r>
      <w:bookmarkEnd w:id="135"/>
      <w:bookmarkEnd w:id="136"/>
      <w:bookmarkEnd w:id="137"/>
      <w:bookmarkEnd w:id="138"/>
      <w:bookmarkEnd w:id="139"/>
      <w:bookmarkEnd w:id="140"/>
      <w:bookmarkEnd w:id="141"/>
    </w:p>
    <w:p w14:paraId="412C414F">
      <w:pPr>
        <w:pStyle w:val="4"/>
        <w:spacing w:before="0" w:after="0"/>
        <w:rPr>
          <w:rFonts w:hint="eastAsia"/>
          <w:color w:val="auto"/>
          <w:sz w:val="28"/>
          <w:szCs w:val="28"/>
        </w:rPr>
      </w:pPr>
      <w:bookmarkStart w:id="148" w:name="_Toc13738"/>
      <w:bookmarkStart w:id="149" w:name="_Toc3510"/>
      <w:bookmarkStart w:id="150" w:name="_Toc8340"/>
      <w:r>
        <w:rPr>
          <w:rFonts w:hint="eastAsia"/>
          <w:color w:val="auto"/>
          <w:sz w:val="28"/>
          <w:szCs w:val="28"/>
        </w:rPr>
        <w:t>安全组织机构</w:t>
      </w:r>
      <w:bookmarkEnd w:id="148"/>
      <w:bookmarkEnd w:id="149"/>
      <w:bookmarkEnd w:id="150"/>
    </w:p>
    <w:p w14:paraId="086E478A">
      <w:pPr>
        <w:widowControl/>
        <w:ind w:left="0" w:leftChars="0" w:firstLine="0" w:firstLineChars="0"/>
        <w:rPr>
          <w:color w:val="auto"/>
        </w:rPr>
      </w:pPr>
      <w:r>
        <w:rPr>
          <w:color w:val="auto"/>
        </w:rPr>
        <w:drawing>
          <wp:inline distT="0" distB="0" distL="114300" distR="114300">
            <wp:extent cx="5638800" cy="4620895"/>
            <wp:effectExtent l="0" t="0" r="0" b="825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33"/>
                    <a:stretch>
                      <a:fillRect/>
                    </a:stretch>
                  </pic:blipFill>
                  <pic:spPr>
                    <a:xfrm>
                      <a:off x="0" y="0"/>
                      <a:ext cx="5638800" cy="4620895"/>
                    </a:xfrm>
                    <a:prstGeom prst="rect">
                      <a:avLst/>
                    </a:prstGeom>
                    <a:noFill/>
                    <a:ln>
                      <a:noFill/>
                    </a:ln>
                  </pic:spPr>
                </pic:pic>
              </a:graphicData>
            </a:graphic>
          </wp:inline>
        </w:drawing>
      </w:r>
    </w:p>
    <w:p w14:paraId="53E2392C">
      <w:pPr>
        <w:ind w:firstLine="420"/>
        <w:jc w:val="center"/>
        <w:rPr>
          <w:rFonts w:hint="eastAsia"/>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.2-1安全管理组织机构图</w:t>
      </w:r>
    </w:p>
    <w:p w14:paraId="18C7569E">
      <w:pPr>
        <w:pStyle w:val="4"/>
        <w:spacing w:before="0" w:after="0"/>
        <w:rPr>
          <w:rFonts w:hint="eastAsia"/>
          <w:color w:val="auto"/>
          <w:sz w:val="28"/>
          <w:szCs w:val="28"/>
        </w:rPr>
      </w:pPr>
      <w:bookmarkStart w:id="151" w:name="_Toc4745"/>
      <w:bookmarkStart w:id="152" w:name="_Toc11636"/>
      <w:bookmarkStart w:id="153" w:name="_Toc25198"/>
      <w:r>
        <w:rPr>
          <w:rFonts w:hint="eastAsia"/>
          <w:color w:val="auto"/>
          <w:sz w:val="28"/>
          <w:szCs w:val="28"/>
        </w:rPr>
        <w:t>安全保证体系</w:t>
      </w:r>
      <w:bookmarkEnd w:id="151"/>
      <w:bookmarkEnd w:id="152"/>
      <w:bookmarkEnd w:id="153"/>
    </w:p>
    <w:p w14:paraId="032FDE76">
      <w:pPr>
        <w:pStyle w:val="47"/>
        <w:rPr>
          <w:color w:val="auto"/>
        </w:rPr>
      </w:pPr>
      <w:r>
        <w:rPr>
          <w:color w:val="auto"/>
        </w:rPr>
        <w:drawing>
          <wp:inline distT="0" distB="0" distL="114300" distR="114300">
            <wp:extent cx="5322570" cy="7065645"/>
            <wp:effectExtent l="0" t="0" r="11430" b="1905"/>
            <wp:docPr id="6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47"/>
                    <pic:cNvPicPr>
                      <a:picLocks noChangeAspect="1"/>
                    </pic:cNvPicPr>
                  </pic:nvPicPr>
                  <pic:blipFill>
                    <a:blip r:embed="rId34"/>
                    <a:stretch>
                      <a:fillRect/>
                    </a:stretch>
                  </pic:blipFill>
                  <pic:spPr>
                    <a:xfrm>
                      <a:off x="0" y="0"/>
                      <a:ext cx="5322570" cy="7065645"/>
                    </a:xfrm>
                    <a:prstGeom prst="rect">
                      <a:avLst/>
                    </a:prstGeom>
                    <a:noFill/>
                    <a:ln>
                      <a:noFill/>
                    </a:ln>
                  </pic:spPr>
                </pic:pic>
              </a:graphicData>
            </a:graphic>
          </wp:inline>
        </w:drawing>
      </w:r>
    </w:p>
    <w:p w14:paraId="543676B2">
      <w:pPr>
        <w:ind w:firstLine="422"/>
        <w:jc w:val="center"/>
        <w:rPr>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.2-2安全保证体系图</w:t>
      </w:r>
    </w:p>
    <w:p w14:paraId="1FD39EBF">
      <w:pPr>
        <w:pStyle w:val="4"/>
        <w:spacing w:before="0" w:after="0"/>
        <w:rPr>
          <w:rFonts w:ascii="宋体" w:hAnsi="宋体" w:cs="宋体"/>
          <w:b/>
          <w:bCs/>
          <w:color w:val="auto"/>
          <w:sz w:val="24"/>
        </w:rPr>
      </w:pPr>
      <w:bookmarkStart w:id="154" w:name="_Toc25413"/>
      <w:bookmarkStart w:id="155" w:name="_Toc10525"/>
      <w:bookmarkStart w:id="156" w:name="_Toc18221"/>
      <w:r>
        <w:rPr>
          <w:rFonts w:hint="eastAsia"/>
          <w:color w:val="auto"/>
          <w:sz w:val="28"/>
          <w:szCs w:val="28"/>
        </w:rPr>
        <w:t>安全生产职责</w:t>
      </w:r>
      <w:bookmarkEnd w:id="154"/>
      <w:bookmarkEnd w:id="155"/>
      <w:bookmarkEnd w:id="156"/>
    </w:p>
    <w:p w14:paraId="01CF74D0">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.2-1安全生产职责表</w:t>
      </w:r>
    </w:p>
    <w:tbl>
      <w:tblPr>
        <w:tblStyle w:val="26"/>
        <w:tblpPr w:leftFromText="180" w:rightFromText="180" w:vertAnchor="text" w:horzAnchor="page" w:tblpX="1423" w:tblpY="285"/>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67"/>
        <w:gridCol w:w="7530"/>
      </w:tblGrid>
      <w:tr w14:paraId="32C8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4F81BD"/>
            <w:noWrap w:val="0"/>
            <w:vAlign w:val="center"/>
          </w:tcPr>
          <w:p w14:paraId="1C91A91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1067" w:type="dxa"/>
            <w:shd w:val="clear" w:color="auto" w:fill="4F81BD"/>
            <w:noWrap w:val="0"/>
            <w:vAlign w:val="center"/>
          </w:tcPr>
          <w:p w14:paraId="644FA17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岗位/部门</w:t>
            </w:r>
          </w:p>
        </w:tc>
        <w:tc>
          <w:tcPr>
            <w:tcW w:w="7530" w:type="dxa"/>
            <w:shd w:val="clear" w:color="auto" w:fill="4F81BD"/>
            <w:noWrap w:val="0"/>
            <w:vAlign w:val="center"/>
          </w:tcPr>
          <w:p w14:paraId="6B97359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rPr>
              <w:t>职业健康安全生产职责</w:t>
            </w:r>
          </w:p>
        </w:tc>
      </w:tr>
      <w:tr w14:paraId="5DAF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A01A287">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67" w:type="dxa"/>
            <w:noWrap w:val="0"/>
            <w:vAlign w:val="center"/>
          </w:tcPr>
          <w:p w14:paraId="6CFF9A1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各项目职能部门通用</w:t>
            </w:r>
          </w:p>
        </w:tc>
        <w:tc>
          <w:tcPr>
            <w:tcW w:w="7530" w:type="dxa"/>
            <w:noWrap w:val="0"/>
            <w:vAlign w:val="center"/>
          </w:tcPr>
          <w:p w14:paraId="4044757E">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（1）各部门主要负责人是本部门职业健康安全生产第一责任人，负责建立健全本部门员工的岗位职业健康安全生产职责，做到责任到岗，措施到位，落实到人。</w:t>
            </w:r>
          </w:p>
          <w:p w14:paraId="3A56F692">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（2）部门各岗位按照“谁主管谁负责”，“谁审批谁负责”，“谁签字谁负责”，“谁并表谁负责”的原则，对各自职责范围内的职业健康安全生产工作负责。</w:t>
            </w:r>
          </w:p>
          <w:p w14:paraId="36293D4E">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（3）认真贯彻执行国家有关职业健康安全生产的方针、政策、法律法规、标准规范及公司、项目部职业健康安全生产管理制度。</w:t>
            </w:r>
          </w:p>
          <w:p w14:paraId="1493047B">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（4）配合做好项目职业健康安全生产规章制度制定、修订与发布等相关工作及本部门人员日常的安全教育。</w:t>
            </w:r>
          </w:p>
          <w:p w14:paraId="4E8FB429">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（5）参与全面安全风险辨识评价，充分辨识本部门职能及管理范围涉及到的安全风险，做好风险管控及隐患排查治理。</w:t>
            </w:r>
          </w:p>
          <w:p w14:paraId="3E99F27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（6）组织本部门培训将职业健康安全生产的知识纳入培训内容。</w:t>
            </w:r>
          </w:p>
          <w:p w14:paraId="000A4BC2">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（7）负责本部门业务范围内安全生产费用的预算编制、执行。</w:t>
            </w:r>
          </w:p>
          <w:p w14:paraId="401790F7">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（8）负责部门职责范围内的其他职业健康安全生产相关工作。</w:t>
            </w:r>
          </w:p>
        </w:tc>
      </w:tr>
      <w:tr w14:paraId="384D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1CA775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067" w:type="dxa"/>
            <w:noWrap w:val="0"/>
            <w:vAlign w:val="center"/>
          </w:tcPr>
          <w:p w14:paraId="34ED8F7B">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项目经理</w:t>
            </w:r>
          </w:p>
        </w:tc>
        <w:tc>
          <w:tcPr>
            <w:tcW w:w="7530" w:type="dxa"/>
            <w:noWrap w:val="0"/>
            <w:vAlign w:val="center"/>
          </w:tcPr>
          <w:p w14:paraId="5A85CE3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（1）项目经理为项目部主要负责人，按照国家有关职业健康安全的法律、法规的规定履行项目主要负责人的职责，包括：</w:t>
            </w:r>
          </w:p>
          <w:p w14:paraId="559BA4E8">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5B40672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2F6FD6F8">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66665972">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3F40031E">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616B80A1">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262E6880">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5F9723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（2）建立健全安全生产管理机构，并足额配备合格的安全管理人员。</w:t>
            </w:r>
          </w:p>
          <w:p w14:paraId="24A7A5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（3）在计划、布置、检查、总结、评比生产时，同时计划、布置、检查、总结、评比安全生产工作。</w:t>
            </w:r>
          </w:p>
          <w:p w14:paraId="272221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（4）组织编制项目班子成员带班值班计划，并按计划进行带班值班。</w:t>
            </w:r>
          </w:p>
          <w:p w14:paraId="28E7E46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（5）加强分包管理，确保进场的分包单位及设备设施等符合法规及公司有关要求。</w:t>
            </w:r>
          </w:p>
          <w:p w14:paraId="3F4ED52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（6）组织进行项目风险评估，制定重大风险（隐患）控制措施。</w:t>
            </w:r>
          </w:p>
          <w:p w14:paraId="779045C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（7）自觉接受行业主管部门和公司组织的职业健康安全生产教育，并取得项目负责人安全生产考核合格证书。</w:t>
            </w:r>
          </w:p>
        </w:tc>
      </w:tr>
      <w:tr w14:paraId="7A9B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22DFC8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3</w:t>
            </w:r>
          </w:p>
        </w:tc>
        <w:tc>
          <w:tcPr>
            <w:tcW w:w="1067" w:type="dxa"/>
            <w:noWrap w:val="0"/>
            <w:vAlign w:val="center"/>
          </w:tcPr>
          <w:p w14:paraId="59FF8EC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项目书记</w:t>
            </w:r>
          </w:p>
        </w:tc>
        <w:tc>
          <w:tcPr>
            <w:tcW w:w="7530" w:type="dxa"/>
            <w:noWrap w:val="0"/>
            <w:vAlign w:val="center"/>
          </w:tcPr>
          <w:p w14:paraId="46618F7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（1）项目书记按照“党政同责”的要求履行项目主要负责人安全生产职责。包括：</w:t>
            </w:r>
          </w:p>
          <w:p w14:paraId="288D765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584C97CC">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4AED0649">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7776B4F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006BEC4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1703CEF5">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1A9A0904">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3F16E48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（2）将安全生产方针政策和法律法规纳入党支部或党总支学习内容和干部培训内容。</w:t>
            </w:r>
          </w:p>
          <w:p w14:paraId="2D4667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（3）将安全生产工作列入党支部或党总支的重要议事日程，及时组织研究解决安全生产重大问题。</w:t>
            </w:r>
          </w:p>
          <w:p w14:paraId="2837168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（4）结合安全生产工作开展党建活动，加强安全生产考核。</w:t>
            </w:r>
          </w:p>
          <w:p w14:paraId="4071DF8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（5）加强后勤管理，将产业工人住宿、食堂、交通车辆纳入统一管理，统筹开展食品安全、消防安全、交通安全隐患检查。</w:t>
            </w:r>
          </w:p>
          <w:p w14:paraId="3912975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（6）负责项目综合治理工作。</w:t>
            </w:r>
          </w:p>
        </w:tc>
      </w:tr>
      <w:tr w14:paraId="11A6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664BB38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4</w:t>
            </w:r>
          </w:p>
        </w:tc>
        <w:tc>
          <w:tcPr>
            <w:tcW w:w="1067" w:type="dxa"/>
            <w:noWrap w:val="0"/>
            <w:vAlign w:val="center"/>
          </w:tcPr>
          <w:p w14:paraId="4EAD1A6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项目总工</w:t>
            </w:r>
          </w:p>
        </w:tc>
        <w:tc>
          <w:tcPr>
            <w:tcW w:w="7530" w:type="dxa"/>
            <w:noWrap w:val="0"/>
            <w:vAlign w:val="center"/>
          </w:tcPr>
          <w:p w14:paraId="4C52DC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（1）组织编制施工组织设计、危险性较大分部分项工程专项施工方案，一般方案，审查一般方案，对安全技术措施、防护设施进行技术把关。督促技术部门按规定完成专项方案的报审、专家论证流程。</w:t>
            </w:r>
          </w:p>
          <w:p w14:paraId="698DF78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（2）协助项目经理按规定要求开展实施项目的安全风险评估工作。</w:t>
            </w:r>
          </w:p>
          <w:p w14:paraId="0CD621E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（3）对照图纸及设计说明的有关要求，组织对项目周围环境、地质条件、地下管线等因素进行调查复核。</w:t>
            </w:r>
          </w:p>
          <w:p w14:paraId="1BFF1CB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（4）督促技术部门牵头对分部分项工程施工进行技术交底。</w:t>
            </w:r>
          </w:p>
          <w:p w14:paraId="1CA5B02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（5）动态关注危险性较大分部分项工程实施过程中施工边界条件的变化，经评估适时调整专项施工方案。</w:t>
            </w:r>
          </w:p>
          <w:p w14:paraId="793AD6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（6）针对项目应用的新材料、新工艺、新技术、新设备，组织编制并督促按安全技术规程实施。</w:t>
            </w:r>
          </w:p>
          <w:p w14:paraId="0F8592D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（7）负责对项目自行设计的临时设施进行计算、复核。</w:t>
            </w:r>
          </w:p>
          <w:p w14:paraId="06FA672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（8）组织临时结构、方案落实等情况的专项隐患排查，必要时组织制定工程技术隐患治理方案。</w:t>
            </w:r>
          </w:p>
          <w:p w14:paraId="43163E7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（9）分管试验检测工作，对试验检测的安全管理工作负技术领导责任。</w:t>
            </w:r>
          </w:p>
          <w:p w14:paraId="04E401D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（10）分管测量工作，对测量的安全管理工作负技术领导责任。</w:t>
            </w:r>
          </w:p>
          <w:p w14:paraId="0F22113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）参加生产安全事故（重大隐患）的调查处理。</w:t>
            </w:r>
          </w:p>
          <w:p w14:paraId="7FA11BB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（12）自觉接受行业主管部门和公司组织的职业健康安全生产教育，并取得项目负责人安全生产考核合格证书。</w:t>
            </w:r>
          </w:p>
        </w:tc>
      </w:tr>
      <w:tr w14:paraId="033C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A41F826">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5</w:t>
            </w:r>
          </w:p>
        </w:tc>
        <w:tc>
          <w:tcPr>
            <w:tcW w:w="1067" w:type="dxa"/>
            <w:noWrap w:val="0"/>
            <w:vAlign w:val="center"/>
          </w:tcPr>
          <w:p w14:paraId="622A89B4">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项目生产副经理</w:t>
            </w:r>
          </w:p>
        </w:tc>
        <w:tc>
          <w:tcPr>
            <w:tcW w:w="7530" w:type="dxa"/>
            <w:noWrap w:val="0"/>
            <w:vAlign w:val="center"/>
          </w:tcPr>
          <w:p w14:paraId="2EA24C6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（1）在计划、布置、检查、总结、评比生产工作的同时，计划、布置、检查、总结、评比安全生产工作。</w:t>
            </w:r>
          </w:p>
          <w:p w14:paraId="23CCE61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（2）督促生产管理部门严格按照批复的方案组织施工，合理安排安全生产，及时落实防护措施。</w:t>
            </w:r>
          </w:p>
          <w:p w14:paraId="3091F4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（3）组织开展危险作业施工许可验收。</w:t>
            </w:r>
          </w:p>
          <w:p w14:paraId="730A355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（4）负责划分作业班组，明确班组长以及跟班管理人员，明确各班组作业任务和作业地点，核实班前喊话内容，参与班前喊话点评。</w:t>
            </w:r>
          </w:p>
          <w:p w14:paraId="365FC6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（5）牵头组织对项目大、小临设施及施工现场临时设施（结构）投入使用前的验收。</w:t>
            </w:r>
          </w:p>
          <w:p w14:paraId="5868847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（6）处理好进度与安全生产的关系，不违章指挥，不强令冒险作业。发现或接到险情报告，应立即组织停工并撤离人员。</w:t>
            </w:r>
          </w:p>
          <w:p w14:paraId="58DA55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（7）组织或参加月度安全生产大检查、安全专项检查等活动。</w:t>
            </w:r>
          </w:p>
          <w:p w14:paraId="30C5E4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（8）组织落实重大安全生产风险应急预控措施。</w:t>
            </w:r>
          </w:p>
          <w:p w14:paraId="154320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（9）督促生产管理部门制定作业人员培训、学习计划，并监督实施。</w:t>
            </w:r>
          </w:p>
          <w:p w14:paraId="6E5C7B6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（10）组织分包商评价时，把分包商的安全绩效纳入重点评价指标。</w:t>
            </w:r>
          </w:p>
          <w:p w14:paraId="65BABC5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）负责施工现场的文明施工工作。</w:t>
            </w:r>
          </w:p>
          <w:p w14:paraId="23846B8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（12）协助项目经理做好应急救援工作。</w:t>
            </w:r>
          </w:p>
          <w:p w14:paraId="431A287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（13）参与生产安全事故（重大隐患）的调查处理。</w:t>
            </w:r>
          </w:p>
          <w:p w14:paraId="658DDF7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（14）自觉接受行业主管部门和公司组织的职业健康安全生产教育，并取得项目负责人安全生产考核合格证书。</w:t>
            </w:r>
          </w:p>
        </w:tc>
      </w:tr>
      <w:tr w14:paraId="24DB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62EA6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6</w:t>
            </w:r>
          </w:p>
        </w:tc>
        <w:tc>
          <w:tcPr>
            <w:tcW w:w="1067" w:type="dxa"/>
            <w:noWrap w:val="0"/>
            <w:vAlign w:val="center"/>
          </w:tcPr>
          <w:p w14:paraId="2182E8ED">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安全总监</w:t>
            </w:r>
          </w:p>
        </w:tc>
        <w:tc>
          <w:tcPr>
            <w:tcW w:w="7530" w:type="dxa"/>
            <w:noWrap w:val="0"/>
            <w:vAlign w:val="center"/>
          </w:tcPr>
          <w:p w14:paraId="5E96DA4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（1）协助项目生产副经理落实施工组织设计、专项施工方案等的安全管控措施。</w:t>
            </w:r>
          </w:p>
          <w:p w14:paraId="41DE86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（2）内容负责项目工段（工区、架子队）施工现场管理工作。</w:t>
            </w:r>
          </w:p>
          <w:p w14:paraId="126986B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（3）配合组织调配现场人员、材料、设备时，应对其职业健康安全生产教育培训情况、验收合格情况进行严格把关。</w:t>
            </w:r>
          </w:p>
          <w:p w14:paraId="568FA4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（3）负责项目工段（工区、架子队）施工班组和分包队伍的管理，组织施工班组和分包队伍按施工工序和施工计划完成施工任务。</w:t>
            </w:r>
          </w:p>
          <w:p w14:paraId="48EBA44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（4）掌握各施工班组专业工种的特点、能力、素质，组织好各工序的衔接，确保施工生产安全有序进行；</w:t>
            </w:r>
          </w:p>
          <w:p w14:paraId="3754272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（5）负责监督劳务工人的考勤管理，组织班组班前会，督促施工班组按本专业操作规程进行施工生产</w:t>
            </w:r>
          </w:p>
          <w:p w14:paraId="65CBD35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（6）及时掌握施工现场情况，主动安全部门沟通，协商解决施工生产中发现的问题，督促整改落实现场隐患。</w:t>
            </w:r>
          </w:p>
          <w:p w14:paraId="085CA3C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（7）及时如果报告职业健康生产安全事故，按要求开展现场处置。</w:t>
            </w:r>
          </w:p>
          <w:p w14:paraId="00EC7CD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p>
        </w:tc>
      </w:tr>
      <w:tr w14:paraId="1595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898B32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7</w:t>
            </w:r>
          </w:p>
        </w:tc>
        <w:tc>
          <w:tcPr>
            <w:tcW w:w="1067" w:type="dxa"/>
            <w:noWrap w:val="0"/>
            <w:vAlign w:val="center"/>
          </w:tcPr>
          <w:p w14:paraId="2B67573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工程管理部</w:t>
            </w:r>
          </w:p>
        </w:tc>
        <w:tc>
          <w:tcPr>
            <w:tcW w:w="7530" w:type="dxa"/>
            <w:noWrap w:val="0"/>
            <w:vAlign w:val="center"/>
          </w:tcPr>
          <w:p w14:paraId="475ACE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技术口：</w:t>
            </w:r>
          </w:p>
          <w:p w14:paraId="5409E7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（1）牵头建立项目危险性较大分部分项工程清单，参与编制危险性较大分部分项工程专项施工方案及一般方案，并按要求及时完成方案报批、论证工作。</w:t>
            </w:r>
          </w:p>
          <w:p w14:paraId="560AC8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（2）组织分部分项工程的二级技术交底。</w:t>
            </w:r>
          </w:p>
          <w:p w14:paraId="29A99F1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（3）对危险性较大分部分项工程专项施工方案在现场的实施情况进行检查和技术指导。</w:t>
            </w:r>
          </w:p>
          <w:p w14:paraId="63B58CA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(4)新技术、新工艺、新材料、新设备投入使用前，负责编制、审核技术方案的安全可行性，并组织对实施新技术、新工艺的操作人员进行技术培训和指导。</w:t>
            </w:r>
          </w:p>
          <w:p w14:paraId="3210F4D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(5)组织制定安全生产重大隐患治理技术方案。</w:t>
            </w:r>
          </w:p>
          <w:p w14:paraId="10B4E0A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(6)参与现场相关临时设施的验收。</w:t>
            </w:r>
          </w:p>
          <w:p w14:paraId="61F5F5E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(7)参与协助班组长组织开展班前喊话，参与班前喊话点评及考核。</w:t>
            </w:r>
          </w:p>
          <w:p w14:paraId="25156FA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(8)参与安全生产检查，查找安全技术隐患。</w:t>
            </w:r>
          </w:p>
          <w:p w14:paraId="1ECF5CC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(9)参与事故（重大隐患）的调查处理。</w:t>
            </w:r>
          </w:p>
          <w:p w14:paraId="4BDE03B2">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生产口：</w:t>
            </w:r>
          </w:p>
          <w:p w14:paraId="607A39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（1）应合理编制、下达生产计划，当计划超出正常功效及能力时，应组织编制落实安全保障措施。</w:t>
            </w:r>
          </w:p>
          <w:p w14:paraId="3E9026E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（2）严格按照批复的危险性较大分部分项工程组织施工，落实安全技术措施。</w:t>
            </w:r>
          </w:p>
          <w:p w14:paraId="526244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（3）落实危险作业施工许可，对投入生产的人员进场教育情况、设备物资进场验收情况进行核验，不得使用未经过进场教育的人员、未经进场验收的设备、物资。</w:t>
            </w:r>
          </w:p>
          <w:p w14:paraId="254E6B1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（4）合理设置现场生产过程的人行通道、作业平台、临边洞口防护，组织相关简易设计验算及使用前验收。</w:t>
            </w:r>
          </w:p>
          <w:p w14:paraId="7EE397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（5）按事故隐患整改要求组织责任范围内的整改工作。参加隐患排查治理，从生产组织上分析原因，提出改进措施。</w:t>
            </w:r>
          </w:p>
          <w:p w14:paraId="0C69375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（6）根据生产安排制定劳务人员进场计划，对进场劳务人员进行动态管理，合理划分作业班组。</w:t>
            </w:r>
          </w:p>
          <w:p w14:paraId="29232D5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（7）统筹协助班组长组织开展班前喊话，组织班前喊话点评，参与班前喊话考核。</w:t>
            </w:r>
          </w:p>
          <w:p w14:paraId="5533A2D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（8）发现或接到险情报告，应立即向领导报告，并视情况组织人员撤离。</w:t>
            </w:r>
          </w:p>
          <w:p w14:paraId="42E4E89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（9）每月定期收集分包队伍退场人员信息，协助综合办公室对进（退）场劳务人员进行登记造册。</w:t>
            </w:r>
          </w:p>
          <w:p w14:paraId="159761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（10）组织施工工序第三级技术交底及安全技术交底工作。</w:t>
            </w:r>
          </w:p>
          <w:p w14:paraId="3C4A14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（5.5）参与事故（重大隐患）的调查处理。</w:t>
            </w:r>
          </w:p>
          <w:p w14:paraId="060CB1C5">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测量口：</w:t>
            </w:r>
          </w:p>
          <w:p w14:paraId="6C8A986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（1）定期对测量部门员工进行安全教育。</w:t>
            </w:r>
          </w:p>
          <w:p w14:paraId="2B5062B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（2）按照监控量测方案的要求，做好监控量测工作，并及时向生产、技术、安全等管理部门及相关领导反馈真实的测量数据。</w:t>
            </w:r>
          </w:p>
          <w:p w14:paraId="2FA991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（3）按照标准、规范规定为委托部门提供真实测量放样数据。</w:t>
            </w:r>
          </w:p>
        </w:tc>
      </w:tr>
      <w:tr w14:paraId="178E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974E3A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8</w:t>
            </w:r>
          </w:p>
        </w:tc>
        <w:tc>
          <w:tcPr>
            <w:tcW w:w="1067" w:type="dxa"/>
            <w:noWrap w:val="0"/>
            <w:vAlign w:val="center"/>
          </w:tcPr>
          <w:p w14:paraId="4E951DF4">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安全监督部</w:t>
            </w:r>
          </w:p>
        </w:tc>
        <w:tc>
          <w:tcPr>
            <w:tcW w:w="7530" w:type="dxa"/>
            <w:noWrap w:val="0"/>
            <w:vAlign w:val="center"/>
          </w:tcPr>
          <w:p w14:paraId="0B7C095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（1）及时获取、识别适用于本项目的职业健康安全生产法律法规及标准规范，并及时对从业人员进行宣贯培训。</w:t>
            </w:r>
          </w:p>
          <w:p w14:paraId="1300DD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（2）协助项目经理及分管领导制定以责任制为核心的职业健康安全生产规章制度、安全操作规程，并督促落实。</w:t>
            </w:r>
          </w:p>
          <w:p w14:paraId="7396364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（3）牵头编制安全生产保证计划、年（季）度安全生产工作计划，并定期检查计划实施情况。</w:t>
            </w:r>
          </w:p>
          <w:p w14:paraId="1C0EE6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（4）组织编制项目应急预案，组织应急预案培训、交底，适时开展应急演练。</w:t>
            </w:r>
          </w:p>
          <w:p w14:paraId="627556B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（5）参与编制、会审专项施工方案。参与危险作业施工许可验收及施工现场安全设施、临时设施的验收、检查、维护工作。</w:t>
            </w:r>
          </w:p>
          <w:p w14:paraId="2D62430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（6）根据需求编制年度安全教育培训计划，组织对新进场人员的“三级安全教育”、进场教育等教育培训，参与新工艺、新设备、新技术、新材料使用的教育培训。</w:t>
            </w:r>
          </w:p>
          <w:p w14:paraId="15472FA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（7）参与分部分项工程安全技术交底，组织或参与特种作业人员的安全操作规程交底和培训。</w:t>
            </w:r>
          </w:p>
          <w:p w14:paraId="0040F3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（8）通过交底或培训，书面告知作业人员项目存在的危险因素、防范措施及事故应急措施。</w:t>
            </w:r>
          </w:p>
          <w:p w14:paraId="5889CF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259CC8C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（10）组织开展日常安全生产检查及消防、安全防护设施专项检查，参与月度安全生产大检查。监督事故隐患的整改落实情况，对查出的重大隐患登记建档，督促制定重大隐患治理方案，并报相关部门备案。</w:t>
            </w:r>
          </w:p>
          <w:p w14:paraId="4591734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）组织开展“安全生产月”、“隐患排查治理”、各类安全专项整治等活动，活动有方案，有记录、有总结。</w:t>
            </w:r>
          </w:p>
          <w:p w14:paraId="2320C5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（12）牵头编制项目安全生产费用使用总计划、年度计划及月度计划，统计安全生产费用投入情况，配合合同管理部门向业主计量安全生产费用。</w:t>
            </w:r>
          </w:p>
          <w:p w14:paraId="3409D0C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（13）监督班组长开展班前喊话，参与班前喊话点评及考核。</w:t>
            </w:r>
          </w:p>
          <w:p w14:paraId="2B9E08D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（14）建立特种作业人员花名册，并动态更新。</w:t>
            </w:r>
          </w:p>
          <w:p w14:paraId="589B621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（15）对行业主管部门或上级单位的安全投诉及时处理。针对业主、监理及上级主管部门在检查中提出的隐患整改意见，督促相关部门、责任人落实整改闭合。。</w:t>
            </w:r>
          </w:p>
          <w:p w14:paraId="50981EB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（16）及时参与事故现场处置，及时向有关部门报告。配合事故调查处理，及时落实整改措施。</w:t>
            </w:r>
          </w:p>
          <w:p w14:paraId="38C04AF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（17）协助上级安全管理部门落实国家注册安全工程师、国家要求取证的安全生产管理人员的继续教育、取证换证工作，严格执行有关人员持证上岗的规定。</w:t>
            </w:r>
          </w:p>
          <w:p w14:paraId="5901A0A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自觉接受行业主管部门和公司组织的职业健康安全生产教育，并取得专职安全管理人员安全生产考核合格证书。</w:t>
            </w:r>
          </w:p>
        </w:tc>
      </w:tr>
      <w:tr w14:paraId="5E0B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0CF854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9</w:t>
            </w:r>
          </w:p>
        </w:tc>
        <w:tc>
          <w:tcPr>
            <w:tcW w:w="1067" w:type="dxa"/>
            <w:noWrap w:val="0"/>
            <w:vAlign w:val="center"/>
          </w:tcPr>
          <w:p w14:paraId="5478883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技术质量部</w:t>
            </w:r>
          </w:p>
        </w:tc>
        <w:tc>
          <w:tcPr>
            <w:tcW w:w="7530" w:type="dxa"/>
            <w:noWrap w:val="0"/>
            <w:vAlign w:val="center"/>
          </w:tcPr>
          <w:p w14:paraId="2EDDBBE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（1）检查质量时，应同时检查项目部制作加工的安全设施的质量，并监督责任单位及时整改可能导致生产安全事故的质量隐患。</w:t>
            </w:r>
          </w:p>
          <w:p w14:paraId="790132F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（2）参与安全设施材料的进场验收，负责材料的抽样检测和不合格材料处理。</w:t>
            </w:r>
          </w:p>
          <w:p w14:paraId="278745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（3）参与对施工现场的基坑支护、脚手架搭拆，施工用电、搅拌站安拆、模板支撑、洞口临边防护等的验收。</w:t>
            </w:r>
          </w:p>
          <w:p w14:paraId="14576D0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（3）参与安全生产检查和隐患排查治理，从质量问题方面查找安全技术隐患，提出整改建议。</w:t>
            </w:r>
          </w:p>
          <w:p w14:paraId="484473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（4）参与协助班组长组织开展班前喊话，参与班前喊话点评及考核。</w:t>
            </w:r>
          </w:p>
          <w:p w14:paraId="31443A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（5）参与事故（重大隐患）的调查处理。</w:t>
            </w:r>
          </w:p>
          <w:p w14:paraId="48239D6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试验口：</w:t>
            </w:r>
          </w:p>
          <w:p w14:paraId="47D1F29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（1）建立健全试验室管理制度及主要试验检测设备操作规程，并贯彻落实。</w:t>
            </w:r>
          </w:p>
          <w:p w14:paraId="5DE5750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（2）定期对试验室员工进行安全教育。</w:t>
            </w:r>
          </w:p>
          <w:p w14:paraId="1BAF2FC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（3）依法合规开展试验检测工作，为生产、质量等委托部门出具数据真实的书面试验检测报告。</w:t>
            </w:r>
          </w:p>
          <w:p w14:paraId="7990456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（4）配合做好安全设施材料的抽样检测工作。</w:t>
            </w:r>
          </w:p>
          <w:p w14:paraId="4EEF3BAA">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（5）负责检验检测设备检定/校准工作，做好检验检测设备的安全防护。</w:t>
            </w:r>
          </w:p>
        </w:tc>
      </w:tr>
      <w:tr w14:paraId="7CD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1C3C59C">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067" w:type="dxa"/>
            <w:noWrap w:val="0"/>
            <w:vAlign w:val="center"/>
          </w:tcPr>
          <w:p w14:paraId="2A6A42EC">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物资设备部</w:t>
            </w:r>
          </w:p>
        </w:tc>
        <w:tc>
          <w:tcPr>
            <w:tcW w:w="7530" w:type="dxa"/>
            <w:noWrap w:val="0"/>
            <w:vAlign w:val="center"/>
          </w:tcPr>
          <w:p w14:paraId="5C6EC1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设备口：</w:t>
            </w:r>
          </w:p>
          <w:p w14:paraId="5FDB5BC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（1）履行设备管理职责，检查设备管理制度、特种设备操作规程执行落实情况。</w:t>
            </w:r>
          </w:p>
          <w:p w14:paraId="7E98B50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（2）根据项目实际情况编制、完善设备操作规程。</w:t>
            </w:r>
          </w:p>
          <w:p w14:paraId="6550281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（3）组织对进场船机设备进行验收。</w:t>
            </w:r>
          </w:p>
          <w:p w14:paraId="2BAD7C7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（4）负责船机设备的日常维护保养、检查及隐患整改。</w:t>
            </w:r>
          </w:p>
          <w:p w14:paraId="1C77384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（5）——船机设备管理台账准确、账物相符，维修保养记录齐全、规范，安全技术档案资料完善，法定安全准用手续齐全、有效。</w:t>
            </w:r>
          </w:p>
          <w:p w14:paraId="0D1A325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作业、起重吊装作业的安全技术交底，协助生产管理部门按照批复的方案组织实施特种设备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w:t>
            </w:r>
          </w:p>
          <w:p w14:paraId="5E872F2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（7）严格管理外租及分包单位自带设备,特种设备严格执行一体化管理。</w:t>
            </w:r>
          </w:p>
          <w:p w14:paraId="1386CDD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（8）参与协助班组长组织开展班前喊话，参与班前喊话点评及考核。</w:t>
            </w:r>
          </w:p>
          <w:p w14:paraId="0BF9750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（9）组织编制施工现场临时用电方案，并组织对电工进行技术交底。</w:t>
            </w:r>
          </w:p>
          <w:p w14:paraId="2604F59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（10）负责临时用电管理，组织对施工用电设施的检查与验收。确保电工巡检、维修记录完整，定期进行接地电阻、绝缘电阻检测。</w:t>
            </w:r>
          </w:p>
          <w:p w14:paraId="7BDC67F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）设备管理部门应建立特种设备作业人员、船员、电工及大型设备司操人员台账，并实行动态管理。组织特种设备及大型设备司操人员、船员、电工及大型设备司操人员的教育和培训。</w:t>
            </w:r>
          </w:p>
          <w:p w14:paraId="6C1FDF0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组织突发情况下的设备应急处置，及时落实设备防风抗滑等措施。</w:t>
            </w:r>
          </w:p>
          <w:p w14:paraId="01EF85D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（12）组织临时用电、船机设备专项检查，参与安全生产检查，查找临电、设备使用过程中存在的事故隐患，并及时整改。</w:t>
            </w:r>
          </w:p>
          <w:p w14:paraId="73EC9D3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（13）参与事故（重大隐患）的调查处理。</w:t>
            </w:r>
          </w:p>
          <w:p w14:paraId="74866883">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物资口：</w:t>
            </w:r>
          </w:p>
          <w:p w14:paraId="4802A9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（1）确保采购的各类物资材料检验合格，对分包单位自带的物资材料，涉及到结构和使用安全的，应按照规范要求进行抽检，确保符合国家、行业主管部门颁布的安全质量标准。</w:t>
            </w:r>
          </w:p>
          <w:p w14:paraId="050F366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（2）严格执行国家及地方关于易燃易爆、有毒有害等危险物品的运输、储存、保管、收发等管理方法，严格各环节的管理。</w:t>
            </w:r>
          </w:p>
          <w:p w14:paraId="0C0FE5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（3）组织对采购的安全防护设施材料、劳动防护用品、消防器材等物资进行进场验收。做好验收、发放、报废等记录。</w:t>
            </w:r>
          </w:p>
          <w:p w14:paraId="6979F7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（4）对在用的安全带、安全帽、救生衣、救生筏、救生圈及消防设施等按规定定期进行检验。</w:t>
            </w:r>
          </w:p>
          <w:p w14:paraId="5A8F6EE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（5）及时提供安全技术措施计划所需材料及项目应急救援所需的物资、设备配件。</w:t>
            </w:r>
          </w:p>
          <w:p w14:paraId="2CB9DEB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（6）在组织石料等物资运输时，应选择符合国家规定、持有有效证书的车辆或船舶。</w:t>
            </w:r>
          </w:p>
          <w:p w14:paraId="1CBDB7BD">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做好易燃易爆危化品仓库、油库、库房等物资存储场所的防火、防爆、防盗等安全管控。</w:t>
            </w:r>
          </w:p>
        </w:tc>
      </w:tr>
      <w:tr w14:paraId="4F35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2C1559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p>
        </w:tc>
        <w:tc>
          <w:tcPr>
            <w:tcW w:w="1067" w:type="dxa"/>
            <w:noWrap w:val="0"/>
            <w:vAlign w:val="center"/>
          </w:tcPr>
          <w:p w14:paraId="494F9EF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商务合约部</w:t>
            </w:r>
          </w:p>
        </w:tc>
        <w:tc>
          <w:tcPr>
            <w:tcW w:w="7530" w:type="dxa"/>
            <w:noWrap w:val="0"/>
            <w:vAlign w:val="center"/>
          </w:tcPr>
          <w:p w14:paraId="26B6F64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（1）组织分包招议标及合同审查，确保分包单位具有独立法人资格和相应的资质等级资格。</w:t>
            </w:r>
          </w:p>
          <w:p w14:paraId="6CF1403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（2）在签订有效的分包合同时，必须同时签订安全生产协议书。</w:t>
            </w:r>
          </w:p>
          <w:p w14:paraId="173948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（3）协助生产管理部门、安全管理部门做好分包队伍安全管理。</w:t>
            </w:r>
          </w:p>
          <w:p w14:paraId="5FC4EDA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（4）做好安全生产费用的计量。</w:t>
            </w:r>
          </w:p>
          <w:p w14:paraId="19BCF9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（5）使用、管理好本企业安全生产方面的资质证书。</w:t>
            </w:r>
          </w:p>
          <w:p w14:paraId="7F6C0BE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（6）协助综合办公室对进（退）场劳务人员进行登记造册。</w:t>
            </w:r>
          </w:p>
        </w:tc>
      </w:tr>
      <w:tr w14:paraId="0B6D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4B273E8">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067" w:type="dxa"/>
            <w:noWrap w:val="0"/>
            <w:vAlign w:val="center"/>
          </w:tcPr>
          <w:p w14:paraId="25677D0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财务部</w:t>
            </w:r>
          </w:p>
        </w:tc>
        <w:tc>
          <w:tcPr>
            <w:tcW w:w="7530" w:type="dxa"/>
            <w:noWrap w:val="0"/>
            <w:vAlign w:val="center"/>
          </w:tcPr>
          <w:p w14:paraId="3E67A13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（1）按规定计提安全生产费用，列入年度计划，按时提供资金，并监督专款专用，建立专项台帐。</w:t>
            </w:r>
          </w:p>
          <w:p w14:paraId="3F2702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（2）按规定核算各项安全生产费用，与安全管理部门、合同管理部门定期核对安全生产费用的使用及计量情况。</w:t>
            </w:r>
          </w:p>
          <w:p w14:paraId="5C6741C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（3）负责办理项目安责险等安全生产相关保险工作，根据安全部门需求计划，组织确定保险方案，转移相关风险损失</w:t>
            </w:r>
          </w:p>
          <w:p w14:paraId="2C7C8D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（4）协助安全管理部门按规定收取罚款和扣、发安全奖金及其它款项。</w:t>
            </w:r>
          </w:p>
        </w:tc>
      </w:tr>
      <w:tr w14:paraId="01A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1273070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p>
        </w:tc>
        <w:tc>
          <w:tcPr>
            <w:tcW w:w="1067" w:type="dxa"/>
            <w:noWrap w:val="0"/>
            <w:vAlign w:val="center"/>
          </w:tcPr>
          <w:p w14:paraId="2966B019">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综合办公室</w:t>
            </w:r>
          </w:p>
        </w:tc>
        <w:tc>
          <w:tcPr>
            <w:tcW w:w="7530" w:type="dxa"/>
            <w:noWrap w:val="0"/>
            <w:vAlign w:val="center"/>
          </w:tcPr>
          <w:p w14:paraId="324EA1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（1）协助分管领导做好项目的综合治理、维稳工作。</w:t>
            </w:r>
          </w:p>
          <w:p w14:paraId="55A24F2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（2）统筹协调国家注册安全工程师、国家要求取证的安全生产管理人员、特种作业人员的再教育、取证换证工作，严格执行有关人员持证上岗的规定。</w:t>
            </w:r>
          </w:p>
          <w:p w14:paraId="33E6029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（3）定期对全体职工及从事有毒有害和特种作业人员进行体检，对患有职业禁忌病、症的职工，要调换适当工作，保护职工身体健康。</w:t>
            </w:r>
          </w:p>
          <w:p w14:paraId="214826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（4）负责办理食堂卫生许可证，食堂工作人员持有健康证；定期对卫生间、浴室及员工宿舍进行消毒；按规定处理生活区的生活垃圾及固体废弃物。将协作单位生活区、食堂等区域纳入统一管理。</w:t>
            </w:r>
          </w:p>
          <w:p w14:paraId="4B4ECCF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（5）加强食堂管理，饮食物品按规定留样，防止发生集体食物中毒事件；租用合格的天然气瓶，督促食堂工作人员规范使用气瓶。</w:t>
            </w:r>
          </w:p>
          <w:p w14:paraId="14D754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（6）负责生活区、办公区的日常消防、用电及卫生防疫检查及整改。</w:t>
            </w:r>
          </w:p>
          <w:p w14:paraId="73D8ACC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（7）加强人力资源管理，严格控制加班加点，保障职工的休息，做到劳逸结合。</w:t>
            </w:r>
          </w:p>
          <w:p w14:paraId="6582B18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（8）把安全生产教育培训纳入全员培训计划，督促安全管理部门落实培训计划。</w:t>
            </w:r>
          </w:p>
          <w:p w14:paraId="6CFE6E0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（9）负责公务车辆及驾驶员的管理及驾驶员的日常交通安全学习工作。</w:t>
            </w:r>
          </w:p>
          <w:p w14:paraId="2ED3F0B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（10）负责工伤鉴定，申报工伤保险。参与工伤事故的调查及善后处理。</w:t>
            </w:r>
          </w:p>
        </w:tc>
      </w:tr>
      <w:tr w14:paraId="4FA3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480674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067" w:type="dxa"/>
            <w:noWrap w:val="0"/>
            <w:vAlign w:val="center"/>
          </w:tcPr>
          <w:p w14:paraId="7E6DEAB8">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班组长</w:t>
            </w:r>
          </w:p>
        </w:tc>
        <w:tc>
          <w:tcPr>
            <w:tcW w:w="7530" w:type="dxa"/>
            <w:noWrap w:val="0"/>
            <w:vAlign w:val="center"/>
          </w:tcPr>
          <w:p w14:paraId="7FBC86E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班组长是本班组职业健康安全生产的第一责任人，全面落实本班组的各项职业健康安全生产管理工作，其职责如下：</w:t>
            </w:r>
          </w:p>
          <w:p w14:paraId="46656D4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（1）根据国家安全生产相关法律法规、标准规范及公司、项目部各项规章制度，自觉履行班组长职业健康安全生产管理职责应尽的义务和权利，确保安全生产。</w:t>
            </w:r>
          </w:p>
          <w:p w14:paraId="28EE146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（2）组织本班组参加安全教育培训、安全技术交底。</w:t>
            </w:r>
          </w:p>
          <w:p w14:paraId="3DB3847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（3）负责完善和维护施工现场安全防护设施，报告并消除现场发现的事故隐患。对项目检查发现的问题严格按要求整改落实到位。</w:t>
            </w:r>
          </w:p>
          <w:p w14:paraId="6F41975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（4）按规定组织开展班前喊话及积分制管理活动。</w:t>
            </w:r>
          </w:p>
          <w:p w14:paraId="6B6FD31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（5）督促指导班组人员正确佩戴和使用劳动防护用品，遵守操作规程。</w:t>
            </w:r>
          </w:p>
          <w:p w14:paraId="600FAB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（6）服从项目部职业健康安全生产管理，按方案、交底组织班组人员作业，不违章指挥、不强令冒险作业。</w:t>
            </w:r>
          </w:p>
          <w:p w14:paraId="16BFC2B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（7）及时如实报告生产安全事故，按要求做好应急处置工作。</w:t>
            </w:r>
          </w:p>
        </w:tc>
      </w:tr>
      <w:tr w14:paraId="40BE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A3D464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4</w:t>
            </w:r>
          </w:p>
        </w:tc>
        <w:tc>
          <w:tcPr>
            <w:tcW w:w="1067" w:type="dxa"/>
            <w:noWrap w:val="0"/>
            <w:vAlign w:val="center"/>
          </w:tcPr>
          <w:p w14:paraId="4C64460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全体参建者</w:t>
            </w:r>
          </w:p>
        </w:tc>
        <w:tc>
          <w:tcPr>
            <w:tcW w:w="7530" w:type="dxa"/>
            <w:noWrap w:val="0"/>
            <w:vAlign w:val="center"/>
          </w:tcPr>
          <w:p w14:paraId="703C172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54CB18D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（2）自觉接受公司组织的各类职业健康安全生产教育培训，认真学习职业健康安全生产法律、法规、规章和公司制度，积极参加职业健康安全活动，提高自我保护意识与能力。</w:t>
            </w:r>
          </w:p>
          <w:p w14:paraId="5A1822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（3）遵章守纪，服从分配，坚守岗位，听从领导和安全生产管理人员的指挥，认真履行岗位职责，不违章指挥、不违章操作、不违反劳动纪律，特种作业人员持证上岗。</w:t>
            </w:r>
          </w:p>
          <w:p w14:paraId="6C1E2A3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（4）正确使用个人劳动防护用品、用具，维护职业健康安全生产设施和防护装置，爱护安全标志。</w:t>
            </w:r>
          </w:p>
          <w:p w14:paraId="7A9FE6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（5）发现职业健康安全生产隐患，应立即向上级领导报告，在确保自身安全的前提下，采取有效措施、消除隐患。</w:t>
            </w:r>
          </w:p>
          <w:p w14:paraId="0E3A348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（6）发生事故后，应立即上报，在确保自身安全的前提下，积极抢救人员和财产，减少事故损失。</w:t>
            </w:r>
          </w:p>
          <w:p w14:paraId="61615FE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（7）积极向有关部门或领导提出职业健康安全生产合理化建议，有权越级反映有关职业健康安全生产的隐患和问题。</w:t>
            </w:r>
          </w:p>
          <w:p w14:paraId="43637AD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（8）有权拒绝违章作业，有责任劝阻、纠正和制止他人违章作业。</w:t>
            </w:r>
          </w:p>
        </w:tc>
      </w:tr>
    </w:tbl>
    <w:p w14:paraId="1806F85A">
      <w:pPr>
        <w:rPr>
          <w:rFonts w:hint="eastAsia" w:ascii="宋体" w:hAnsi="宋体" w:cs="宋体"/>
          <w:b/>
          <w:bCs/>
          <w:color w:val="auto"/>
          <w:sz w:val="24"/>
        </w:rPr>
      </w:pPr>
    </w:p>
    <w:p w14:paraId="2766F48D">
      <w:pPr>
        <w:outlineLvl w:val="2"/>
        <w:rPr>
          <w:rFonts w:hint="eastAsia" w:ascii="宋体" w:hAnsi="宋体" w:cs="宋体"/>
          <w:b/>
          <w:bCs/>
          <w:color w:val="auto"/>
          <w:sz w:val="24"/>
        </w:rPr>
      </w:pPr>
      <w:bookmarkStart w:id="157" w:name="_Toc32534"/>
      <w:r>
        <w:rPr>
          <w:rFonts w:hint="eastAsia" w:ascii="宋体" w:hAnsi="宋体" w:cs="宋体"/>
          <w:b/>
          <w:bCs/>
          <w:color w:val="auto"/>
          <w:sz w:val="24"/>
          <w:lang w:val="en-US" w:eastAsia="zh-CN"/>
        </w:rPr>
        <w:t>6</w:t>
      </w:r>
      <w:r>
        <w:rPr>
          <w:rFonts w:hint="eastAsia" w:ascii="宋体" w:hAnsi="宋体" w:cs="宋体"/>
          <w:b/>
          <w:bCs/>
          <w:color w:val="auto"/>
          <w:sz w:val="24"/>
        </w:rPr>
        <w:t>.2.4制度保证措施</w:t>
      </w:r>
      <w:bookmarkEnd w:id="157"/>
    </w:p>
    <w:p w14:paraId="540620B1">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ascii="宋体" w:hAnsi="宋体" w:cs="宋体"/>
          <w:b/>
          <w:bCs/>
          <w:color w:val="auto"/>
          <w:szCs w:val="24"/>
        </w:rPr>
      </w:pPr>
      <w:r>
        <w:rPr>
          <w:rFonts w:hint="eastAsia" w:ascii="宋体" w:hAnsi="宋体" w:cs="宋体"/>
          <w:b/>
          <w:bCs/>
          <w:color w:val="auto"/>
          <w:szCs w:val="24"/>
          <w:lang w:val="en-US" w:eastAsia="zh-CN"/>
        </w:rPr>
        <w:t>6</w:t>
      </w:r>
      <w:r>
        <w:rPr>
          <w:rFonts w:hint="eastAsia" w:ascii="宋体" w:hAnsi="宋体" w:cs="宋体"/>
          <w:b/>
          <w:bCs/>
          <w:color w:val="auto"/>
          <w:szCs w:val="24"/>
        </w:rPr>
        <w:t>.2.4.1安全文明施工管理制度</w:t>
      </w:r>
    </w:p>
    <w:p w14:paraId="31507AD3">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2</w:t>
      </w:r>
      <w:r>
        <w:rPr>
          <w:rFonts w:hint="eastAsia" w:ascii="宋体" w:hAnsi="宋体" w:cs="宋体"/>
          <w:b/>
          <w:bCs/>
          <w:color w:val="auto"/>
          <w:sz w:val="24"/>
        </w:rPr>
        <w:t>安全文明施工管理制度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963"/>
        <w:gridCol w:w="6605"/>
      </w:tblGrid>
      <w:tr w14:paraId="3C3D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5608B7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序号</w:t>
            </w:r>
          </w:p>
        </w:tc>
        <w:tc>
          <w:tcPr>
            <w:tcW w:w="1963" w:type="dxa"/>
            <w:noWrap w:val="0"/>
            <w:vAlign w:val="center"/>
          </w:tcPr>
          <w:p w14:paraId="0F3AE348">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制度名称</w:t>
            </w:r>
          </w:p>
        </w:tc>
        <w:tc>
          <w:tcPr>
            <w:tcW w:w="6605" w:type="dxa"/>
            <w:noWrap w:val="0"/>
            <w:vAlign w:val="center"/>
          </w:tcPr>
          <w:p w14:paraId="24856A81">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制度内容</w:t>
            </w:r>
          </w:p>
        </w:tc>
      </w:tr>
      <w:tr w14:paraId="3080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928261F">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w:t>
            </w:r>
          </w:p>
        </w:tc>
        <w:tc>
          <w:tcPr>
            <w:tcW w:w="1963" w:type="dxa"/>
            <w:noWrap w:val="0"/>
            <w:vAlign w:val="center"/>
          </w:tcPr>
          <w:p w14:paraId="7242037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安全生产责任制</w:t>
            </w:r>
          </w:p>
        </w:tc>
        <w:tc>
          <w:tcPr>
            <w:tcW w:w="6605" w:type="dxa"/>
            <w:noWrap w:val="0"/>
            <w:vAlign w:val="center"/>
          </w:tcPr>
          <w:p w14:paraId="568A7DBB">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明确各级人员的安全责任，各级职能部门、人员在各自的业务范围内，对实现安全生产要求负责，做到安全生产工作责任横向到边，层层负责；竖向到底，一环不漏。</w:t>
            </w:r>
          </w:p>
        </w:tc>
      </w:tr>
      <w:tr w14:paraId="47C6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EA99AB9">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2</w:t>
            </w:r>
          </w:p>
        </w:tc>
        <w:tc>
          <w:tcPr>
            <w:tcW w:w="1963" w:type="dxa"/>
            <w:noWrap w:val="0"/>
            <w:vAlign w:val="center"/>
          </w:tcPr>
          <w:p w14:paraId="48FE95CA">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安全专项方案编制及审查制</w:t>
            </w:r>
          </w:p>
        </w:tc>
        <w:tc>
          <w:tcPr>
            <w:tcW w:w="6605" w:type="dxa"/>
            <w:noWrap w:val="0"/>
            <w:vAlign w:val="center"/>
          </w:tcPr>
          <w:p w14:paraId="66768B7E">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根据建设部《危险性较大工程安全专项施工方案编制及专家论证审查办法》及单位技术手册的规定，编写相关专项安全施工方案，并报相关部门论证、审批；做到使编写的方案具有可操作性、可指导性。</w:t>
            </w:r>
          </w:p>
        </w:tc>
      </w:tr>
      <w:tr w14:paraId="1888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839678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3</w:t>
            </w:r>
          </w:p>
        </w:tc>
        <w:tc>
          <w:tcPr>
            <w:tcW w:w="1963" w:type="dxa"/>
            <w:noWrap w:val="0"/>
            <w:vAlign w:val="center"/>
          </w:tcPr>
          <w:p w14:paraId="739494FD">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安全专项资金保障制度</w:t>
            </w:r>
          </w:p>
        </w:tc>
        <w:tc>
          <w:tcPr>
            <w:tcW w:w="6605" w:type="dxa"/>
            <w:noWrap w:val="0"/>
            <w:vAlign w:val="center"/>
          </w:tcPr>
          <w:p w14:paraId="6596E1C6">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项目经理部落实安全劳保用品资金、安全教育培训专项资金以及保障安全生产的技术措施资金。</w:t>
            </w:r>
          </w:p>
        </w:tc>
      </w:tr>
      <w:tr w14:paraId="0F6D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996A85">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4</w:t>
            </w:r>
          </w:p>
        </w:tc>
        <w:tc>
          <w:tcPr>
            <w:tcW w:w="1963" w:type="dxa"/>
            <w:noWrap w:val="0"/>
            <w:vAlign w:val="center"/>
          </w:tcPr>
          <w:p w14:paraId="6E5BA00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安全技术交底制</w:t>
            </w:r>
          </w:p>
        </w:tc>
        <w:tc>
          <w:tcPr>
            <w:tcW w:w="6605" w:type="dxa"/>
            <w:noWrap w:val="0"/>
            <w:vAlign w:val="center"/>
          </w:tcPr>
          <w:p w14:paraId="3543E54B">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根据安全技术方案要求和现场实际情况，各级管理人员需逐级进行书面交底，并在施工过程中进行指导，检查技术交底的实施情况。</w:t>
            </w:r>
          </w:p>
        </w:tc>
      </w:tr>
      <w:tr w14:paraId="4707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C072BDD">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5</w:t>
            </w:r>
          </w:p>
        </w:tc>
        <w:tc>
          <w:tcPr>
            <w:tcW w:w="1963" w:type="dxa"/>
            <w:noWrap w:val="0"/>
            <w:vAlign w:val="center"/>
          </w:tcPr>
          <w:p w14:paraId="72E114E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安全活动制</w:t>
            </w:r>
          </w:p>
        </w:tc>
        <w:tc>
          <w:tcPr>
            <w:tcW w:w="6605" w:type="dxa"/>
            <w:noWrap w:val="0"/>
            <w:vAlign w:val="center"/>
          </w:tcPr>
          <w:p w14:paraId="711DBE8E">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全体工人进行安全教育，对上一周安全方面存在的问题进行总结，对本周的安全重点和注意事项作必要的交底。安全责任工程师每天督促与检查作业班组班前是否落实安全防护措施。</w:t>
            </w:r>
          </w:p>
        </w:tc>
      </w:tr>
      <w:tr w14:paraId="1726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E62677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6</w:t>
            </w:r>
          </w:p>
        </w:tc>
        <w:tc>
          <w:tcPr>
            <w:tcW w:w="1963" w:type="dxa"/>
            <w:noWrap w:val="0"/>
            <w:vAlign w:val="center"/>
          </w:tcPr>
          <w:p w14:paraId="602E67A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定期检查与隐患整改制</w:t>
            </w:r>
          </w:p>
        </w:tc>
        <w:tc>
          <w:tcPr>
            <w:tcW w:w="6605" w:type="dxa"/>
            <w:noWrap w:val="0"/>
            <w:vAlign w:val="center"/>
          </w:tcPr>
          <w:p w14:paraId="7C069B19">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安全及文明施工管理部每周组织一次由各施工配属队伍安全生产责任人共同参加的安全生产联合检查，对查出的安全隐患必须定措施、定时间、定人员整改，并作好隐患整改及消项记录。</w:t>
            </w:r>
          </w:p>
        </w:tc>
      </w:tr>
      <w:tr w14:paraId="1923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4538EA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7</w:t>
            </w:r>
          </w:p>
        </w:tc>
        <w:tc>
          <w:tcPr>
            <w:tcW w:w="1963" w:type="dxa"/>
            <w:noWrap w:val="0"/>
            <w:vAlign w:val="center"/>
          </w:tcPr>
          <w:p w14:paraId="65F82AE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机械设备安装验收制</w:t>
            </w:r>
          </w:p>
        </w:tc>
        <w:tc>
          <w:tcPr>
            <w:tcW w:w="6605" w:type="dxa"/>
            <w:noWrap w:val="0"/>
            <w:vAlign w:val="center"/>
          </w:tcPr>
          <w:p w14:paraId="7AFBF8BF">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塔吊等大中型机械设备安装实行验收制，凡未经验收的一律不得投入使用。</w:t>
            </w:r>
          </w:p>
        </w:tc>
      </w:tr>
      <w:tr w14:paraId="0B72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E2543A0">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8</w:t>
            </w:r>
          </w:p>
        </w:tc>
        <w:tc>
          <w:tcPr>
            <w:tcW w:w="1963" w:type="dxa"/>
            <w:noWrap w:val="0"/>
            <w:vAlign w:val="center"/>
          </w:tcPr>
          <w:p w14:paraId="597C681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持证上岗制</w:t>
            </w:r>
          </w:p>
        </w:tc>
        <w:tc>
          <w:tcPr>
            <w:tcW w:w="6605" w:type="dxa"/>
            <w:noWrap w:val="0"/>
            <w:vAlign w:val="center"/>
          </w:tcPr>
          <w:p w14:paraId="3FC0B5C0">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进场工人和调换工种的职工，必须按规定进行安全教育和技术培训，特殊工种必需持有上岗操作证，严禁无证操作。</w:t>
            </w:r>
          </w:p>
        </w:tc>
      </w:tr>
      <w:tr w14:paraId="5A65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837CE27">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9</w:t>
            </w:r>
          </w:p>
        </w:tc>
        <w:tc>
          <w:tcPr>
            <w:tcW w:w="1963" w:type="dxa"/>
            <w:noWrap w:val="0"/>
            <w:vAlign w:val="center"/>
          </w:tcPr>
          <w:p w14:paraId="68671176">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特殊工种证书年审制</w:t>
            </w:r>
          </w:p>
        </w:tc>
        <w:tc>
          <w:tcPr>
            <w:tcW w:w="6605" w:type="dxa"/>
            <w:noWrap w:val="0"/>
            <w:vAlign w:val="center"/>
          </w:tcPr>
          <w:p w14:paraId="1FD195C3">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每年由单位统一组织进行，加强施工管理人员的安全考核，增强安全意识，避免违章指挥、违章作业。</w:t>
            </w:r>
          </w:p>
        </w:tc>
      </w:tr>
      <w:tr w14:paraId="0F35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05A423D">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10</w:t>
            </w:r>
          </w:p>
        </w:tc>
        <w:tc>
          <w:tcPr>
            <w:tcW w:w="1963" w:type="dxa"/>
            <w:noWrap w:val="0"/>
            <w:vAlign w:val="center"/>
          </w:tcPr>
          <w:p w14:paraId="1A8DFBF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安全生产奖罚制与事故报告制</w:t>
            </w:r>
          </w:p>
        </w:tc>
        <w:tc>
          <w:tcPr>
            <w:tcW w:w="6605" w:type="dxa"/>
            <w:noWrap w:val="0"/>
            <w:vAlign w:val="center"/>
          </w:tcPr>
          <w:p w14:paraId="6A2693D7">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对施工生产中安全工作做得好的单位进行奖励，对施工过程中，不按安全生产管理制度、方案措施执行的将进行处罚，以督促整改，对事故将按程序及时进行通报。</w:t>
            </w:r>
          </w:p>
        </w:tc>
      </w:tr>
      <w:tr w14:paraId="6333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11B1187">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11</w:t>
            </w:r>
          </w:p>
        </w:tc>
        <w:tc>
          <w:tcPr>
            <w:tcW w:w="1963" w:type="dxa"/>
            <w:noWrap w:val="0"/>
            <w:vAlign w:val="center"/>
          </w:tcPr>
          <w:p w14:paraId="64551D7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危急情况停工制</w:t>
            </w:r>
          </w:p>
        </w:tc>
        <w:tc>
          <w:tcPr>
            <w:tcW w:w="6605" w:type="dxa"/>
            <w:noWrap w:val="0"/>
            <w:vAlign w:val="center"/>
          </w:tcPr>
          <w:p w14:paraId="3B079126">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一旦出现危及职工生命财产安全险情，要立即停工，及时采取措施排除险情，同时即刻报告单位、业主及监理。</w:t>
            </w:r>
          </w:p>
        </w:tc>
      </w:tr>
      <w:tr w14:paraId="6D94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83CE08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12</w:t>
            </w:r>
          </w:p>
        </w:tc>
        <w:tc>
          <w:tcPr>
            <w:tcW w:w="1963" w:type="dxa"/>
            <w:noWrap w:val="0"/>
            <w:vAlign w:val="center"/>
          </w:tcPr>
          <w:p w14:paraId="0023AD6B">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责任领导值班制</w:t>
            </w:r>
          </w:p>
        </w:tc>
        <w:tc>
          <w:tcPr>
            <w:tcW w:w="6605" w:type="dxa"/>
            <w:noWrap w:val="0"/>
            <w:vAlign w:val="center"/>
          </w:tcPr>
          <w:p w14:paraId="0B522525">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组织施工过程中，必须保证有本单位施工人员施工作业，有领导在现场值班，不得空岗、失控。</w:t>
            </w:r>
          </w:p>
        </w:tc>
      </w:tr>
    </w:tbl>
    <w:p w14:paraId="587FEEFD">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6.2.4.2消防管理制度</w:t>
      </w:r>
    </w:p>
    <w:p w14:paraId="39336131">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3</w:t>
      </w:r>
      <w:r>
        <w:rPr>
          <w:rFonts w:hint="eastAsia" w:ascii="宋体" w:hAnsi="宋体" w:cs="宋体"/>
          <w:b/>
          <w:bCs/>
          <w:color w:val="auto"/>
          <w:sz w:val="24"/>
        </w:rPr>
        <w:t>消防管理制度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8568"/>
      </w:tblGrid>
      <w:tr w14:paraId="684D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5BCEDBC">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568" w:type="dxa"/>
            <w:noWrap w:val="0"/>
            <w:vAlign w:val="center"/>
          </w:tcPr>
          <w:p w14:paraId="16140FE2">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消防管理制度</w:t>
            </w:r>
          </w:p>
        </w:tc>
      </w:tr>
      <w:tr w14:paraId="1B4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DF7E7A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568" w:type="dxa"/>
            <w:noWrap w:val="0"/>
            <w:vAlign w:val="center"/>
          </w:tcPr>
          <w:p w14:paraId="00448F85">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编制消防管理方案和消防预案，坚持消防安全交底制度。</w:t>
            </w:r>
          </w:p>
        </w:tc>
      </w:tr>
      <w:tr w14:paraId="30DF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3707CE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568" w:type="dxa"/>
            <w:noWrap w:val="0"/>
            <w:vAlign w:val="center"/>
          </w:tcPr>
          <w:p w14:paraId="7260956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建立消防保卫机构，组建义务消防队，开展消防演习，确保项目处理火灾的应急能力。</w:t>
            </w:r>
          </w:p>
        </w:tc>
      </w:tr>
      <w:tr w14:paraId="4BD8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7E7052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568" w:type="dxa"/>
            <w:noWrap w:val="0"/>
            <w:vAlign w:val="center"/>
          </w:tcPr>
          <w:p w14:paraId="0EF6A873">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现场消防道路畅通，禁止在临时消防车道上堆物、堆料或挤占消防车道。</w:t>
            </w:r>
          </w:p>
        </w:tc>
      </w:tr>
      <w:tr w14:paraId="224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386B661">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568" w:type="dxa"/>
            <w:noWrap w:val="0"/>
            <w:vAlign w:val="center"/>
          </w:tcPr>
          <w:p w14:paraId="1E551494">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消防设施、器材齐全、有效，并全面覆盖现场。消防设施、器材做明显标识，除发生火灾和检修、更新消防设施、器材，任何情况下不得动用消防设施、器材。</w:t>
            </w:r>
          </w:p>
        </w:tc>
      </w:tr>
      <w:tr w14:paraId="1BD5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006013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568" w:type="dxa"/>
            <w:noWrap w:val="0"/>
            <w:vAlign w:val="center"/>
          </w:tcPr>
          <w:p w14:paraId="73FC2A5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消防泵配专用配电线路。消防供水保证足够水源和水压，楼层安装临时消防竖管。严禁消防竖管作为施工用水管线。</w:t>
            </w:r>
          </w:p>
        </w:tc>
      </w:tr>
      <w:tr w14:paraId="1CFD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356C3E3">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568" w:type="dxa"/>
            <w:noWrap w:val="0"/>
            <w:vAlign w:val="center"/>
          </w:tcPr>
          <w:p w14:paraId="6E2B0712">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设立从作业楼层通往室外地面的紧急疏散通道，配备应急电源。</w:t>
            </w:r>
          </w:p>
        </w:tc>
      </w:tr>
      <w:tr w14:paraId="559B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9870C0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568" w:type="dxa"/>
            <w:noWrap w:val="0"/>
            <w:vAlign w:val="center"/>
          </w:tcPr>
          <w:p w14:paraId="2E7DFCD2">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施工现场使用的各类安全网、保温材料，必须符合消防安全规定，不得使用易燃、可燃材料。</w:t>
            </w:r>
          </w:p>
        </w:tc>
      </w:tr>
      <w:tr w14:paraId="660E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BBB468A">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568" w:type="dxa"/>
            <w:noWrap w:val="0"/>
            <w:vAlign w:val="center"/>
          </w:tcPr>
          <w:p w14:paraId="405157D1">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施工材料分类存放，做好防火措施；易燃易爆物品专库分类单独存放，保持通风，严格执行领退料手续。</w:t>
            </w:r>
          </w:p>
        </w:tc>
      </w:tr>
      <w:tr w14:paraId="26DB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D966647">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9</w:t>
            </w:r>
          </w:p>
        </w:tc>
        <w:tc>
          <w:tcPr>
            <w:tcW w:w="8568" w:type="dxa"/>
            <w:noWrap w:val="0"/>
            <w:vAlign w:val="center"/>
          </w:tcPr>
          <w:p w14:paraId="4EDFB3C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使用电气设备和易燃易爆物品，指定防火负责人，配备灭火器材，确保施工安全。</w:t>
            </w:r>
          </w:p>
        </w:tc>
      </w:tr>
      <w:tr w14:paraId="3FA3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0E68EE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10</w:t>
            </w:r>
          </w:p>
        </w:tc>
        <w:tc>
          <w:tcPr>
            <w:tcW w:w="8568" w:type="dxa"/>
            <w:noWrap w:val="0"/>
            <w:vAlign w:val="center"/>
          </w:tcPr>
          <w:p w14:paraId="47E36A8D">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电气焊操作工人必须持特种作业操作证，明火作业要办理动火手续，办理动火证，动火证当日有效，安排专人看火，并配灭火器。</w:t>
            </w:r>
          </w:p>
        </w:tc>
      </w:tr>
      <w:tr w14:paraId="559A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A27930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11</w:t>
            </w:r>
          </w:p>
        </w:tc>
        <w:tc>
          <w:tcPr>
            <w:tcW w:w="8568" w:type="dxa"/>
            <w:noWrap w:val="0"/>
            <w:vAlign w:val="center"/>
          </w:tcPr>
          <w:p w14:paraId="002935D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施工现场禁止吸烟。</w:t>
            </w:r>
          </w:p>
        </w:tc>
      </w:tr>
    </w:tbl>
    <w:p w14:paraId="32B942EB">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6.2.4.3环境管理制度</w:t>
      </w:r>
    </w:p>
    <w:p w14:paraId="3B937CF9">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4</w:t>
      </w:r>
      <w:r>
        <w:rPr>
          <w:rFonts w:hint="eastAsia" w:ascii="宋体" w:hAnsi="宋体" w:cs="宋体"/>
          <w:b/>
          <w:bCs/>
          <w:color w:val="auto"/>
          <w:sz w:val="24"/>
        </w:rPr>
        <w:t>环境管理制度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6"/>
        <w:gridCol w:w="8611"/>
      </w:tblGrid>
      <w:tr w14:paraId="6299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7CB98F80">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611" w:type="dxa"/>
            <w:noWrap w:val="0"/>
            <w:vAlign w:val="center"/>
          </w:tcPr>
          <w:p w14:paraId="515443AD">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环境保护管理制度主要内容</w:t>
            </w:r>
          </w:p>
        </w:tc>
      </w:tr>
      <w:tr w14:paraId="1BA3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60B3D0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611" w:type="dxa"/>
            <w:noWrap w:val="0"/>
            <w:vAlign w:val="center"/>
          </w:tcPr>
          <w:p w14:paraId="17D4A02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建立环境保护管理体系，对从开工准备到完工期间所有的施工过程、运作和管理过程中可能产生的环境因素进行充分的识别和评估，并制订针对性的预防和改进措施，落实到人、实施到位。</w:t>
            </w:r>
          </w:p>
        </w:tc>
      </w:tr>
      <w:tr w14:paraId="1D4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58DDF08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611" w:type="dxa"/>
            <w:noWrap w:val="0"/>
            <w:vAlign w:val="center"/>
          </w:tcPr>
          <w:p w14:paraId="705A213D">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采取多种形式的环保宣传、教育活动，不断提高职工的环保意识和法制观念。</w:t>
            </w:r>
          </w:p>
        </w:tc>
      </w:tr>
      <w:tr w14:paraId="381B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6AAC0A7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611" w:type="dxa"/>
            <w:noWrap w:val="0"/>
            <w:vAlign w:val="center"/>
          </w:tcPr>
          <w:p w14:paraId="595A882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施工过程中针对扬尘、遗撒、噪音、污水等环境因素开展自检活动，发现问题即使采取措施进行整改。</w:t>
            </w:r>
          </w:p>
        </w:tc>
      </w:tr>
      <w:tr w14:paraId="1C66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D8D56C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611" w:type="dxa"/>
            <w:noWrap w:val="0"/>
            <w:vAlign w:val="center"/>
          </w:tcPr>
          <w:p w14:paraId="1DCD6958">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现场使用商品混凝土，减少噪音、污水等。</w:t>
            </w:r>
          </w:p>
        </w:tc>
      </w:tr>
      <w:tr w14:paraId="0053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EA75DD1">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611" w:type="dxa"/>
            <w:noWrap w:val="0"/>
            <w:vAlign w:val="center"/>
          </w:tcPr>
          <w:p w14:paraId="7D80B760">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施工垃圾和生活垃圾分类封闭存放，一日一清，将现场废料、垃圾控制在最少范围内。</w:t>
            </w:r>
          </w:p>
        </w:tc>
      </w:tr>
      <w:tr w14:paraId="732D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13B9EF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611" w:type="dxa"/>
            <w:noWrap w:val="0"/>
            <w:vAlign w:val="center"/>
          </w:tcPr>
          <w:p w14:paraId="48D6F33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施工现场进行硬化处理，周边设置排水沟，经分级沉淀，检查合格后，排入市政管网。</w:t>
            </w:r>
          </w:p>
        </w:tc>
      </w:tr>
      <w:tr w14:paraId="0256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BAB612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611" w:type="dxa"/>
            <w:noWrap w:val="0"/>
            <w:vAlign w:val="center"/>
          </w:tcPr>
          <w:p w14:paraId="2DF5E246">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各类油料专库存放，并对库房进行防渗漏处理，严格执行领退料制度，按需领料，并采取措施防止油料跑、冒、滴、楼，污染水体和大地。</w:t>
            </w:r>
          </w:p>
        </w:tc>
      </w:tr>
      <w:tr w14:paraId="55BB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0CC79F5">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611" w:type="dxa"/>
            <w:noWrap w:val="0"/>
            <w:vAlign w:val="center"/>
          </w:tcPr>
          <w:p w14:paraId="077730F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使用环保材料，尽最大可能减少钢材、木材、水资源、燃料资源消耗。</w:t>
            </w:r>
          </w:p>
        </w:tc>
      </w:tr>
    </w:tbl>
    <w:p w14:paraId="35C8F6EB">
      <w:pPr>
        <w:pStyle w:val="3"/>
        <w:outlineLvl w:val="1"/>
        <w:rPr>
          <w:color w:val="auto"/>
        </w:rPr>
      </w:pPr>
      <w:bookmarkStart w:id="158" w:name="_Toc28008"/>
      <w:bookmarkStart w:id="159" w:name="_Toc14410"/>
      <w:r>
        <w:rPr>
          <w:rFonts w:hint="eastAsia"/>
          <w:color w:val="auto"/>
        </w:rPr>
        <w:t>监管措施</w:t>
      </w:r>
      <w:bookmarkEnd w:id="158"/>
    </w:p>
    <w:p w14:paraId="417D8D6D">
      <w:pPr>
        <w:pStyle w:val="48"/>
        <w:ind w:firstLine="480"/>
        <w:rPr>
          <w:rFonts w:ascii="Times New Roman" w:hAnsi="Times New Roman"/>
          <w:color w:val="auto"/>
        </w:rPr>
      </w:pPr>
      <w:r>
        <w:rPr>
          <w:rFonts w:hint="eastAsia" w:ascii="Times New Roman" w:hAnsi="Times New Roman"/>
          <w:color w:val="auto"/>
        </w:rPr>
        <w:t>为落实塔式起重机安装安全管理工作，项目部采取以下监控措施：</w:t>
      </w:r>
    </w:p>
    <w:p w14:paraId="7AE16C06">
      <w:pPr>
        <w:pStyle w:val="48"/>
        <w:ind w:left="480" w:leftChars="200" w:firstLine="0" w:firstLineChars="0"/>
        <w:rPr>
          <w:color w:val="auto"/>
        </w:rPr>
      </w:pPr>
      <w:r>
        <w:rPr>
          <w:rFonts w:hint="eastAsia"/>
          <w:color w:val="auto"/>
        </w:rPr>
        <w:t>1）现场安全、技术管理人员必须参与作业施工方案的编制，熟悉方案。</w:t>
      </w:r>
    </w:p>
    <w:p w14:paraId="04F99DD6">
      <w:pPr>
        <w:pStyle w:val="48"/>
        <w:keepNext w:val="0"/>
        <w:keepLines w:val="0"/>
        <w:pageBreakBefore w:val="0"/>
        <w:widowControl/>
        <w:kinsoku/>
        <w:wordWrap/>
        <w:overflowPunct/>
        <w:topLinePunct w:val="0"/>
        <w:autoSpaceDE/>
        <w:autoSpaceDN/>
        <w:bidi w:val="0"/>
        <w:adjustRightInd w:val="0"/>
        <w:snapToGrid w:val="0"/>
        <w:ind w:left="0" w:firstLine="480" w:firstLineChars="200"/>
        <w:textAlignment w:val="auto"/>
        <w:rPr>
          <w:rFonts w:hint="eastAsia"/>
          <w:color w:val="auto"/>
        </w:rPr>
      </w:pPr>
      <w:r>
        <w:rPr>
          <w:rFonts w:hint="eastAsia"/>
          <w:color w:val="auto"/>
        </w:rPr>
        <w:t>2）安装作业时必须按施工组织设备要求配置相关人员。现场安全员监督操作人员是否按施工方案几安全操作规程进行操作，并督促操作人员按规定正确使用安全防护用品。</w:t>
      </w:r>
    </w:p>
    <w:p w14:paraId="356A81D2">
      <w:pPr>
        <w:pStyle w:val="48"/>
        <w:ind w:left="480" w:firstLine="0" w:firstLineChars="0"/>
        <w:rPr>
          <w:color w:val="auto"/>
        </w:rPr>
      </w:pPr>
      <w:r>
        <w:rPr>
          <w:rFonts w:hint="eastAsia"/>
          <w:color w:val="auto"/>
        </w:rPr>
        <w:t>3）专职安全人员对操作人员的操作实施全程监控，发现不良行为及时制</w:t>
      </w:r>
    </w:p>
    <w:p w14:paraId="3C873A98">
      <w:pPr>
        <w:pStyle w:val="48"/>
        <w:ind w:firstLine="0" w:firstLineChars="0"/>
        <w:rPr>
          <w:color w:val="auto"/>
        </w:rPr>
      </w:pPr>
      <w:r>
        <w:rPr>
          <w:rFonts w:hint="eastAsia"/>
          <w:color w:val="auto"/>
        </w:rPr>
        <w:t>止纠正。</w:t>
      </w:r>
    </w:p>
    <w:p w14:paraId="2CBA221B">
      <w:pPr>
        <w:pStyle w:val="48"/>
        <w:ind w:left="480" w:leftChars="200" w:firstLine="0" w:firstLineChars="0"/>
        <w:rPr>
          <w:color w:val="auto"/>
        </w:rPr>
      </w:pPr>
      <w:r>
        <w:rPr>
          <w:rFonts w:hint="eastAsia"/>
          <w:color w:val="auto"/>
        </w:rPr>
        <w:t>4）现场管理人员必须留存影像、图片、纸质资料并建立每日汇报机制。</w:t>
      </w:r>
    </w:p>
    <w:p w14:paraId="12B67C2F">
      <w:pPr>
        <w:pStyle w:val="48"/>
        <w:ind w:left="480" w:leftChars="200" w:firstLine="0" w:firstLineChars="0"/>
        <w:rPr>
          <w:color w:val="auto"/>
        </w:rPr>
      </w:pPr>
      <w:r>
        <w:rPr>
          <w:rFonts w:hint="eastAsia"/>
          <w:color w:val="auto"/>
        </w:rPr>
        <w:t>5）带班领导随机抽查现场落实情况。</w:t>
      </w:r>
    </w:p>
    <w:p w14:paraId="7BF0A281">
      <w:pPr>
        <w:pStyle w:val="48"/>
        <w:ind w:left="480" w:leftChars="200" w:firstLine="0" w:firstLineChars="0"/>
        <w:rPr>
          <w:color w:val="auto"/>
        </w:rPr>
      </w:pPr>
      <w:r>
        <w:rPr>
          <w:rFonts w:hint="eastAsia"/>
          <w:color w:val="auto"/>
        </w:rPr>
        <w:t>6）每项工作完成后必须进行验收后方可开展下道工序。</w:t>
      </w:r>
    </w:p>
    <w:p w14:paraId="5D5FE0B0">
      <w:pPr>
        <w:pStyle w:val="3"/>
        <w:spacing w:before="156" w:after="156"/>
        <w:ind w:left="480" w:leftChars="0" w:firstLineChars="0"/>
        <w:rPr>
          <w:color w:val="auto"/>
        </w:rPr>
      </w:pPr>
      <w:bookmarkStart w:id="160" w:name="_Toc728"/>
      <w:r>
        <w:rPr>
          <w:rFonts w:hint="eastAsia"/>
          <w:color w:val="auto"/>
          <w:lang w:val="en-US" w:eastAsia="zh-CN"/>
        </w:rPr>
        <w:t>施工安全控制</w:t>
      </w:r>
      <w:r>
        <w:rPr>
          <w:rFonts w:hint="eastAsia"/>
          <w:color w:val="auto"/>
        </w:rPr>
        <w:t>措施</w:t>
      </w:r>
      <w:bookmarkEnd w:id="159"/>
      <w:bookmarkEnd w:id="160"/>
    </w:p>
    <w:p w14:paraId="4A9B189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6</w:t>
      </w:r>
      <w:r>
        <w:rPr>
          <w:rFonts w:hint="eastAsia"/>
          <w:color w:val="auto"/>
        </w:rPr>
        <w:t>.4.1安全方针及基本要求</w:t>
      </w:r>
    </w:p>
    <w:p w14:paraId="67C93B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1）认真贯彻执行、落实国家“安全第一、预防为主、综合治理”的方针，严格执行国家、地方及企业安全技术规范、规章、制度，牢固树立“安全第一”的思想，坚持预防为主的方针，落实安全生产责任制。</w:t>
      </w:r>
    </w:p>
    <w:p w14:paraId="42F53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2）建立落实安全技术交底制度，各级交底必须履行签字手续。认真做好安全检查，做到有制度，有记录。</w:t>
      </w:r>
    </w:p>
    <w:p w14:paraId="5F4A768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3）安装作业人员必须持证上岗。</w:t>
      </w:r>
    </w:p>
    <w:p w14:paraId="359EBE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4）安装施工区域必须有安全距离，并设安全警示标志，专人负责危险区域警戒告示。</w:t>
      </w:r>
    </w:p>
    <w:p w14:paraId="0C07B5CD">
      <w:pPr>
        <w:tabs>
          <w:tab w:val="right" w:pos="8312"/>
        </w:tabs>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5）确保文明施工，实行统一领导，分工责任，做到现场文明施工。</w:t>
      </w:r>
    </w:p>
    <w:p w14:paraId="47D7FEE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61" w:name="_Toc530055690"/>
      <w:r>
        <w:rPr>
          <w:rFonts w:hint="eastAsia" w:ascii="宋体" w:hAnsi="宋体" w:eastAsia="宋体" w:cs="Times New Roman"/>
          <w:color w:val="auto"/>
          <w:lang w:val="en-US" w:eastAsia="zh-CN"/>
        </w:rPr>
        <w:t>6.4.2作业安全规定</w:t>
      </w:r>
    </w:p>
    <w:bookmarkEnd w:id="161"/>
    <w:p w14:paraId="4565BC4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1）患高血压、心脏病、贫血病、癫痫病以及其它不适于高空作业的不得从事高空作业；</w:t>
      </w:r>
    </w:p>
    <w:p w14:paraId="391B8A6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2）高空作业衣着要灵便，禁止穿硬底和带钉易滑的鞋。衣服袖口、裤脚口要扎紧。</w:t>
      </w:r>
    </w:p>
    <w:p w14:paraId="15D339A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3）在2m以上登高作业时，应使用安全带栓牢在固定物上，使用安全带前必须仔细检查绳带是否够力，带环是否牢固。</w:t>
      </w:r>
    </w:p>
    <w:p w14:paraId="49625E4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4）登高作业注意力要集中，不得开玩笑，不得快跑急跳，以防失足，从高空中滑落。</w:t>
      </w:r>
    </w:p>
    <w:p w14:paraId="7CE4478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5）有雷雨、暴雨和风速超过10.8-13.8m/s（6级风）时，不允许进行安装工作。</w:t>
      </w:r>
    </w:p>
    <w:p w14:paraId="6C6A541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6）高空作业用材料要堆放平稳，工具应随手放入工具袋内，同时用细绳联接工具与作业人员，上下递物件禁止抛掷。螺栓等各种小件物品放入小铁桶。</w:t>
      </w:r>
    </w:p>
    <w:p w14:paraId="252320E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62" w:name="_Toc530055691"/>
      <w:r>
        <w:rPr>
          <w:rFonts w:hint="eastAsia" w:ascii="宋体" w:hAnsi="宋体" w:eastAsia="宋体" w:cs="Times New Roman"/>
          <w:color w:val="auto"/>
          <w:lang w:val="en-US" w:eastAsia="zh-CN"/>
        </w:rPr>
        <w:t>6.4.3安全防护措施</w:t>
      </w:r>
    </w:p>
    <w:bookmarkEnd w:id="162"/>
    <w:p w14:paraId="162E68F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1）吊装工作区内禁止非工作人员进入，起重臂下严禁站人；</w:t>
      </w:r>
    </w:p>
    <w:p w14:paraId="2C9A567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2）身体不适的工人不能进行高空作业，作业前全体作业人员必须明确重点措施方法，按既定的施工方案进行作业；</w:t>
      </w:r>
    </w:p>
    <w:p w14:paraId="1911F5A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3）安装起重机大臂、套架、平衡臂、回转总成及电器系统时，高空作业人员必须带好安全带；</w:t>
      </w:r>
    </w:p>
    <w:p w14:paraId="15B91CC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4）不准超负荷吊装，吊装人员必须戴安全帽，穿防滑鞋，带工具袋，不能在工作中嬉闹，必须认真作业；</w:t>
      </w:r>
    </w:p>
    <w:p w14:paraId="3E90879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5）严禁工人站在被吊运的构件上，构件上也不能摆放零星物件；</w:t>
      </w:r>
    </w:p>
    <w:p w14:paraId="33D9913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6）吊运时，绑扎方法要可靠，以防止中途落下伤人和起重机因失重而倾翻；</w:t>
      </w:r>
    </w:p>
    <w:p w14:paraId="2193776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7）吊装过程应由专人负责指挥，信号要求准确、明确到位；</w:t>
      </w:r>
    </w:p>
    <w:p w14:paraId="0478636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8）电工须穿绝缘鞋，戴好绝缘手套，不违章操作；</w:t>
      </w:r>
    </w:p>
    <w:p w14:paraId="5AA816A8">
      <w:pPr>
        <w:spacing w:line="360" w:lineRule="auto"/>
        <w:ind w:firstLine="480"/>
        <w:rPr>
          <w:rFonts w:ascii="宋体" w:hAnsi="宋体" w:eastAsia="宋体" w:cs="宋体"/>
          <w:color w:val="auto"/>
          <w:sz w:val="24"/>
          <w:szCs w:val="24"/>
        </w:rPr>
      </w:pPr>
      <w:bookmarkStart w:id="163" w:name="_Toc3803_WPSOffice_Level2"/>
      <w:r>
        <w:rPr>
          <w:rFonts w:hint="eastAsia" w:ascii="宋体" w:hAnsi="宋体" w:eastAsia="宋体" w:cs="宋体"/>
          <w:color w:val="auto"/>
          <w:sz w:val="24"/>
          <w:szCs w:val="24"/>
        </w:rPr>
        <w:t>9）构件吊装到位后要</w:t>
      </w:r>
      <w:bookmarkEnd w:id="163"/>
      <w:r>
        <w:rPr>
          <w:rFonts w:hint="eastAsia" w:ascii="宋体" w:hAnsi="宋体" w:eastAsia="宋体" w:cs="宋体"/>
          <w:color w:val="auto"/>
          <w:sz w:val="24"/>
          <w:szCs w:val="24"/>
        </w:rPr>
        <w:t>求固定可靠，再进入下一步操作，严禁将构件浮放在某一处，以免落下发生意外。</w:t>
      </w:r>
    </w:p>
    <w:p w14:paraId="48716BC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10）设备工具摆放整齐、合理，做到安全、有序；</w:t>
      </w:r>
    </w:p>
    <w:p w14:paraId="35021CB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11）安装作业中，应严格按安装顺序进行，作业时严禁抛掷物件。</w:t>
      </w:r>
    </w:p>
    <w:p w14:paraId="0BE2C7A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64" w:name="_Toc170739310"/>
      <w:bookmarkStart w:id="165" w:name="_Toc14333"/>
      <w:bookmarkStart w:id="166" w:name="_Toc17383806"/>
      <w:r>
        <w:rPr>
          <w:rFonts w:hint="eastAsia" w:ascii="宋体" w:hAnsi="宋体" w:eastAsia="宋体" w:cs="Times New Roman"/>
          <w:color w:val="auto"/>
          <w:lang w:val="en-US" w:eastAsia="zh-CN"/>
        </w:rPr>
        <w:t>6.4.4</w:t>
      </w:r>
      <w:r>
        <w:rPr>
          <w:rFonts w:hint="eastAsia" w:cs="Times New Roman"/>
          <w:color w:val="auto"/>
          <w:lang w:val="en-US" w:eastAsia="zh-CN"/>
        </w:rPr>
        <w:t>安装</w:t>
      </w:r>
      <w:r>
        <w:rPr>
          <w:rFonts w:hint="eastAsia" w:ascii="宋体" w:hAnsi="宋体" w:eastAsia="宋体" w:cs="Times New Roman"/>
          <w:color w:val="auto"/>
          <w:lang w:val="en-US" w:eastAsia="zh-CN"/>
        </w:rPr>
        <w:t>安全警戒措施</w:t>
      </w:r>
      <w:bookmarkEnd w:id="164"/>
      <w:bookmarkEnd w:id="165"/>
    </w:p>
    <w:p w14:paraId="6D7BE7A1">
      <w:pPr>
        <w:rPr>
          <w:color w:val="auto"/>
        </w:rPr>
      </w:pPr>
      <w:r>
        <w:rPr>
          <w:rFonts w:hint="eastAsia"/>
          <w:color w:val="auto"/>
        </w:rPr>
        <w:t>（1）在整个施工区域内，设置围挡，进行封闭施工。</w:t>
      </w:r>
    </w:p>
    <w:p w14:paraId="6FB3C9B2">
      <w:pPr>
        <w:rPr>
          <w:color w:val="auto"/>
        </w:rPr>
      </w:pPr>
      <w:r>
        <w:rPr>
          <w:rFonts w:hint="eastAsia"/>
          <w:color w:val="auto"/>
        </w:rPr>
        <w:t>（</w:t>
      </w:r>
      <w:r>
        <w:rPr>
          <w:rFonts w:hint="eastAsia"/>
          <w:color w:val="auto"/>
          <w:lang w:val="en-US" w:eastAsia="zh-CN"/>
        </w:rPr>
        <w:t>2</w:t>
      </w:r>
      <w:r>
        <w:rPr>
          <w:rFonts w:hint="eastAsia"/>
          <w:color w:val="auto"/>
        </w:rPr>
        <w:t>）在施工区域，设置警戒人员进行</w:t>
      </w:r>
      <w:r>
        <w:rPr>
          <w:color w:val="auto"/>
        </w:rPr>
        <w:t>24</w:t>
      </w:r>
      <w:r>
        <w:rPr>
          <w:rFonts w:hint="eastAsia"/>
          <w:color w:val="auto"/>
        </w:rPr>
        <w:t>小时巡检，如发现非施工作业人员进入施工现场，则要求其立即离开施工区域，对不听劝导则，立即通知当地派出所进行协调。</w:t>
      </w:r>
    </w:p>
    <w:p w14:paraId="7A0E38DC">
      <w:pPr>
        <w:rPr>
          <w:color w:val="auto"/>
        </w:rPr>
      </w:pPr>
      <w:r>
        <w:rPr>
          <w:rFonts w:hint="eastAsia"/>
          <w:color w:val="auto"/>
        </w:rPr>
        <w:t>（</w:t>
      </w:r>
      <w:r>
        <w:rPr>
          <w:rFonts w:hint="eastAsia"/>
          <w:color w:val="auto"/>
          <w:lang w:val="en-US" w:eastAsia="zh-CN"/>
        </w:rPr>
        <w:t>3</w:t>
      </w:r>
      <w:r>
        <w:rPr>
          <w:rFonts w:hint="eastAsia"/>
          <w:color w:val="auto"/>
        </w:rPr>
        <w:t>）在施工区域四周，设置安全警示标语、标牌，告诫行人及车辆不要闯入施工区域。</w:t>
      </w:r>
    </w:p>
    <w:p w14:paraId="408F1718">
      <w:pPr>
        <w:rPr>
          <w:color w:val="auto"/>
        </w:rPr>
      </w:pPr>
      <w:r>
        <w:rPr>
          <w:rFonts w:hint="eastAsia"/>
          <w:color w:val="auto"/>
        </w:rPr>
        <w:t>（</w:t>
      </w:r>
      <w:r>
        <w:rPr>
          <w:rFonts w:hint="eastAsia"/>
          <w:color w:val="auto"/>
          <w:lang w:val="en-US" w:eastAsia="zh-CN"/>
        </w:rPr>
        <w:t>4</w:t>
      </w:r>
      <w:r>
        <w:rPr>
          <w:rFonts w:hint="eastAsia"/>
          <w:color w:val="auto"/>
        </w:rPr>
        <w:t>）现场夜间增加照明设施，防止他人进入施工区域。</w:t>
      </w:r>
    </w:p>
    <w:p w14:paraId="12448A7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67" w:name="_Toc577430778"/>
      <w:bookmarkStart w:id="168" w:name="_Toc14631"/>
      <w:r>
        <w:rPr>
          <w:rFonts w:hint="eastAsia" w:ascii="宋体" w:hAnsi="宋体" w:eastAsia="宋体" w:cs="Times New Roman"/>
          <w:color w:val="auto"/>
          <w:lang w:val="en-US" w:eastAsia="zh-CN"/>
        </w:rPr>
        <w:t>6.4.5雨雪天气安全措施</w:t>
      </w:r>
      <w:bookmarkEnd w:id="167"/>
      <w:bookmarkEnd w:id="168"/>
    </w:p>
    <w:p w14:paraId="4712003A">
      <w:pPr>
        <w:rPr>
          <w:color w:val="auto"/>
        </w:rPr>
      </w:pPr>
      <w:r>
        <w:rPr>
          <w:rFonts w:hint="eastAsia"/>
          <w:color w:val="auto"/>
        </w:rPr>
        <w:t>在</w:t>
      </w:r>
      <w:r>
        <w:rPr>
          <w:rFonts w:hint="eastAsia"/>
          <w:color w:val="auto"/>
          <w:lang w:val="en-US" w:eastAsia="zh-CN"/>
        </w:rPr>
        <w:t>冬</w:t>
      </w:r>
      <w:r>
        <w:rPr>
          <w:rFonts w:hint="eastAsia"/>
          <w:color w:val="auto"/>
        </w:rPr>
        <w:t>季雨</w:t>
      </w:r>
      <w:r>
        <w:rPr>
          <w:rFonts w:hint="eastAsia"/>
          <w:color w:val="auto"/>
          <w:lang w:val="en-US" w:eastAsia="zh-CN"/>
        </w:rPr>
        <w:t>雪</w:t>
      </w:r>
      <w:r>
        <w:rPr>
          <w:rFonts w:hint="eastAsia"/>
          <w:color w:val="auto"/>
        </w:rPr>
        <w:t>天多发时期，项目经理部办公室、安</w:t>
      </w:r>
      <w:r>
        <w:rPr>
          <w:rFonts w:hint="eastAsia"/>
          <w:color w:val="auto"/>
          <w:lang w:val="en-US" w:eastAsia="zh-CN"/>
        </w:rPr>
        <w:t>全</w:t>
      </w:r>
      <w:r>
        <w:rPr>
          <w:rFonts w:hint="eastAsia"/>
          <w:color w:val="auto"/>
        </w:rPr>
        <w:t>部应做到：</w:t>
      </w:r>
    </w:p>
    <w:p w14:paraId="70E466C6">
      <w:pPr>
        <w:rPr>
          <w:rFonts w:hint="eastAsia" w:eastAsia="宋体"/>
          <w:color w:val="auto"/>
          <w:lang w:eastAsia="zh-CN"/>
        </w:rPr>
      </w:pPr>
      <w:r>
        <w:rPr>
          <w:rFonts w:hint="eastAsia"/>
          <w:color w:val="auto"/>
        </w:rPr>
        <w:t>（</w:t>
      </w:r>
      <w:r>
        <w:rPr>
          <w:rFonts w:hint="eastAsia"/>
          <w:color w:val="auto"/>
          <w:lang w:val="en-US" w:eastAsia="zh-CN"/>
        </w:rPr>
        <w:t>1</w:t>
      </w:r>
      <w:r>
        <w:rPr>
          <w:rFonts w:hint="eastAsia"/>
          <w:color w:val="auto"/>
        </w:rPr>
        <w:t>）加强与气象部门的联系，随时掌握天气的变化情况，及时向施工现场发布雷雨消息</w:t>
      </w:r>
      <w:r>
        <w:rPr>
          <w:rFonts w:hint="eastAsia"/>
          <w:color w:val="auto"/>
          <w:lang w:eastAsia="zh-CN"/>
        </w:rPr>
        <w:t>。</w:t>
      </w:r>
    </w:p>
    <w:p w14:paraId="1F9CFCD3">
      <w:pPr>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）做好防雷电的监督、检查和指导工作；随时注意各工段的施工情况，遇异常情况及时向安全领导小组汇报</w:t>
      </w:r>
      <w:r>
        <w:rPr>
          <w:rFonts w:hint="eastAsia"/>
          <w:color w:val="auto"/>
          <w:lang w:eastAsia="zh-CN"/>
        </w:rPr>
        <w:t>。</w:t>
      </w:r>
    </w:p>
    <w:p w14:paraId="45D57EFD">
      <w:pPr>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）在此期间应注重组织人员对火灾急救的演习</w:t>
      </w:r>
      <w:r>
        <w:rPr>
          <w:rFonts w:hint="eastAsia"/>
          <w:color w:val="auto"/>
          <w:lang w:eastAsia="zh-CN"/>
        </w:rPr>
        <w:t>。</w:t>
      </w:r>
    </w:p>
    <w:p w14:paraId="02124E91">
      <w:pPr>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）雷电雨中避免高空作业、带电作业</w:t>
      </w:r>
      <w:r>
        <w:rPr>
          <w:rFonts w:hint="eastAsia"/>
          <w:color w:val="auto"/>
          <w:lang w:eastAsia="zh-CN"/>
        </w:rPr>
        <w:t>。</w:t>
      </w:r>
    </w:p>
    <w:p w14:paraId="6D0FC373">
      <w:pPr>
        <w:rPr>
          <w:color w:val="auto"/>
        </w:rPr>
      </w:pPr>
      <w:r>
        <w:rPr>
          <w:rFonts w:hint="eastAsia"/>
          <w:color w:val="auto"/>
        </w:rPr>
        <w:t>（</w:t>
      </w:r>
      <w:r>
        <w:rPr>
          <w:rFonts w:hint="eastAsia"/>
          <w:color w:val="auto"/>
          <w:lang w:val="en-US" w:eastAsia="zh-CN"/>
        </w:rPr>
        <w:t>5</w:t>
      </w:r>
      <w:r>
        <w:rPr>
          <w:rFonts w:hint="eastAsia"/>
          <w:color w:val="auto"/>
        </w:rPr>
        <w:t>）当气候十分恶劣时，应根据施工情况及时向安全小组请求停止施工，做好设施的防护工作。注意天气变化，当天气好转后及时向安全小组汇报，请求恢复施工。</w:t>
      </w:r>
    </w:p>
    <w:p w14:paraId="10F2A31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69" w:name="_Toc30424"/>
      <w:bookmarkStart w:id="170" w:name="_Toc400485053"/>
      <w:r>
        <w:rPr>
          <w:rFonts w:hint="eastAsia" w:ascii="宋体" w:hAnsi="宋体" w:eastAsia="宋体" w:cs="Times New Roman"/>
          <w:color w:val="auto"/>
          <w:lang w:val="en-US" w:eastAsia="zh-CN"/>
        </w:rPr>
        <w:t>6.4.6塔式起重机</w:t>
      </w:r>
      <w:r>
        <w:rPr>
          <w:rFonts w:hint="eastAsia" w:cs="Times New Roman"/>
          <w:color w:val="auto"/>
          <w:lang w:val="en-US" w:eastAsia="zh-CN"/>
        </w:rPr>
        <w:t>安装</w:t>
      </w:r>
      <w:r>
        <w:rPr>
          <w:rFonts w:hint="eastAsia" w:ascii="宋体" w:hAnsi="宋体" w:eastAsia="宋体" w:cs="Times New Roman"/>
          <w:color w:val="auto"/>
          <w:lang w:val="en-US" w:eastAsia="zh-CN"/>
        </w:rPr>
        <w:t>安全技术措施</w:t>
      </w:r>
      <w:bookmarkEnd w:id="166"/>
      <w:bookmarkEnd w:id="169"/>
      <w:bookmarkEnd w:id="170"/>
    </w:p>
    <w:p w14:paraId="45D7A66F">
      <w:pPr>
        <w:numPr>
          <w:ilvl w:val="0"/>
          <w:numId w:val="11"/>
        </w:numPr>
        <w:ind w:left="480" w:leftChars="200" w:firstLine="0" w:firstLineChars="0"/>
        <w:jc w:val="left"/>
        <w:rPr>
          <w:rFonts w:hint="eastAsia"/>
          <w:color w:val="auto"/>
          <w:lang w:val="en-US" w:eastAsia="zh-CN"/>
        </w:rPr>
      </w:pPr>
      <w:r>
        <w:rPr>
          <w:rFonts w:hint="eastAsia"/>
          <w:color w:val="auto"/>
        </w:rPr>
        <w:t>塔</w:t>
      </w:r>
      <w:r>
        <w:rPr>
          <w:rFonts w:hint="eastAsia"/>
          <w:color w:val="auto"/>
          <w:lang w:val="en-US" w:eastAsia="zh-CN"/>
        </w:rPr>
        <w:t>机安装</w:t>
      </w:r>
      <w:r>
        <w:rPr>
          <w:rFonts w:hint="eastAsia"/>
          <w:color w:val="auto"/>
        </w:rPr>
        <w:t>之前</w:t>
      </w:r>
      <w:r>
        <w:rPr>
          <w:rFonts w:hint="eastAsia"/>
          <w:color w:val="auto"/>
          <w:lang w:val="en-US" w:eastAsia="zh-CN"/>
        </w:rPr>
        <w:t>安装方案需通过评审，且</w:t>
      </w:r>
      <w:r>
        <w:rPr>
          <w:rFonts w:hint="eastAsia"/>
          <w:color w:val="auto"/>
        </w:rPr>
        <w:t>必须</w:t>
      </w:r>
      <w:r>
        <w:rPr>
          <w:rFonts w:hint="eastAsia"/>
          <w:color w:val="auto"/>
          <w:lang w:val="en-US" w:eastAsia="zh-CN"/>
        </w:rPr>
        <w:t>由工程、质检等相关部门对塔机</w:t>
      </w:r>
      <w:r>
        <w:rPr>
          <w:rFonts w:hint="eastAsia"/>
          <w:color w:val="auto"/>
        </w:rPr>
        <w:t>基础</w:t>
      </w:r>
      <w:r>
        <w:rPr>
          <w:rFonts w:hint="eastAsia"/>
          <w:color w:val="auto"/>
          <w:lang w:val="en-US" w:eastAsia="zh-CN"/>
        </w:rPr>
        <w:t>进行验收</w:t>
      </w:r>
      <w:r>
        <w:rPr>
          <w:rFonts w:hint="eastAsia"/>
          <w:color w:val="auto"/>
        </w:rPr>
        <w:t>，</w:t>
      </w:r>
      <w:r>
        <w:rPr>
          <w:rFonts w:hint="eastAsia"/>
          <w:color w:val="auto"/>
          <w:lang w:val="en-US" w:eastAsia="zh-CN"/>
        </w:rPr>
        <w:t>验收合格后方可进行方可进行施工。</w:t>
      </w:r>
    </w:p>
    <w:p w14:paraId="2531EF9B">
      <w:pPr>
        <w:numPr>
          <w:ilvl w:val="0"/>
          <w:numId w:val="11"/>
        </w:numPr>
        <w:ind w:left="480" w:leftChars="200" w:firstLine="0" w:firstLineChars="0"/>
        <w:jc w:val="left"/>
        <w:rPr>
          <w:rFonts w:hint="eastAsia"/>
          <w:color w:val="auto"/>
        </w:rPr>
      </w:pPr>
      <w:r>
        <w:rPr>
          <w:rFonts w:hint="eastAsia"/>
          <w:color w:val="auto"/>
        </w:rPr>
        <w:t>塔吊在</w:t>
      </w:r>
      <w:r>
        <w:rPr>
          <w:rFonts w:hint="eastAsia"/>
          <w:color w:val="auto"/>
          <w:lang w:val="en-US" w:eastAsia="zh-CN"/>
        </w:rPr>
        <w:t>安装</w:t>
      </w:r>
      <w:r>
        <w:rPr>
          <w:rFonts w:hint="eastAsia"/>
          <w:color w:val="auto"/>
        </w:rPr>
        <w:t>前由生产副经理</w:t>
      </w:r>
      <w:r>
        <w:rPr>
          <w:rFonts w:hint="eastAsia"/>
          <w:color w:val="auto"/>
          <w:lang w:val="en-US" w:eastAsia="zh-CN"/>
        </w:rPr>
        <w:t>参加</w:t>
      </w:r>
      <w:r>
        <w:rPr>
          <w:rFonts w:hint="eastAsia"/>
          <w:color w:val="auto"/>
          <w:lang w:eastAsia="zh-CN"/>
        </w:rPr>
        <w:t>，</w:t>
      </w:r>
      <w:r>
        <w:rPr>
          <w:rFonts w:hint="eastAsia"/>
          <w:color w:val="auto"/>
          <w:lang w:val="en-US" w:eastAsia="zh-CN"/>
        </w:rPr>
        <w:t>工程、设备及</w:t>
      </w:r>
      <w:r>
        <w:rPr>
          <w:rFonts w:hint="eastAsia"/>
          <w:color w:val="auto"/>
        </w:rPr>
        <w:t>安全</w:t>
      </w:r>
      <w:r>
        <w:rPr>
          <w:rFonts w:hint="eastAsia"/>
          <w:color w:val="auto"/>
          <w:lang w:val="en-US" w:eastAsia="zh-CN"/>
        </w:rPr>
        <w:t>等部门</w:t>
      </w:r>
      <w:r>
        <w:rPr>
          <w:rFonts w:hint="eastAsia"/>
          <w:color w:val="auto"/>
        </w:rPr>
        <w:t>组织</w:t>
      </w:r>
      <w:r>
        <w:rPr>
          <w:rFonts w:hint="eastAsia"/>
          <w:color w:val="auto"/>
          <w:lang w:val="en-US" w:eastAsia="zh-CN"/>
        </w:rPr>
        <w:t>安装</w:t>
      </w:r>
      <w:r>
        <w:rPr>
          <w:rFonts w:hint="eastAsia"/>
          <w:color w:val="auto"/>
        </w:rPr>
        <w:t>人员进行</w:t>
      </w:r>
      <w:r>
        <w:rPr>
          <w:rFonts w:hint="eastAsia"/>
          <w:color w:val="auto"/>
          <w:lang w:val="en-US" w:eastAsia="zh-CN"/>
        </w:rPr>
        <w:t>技术</w:t>
      </w:r>
      <w:r>
        <w:rPr>
          <w:rFonts w:hint="eastAsia"/>
          <w:color w:val="auto"/>
        </w:rPr>
        <w:t>交底和</w:t>
      </w:r>
      <w:r>
        <w:rPr>
          <w:rFonts w:hint="eastAsia"/>
          <w:color w:val="auto"/>
          <w:lang w:val="en-US" w:eastAsia="zh-CN"/>
        </w:rPr>
        <w:t>危险源告知。</w:t>
      </w:r>
    </w:p>
    <w:p w14:paraId="3CCE44D4">
      <w:pPr>
        <w:jc w:val="left"/>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安装</w:t>
      </w:r>
      <w:r>
        <w:rPr>
          <w:rFonts w:hint="eastAsia"/>
          <w:color w:val="auto"/>
        </w:rPr>
        <w:t>人员必须了解塔机性能、安装程序、各部件位置和正确吊点</w:t>
      </w:r>
      <w:r>
        <w:rPr>
          <w:rFonts w:hint="eastAsia"/>
          <w:color w:val="auto"/>
          <w:lang w:eastAsia="zh-CN"/>
        </w:rPr>
        <w:t>。</w:t>
      </w:r>
    </w:p>
    <w:p w14:paraId="361119B2">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）合理安排</w:t>
      </w:r>
      <w:r>
        <w:rPr>
          <w:rFonts w:hint="eastAsia"/>
          <w:color w:val="auto"/>
          <w:lang w:val="en-US" w:eastAsia="zh-CN"/>
        </w:rPr>
        <w:t>安装</w:t>
      </w:r>
      <w:r>
        <w:rPr>
          <w:rFonts w:hint="eastAsia"/>
          <w:color w:val="auto"/>
        </w:rPr>
        <w:t>人员，明确分工，责任落实到每个人</w:t>
      </w:r>
      <w:r>
        <w:rPr>
          <w:rFonts w:hint="eastAsia"/>
          <w:color w:val="auto"/>
          <w:lang w:eastAsia="zh-CN"/>
        </w:rPr>
        <w:t>。</w:t>
      </w:r>
    </w:p>
    <w:p w14:paraId="4BF47DE5">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安装</w:t>
      </w:r>
      <w:r>
        <w:rPr>
          <w:rFonts w:hint="eastAsia"/>
          <w:color w:val="auto"/>
        </w:rPr>
        <w:t>过程中要统一指挥，一切程序都必须通过指挥实施</w:t>
      </w:r>
      <w:r>
        <w:rPr>
          <w:rFonts w:hint="eastAsia"/>
          <w:color w:val="auto"/>
          <w:lang w:eastAsia="zh-CN"/>
        </w:rPr>
        <w:t>。</w:t>
      </w:r>
    </w:p>
    <w:p w14:paraId="415F6130">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安装</w:t>
      </w:r>
      <w:r>
        <w:rPr>
          <w:rFonts w:hint="eastAsia"/>
          <w:color w:val="auto"/>
        </w:rPr>
        <w:t>人员进入施工现场必须戴合格的安全帽、系好下额带，锁好带扣，高空作业人员登高（2米以上）作业时必须系合格的安全带，系挂牢固，高挂低用，穿防滑鞋，以防高空坠落</w:t>
      </w:r>
      <w:r>
        <w:rPr>
          <w:rFonts w:hint="eastAsia"/>
          <w:color w:val="auto"/>
          <w:lang w:eastAsia="zh-CN"/>
        </w:rPr>
        <w:t>。</w:t>
      </w:r>
    </w:p>
    <w:p w14:paraId="4F90000C">
      <w:pPr>
        <w:jc w:val="left"/>
        <w:rPr>
          <w:rFonts w:hint="eastAsia" w:eastAsia="宋体"/>
          <w:color w:val="auto"/>
          <w:lang w:eastAsia="zh-CN"/>
        </w:rPr>
      </w:pPr>
      <w:r>
        <w:rPr>
          <w:rFonts w:hint="eastAsia"/>
          <w:color w:val="auto"/>
        </w:rPr>
        <w:t>（</w:t>
      </w:r>
      <w:r>
        <w:rPr>
          <w:rFonts w:hint="eastAsia"/>
          <w:color w:val="auto"/>
          <w:lang w:val="en-US" w:eastAsia="zh-CN"/>
        </w:rPr>
        <w:t>7</w:t>
      </w:r>
      <w:r>
        <w:rPr>
          <w:rFonts w:hint="eastAsia"/>
          <w:color w:val="auto"/>
        </w:rPr>
        <w:t>）安装前要对结构检查有无变形、开焊、裂纹、破损，连接螺栓和拧紧力矩是否符合安全要求。拆卸前要对机械进行检查，是否存在安全问题，确认后才能进行拆卸</w:t>
      </w:r>
      <w:r>
        <w:rPr>
          <w:rFonts w:hint="eastAsia"/>
          <w:color w:val="auto"/>
          <w:lang w:eastAsia="zh-CN"/>
        </w:rPr>
        <w:t>。</w:t>
      </w:r>
    </w:p>
    <w:p w14:paraId="6B9465BA">
      <w:pPr>
        <w:jc w:val="left"/>
        <w:rPr>
          <w:rFonts w:hint="eastAsia" w:eastAsia="宋体"/>
          <w:color w:val="auto"/>
          <w:lang w:eastAsia="zh-CN"/>
        </w:rPr>
      </w:pPr>
      <w:r>
        <w:rPr>
          <w:rFonts w:hint="eastAsia"/>
          <w:color w:val="auto"/>
        </w:rPr>
        <w:t>（</w:t>
      </w:r>
      <w:r>
        <w:rPr>
          <w:rFonts w:hint="eastAsia"/>
          <w:color w:val="auto"/>
          <w:lang w:val="en-US" w:eastAsia="zh-CN"/>
        </w:rPr>
        <w:t>8</w:t>
      </w:r>
      <w:r>
        <w:rPr>
          <w:rFonts w:hint="eastAsia"/>
          <w:color w:val="auto"/>
        </w:rPr>
        <w:t>）检查钢丝绳规格是否正确达到报废标准，润滑系统是否良好</w:t>
      </w:r>
      <w:r>
        <w:rPr>
          <w:rFonts w:hint="eastAsia"/>
          <w:color w:val="auto"/>
          <w:lang w:eastAsia="zh-CN"/>
        </w:rPr>
        <w:t>。</w:t>
      </w:r>
    </w:p>
    <w:p w14:paraId="68334CFE">
      <w:pPr>
        <w:jc w:val="left"/>
        <w:rPr>
          <w:rFonts w:hint="eastAsia" w:eastAsia="宋体"/>
          <w:color w:val="auto"/>
          <w:lang w:eastAsia="zh-CN"/>
        </w:rPr>
      </w:pP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塔机安装</w:t>
      </w:r>
      <w:r>
        <w:rPr>
          <w:rFonts w:hint="eastAsia"/>
          <w:color w:val="auto"/>
        </w:rPr>
        <w:t>由</w:t>
      </w:r>
      <w:r>
        <w:rPr>
          <w:rFonts w:hint="eastAsia"/>
          <w:color w:val="auto"/>
          <w:lang w:val="en-US" w:eastAsia="zh-CN"/>
        </w:rPr>
        <w:t>下</w:t>
      </w:r>
      <w:r>
        <w:rPr>
          <w:rFonts w:hint="eastAsia"/>
          <w:color w:val="auto"/>
        </w:rPr>
        <w:t>往</w:t>
      </w:r>
      <w:r>
        <w:rPr>
          <w:rFonts w:hint="eastAsia"/>
          <w:color w:val="auto"/>
          <w:lang w:val="en-US" w:eastAsia="zh-CN"/>
        </w:rPr>
        <w:t>上</w:t>
      </w:r>
      <w:r>
        <w:rPr>
          <w:rFonts w:hint="eastAsia"/>
          <w:color w:val="auto"/>
        </w:rPr>
        <w:t>按技术要求进行</w:t>
      </w:r>
      <w:r>
        <w:rPr>
          <w:rFonts w:hint="eastAsia"/>
          <w:color w:val="auto"/>
          <w:lang w:val="en-US" w:eastAsia="zh-CN"/>
        </w:rPr>
        <w:t>安装</w:t>
      </w:r>
      <w:r>
        <w:rPr>
          <w:rFonts w:hint="eastAsia"/>
          <w:color w:val="auto"/>
        </w:rPr>
        <w:t>，不得违章作业</w:t>
      </w:r>
      <w:r>
        <w:rPr>
          <w:rFonts w:hint="eastAsia"/>
          <w:color w:val="auto"/>
          <w:lang w:eastAsia="zh-CN"/>
        </w:rPr>
        <w:t>。</w:t>
      </w:r>
    </w:p>
    <w:p w14:paraId="462FFA1B">
      <w:pPr>
        <w:jc w:val="left"/>
        <w:rPr>
          <w:rFonts w:hint="eastAsia" w:eastAsia="宋体"/>
          <w:color w:val="auto"/>
          <w:lang w:eastAsia="zh-CN"/>
        </w:rPr>
      </w:pPr>
      <w:r>
        <w:rPr>
          <w:rFonts w:hint="eastAsia"/>
          <w:color w:val="auto"/>
        </w:rPr>
        <w:t>（1</w:t>
      </w:r>
      <w:r>
        <w:rPr>
          <w:rFonts w:hint="eastAsia"/>
          <w:color w:val="auto"/>
          <w:lang w:val="en-US" w:eastAsia="zh-CN"/>
        </w:rPr>
        <w:t>0</w:t>
      </w:r>
      <w:r>
        <w:rPr>
          <w:rFonts w:hint="eastAsia"/>
          <w:color w:val="auto"/>
        </w:rPr>
        <w:t>）在</w:t>
      </w:r>
      <w:r>
        <w:rPr>
          <w:rFonts w:hint="eastAsia"/>
          <w:color w:val="auto"/>
          <w:lang w:val="en-US" w:eastAsia="zh-CN"/>
        </w:rPr>
        <w:t>安装</w:t>
      </w:r>
      <w:r>
        <w:rPr>
          <w:rFonts w:hint="eastAsia"/>
          <w:color w:val="auto"/>
        </w:rPr>
        <w:t>吊运过程中，要选好吊物的中心，吊索正确挂在吊点上，要确保安全</w:t>
      </w:r>
      <w:r>
        <w:rPr>
          <w:rFonts w:hint="eastAsia"/>
          <w:color w:val="auto"/>
          <w:lang w:eastAsia="zh-CN"/>
        </w:rPr>
        <w:t>。</w:t>
      </w:r>
    </w:p>
    <w:p w14:paraId="4698D39F">
      <w:pPr>
        <w:jc w:val="left"/>
        <w:rPr>
          <w:rFonts w:hint="eastAsia" w:eastAsia="宋体"/>
          <w:color w:val="auto"/>
          <w:lang w:eastAsia="zh-CN"/>
        </w:rPr>
      </w:pPr>
      <w:r>
        <w:rPr>
          <w:rFonts w:hint="eastAsia"/>
          <w:color w:val="auto"/>
        </w:rPr>
        <w:t>（1</w:t>
      </w:r>
      <w:r>
        <w:rPr>
          <w:rFonts w:hint="eastAsia"/>
          <w:color w:val="auto"/>
          <w:lang w:val="en-US" w:eastAsia="zh-CN"/>
        </w:rPr>
        <w:t>1</w:t>
      </w:r>
      <w:r>
        <w:rPr>
          <w:rFonts w:hint="eastAsia"/>
          <w:color w:val="auto"/>
        </w:rPr>
        <w:t>）</w:t>
      </w:r>
      <w:r>
        <w:rPr>
          <w:rFonts w:hint="eastAsia"/>
          <w:color w:val="auto"/>
          <w:lang w:val="en-US" w:eastAsia="zh-CN"/>
        </w:rPr>
        <w:t>安装</w:t>
      </w:r>
      <w:r>
        <w:rPr>
          <w:rFonts w:hint="eastAsia"/>
          <w:color w:val="auto"/>
        </w:rPr>
        <w:t>塔</w:t>
      </w:r>
      <w:r>
        <w:rPr>
          <w:rFonts w:hint="eastAsia"/>
          <w:color w:val="auto"/>
          <w:lang w:val="en-US" w:eastAsia="zh-CN"/>
        </w:rPr>
        <w:t>吊</w:t>
      </w:r>
      <w:r>
        <w:rPr>
          <w:rFonts w:hint="eastAsia"/>
          <w:color w:val="auto"/>
        </w:rPr>
        <w:t>时，严禁只安装一个臂或只拆</w:t>
      </w:r>
      <w:r>
        <w:rPr>
          <w:rFonts w:hint="eastAsia"/>
          <w:color w:val="auto"/>
          <w:lang w:val="en-US" w:eastAsia="zh-CN"/>
        </w:rPr>
        <w:t>除</w:t>
      </w:r>
      <w:r>
        <w:rPr>
          <w:rFonts w:hint="eastAsia"/>
          <w:color w:val="auto"/>
        </w:rPr>
        <w:t>一个臂就中断作业</w:t>
      </w:r>
      <w:r>
        <w:rPr>
          <w:rFonts w:hint="eastAsia"/>
          <w:color w:val="auto"/>
          <w:lang w:eastAsia="zh-CN"/>
        </w:rPr>
        <w:t>。</w:t>
      </w:r>
    </w:p>
    <w:p w14:paraId="10F6242C">
      <w:pPr>
        <w:jc w:val="left"/>
        <w:rPr>
          <w:rFonts w:hint="eastAsia" w:eastAsia="宋体"/>
          <w:color w:val="auto"/>
          <w:lang w:eastAsia="zh-CN"/>
        </w:rPr>
      </w:pPr>
      <w:r>
        <w:rPr>
          <w:rFonts w:hint="eastAsia"/>
          <w:color w:val="auto"/>
        </w:rPr>
        <w:t>（1</w:t>
      </w:r>
      <w:r>
        <w:rPr>
          <w:rFonts w:hint="eastAsia"/>
          <w:color w:val="auto"/>
          <w:lang w:val="en-US" w:eastAsia="zh-CN"/>
        </w:rPr>
        <w:t>2</w:t>
      </w:r>
      <w:r>
        <w:rPr>
          <w:rFonts w:hint="eastAsia"/>
          <w:color w:val="auto"/>
        </w:rPr>
        <w:t>）塔吊顶升前，先检查液压系统有无泄漏，标准节有无变形和开焊，型号是否正确，检查电缆长度和有无破损。并进行试顶，确保顶升平稳和安全</w:t>
      </w:r>
      <w:r>
        <w:rPr>
          <w:rFonts w:hint="eastAsia"/>
          <w:color w:val="auto"/>
          <w:lang w:eastAsia="zh-CN"/>
        </w:rPr>
        <w:t>。</w:t>
      </w:r>
    </w:p>
    <w:p w14:paraId="614300E7">
      <w:pPr>
        <w:jc w:val="left"/>
        <w:rPr>
          <w:rFonts w:hint="eastAsia" w:eastAsia="宋体"/>
          <w:color w:val="auto"/>
          <w:lang w:eastAsia="zh-CN"/>
        </w:rPr>
      </w:pPr>
      <w:r>
        <w:rPr>
          <w:rFonts w:hint="eastAsia"/>
          <w:color w:val="auto"/>
        </w:rPr>
        <w:t>（1</w:t>
      </w:r>
      <w:r>
        <w:rPr>
          <w:rFonts w:hint="eastAsia"/>
          <w:color w:val="auto"/>
          <w:lang w:val="en-US" w:eastAsia="zh-CN"/>
        </w:rPr>
        <w:t>3</w:t>
      </w:r>
      <w:r>
        <w:rPr>
          <w:rFonts w:hint="eastAsia"/>
          <w:color w:val="auto"/>
        </w:rPr>
        <w:t>）顶升过程中，要求按顶升工艺进行，各部销子安装正确，开口销打开，注意查看支承轮间隙是否一致</w:t>
      </w:r>
      <w:r>
        <w:rPr>
          <w:rFonts w:hint="eastAsia"/>
          <w:color w:val="auto"/>
          <w:lang w:eastAsia="zh-CN"/>
        </w:rPr>
        <w:t>。</w:t>
      </w:r>
    </w:p>
    <w:p w14:paraId="426CCD57">
      <w:pPr>
        <w:jc w:val="left"/>
        <w:rPr>
          <w:rFonts w:hint="eastAsia" w:eastAsia="宋体"/>
          <w:color w:val="auto"/>
          <w:lang w:eastAsia="zh-CN"/>
        </w:rPr>
      </w:pPr>
      <w:r>
        <w:rPr>
          <w:rFonts w:hint="eastAsia"/>
          <w:color w:val="auto"/>
        </w:rPr>
        <w:t>（1</w:t>
      </w:r>
      <w:r>
        <w:rPr>
          <w:rFonts w:hint="eastAsia"/>
          <w:color w:val="auto"/>
          <w:lang w:val="en-US" w:eastAsia="zh-CN"/>
        </w:rPr>
        <w:t>4</w:t>
      </w:r>
      <w:r>
        <w:rPr>
          <w:rFonts w:hint="eastAsia"/>
          <w:color w:val="auto"/>
        </w:rPr>
        <w:t>）顶升塔吊作业4级风不得进行顶升，顶升过程中不得转臂，并将回转左右打眼固定</w:t>
      </w:r>
      <w:r>
        <w:rPr>
          <w:rFonts w:hint="eastAsia"/>
          <w:color w:val="auto"/>
          <w:lang w:eastAsia="zh-CN"/>
        </w:rPr>
        <w:t>。</w:t>
      </w:r>
    </w:p>
    <w:p w14:paraId="319F86A5">
      <w:pPr>
        <w:jc w:val="left"/>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）塔吊附着锚固之前检查框架、锚杆等是否有开焊、变形和裂缝现象，锚杆长度和结构形式是否符合附着要求</w:t>
      </w:r>
      <w:r>
        <w:rPr>
          <w:rFonts w:hint="eastAsia"/>
          <w:color w:val="auto"/>
          <w:lang w:eastAsia="zh-CN"/>
        </w:rPr>
        <w:t>。</w:t>
      </w:r>
    </w:p>
    <w:p w14:paraId="698058AA">
      <w:pPr>
        <w:jc w:val="left"/>
        <w:rPr>
          <w:rFonts w:hint="eastAsia" w:eastAsia="宋体"/>
          <w:color w:val="auto"/>
          <w:lang w:eastAsia="zh-CN"/>
        </w:rPr>
      </w:pPr>
      <w:r>
        <w:rPr>
          <w:rFonts w:hint="eastAsia"/>
          <w:color w:val="auto"/>
        </w:rPr>
        <w:t>（1</w:t>
      </w:r>
      <w:r>
        <w:rPr>
          <w:rFonts w:hint="eastAsia"/>
          <w:color w:val="auto"/>
          <w:lang w:val="en-US" w:eastAsia="zh-CN"/>
        </w:rPr>
        <w:t>6</w:t>
      </w:r>
      <w:r>
        <w:rPr>
          <w:rFonts w:hint="eastAsia"/>
          <w:color w:val="auto"/>
        </w:rPr>
        <w:t>）附后检查塔身锚固框架安装位置是否符合规定要求，检查塔身与锚固框架是否固定牢靠，框架、锚杆、墙板、螺栓、销轴是否齐全正确可靠，垫铁、楔块等零部件是否齐全</w:t>
      </w:r>
      <w:r>
        <w:rPr>
          <w:rFonts w:hint="eastAsia"/>
          <w:color w:val="auto"/>
          <w:lang w:eastAsia="zh-CN"/>
        </w:rPr>
        <w:t>。</w:t>
      </w:r>
    </w:p>
    <w:p w14:paraId="2CCAD9DC">
      <w:pPr>
        <w:jc w:val="left"/>
        <w:rPr>
          <w:rFonts w:hint="eastAsia"/>
          <w:color w:val="auto"/>
        </w:rPr>
      </w:pPr>
      <w:r>
        <w:rPr>
          <w:rFonts w:hint="eastAsia"/>
          <w:color w:val="auto"/>
        </w:rPr>
        <w:t>（1</w:t>
      </w:r>
      <w:r>
        <w:rPr>
          <w:rFonts w:hint="eastAsia"/>
          <w:color w:val="auto"/>
          <w:lang w:val="en-US" w:eastAsia="zh-CN"/>
        </w:rPr>
        <w:t>7</w:t>
      </w:r>
      <w:r>
        <w:rPr>
          <w:rFonts w:hint="eastAsia"/>
          <w:color w:val="auto"/>
        </w:rPr>
        <w:t>）附着连接方式及紧固是否符合安全要</w:t>
      </w:r>
      <w:r>
        <w:rPr>
          <w:rFonts w:hint="eastAsia"/>
          <w:color w:val="auto"/>
          <w:lang w:eastAsia="zh-CN"/>
        </w:rPr>
        <w:t>。</w:t>
      </w:r>
      <w:r>
        <w:rPr>
          <w:rFonts w:hint="eastAsia"/>
          <w:color w:val="auto"/>
        </w:rPr>
        <w:t>；</w:t>
      </w:r>
    </w:p>
    <w:p w14:paraId="138AB75C">
      <w:pPr>
        <w:jc w:val="left"/>
        <w:rPr>
          <w:rFonts w:hint="eastAsia" w:eastAsia="宋体"/>
          <w:color w:val="auto"/>
          <w:lang w:eastAsia="zh-CN"/>
        </w:rPr>
      </w:pPr>
      <w:r>
        <w:rPr>
          <w:rFonts w:hint="eastAsia"/>
          <w:color w:val="auto"/>
        </w:rPr>
        <w:t>（1</w:t>
      </w:r>
      <w:r>
        <w:rPr>
          <w:rFonts w:hint="eastAsia"/>
          <w:color w:val="auto"/>
          <w:lang w:val="en-US" w:eastAsia="zh-CN"/>
        </w:rPr>
        <w:t>8</w:t>
      </w:r>
      <w:r>
        <w:rPr>
          <w:rFonts w:hint="eastAsia"/>
          <w:color w:val="auto"/>
        </w:rPr>
        <w:t>）最高附着点以下塔身轴线对支承面垂直度不得大于相应高度的2‰。要求最高附着点以上塔身轴线对支承面垂直度不得大于相应高度的4‰</w:t>
      </w:r>
      <w:r>
        <w:rPr>
          <w:rFonts w:hint="eastAsia"/>
          <w:color w:val="auto"/>
          <w:lang w:eastAsia="zh-CN"/>
        </w:rPr>
        <w:t>。</w:t>
      </w:r>
    </w:p>
    <w:p w14:paraId="765A68F1">
      <w:pPr>
        <w:jc w:val="left"/>
        <w:rPr>
          <w:rFonts w:hint="eastAsia" w:eastAsia="宋体"/>
          <w:color w:val="auto"/>
          <w:lang w:eastAsia="zh-CN"/>
        </w:rPr>
      </w:pPr>
      <w:r>
        <w:rPr>
          <w:rFonts w:hint="eastAsia"/>
          <w:color w:val="auto"/>
        </w:rPr>
        <w:t>（1</w:t>
      </w:r>
      <w:r>
        <w:rPr>
          <w:rFonts w:hint="eastAsia"/>
          <w:color w:val="auto"/>
          <w:lang w:val="en-US" w:eastAsia="zh-CN"/>
        </w:rPr>
        <w:t>9</w:t>
      </w:r>
      <w:r>
        <w:rPr>
          <w:rFonts w:hint="eastAsia"/>
          <w:color w:val="auto"/>
        </w:rPr>
        <w:t>）锚固点以上塔机自由高度不得大于规定要求</w:t>
      </w:r>
      <w:r>
        <w:rPr>
          <w:rFonts w:hint="eastAsia"/>
          <w:color w:val="auto"/>
          <w:lang w:eastAsia="zh-CN"/>
        </w:rPr>
        <w:t>。</w:t>
      </w:r>
    </w:p>
    <w:p w14:paraId="7F06F88A">
      <w:pPr>
        <w:jc w:val="left"/>
        <w:rPr>
          <w:rFonts w:hint="eastAsia" w:eastAsia="宋体"/>
          <w:color w:val="auto"/>
          <w:lang w:eastAsia="zh-CN"/>
        </w:rPr>
      </w:pPr>
      <w:r>
        <w:rPr>
          <w:rFonts w:hint="eastAsia"/>
          <w:color w:val="auto"/>
        </w:rPr>
        <w:t>（</w:t>
      </w:r>
      <w:r>
        <w:rPr>
          <w:rFonts w:hint="eastAsia"/>
          <w:color w:val="auto"/>
          <w:lang w:val="en-US" w:eastAsia="zh-CN"/>
        </w:rPr>
        <w:t>20</w:t>
      </w:r>
      <w:r>
        <w:rPr>
          <w:rFonts w:hint="eastAsia"/>
          <w:color w:val="auto"/>
        </w:rPr>
        <w:t>）</w:t>
      </w:r>
      <w:r>
        <w:rPr>
          <w:rFonts w:hint="eastAsia"/>
          <w:color w:val="auto"/>
          <w:lang w:val="en-US" w:eastAsia="zh-CN"/>
        </w:rPr>
        <w:t>安装</w:t>
      </w:r>
      <w:r>
        <w:rPr>
          <w:rFonts w:hint="eastAsia"/>
          <w:color w:val="auto"/>
        </w:rPr>
        <w:t>人员必须服从</w:t>
      </w:r>
      <w:r>
        <w:rPr>
          <w:rFonts w:hint="eastAsia"/>
          <w:color w:val="auto"/>
          <w:lang w:val="en-US" w:eastAsia="zh-CN"/>
        </w:rPr>
        <w:t>作业班组长</w:t>
      </w:r>
      <w:r>
        <w:rPr>
          <w:rFonts w:hint="eastAsia"/>
          <w:color w:val="auto"/>
        </w:rPr>
        <w:t>指挥和安全人员监督，如有违章作业或违反操作规程要立即制止</w:t>
      </w:r>
      <w:r>
        <w:rPr>
          <w:rFonts w:hint="eastAsia"/>
          <w:color w:val="auto"/>
          <w:lang w:eastAsia="zh-CN"/>
        </w:rPr>
        <w:t>。</w:t>
      </w:r>
    </w:p>
    <w:p w14:paraId="2C46611A">
      <w:pPr>
        <w:jc w:val="left"/>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1）禁止酒后作业和打闹，</w:t>
      </w:r>
      <w:r>
        <w:rPr>
          <w:rFonts w:hint="eastAsia"/>
          <w:color w:val="auto"/>
          <w:lang w:val="en-US" w:eastAsia="zh-CN"/>
        </w:rPr>
        <w:t>安装</w:t>
      </w:r>
      <w:r>
        <w:rPr>
          <w:rFonts w:hint="eastAsia"/>
          <w:color w:val="auto"/>
        </w:rPr>
        <w:t>人员必须持证上岗</w:t>
      </w:r>
      <w:r>
        <w:rPr>
          <w:rFonts w:hint="eastAsia"/>
          <w:color w:val="auto"/>
          <w:lang w:eastAsia="zh-CN"/>
        </w:rPr>
        <w:t>。</w:t>
      </w:r>
    </w:p>
    <w:p w14:paraId="5CC71076">
      <w:pPr>
        <w:jc w:val="left"/>
        <w:rPr>
          <w:rFonts w:hint="eastAsia" w:eastAsia="宋体"/>
          <w:color w:val="auto"/>
          <w:lang w:eastAsia="zh-CN"/>
        </w:rPr>
      </w:pPr>
      <w:r>
        <w:rPr>
          <w:rFonts w:hint="eastAsia"/>
          <w:color w:val="auto"/>
        </w:rPr>
        <w:t>（</w:t>
      </w:r>
      <w:r>
        <w:rPr>
          <w:rFonts w:hint="eastAsia"/>
          <w:color w:val="auto"/>
          <w:lang w:val="en-US" w:eastAsia="zh-CN"/>
        </w:rPr>
        <w:t>22</w:t>
      </w:r>
      <w:r>
        <w:rPr>
          <w:rFonts w:hint="eastAsia"/>
          <w:color w:val="auto"/>
        </w:rPr>
        <w:t>）</w:t>
      </w:r>
      <w:r>
        <w:rPr>
          <w:rFonts w:hint="eastAsia"/>
          <w:color w:val="auto"/>
          <w:lang w:val="en-US" w:eastAsia="zh-CN"/>
        </w:rPr>
        <w:t>安装</w:t>
      </w:r>
      <w:r>
        <w:rPr>
          <w:rFonts w:hint="eastAsia"/>
          <w:color w:val="auto"/>
        </w:rPr>
        <w:t>完毕后，必须由</w:t>
      </w:r>
      <w:r>
        <w:rPr>
          <w:rFonts w:hint="eastAsia"/>
          <w:color w:val="auto"/>
          <w:lang w:val="en-US" w:eastAsia="zh-CN"/>
        </w:rPr>
        <w:t>安装</w:t>
      </w:r>
      <w:r>
        <w:rPr>
          <w:rFonts w:hint="eastAsia"/>
          <w:color w:val="auto"/>
        </w:rPr>
        <w:t>负责人重新对各个部位检查一遍，安装是否正确，并做好记录</w:t>
      </w:r>
      <w:r>
        <w:rPr>
          <w:rFonts w:hint="eastAsia"/>
          <w:color w:val="auto"/>
          <w:lang w:eastAsia="zh-CN"/>
        </w:rPr>
        <w:t>。</w:t>
      </w:r>
    </w:p>
    <w:p w14:paraId="28CFAB0F">
      <w:pPr>
        <w:jc w:val="left"/>
        <w:rPr>
          <w:rFonts w:hint="eastAsia" w:eastAsia="宋体"/>
          <w:color w:val="auto"/>
          <w:lang w:eastAsia="zh-CN"/>
        </w:rPr>
      </w:pPr>
      <w:r>
        <w:rPr>
          <w:rFonts w:hint="eastAsia"/>
          <w:color w:val="auto"/>
        </w:rPr>
        <w:t>（</w:t>
      </w:r>
      <w:r>
        <w:rPr>
          <w:rFonts w:hint="eastAsia"/>
          <w:color w:val="auto"/>
          <w:lang w:val="en-US" w:eastAsia="zh-CN"/>
        </w:rPr>
        <w:t>23</w:t>
      </w:r>
      <w:r>
        <w:rPr>
          <w:rFonts w:hint="eastAsia"/>
          <w:color w:val="auto"/>
        </w:rPr>
        <w:t>）安全员要坚守岗位，对违反安全规定的人员，有权停止其工作，认真施行职责</w:t>
      </w:r>
      <w:r>
        <w:rPr>
          <w:rFonts w:hint="eastAsia"/>
          <w:color w:val="auto"/>
          <w:lang w:eastAsia="zh-CN"/>
        </w:rPr>
        <w:t>。</w:t>
      </w:r>
    </w:p>
    <w:p w14:paraId="0BB851A9">
      <w:pPr>
        <w:jc w:val="left"/>
        <w:rPr>
          <w:rFonts w:hint="eastAsia" w:eastAsia="宋体"/>
          <w:color w:val="auto"/>
          <w:lang w:eastAsia="zh-CN"/>
        </w:rPr>
      </w:pPr>
      <w:r>
        <w:rPr>
          <w:rFonts w:hint="eastAsia"/>
          <w:color w:val="auto"/>
        </w:rPr>
        <w:t>（</w:t>
      </w:r>
      <w:r>
        <w:rPr>
          <w:rFonts w:hint="eastAsia"/>
          <w:color w:val="auto"/>
          <w:lang w:val="en-US" w:eastAsia="zh-CN"/>
        </w:rPr>
        <w:t>24</w:t>
      </w:r>
      <w:r>
        <w:rPr>
          <w:rFonts w:hint="eastAsia"/>
          <w:color w:val="auto"/>
        </w:rPr>
        <w:t>）参加高空作业的人员，应进行严格的体格检查，不合格者，不准进行高空作业</w:t>
      </w:r>
      <w:r>
        <w:rPr>
          <w:rFonts w:hint="eastAsia"/>
          <w:color w:val="auto"/>
          <w:lang w:eastAsia="zh-CN"/>
        </w:rPr>
        <w:t>。</w:t>
      </w:r>
    </w:p>
    <w:p w14:paraId="4FDBB457">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1" w:name="_Toc18916"/>
      <w:bookmarkStart w:id="172" w:name="_Toc738536073"/>
      <w:bookmarkStart w:id="173" w:name="_Toc17383808"/>
      <w:r>
        <w:rPr>
          <w:rFonts w:hint="eastAsia" w:ascii="宋体" w:hAnsi="宋体" w:eastAsia="宋体" w:cs="Times New Roman"/>
          <w:color w:val="auto"/>
          <w:lang w:val="en-US" w:eastAsia="zh-CN"/>
        </w:rPr>
        <w:t>6.4.7塔身升降施工安全保障措施</w:t>
      </w:r>
      <w:bookmarkEnd w:id="171"/>
      <w:bookmarkEnd w:id="172"/>
    </w:p>
    <w:p w14:paraId="5C3BEBD6">
      <w:pPr>
        <w:ind w:firstLine="480"/>
        <w:rPr>
          <w:rFonts w:hAnsi="宋体"/>
          <w:color w:val="auto"/>
          <w:kern w:val="0"/>
        </w:rPr>
      </w:pPr>
      <w:r>
        <w:rPr>
          <w:rFonts w:hint="eastAsia"/>
          <w:color w:val="auto"/>
        </w:rPr>
        <w:t>为保证塔身升降过程中，人员及其塔吊的安全，</w:t>
      </w:r>
      <w:r>
        <w:rPr>
          <w:rFonts w:hint="eastAsia" w:hAnsi="宋体"/>
          <w:color w:val="auto"/>
          <w:kern w:val="0"/>
        </w:rPr>
        <w:t>对顶升横梁、爬爪与踏步位置关系、塔机下支座与套架、标准节“四角”接口连接进行监控检测</w:t>
      </w:r>
    </w:p>
    <w:p w14:paraId="3065D766">
      <w:pPr>
        <w:pStyle w:val="52"/>
        <w:bidi w:val="0"/>
        <w:rPr>
          <w:color w:val="auto"/>
        </w:rPr>
      </w:pPr>
      <w:r>
        <w:rPr>
          <w:rFonts w:hint="eastAsia"/>
          <w:color w:val="auto"/>
        </w:rPr>
        <w:t xml:space="preserve">表 </w:t>
      </w:r>
      <w:r>
        <w:rPr>
          <w:color w:val="auto"/>
        </w:rPr>
        <w:fldChar w:fldCharType="begin"/>
      </w:r>
      <w:r>
        <w:rPr>
          <w:rFonts w:hint="eastAsia"/>
          <w:color w:val="auto"/>
        </w:rPr>
        <w:instrText xml:space="preserve">STYLEREF 2 \s</w:instrText>
      </w:r>
      <w:r>
        <w:rPr>
          <w:color w:val="auto"/>
        </w:rPr>
        <w:fldChar w:fldCharType="separate"/>
      </w:r>
      <w:r>
        <w:rPr>
          <w:color w:val="auto"/>
        </w:rPr>
        <w:t>6.</w:t>
      </w:r>
      <w:r>
        <w:rPr>
          <w:rFonts w:hint="eastAsia"/>
          <w:color w:val="auto"/>
          <w:lang w:val="en-US" w:eastAsia="zh-CN"/>
        </w:rPr>
        <w:t>4</w:t>
      </w:r>
      <w:r>
        <w:rPr>
          <w:color w:val="auto"/>
        </w:rPr>
        <w:fldChar w:fldCharType="end"/>
      </w:r>
      <w:r>
        <w:rPr>
          <w:rFonts w:hint="eastAsia"/>
          <w:color w:val="auto"/>
          <w:lang w:val="en-US" w:eastAsia="zh-CN"/>
        </w:rPr>
        <w:t>-</w:t>
      </w:r>
      <w:r>
        <w:rPr>
          <w:color w:val="auto"/>
        </w:rPr>
        <w:fldChar w:fldCharType="begin"/>
      </w:r>
      <w:r>
        <w:rPr>
          <w:rFonts w:hint="eastAsia"/>
          <w:color w:val="auto"/>
        </w:rPr>
        <w:instrText xml:space="preserve">SEQ 表 \* ARABIC \s 2</w:instrText>
      </w:r>
      <w:r>
        <w:rPr>
          <w:color w:val="auto"/>
        </w:rPr>
        <w:fldChar w:fldCharType="separate"/>
      </w:r>
      <w:r>
        <w:rPr>
          <w:rFonts w:hint="eastAsia"/>
          <w:color w:val="auto"/>
        </w:rPr>
        <w:t>1</w:t>
      </w:r>
      <w:r>
        <w:rPr>
          <w:color w:val="auto"/>
        </w:rPr>
        <w:fldChar w:fldCharType="end"/>
      </w:r>
      <w:r>
        <w:rPr>
          <w:rFonts w:hint="eastAsia"/>
          <w:color w:val="auto"/>
        </w:rPr>
        <w:t>塔身升降监控清单</w:t>
      </w:r>
    </w:p>
    <w:tbl>
      <w:tblPr>
        <w:tblStyle w:val="27"/>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96"/>
        <w:gridCol w:w="1084"/>
        <w:gridCol w:w="683"/>
        <w:gridCol w:w="2263"/>
        <w:gridCol w:w="2059"/>
      </w:tblGrid>
      <w:tr w14:paraId="656ACA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shd w:val="clear" w:color="auto" w:fill="DCE6F2"/>
            <w:noWrap w:val="0"/>
            <w:vAlign w:val="center"/>
          </w:tcPr>
          <w:p w14:paraId="53A0C53B">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96" w:type="dxa"/>
            <w:tcBorders>
              <w:tl2br w:val="nil"/>
              <w:tr2bl w:val="nil"/>
            </w:tcBorders>
            <w:shd w:val="clear" w:color="auto" w:fill="DCE6F2"/>
            <w:noWrap w:val="0"/>
            <w:vAlign w:val="center"/>
          </w:tcPr>
          <w:p w14:paraId="0A7AD6B4">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检查项目</w:t>
            </w:r>
          </w:p>
        </w:tc>
        <w:tc>
          <w:tcPr>
            <w:tcW w:w="1084" w:type="dxa"/>
            <w:tcBorders>
              <w:tl2br w:val="nil"/>
              <w:tr2bl w:val="nil"/>
            </w:tcBorders>
            <w:shd w:val="clear" w:color="auto" w:fill="DCE6F2"/>
            <w:noWrap w:val="0"/>
            <w:vAlign w:val="center"/>
          </w:tcPr>
          <w:p w14:paraId="43C1D67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监测人员</w:t>
            </w:r>
          </w:p>
        </w:tc>
        <w:tc>
          <w:tcPr>
            <w:tcW w:w="683" w:type="dxa"/>
            <w:tcBorders>
              <w:tl2br w:val="nil"/>
              <w:tr2bl w:val="nil"/>
            </w:tcBorders>
            <w:shd w:val="clear" w:color="auto" w:fill="DCE6F2"/>
            <w:noWrap w:val="0"/>
            <w:vAlign w:val="center"/>
          </w:tcPr>
          <w:p w14:paraId="1547BC9F">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频率</w:t>
            </w:r>
          </w:p>
        </w:tc>
        <w:tc>
          <w:tcPr>
            <w:tcW w:w="2263" w:type="dxa"/>
            <w:tcBorders>
              <w:tl2br w:val="nil"/>
              <w:tr2bl w:val="nil"/>
            </w:tcBorders>
            <w:shd w:val="clear" w:color="auto" w:fill="DCE6F2"/>
            <w:noWrap w:val="0"/>
            <w:vAlign w:val="center"/>
          </w:tcPr>
          <w:p w14:paraId="61DD48DF">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预警内容</w:t>
            </w:r>
          </w:p>
        </w:tc>
        <w:tc>
          <w:tcPr>
            <w:tcW w:w="2059" w:type="dxa"/>
            <w:tcBorders>
              <w:tl2br w:val="nil"/>
              <w:tr2bl w:val="nil"/>
            </w:tcBorders>
            <w:shd w:val="clear" w:color="auto" w:fill="DCE6F2"/>
            <w:noWrap w:val="0"/>
            <w:vAlign w:val="center"/>
          </w:tcPr>
          <w:p w14:paraId="412ECDDC">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控制措施</w:t>
            </w:r>
          </w:p>
        </w:tc>
      </w:tr>
      <w:tr w14:paraId="7075F3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095E217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6" w:type="dxa"/>
            <w:tcBorders>
              <w:tl2br w:val="nil"/>
              <w:tr2bl w:val="nil"/>
            </w:tcBorders>
            <w:noWrap w:val="0"/>
            <w:vAlign w:val="center"/>
          </w:tcPr>
          <w:p w14:paraId="08B1D3C8">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顶升横梁、爬爪与踏步位置关系是否正确</w:t>
            </w:r>
          </w:p>
        </w:tc>
        <w:tc>
          <w:tcPr>
            <w:tcW w:w="1084" w:type="dxa"/>
            <w:tcBorders>
              <w:tl2br w:val="nil"/>
              <w:tr2bl w:val="nil"/>
            </w:tcBorders>
            <w:noWrap w:val="0"/>
            <w:vAlign w:val="center"/>
          </w:tcPr>
          <w:p w14:paraId="2F1C066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09B62FF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restart"/>
            <w:tcBorders>
              <w:tl2br w:val="nil"/>
              <w:tr2bl w:val="nil"/>
            </w:tcBorders>
            <w:noWrap w:val="0"/>
            <w:vAlign w:val="center"/>
          </w:tcPr>
          <w:p w14:paraId="293379A9">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升降整个过程</w:t>
            </w:r>
          </w:p>
        </w:tc>
        <w:tc>
          <w:tcPr>
            <w:tcW w:w="2263" w:type="dxa"/>
            <w:tcBorders>
              <w:tl2br w:val="nil"/>
              <w:tr2bl w:val="nil"/>
            </w:tcBorders>
            <w:noWrap w:val="0"/>
            <w:vAlign w:val="center"/>
          </w:tcPr>
          <w:p w14:paraId="182350DB">
            <w:pPr>
              <w:numPr>
                <w:ilvl w:val="0"/>
                <w:numId w:val="12"/>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顶升横梁未放入塔身凸耳内；</w:t>
            </w:r>
          </w:p>
          <w:p w14:paraId="5387A35B">
            <w:pPr>
              <w:numPr>
                <w:ilvl w:val="0"/>
                <w:numId w:val="12"/>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止动靴未吊挂于凸耳上予以锁固。</w:t>
            </w:r>
          </w:p>
        </w:tc>
        <w:tc>
          <w:tcPr>
            <w:tcW w:w="2059" w:type="dxa"/>
            <w:tcBorders>
              <w:tl2br w:val="nil"/>
              <w:tr2bl w:val="nil"/>
            </w:tcBorders>
            <w:noWrap w:val="0"/>
            <w:vAlign w:val="center"/>
          </w:tcPr>
          <w:p w14:paraId="353F5E4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1、每班作业前进行针对性的技术交底</w:t>
            </w:r>
          </w:p>
          <w:p w14:paraId="2E5F694B">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2、顶升时该道工序由班长负责检查，确认无误后方可进行下道工序操作。</w:t>
            </w:r>
          </w:p>
          <w:p w14:paraId="5E3591C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3、设备安全员全程旁站监督。</w:t>
            </w:r>
          </w:p>
        </w:tc>
      </w:tr>
      <w:tr w14:paraId="28BABD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13D34A23">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6" w:type="dxa"/>
            <w:tcBorders>
              <w:tl2br w:val="nil"/>
              <w:tr2bl w:val="nil"/>
            </w:tcBorders>
            <w:noWrap w:val="0"/>
            <w:vAlign w:val="center"/>
          </w:tcPr>
          <w:p w14:paraId="0F3A5AC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塔机下支座与套架、标准节“四角”连接是否正确</w:t>
            </w:r>
          </w:p>
        </w:tc>
        <w:tc>
          <w:tcPr>
            <w:tcW w:w="1084" w:type="dxa"/>
            <w:tcBorders>
              <w:tl2br w:val="nil"/>
              <w:tr2bl w:val="nil"/>
            </w:tcBorders>
            <w:noWrap w:val="0"/>
            <w:vAlign w:val="center"/>
          </w:tcPr>
          <w:p w14:paraId="2D4B7C4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16FC354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continue"/>
            <w:tcBorders>
              <w:tl2br w:val="nil"/>
              <w:tr2bl w:val="nil"/>
            </w:tcBorders>
            <w:noWrap w:val="0"/>
            <w:vAlign w:val="center"/>
          </w:tcPr>
          <w:p w14:paraId="69D302EF">
            <w:pPr>
              <w:spacing w:line="240" w:lineRule="auto"/>
              <w:ind w:firstLine="0" w:firstLineChars="0"/>
              <w:rPr>
                <w:rFonts w:hint="eastAsia" w:ascii="宋体" w:hAnsi="宋体" w:eastAsia="宋体" w:cs="宋体"/>
                <w:color w:val="auto"/>
                <w:sz w:val="21"/>
                <w:szCs w:val="21"/>
              </w:rPr>
            </w:pPr>
          </w:p>
        </w:tc>
        <w:tc>
          <w:tcPr>
            <w:tcW w:w="2263" w:type="dxa"/>
            <w:tcBorders>
              <w:tl2br w:val="nil"/>
              <w:tr2bl w:val="nil"/>
            </w:tcBorders>
            <w:noWrap w:val="0"/>
            <w:vAlign w:val="center"/>
          </w:tcPr>
          <w:p w14:paraId="2816D495">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1、下支座与套架、标准节四角主弦杆连接销轴、开口销数量，安装质量。</w:t>
            </w:r>
          </w:p>
          <w:p w14:paraId="6175491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2、下支座与标准节主弦杆接触状况</w:t>
            </w:r>
          </w:p>
        </w:tc>
        <w:tc>
          <w:tcPr>
            <w:tcW w:w="2059" w:type="dxa"/>
            <w:tcBorders>
              <w:tl2br w:val="nil"/>
              <w:tr2bl w:val="nil"/>
            </w:tcBorders>
            <w:noWrap w:val="0"/>
            <w:vAlign w:val="center"/>
          </w:tcPr>
          <w:p w14:paraId="103E1C9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1、作业前进行技术交底</w:t>
            </w:r>
          </w:p>
          <w:p w14:paraId="5DC3023B">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2、顶升作业后组织相关部门进行验收。</w:t>
            </w:r>
          </w:p>
        </w:tc>
      </w:tr>
    </w:tbl>
    <w:p w14:paraId="6D7DB1AC">
      <w:pPr>
        <w:rPr>
          <w:color w:val="auto"/>
        </w:rPr>
      </w:pPr>
    </w:p>
    <w:p w14:paraId="24F44EC5">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4" w:name="_Toc32082"/>
      <w:bookmarkStart w:id="175" w:name="_Toc120299251"/>
      <w:r>
        <w:rPr>
          <w:rFonts w:hint="eastAsia" w:ascii="宋体" w:hAnsi="宋体" w:eastAsia="宋体" w:cs="Times New Roman"/>
          <w:color w:val="auto"/>
          <w:lang w:val="en-US" w:eastAsia="zh-CN"/>
        </w:rPr>
        <w:t>6.4.8起重作业安全技术措施</w:t>
      </w:r>
      <w:bookmarkEnd w:id="173"/>
      <w:bookmarkEnd w:id="174"/>
      <w:bookmarkEnd w:id="175"/>
    </w:p>
    <w:p w14:paraId="3B652F28">
      <w:pPr>
        <w:ind w:firstLine="480"/>
        <w:rPr>
          <w:color w:val="auto"/>
        </w:rPr>
      </w:pPr>
      <w:r>
        <w:rPr>
          <w:rFonts w:hint="eastAsia"/>
          <w:color w:val="auto"/>
        </w:rPr>
        <w:t>（1）吊装前进行地基承载力试验，确保地基承载力合格吊装；有强风禁止吊装，防止起重机械发生倾覆。</w:t>
      </w:r>
    </w:p>
    <w:p w14:paraId="3C5CB4DB">
      <w:pPr>
        <w:ind w:firstLine="480"/>
        <w:rPr>
          <w:color w:val="auto"/>
        </w:rPr>
      </w:pPr>
      <w:r>
        <w:rPr>
          <w:rFonts w:hint="eastAsia"/>
          <w:color w:val="auto"/>
        </w:rPr>
        <w:t>（2）吊装作业设隔离区并安放安全警示标志，设专职安全员防护及指挥交通，防止闲杂人员入内。</w:t>
      </w:r>
    </w:p>
    <w:p w14:paraId="0F64D770">
      <w:pPr>
        <w:ind w:firstLine="480"/>
        <w:rPr>
          <w:color w:val="auto"/>
        </w:rPr>
      </w:pPr>
      <w:r>
        <w:rPr>
          <w:rFonts w:hint="eastAsia"/>
          <w:color w:val="auto"/>
        </w:rPr>
        <w:t>（3）必须持证作业，熟知吊装方案、指挥信号、安全技术要求及起重机械的操作。</w:t>
      </w:r>
    </w:p>
    <w:p w14:paraId="2F7D5124">
      <w:pPr>
        <w:ind w:firstLine="480"/>
        <w:rPr>
          <w:color w:val="auto"/>
        </w:rPr>
      </w:pPr>
      <w:r>
        <w:rPr>
          <w:rFonts w:hint="eastAsia"/>
          <w:color w:val="auto"/>
        </w:rPr>
        <w:t>（4）起吊前要认真检查起重机具、工具是否合格、牢靠，确保安全施工。</w:t>
      </w:r>
    </w:p>
    <w:p w14:paraId="6AC0016D">
      <w:pPr>
        <w:ind w:firstLine="480"/>
        <w:rPr>
          <w:color w:val="auto"/>
        </w:rPr>
      </w:pPr>
      <w:r>
        <w:rPr>
          <w:rFonts w:hint="eastAsia"/>
          <w:color w:val="auto"/>
        </w:rPr>
        <w:t>（5）坚持“十不吊”原则，有权拒绝违章指令。</w:t>
      </w:r>
    </w:p>
    <w:p w14:paraId="66C46DB4">
      <w:pPr>
        <w:ind w:firstLine="480"/>
        <w:rPr>
          <w:color w:val="auto"/>
        </w:rPr>
      </w:pPr>
      <w:r>
        <w:rPr>
          <w:rFonts w:hint="eastAsia"/>
          <w:color w:val="auto"/>
        </w:rPr>
        <w:t>（6）起吊前，必须正确掌握吊件重量，不允许起重机具超载使用。</w:t>
      </w:r>
    </w:p>
    <w:p w14:paraId="37D643A1">
      <w:pPr>
        <w:ind w:firstLine="480"/>
        <w:rPr>
          <w:color w:val="auto"/>
        </w:rPr>
      </w:pPr>
      <w:r>
        <w:rPr>
          <w:rFonts w:hint="eastAsia"/>
          <w:color w:val="auto"/>
        </w:rPr>
        <w:t>（7）立式设备的吊装，应捆绑在重物的重心以上，如需捆绑在重心以下时，必须采取有效的安全措施，并经有关技术负责人批准。</w:t>
      </w:r>
    </w:p>
    <w:p w14:paraId="0F8619CC">
      <w:pPr>
        <w:ind w:firstLine="480"/>
        <w:rPr>
          <w:color w:val="auto"/>
        </w:rPr>
      </w:pPr>
      <w:r>
        <w:rPr>
          <w:rFonts w:hint="eastAsia"/>
          <w:color w:val="auto"/>
        </w:rPr>
        <w:t>（8）起吊物不宜在空中长时间停留，若须停留应采取可靠的安全措施。</w:t>
      </w:r>
    </w:p>
    <w:p w14:paraId="1216014A">
      <w:pPr>
        <w:ind w:firstLine="480"/>
        <w:rPr>
          <w:color w:val="auto"/>
        </w:rPr>
      </w:pPr>
      <w:r>
        <w:rPr>
          <w:rFonts w:hint="eastAsia"/>
          <w:color w:val="auto"/>
        </w:rPr>
        <w:t>（9）信号指挥人员要站在得当，旗语（或手势）明显准确，哨声清晰洪亮，与旗语（手势）配合协调一致。上下信号密切联系，应当清楚注视吊物起、运转、就位的全过程。</w:t>
      </w:r>
    </w:p>
    <w:p w14:paraId="41BAD82A">
      <w:pPr>
        <w:ind w:firstLine="480"/>
        <w:rPr>
          <w:color w:val="auto"/>
        </w:rPr>
      </w:pPr>
      <w:r>
        <w:rPr>
          <w:rFonts w:hint="eastAsia"/>
          <w:color w:val="auto"/>
        </w:rPr>
        <w:t>（10）信号指挥者应当站在有利于保护自身安全，又能正常指挥作业的有效位置。</w:t>
      </w:r>
    </w:p>
    <w:p w14:paraId="33A6DDF4">
      <w:pPr>
        <w:ind w:firstLine="480"/>
        <w:rPr>
          <w:color w:val="auto"/>
        </w:rPr>
      </w:pPr>
      <w:r>
        <w:rPr>
          <w:rFonts w:hint="eastAsia"/>
          <w:color w:val="auto"/>
        </w:rPr>
        <w:t>（11）吊物起吊20~30cm高度时，应停钩检查，待妥当后再行吊运。</w:t>
      </w:r>
    </w:p>
    <w:p w14:paraId="721281CF">
      <w:pPr>
        <w:ind w:firstLine="480"/>
        <w:rPr>
          <w:color w:val="auto"/>
        </w:rPr>
      </w:pPr>
      <w:r>
        <w:rPr>
          <w:rFonts w:hint="eastAsia"/>
          <w:color w:val="auto"/>
        </w:rPr>
        <w:t>（12）吊物悬空运转后空发异常时，指挥者应迅速视情况判断，紧急通告危险部位人员撤退。指挥吊车司机将吊物慢慢放下，排除险情后，再行起吊。</w:t>
      </w:r>
    </w:p>
    <w:p w14:paraId="1A2AB122">
      <w:pPr>
        <w:ind w:firstLine="480"/>
        <w:rPr>
          <w:color w:val="auto"/>
        </w:rPr>
      </w:pPr>
      <w:r>
        <w:rPr>
          <w:rFonts w:hint="eastAsia"/>
          <w:color w:val="auto"/>
        </w:rPr>
        <w:t>（13）吊运中若突然停电或机械故障，重物不准长时间悬挂高空，应想办法将重物落放到稳妥的位置并垫好。</w:t>
      </w:r>
    </w:p>
    <w:p w14:paraId="1AB08373">
      <w:pPr>
        <w:ind w:firstLine="480"/>
        <w:rPr>
          <w:color w:val="auto"/>
        </w:rPr>
      </w:pPr>
      <w:r>
        <w:rPr>
          <w:rFonts w:hint="eastAsia"/>
          <w:color w:val="auto"/>
        </w:rPr>
        <w:t>（14）吊物时，严禁超低空从人的头顶位置越过，要保证吊物与人的头顶最小的安全距离不小于1m。</w:t>
      </w:r>
    </w:p>
    <w:p w14:paraId="5451C055">
      <w:pPr>
        <w:ind w:firstLine="480"/>
        <w:rPr>
          <w:color w:val="auto"/>
        </w:rPr>
      </w:pPr>
      <w:r>
        <w:rPr>
          <w:rFonts w:hint="eastAsia"/>
          <w:color w:val="auto"/>
        </w:rPr>
        <w:t>（15）吊物时，确保起重机和相邻建筑物的安全距离，安全距离不小于1.5m。</w:t>
      </w:r>
    </w:p>
    <w:p w14:paraId="3D1895F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6" w:name="_Toc17383809"/>
      <w:bookmarkStart w:id="177" w:name="_Toc10885"/>
      <w:bookmarkStart w:id="178" w:name="_Toc1087399730"/>
      <w:r>
        <w:rPr>
          <w:rFonts w:hint="eastAsia" w:ascii="宋体" w:hAnsi="宋体" w:eastAsia="宋体" w:cs="Times New Roman"/>
          <w:color w:val="auto"/>
          <w:lang w:val="en-US" w:eastAsia="zh-CN"/>
        </w:rPr>
        <w:t>6.4.9施工用电安全技术措施</w:t>
      </w:r>
      <w:bookmarkEnd w:id="176"/>
      <w:bookmarkEnd w:id="177"/>
      <w:bookmarkEnd w:id="178"/>
    </w:p>
    <w:p w14:paraId="02D797DA">
      <w:pPr>
        <w:ind w:firstLine="480"/>
        <w:rPr>
          <w:color w:val="auto"/>
        </w:rPr>
      </w:pPr>
      <w:r>
        <w:rPr>
          <w:rFonts w:hint="eastAsia"/>
          <w:color w:val="auto"/>
        </w:rPr>
        <w:t>（1）施工现场配电必须设置保护接零系统，实行三相五线制，杜绝疏漏。所有接零接地处必须保证可靠的电气连接。保护线PE必须采用绿/黄双色线。严格与相线、工作零线相区别，严禁混用。</w:t>
      </w:r>
    </w:p>
    <w:p w14:paraId="24ABC15E">
      <w:pPr>
        <w:ind w:firstLine="480"/>
        <w:rPr>
          <w:color w:val="auto"/>
        </w:rPr>
      </w:pPr>
      <w:r>
        <w:rPr>
          <w:rFonts w:hint="eastAsia"/>
          <w:color w:val="auto"/>
        </w:rPr>
        <w:t>（2）设置总配电箱，门向外开，配锁。</w:t>
      </w:r>
    </w:p>
    <w:p w14:paraId="33B30EF6">
      <w:pPr>
        <w:ind w:firstLine="480"/>
        <w:rPr>
          <w:color w:val="auto"/>
        </w:rPr>
      </w:pPr>
      <w:r>
        <w:rPr>
          <w:rFonts w:hint="eastAsia"/>
          <w:color w:val="auto"/>
        </w:rPr>
        <w:t>（3）配电箱、开关箱应有防雨措施，安装位置周围不得有杂物，便于操作。</w:t>
      </w:r>
    </w:p>
    <w:p w14:paraId="5E0EE979">
      <w:pPr>
        <w:ind w:firstLine="480"/>
        <w:rPr>
          <w:color w:val="auto"/>
        </w:rPr>
      </w:pPr>
      <w:r>
        <w:rPr>
          <w:rFonts w:hint="eastAsia"/>
          <w:color w:val="auto"/>
        </w:rPr>
        <w:t>（4）由总配电箱引至工地各分配电箱电源回路，采用BV铜芯导线架空或套钢管埋地敷设。</w:t>
      </w:r>
    </w:p>
    <w:p w14:paraId="078C3C66">
      <w:pPr>
        <w:ind w:firstLine="480"/>
        <w:rPr>
          <w:color w:val="auto"/>
        </w:rPr>
      </w:pPr>
      <w:r>
        <w:rPr>
          <w:rFonts w:hint="eastAsia"/>
          <w:color w:val="auto"/>
        </w:rPr>
        <w:t>（5）大风或雨后启用电器前，要由专业人员检查，电路电闸要严格防潮防雨</w:t>
      </w:r>
    </w:p>
    <w:p w14:paraId="4A2E04B1">
      <w:pPr>
        <w:ind w:firstLine="480"/>
        <w:rPr>
          <w:color w:val="auto"/>
        </w:rPr>
      </w:pPr>
      <w:r>
        <w:rPr>
          <w:rFonts w:hint="eastAsia"/>
          <w:color w:val="auto"/>
        </w:rPr>
        <w:t>（6）配电箱、开关箱应统一编号，喷上危险标志和施工单位名称。</w:t>
      </w:r>
    </w:p>
    <w:p w14:paraId="26156503">
      <w:pPr>
        <w:ind w:firstLine="480"/>
        <w:rPr>
          <w:color w:val="auto"/>
        </w:rPr>
      </w:pPr>
      <w:r>
        <w:rPr>
          <w:rFonts w:hint="eastAsia"/>
          <w:color w:val="auto"/>
        </w:rPr>
        <w:t>（7）作防雷接地的电气设备，必须同时作重复接地，同一台电气设备的重复接地与防雷接地可使用并联于基础防雷接地网，所有接地电阻值≤4Ω。</w:t>
      </w:r>
    </w:p>
    <w:p w14:paraId="69226EAF">
      <w:pPr>
        <w:ind w:firstLine="480"/>
        <w:rPr>
          <w:color w:val="auto"/>
        </w:rPr>
      </w:pPr>
      <w:r>
        <w:rPr>
          <w:rFonts w:hint="eastAsia"/>
          <w:color w:val="auto"/>
        </w:rPr>
        <w:t>（8）保护零线不得装设开关或熔断器,保护零线的截面应不小于工作零线的截面。同时必须满足机械强度要求。</w:t>
      </w:r>
    </w:p>
    <w:p w14:paraId="445E0F9D">
      <w:pPr>
        <w:ind w:firstLine="480"/>
        <w:rPr>
          <w:color w:val="auto"/>
        </w:rPr>
      </w:pPr>
      <w:r>
        <w:rPr>
          <w:rFonts w:hint="eastAsia"/>
          <w:color w:val="auto"/>
        </w:rPr>
        <w:t>（9）每台用电设备应有各自专用的开关箱，必须实行“一机、一闸、一漏”制（含插座）。</w:t>
      </w:r>
    </w:p>
    <w:p w14:paraId="6A720DA3">
      <w:pPr>
        <w:ind w:firstLine="480"/>
        <w:rPr>
          <w:color w:val="auto"/>
        </w:rPr>
      </w:pPr>
      <w:r>
        <w:rPr>
          <w:rFonts w:hint="eastAsia"/>
          <w:color w:val="auto"/>
        </w:rPr>
        <w:t>（10）配电箱、开关箱的进线和出线口应设在箱体的下底面，严禁设在箱体的上顶面、侧面、后面或门处。移动式配电箱的进、出线必须采用橡胶套绝缘电缆。</w:t>
      </w:r>
    </w:p>
    <w:p w14:paraId="60578E22">
      <w:pPr>
        <w:ind w:firstLine="480"/>
        <w:rPr>
          <w:color w:val="auto"/>
        </w:rPr>
      </w:pPr>
      <w:r>
        <w:rPr>
          <w:rFonts w:hint="eastAsia"/>
          <w:color w:val="auto"/>
        </w:rPr>
        <w:t>（11）所有配电箱门应配锁、配电箱和开关箱应由现场电工专人管理。</w:t>
      </w:r>
    </w:p>
    <w:p w14:paraId="500CD2E7">
      <w:pPr>
        <w:ind w:firstLine="480"/>
        <w:rPr>
          <w:color w:val="auto"/>
        </w:rPr>
      </w:pPr>
      <w:r>
        <w:rPr>
          <w:rFonts w:hint="eastAsia"/>
          <w:color w:val="auto"/>
        </w:rPr>
        <w:t>（12）所有配电箱、开关箱应每天检查一次，维修人员必须是专业电工，检查维修时必须按规定穿戴绝缘鞋、手套，必须使用电工绝缘工具。</w:t>
      </w:r>
    </w:p>
    <w:p w14:paraId="3D8E7C49">
      <w:pPr>
        <w:ind w:firstLine="480"/>
        <w:rPr>
          <w:color w:val="auto"/>
        </w:rPr>
      </w:pPr>
      <w:r>
        <w:rPr>
          <w:rFonts w:hint="eastAsia"/>
          <w:color w:val="auto"/>
        </w:rPr>
        <w:t>（13）手持式电动工具的外壳、手柄、负荷线，插头开关等，必须完好无损，使用前必须作空载检查，运转正常方可使用。</w:t>
      </w:r>
    </w:p>
    <w:p w14:paraId="2E2D838B">
      <w:pPr>
        <w:ind w:firstLine="480"/>
        <w:rPr>
          <w:color w:val="auto"/>
        </w:rPr>
      </w:pPr>
      <w:r>
        <w:rPr>
          <w:rFonts w:hint="eastAsia"/>
          <w:color w:val="auto"/>
        </w:rPr>
        <w:t>（14）电气设备所用保险丝的额定电流应与其负荷容量相适应，禁止用其它金属代替保险丝。</w:t>
      </w:r>
    </w:p>
    <w:p w14:paraId="756B388E">
      <w:pPr>
        <w:ind w:firstLine="480"/>
        <w:rPr>
          <w:color w:val="auto"/>
        </w:rPr>
      </w:pPr>
      <w:r>
        <w:rPr>
          <w:rFonts w:hint="eastAsia"/>
          <w:color w:val="auto"/>
        </w:rPr>
        <w:t>（15）在潮湿和易触及带电体场所的照明电源不得大于24伏，在特别潮湿的场所，导电良好的地面工作的电源电压不得大于12伏。</w:t>
      </w:r>
    </w:p>
    <w:p w14:paraId="0D803508">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9" w:name="_Toc17383810"/>
      <w:bookmarkStart w:id="180" w:name="_Toc841426140"/>
      <w:bookmarkStart w:id="181" w:name="_Toc9450"/>
      <w:r>
        <w:rPr>
          <w:rFonts w:hint="eastAsia" w:ascii="宋体" w:hAnsi="宋体" w:eastAsia="宋体" w:cs="Times New Roman"/>
          <w:color w:val="auto"/>
          <w:lang w:val="en-US" w:eastAsia="zh-CN"/>
        </w:rPr>
        <w:t>6.4.10现场防火技术措施</w:t>
      </w:r>
      <w:bookmarkEnd w:id="179"/>
      <w:bookmarkEnd w:id="180"/>
      <w:bookmarkEnd w:id="181"/>
    </w:p>
    <w:p w14:paraId="723F98E4">
      <w:pPr>
        <w:ind w:firstLine="480"/>
        <w:rPr>
          <w:color w:val="auto"/>
        </w:rPr>
      </w:pPr>
      <w:r>
        <w:rPr>
          <w:rFonts w:hint="eastAsia"/>
          <w:color w:val="auto"/>
        </w:rPr>
        <w:t>（1）根据施工现场实际情况，配置一定数量的干粉灭火器，消防水龙头。</w:t>
      </w:r>
    </w:p>
    <w:p w14:paraId="5792BEDF">
      <w:pPr>
        <w:ind w:firstLine="480"/>
        <w:rPr>
          <w:color w:val="auto"/>
        </w:rPr>
      </w:pPr>
      <w:r>
        <w:rPr>
          <w:rFonts w:hint="eastAsia"/>
          <w:color w:val="auto"/>
        </w:rPr>
        <w:t>（2）对油库、仓库、配电箱要重点防治，在配置消防设施外，还应安装防爆灯、静电保护开关；严禁烟火，安排专人负责，保持清洁卫生。</w:t>
      </w:r>
    </w:p>
    <w:p w14:paraId="41DC0E25">
      <w:pPr>
        <w:ind w:firstLine="480"/>
        <w:rPr>
          <w:color w:val="auto"/>
        </w:rPr>
      </w:pPr>
      <w:r>
        <w:rPr>
          <w:rFonts w:hint="eastAsia"/>
          <w:color w:val="auto"/>
        </w:rPr>
        <w:t>（3）加强对氧气、乙炔的管理和使用，按规定氧气、乙炔要分开摆放（保证5米以上的距离）；在夏季要搭设遮阳棚，防止氧气、乙炔暴晒发生事故。</w:t>
      </w:r>
    </w:p>
    <w:p w14:paraId="27448DD5">
      <w:pPr>
        <w:ind w:firstLine="480"/>
        <w:rPr>
          <w:color w:val="auto"/>
        </w:rPr>
      </w:pPr>
      <w:r>
        <w:rPr>
          <w:rFonts w:hint="eastAsia"/>
          <w:color w:val="auto"/>
        </w:rPr>
        <w:t>（4）施工现场，严禁乱拉乱搭电线和随意安装用电插座。</w:t>
      </w:r>
    </w:p>
    <w:p w14:paraId="49A874E8">
      <w:pPr>
        <w:ind w:firstLine="480"/>
        <w:rPr>
          <w:color w:val="auto"/>
        </w:rPr>
      </w:pPr>
      <w:r>
        <w:rPr>
          <w:rFonts w:hint="eastAsia"/>
          <w:color w:val="auto"/>
        </w:rPr>
        <w:t>（5）电线线路破旧要及时更换，严禁用铜线、铁丝代替保险丝，严禁超负荷用电。</w:t>
      </w:r>
    </w:p>
    <w:p w14:paraId="5C966A21">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2" w:name="_Toc17383811"/>
      <w:bookmarkStart w:id="183" w:name="_Toc26223"/>
      <w:bookmarkStart w:id="184" w:name="_Toc669319485"/>
      <w:r>
        <w:rPr>
          <w:rFonts w:hint="eastAsia" w:ascii="宋体" w:hAnsi="宋体" w:eastAsia="宋体" w:cs="Times New Roman"/>
          <w:color w:val="auto"/>
          <w:lang w:val="en-US" w:eastAsia="zh-CN"/>
        </w:rPr>
        <w:t>6.4.11高空作业安全技术措施</w:t>
      </w:r>
      <w:bookmarkEnd w:id="182"/>
      <w:bookmarkEnd w:id="183"/>
      <w:bookmarkEnd w:id="184"/>
    </w:p>
    <w:p w14:paraId="2749AF77">
      <w:pPr>
        <w:ind w:firstLine="480"/>
        <w:rPr>
          <w:color w:val="auto"/>
        </w:rPr>
      </w:pPr>
      <w:r>
        <w:rPr>
          <w:rFonts w:hint="eastAsia"/>
          <w:color w:val="auto"/>
        </w:rPr>
        <w:t>（1）高空作业时，应使用安全带或安全绳拴牢在固定物上，如工作流动性较大，不便于使用安全带时，需用外脚手架封檐及安全网等设备。</w:t>
      </w:r>
    </w:p>
    <w:p w14:paraId="6AEDE2EE">
      <w:pPr>
        <w:ind w:firstLine="480"/>
        <w:rPr>
          <w:rFonts w:hint="eastAsia" w:ascii="Times New Roman" w:hAnsi="Times New Roman" w:eastAsia="宋体" w:cs="Times New Roman"/>
          <w:color w:val="auto"/>
        </w:rPr>
      </w:pPr>
      <w:r>
        <w:rPr>
          <w:rFonts w:hint="eastAsia"/>
          <w:color w:val="auto"/>
        </w:rPr>
        <w:t>（</w:t>
      </w:r>
      <w:r>
        <w:rPr>
          <w:rFonts w:hint="eastAsia" w:ascii="Times New Roman" w:hAnsi="Times New Roman" w:eastAsia="宋体" w:cs="Times New Roman"/>
          <w:color w:val="auto"/>
        </w:rPr>
        <w:t>2）使用安全带前，必须仔细检查安全带是否完好，带环是否牢固，发现有损坏腐蚀情形，不得使用。</w:t>
      </w:r>
    </w:p>
    <w:p w14:paraId="209715E5">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3）高空作业不准穿硬底鞋，衣服袖口、裤脚口要扎紧。</w:t>
      </w:r>
    </w:p>
    <w:p w14:paraId="69A8FA7A">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4）有雷雨、大雨、大雾和风力在六级以上时，均不可高空作业。</w:t>
      </w:r>
    </w:p>
    <w:p w14:paraId="580034A4">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5）高空作业的工具，应仔细检查，如发现绳索有断痕，工具柄松脱，应及时修理或更换，严禁高空作业向下掉落物体。</w:t>
      </w:r>
    </w:p>
    <w:p w14:paraId="488784CD">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 xml:space="preserve">6）小型工具要放入工具袋内，大型工具用完后，应立刻放到地面；递送工具、机件和材料等不准抛掷，下方应设置警戒线，安排专人警戒，防止意外发生。 </w:t>
      </w:r>
    </w:p>
    <w:p w14:paraId="3FFE3CE2">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7）高空作业的临边要设置防护栏和安全网，确保施工人员的作业安全。</w:t>
      </w:r>
    </w:p>
    <w:p w14:paraId="2135EC5A">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8）夜间作业必须设置足够的照明设施。</w:t>
      </w:r>
    </w:p>
    <w:p w14:paraId="6527756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5" w:name="_Toc733241409"/>
      <w:bookmarkStart w:id="186" w:name="_Toc17383813"/>
      <w:bookmarkStart w:id="187" w:name="_Toc11183"/>
      <w:r>
        <w:rPr>
          <w:rFonts w:hint="eastAsia" w:ascii="宋体" w:hAnsi="宋体" w:eastAsia="宋体" w:cs="Times New Roman"/>
          <w:color w:val="auto"/>
          <w:lang w:val="en-US" w:eastAsia="zh-CN"/>
        </w:rPr>
        <w:t>6.4.12防强风安全技术措施</w:t>
      </w:r>
      <w:bookmarkEnd w:id="185"/>
      <w:bookmarkEnd w:id="186"/>
      <w:bookmarkEnd w:id="187"/>
    </w:p>
    <w:p w14:paraId="079E0784">
      <w:pPr>
        <w:keepNext w:val="0"/>
        <w:keepLines w:val="0"/>
        <w:pageBreakBefore w:val="0"/>
        <w:widowControl w:val="0"/>
        <w:kinsoku/>
        <w:wordWrap/>
        <w:overflowPunct/>
        <w:topLinePunct w:val="0"/>
        <w:bidi w:val="0"/>
        <w:snapToGri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安全防风是一项非常重要的日常工作，必须设有专人监督和检查。</w:t>
      </w:r>
      <w:r>
        <w:rPr>
          <w:rFonts w:hint="eastAsia" w:ascii="宋体" w:hAnsi="宋体" w:eastAsia="宋体" w:cs="宋体"/>
          <w:color w:val="auto"/>
          <w:lang w:eastAsia="zh-CN"/>
        </w:rPr>
        <w:t>现场管理员和操作人员</w:t>
      </w:r>
      <w:r>
        <w:rPr>
          <w:rFonts w:hint="eastAsia" w:ascii="宋体" w:hAnsi="宋体" w:eastAsia="宋体" w:cs="宋体"/>
          <w:color w:val="auto"/>
        </w:rPr>
        <w:t>必须了解</w:t>
      </w:r>
      <w:r>
        <w:rPr>
          <w:rFonts w:hint="eastAsia" w:ascii="宋体" w:hAnsi="宋体" w:eastAsia="宋体" w:cs="宋体"/>
          <w:color w:val="auto"/>
          <w:lang w:eastAsia="zh-CN"/>
        </w:rPr>
        <w:t>塔机</w:t>
      </w:r>
      <w:r>
        <w:rPr>
          <w:rFonts w:hint="eastAsia" w:ascii="宋体" w:hAnsi="宋体" w:eastAsia="宋体" w:cs="宋体"/>
          <w:color w:val="auto"/>
        </w:rPr>
        <w:t>的构造和防风操作要点，严格执行操作规程。</w:t>
      </w:r>
    </w:p>
    <w:p w14:paraId="5C2CD6FE">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（1）塔机安装施工过程中防</w:t>
      </w:r>
      <w:r>
        <w:rPr>
          <w:rFonts w:hint="default" w:ascii="宋体" w:hAnsi="宋体" w:cs="宋体"/>
          <w:color w:val="auto"/>
          <w:lang w:eastAsia="zh-CN"/>
        </w:rPr>
        <w:t>强</w:t>
      </w:r>
      <w:r>
        <w:rPr>
          <w:rFonts w:hint="eastAsia" w:ascii="宋体" w:hAnsi="宋体" w:eastAsia="宋体" w:cs="宋体"/>
          <w:color w:val="auto"/>
          <w:lang w:val="en-US" w:eastAsia="zh-CN"/>
        </w:rPr>
        <w:t>风措施</w:t>
      </w:r>
    </w:p>
    <w:p w14:paraId="2E87B344">
      <w:pPr>
        <w:pStyle w:val="38"/>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当塔机安装施工过程中接到</w:t>
      </w:r>
      <w:r>
        <w:rPr>
          <w:rFonts w:hint="default" w:hAnsi="宋体" w:cs="宋体"/>
          <w:color w:val="auto"/>
          <w:lang w:eastAsia="zh-CN"/>
        </w:rPr>
        <w:t>强风</w:t>
      </w:r>
      <w:r>
        <w:rPr>
          <w:rFonts w:hint="eastAsia" w:ascii="宋体" w:hAnsi="宋体" w:eastAsia="宋体" w:cs="宋体"/>
          <w:color w:val="auto"/>
          <w:lang w:val="en-US" w:eastAsia="zh-CN"/>
        </w:rPr>
        <w:t>预报后，如预报风力达到10级（24.5-28.5m/s）时，应提前2天作好防护工作，</w:t>
      </w:r>
      <w:r>
        <w:rPr>
          <w:rFonts w:hint="eastAsia" w:ascii="宋体" w:hAnsi="宋体" w:cs="宋体"/>
          <w:color w:val="auto"/>
          <w:lang w:val="en-US" w:eastAsia="zh-CN"/>
        </w:rPr>
        <w:t>具体措施是：</w:t>
      </w:r>
      <w:r>
        <w:rPr>
          <w:rFonts w:hint="eastAsia" w:ascii="宋体" w:hAnsi="宋体" w:eastAsia="宋体" w:cs="宋体"/>
          <w:color w:val="auto"/>
          <w:lang w:val="en-US" w:eastAsia="zh-CN"/>
        </w:rPr>
        <w:t>首先检查塔机的所有连接构件</w:t>
      </w:r>
      <w:r>
        <w:rPr>
          <w:rFonts w:hint="eastAsia" w:ascii="宋体" w:hAnsi="宋体" w:cs="宋体"/>
          <w:color w:val="auto"/>
          <w:lang w:val="en-US" w:eastAsia="zh-CN"/>
        </w:rPr>
        <w:t>连接</w:t>
      </w:r>
      <w:r>
        <w:rPr>
          <w:rFonts w:hint="eastAsia" w:ascii="宋体" w:hAnsi="宋体" w:eastAsia="宋体" w:cs="宋体"/>
          <w:color w:val="auto"/>
          <w:lang w:val="en-US" w:eastAsia="zh-CN"/>
        </w:rPr>
        <w:t>等</w:t>
      </w:r>
      <w:r>
        <w:rPr>
          <w:rFonts w:hint="eastAsia" w:ascii="宋体" w:hAnsi="宋体" w:cs="宋体"/>
          <w:color w:val="auto"/>
          <w:lang w:val="en-US" w:eastAsia="zh-CN"/>
        </w:rPr>
        <w:t>必须</w:t>
      </w:r>
      <w:r>
        <w:rPr>
          <w:rFonts w:hint="eastAsia" w:ascii="宋体" w:hAnsi="宋体" w:eastAsia="宋体" w:cs="宋体"/>
          <w:color w:val="auto"/>
          <w:lang w:val="en-US" w:eastAsia="zh-CN"/>
        </w:rPr>
        <w:t>完成，连接销、连接螺栓等安装完善，停止任何安装、吊装等施工，</w:t>
      </w:r>
      <w:r>
        <w:rPr>
          <w:rFonts w:hint="eastAsia" w:ascii="宋体" w:hAnsi="宋体" w:cs="宋体"/>
          <w:color w:val="auto"/>
          <w:lang w:val="en-US" w:eastAsia="zh-CN"/>
        </w:rPr>
        <w:t>然后</w:t>
      </w:r>
      <w:r>
        <w:rPr>
          <w:rFonts w:hint="eastAsia" w:ascii="宋体" w:hAnsi="宋体" w:eastAsia="宋体" w:cs="宋体"/>
          <w:color w:val="auto"/>
        </w:rPr>
        <w:t>打开回转制动器和制动锁</w:t>
      </w:r>
      <w:r>
        <w:rPr>
          <w:rFonts w:hint="eastAsia" w:ascii="宋体" w:hAnsi="宋体" w:cs="宋体"/>
          <w:color w:val="auto"/>
          <w:lang w:eastAsia="zh-CN"/>
        </w:rPr>
        <w:t>止</w:t>
      </w:r>
      <w:r>
        <w:rPr>
          <w:rFonts w:hint="eastAsia" w:ascii="宋体" w:hAnsi="宋体" w:eastAsia="宋体" w:cs="宋体"/>
          <w:color w:val="auto"/>
        </w:rPr>
        <w:t>装置，使其回转系统处于自由状态</w:t>
      </w:r>
      <w:r>
        <w:rPr>
          <w:rFonts w:hint="eastAsia" w:ascii="宋体" w:hAnsi="宋体" w:cs="宋体"/>
          <w:color w:val="auto"/>
          <w:lang w:eastAsia="zh-CN"/>
        </w:rPr>
        <w:t>。</w:t>
      </w:r>
      <w:r>
        <w:rPr>
          <w:rFonts w:hint="eastAsia" w:ascii="宋体" w:hAnsi="宋体" w:eastAsia="宋体" w:cs="宋体"/>
          <w:color w:val="auto"/>
          <w:lang w:val="en-US" w:eastAsia="zh-CN"/>
        </w:rPr>
        <w:t>如预报风力达到11级</w:t>
      </w:r>
      <w:r>
        <w:rPr>
          <w:rFonts w:hint="eastAsia" w:ascii="宋体" w:hAnsi="宋体" w:cs="宋体"/>
          <w:color w:val="auto"/>
          <w:lang w:val="en-US" w:eastAsia="zh-CN"/>
        </w:rPr>
        <w:t>，平衡臂已经安装而起重臂未安装时，应停止继续安装起重臂，并且将平衡臂拆除。</w:t>
      </w:r>
    </w:p>
    <w:p w14:paraId="094D5D5B">
      <w:pPr>
        <w:pStyle w:val="38"/>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塔机在安装、顶升加节或者降节施工的过程中，当风力大于</w:t>
      </w:r>
      <w:r>
        <w:rPr>
          <w:rFonts w:hint="eastAsia" w:ascii="宋体" w:hAnsi="宋体" w:cs="宋体"/>
          <w:color w:val="auto"/>
          <w:lang w:val="en-US" w:eastAsia="zh-CN"/>
        </w:rPr>
        <w:t>6</w:t>
      </w:r>
      <w:r>
        <w:rPr>
          <w:rFonts w:hint="eastAsia" w:ascii="宋体" w:hAnsi="宋体" w:eastAsia="宋体" w:cs="宋体"/>
          <w:color w:val="auto"/>
          <w:lang w:val="en-US" w:eastAsia="zh-CN"/>
        </w:rPr>
        <w:t>级（</w:t>
      </w:r>
      <w:r>
        <w:rPr>
          <w:rFonts w:hint="eastAsia" w:ascii="宋体" w:hAnsi="宋体" w:cs="宋体"/>
          <w:color w:val="auto"/>
          <w:lang w:val="en-US" w:eastAsia="zh-CN"/>
        </w:rPr>
        <w:t>10</w:t>
      </w:r>
      <w:r>
        <w:rPr>
          <w:rFonts w:hint="eastAsia" w:ascii="宋体" w:hAnsi="宋体" w:eastAsia="宋体" w:cs="宋体"/>
          <w:color w:val="auto"/>
          <w:lang w:val="en-US"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w:t>
      </w:r>
      <w:r>
        <w:rPr>
          <w:rFonts w:hint="eastAsia" w:ascii="宋体" w:hAnsi="宋体" w:cs="宋体"/>
          <w:color w:val="auto"/>
          <w:lang w:val="en-US" w:eastAsia="zh-CN"/>
        </w:rPr>
        <w:t>13.</w:t>
      </w:r>
      <w:r>
        <w:rPr>
          <w:rFonts w:hint="eastAsia" w:ascii="宋体" w:hAnsi="宋体" w:eastAsia="宋体" w:cs="宋体"/>
          <w:color w:val="auto"/>
          <w:lang w:val="en-US" w:eastAsia="zh-CN"/>
        </w:rPr>
        <w:t>8m/s）时，禁止进行任何的吊装、安装施工，尤其是顶升加节或者降节施工。</w:t>
      </w:r>
    </w:p>
    <w:p w14:paraId="1C47002C">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（2）塔机在使用过程中的防风措施</w:t>
      </w:r>
    </w:p>
    <w:p w14:paraId="72342F10">
      <w:pPr>
        <w:ind w:left="0" w:leftChars="0" w:firstLine="480" w:firstLineChars="2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eastAsia" w:ascii="宋体" w:hAnsi="宋体" w:eastAsia="宋体" w:cs="宋体"/>
          <w:color w:val="auto"/>
        </w:rPr>
        <w:t>①</w:t>
      </w:r>
      <w:r>
        <w:rPr>
          <w:rFonts w:hint="eastAsia" w:ascii="宋体" w:hAnsi="宋体" w:eastAsia="宋体" w:cs="宋体"/>
          <w:color w:val="auto"/>
        </w:rPr>
        <w:fldChar w:fldCharType="end"/>
      </w:r>
      <w:r>
        <w:rPr>
          <w:rFonts w:hint="eastAsia" w:ascii="宋体" w:hAnsi="宋体" w:eastAsia="宋体" w:cs="宋体"/>
          <w:color w:val="auto"/>
        </w:rPr>
        <w:t>日常防风</w:t>
      </w:r>
      <w:r>
        <w:rPr>
          <w:rFonts w:hint="eastAsia" w:ascii="宋体" w:hAnsi="宋体" w:eastAsia="宋体" w:cs="宋体"/>
          <w:color w:val="auto"/>
          <w:lang w:eastAsia="zh-CN"/>
        </w:rPr>
        <w:t>。塔机平时停止使用时，应将吊钩上吊装绳取掉、将吊钩起升至最高处、将小车收回至根部、将起重臂旋转至顶升方向（顺桥向、朝岸侧）即可，</w:t>
      </w:r>
      <w:r>
        <w:rPr>
          <w:rFonts w:hint="eastAsia" w:ascii="宋体" w:hAnsi="宋体" w:eastAsia="宋体" w:cs="宋体"/>
          <w:color w:val="auto"/>
        </w:rPr>
        <w:t>切断电源</w:t>
      </w:r>
      <w:r>
        <w:rPr>
          <w:rFonts w:hint="eastAsia" w:ascii="宋体" w:hAnsi="宋体" w:eastAsia="宋体" w:cs="宋体"/>
          <w:color w:val="auto"/>
          <w:lang w:eastAsia="zh-CN"/>
        </w:rPr>
        <w:t>、关好门窗。</w:t>
      </w:r>
    </w:p>
    <w:p w14:paraId="6F5CB31E">
      <w:pPr>
        <w:ind w:left="0" w:leftChars="0" w:firstLine="480" w:firstLineChars="200"/>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2 \* GB3 \* MERGEFORMAT </w:instrText>
      </w:r>
      <w:r>
        <w:rPr>
          <w:rFonts w:hint="eastAsia" w:ascii="宋体" w:hAnsi="宋体" w:eastAsia="宋体" w:cs="宋体"/>
          <w:color w:val="auto"/>
        </w:rPr>
        <w:fldChar w:fldCharType="separate"/>
      </w:r>
      <w:r>
        <w:rPr>
          <w:rFonts w:hint="eastAsia" w:ascii="宋体" w:hAnsi="宋体" w:eastAsia="宋体" w:cs="宋体"/>
          <w:color w:val="auto"/>
        </w:rPr>
        <w:t>②</w:t>
      </w:r>
      <w:r>
        <w:rPr>
          <w:rFonts w:hint="eastAsia" w:ascii="宋体" w:hAnsi="宋体" w:eastAsia="宋体" w:cs="宋体"/>
          <w:color w:val="auto"/>
        </w:rPr>
        <w:fldChar w:fldCharType="end"/>
      </w:r>
      <w:r>
        <w:rPr>
          <w:rFonts w:hint="default" w:ascii="宋体" w:hAnsi="宋体" w:cs="宋体"/>
          <w:color w:val="auto"/>
        </w:rPr>
        <w:t>强</w:t>
      </w:r>
      <w:r>
        <w:rPr>
          <w:rFonts w:hint="eastAsia" w:ascii="宋体" w:hAnsi="宋体" w:eastAsia="宋体" w:cs="宋体"/>
          <w:color w:val="auto"/>
        </w:rPr>
        <w:t>风防风</w:t>
      </w:r>
      <w:r>
        <w:rPr>
          <w:rFonts w:hint="eastAsia" w:ascii="宋体" w:hAnsi="宋体" w:eastAsia="宋体" w:cs="宋体"/>
          <w:color w:val="auto"/>
          <w:lang w:eastAsia="zh-CN"/>
        </w:rPr>
        <w:t>。</w:t>
      </w:r>
      <w:r>
        <w:rPr>
          <w:rFonts w:hint="eastAsia" w:ascii="宋体" w:hAnsi="宋体" w:eastAsia="宋体" w:cs="宋体"/>
          <w:color w:val="auto"/>
        </w:rPr>
        <w:t>当遇</w:t>
      </w:r>
      <w:r>
        <w:rPr>
          <w:rFonts w:hint="default" w:ascii="宋体" w:hAnsi="宋体" w:cs="宋体"/>
          <w:color w:val="auto"/>
        </w:rPr>
        <w:t>强</w:t>
      </w:r>
      <w:r>
        <w:rPr>
          <w:rFonts w:hint="eastAsia" w:ascii="宋体" w:hAnsi="宋体" w:eastAsia="宋体" w:cs="宋体"/>
          <w:color w:val="auto"/>
        </w:rPr>
        <w:t>风</w:t>
      </w:r>
      <w:r>
        <w:rPr>
          <w:rFonts w:hint="eastAsia" w:ascii="宋体" w:hAnsi="宋体" w:eastAsia="宋体" w:cs="宋体"/>
          <w:color w:val="auto"/>
          <w:lang w:val="en-US" w:eastAsia="zh-CN"/>
        </w:rPr>
        <w:t>如预报风力达到（28.5-32.6m/s）11级以上时，</w:t>
      </w:r>
      <w:r>
        <w:rPr>
          <w:rFonts w:hint="eastAsia" w:ascii="宋体" w:hAnsi="宋体" w:eastAsia="宋体" w:cs="宋体"/>
          <w:color w:val="auto"/>
        </w:rPr>
        <w:t>应</w:t>
      </w:r>
      <w:r>
        <w:rPr>
          <w:rFonts w:hint="eastAsia" w:ascii="宋体" w:hAnsi="宋体" w:eastAsia="宋体" w:cs="宋体"/>
          <w:color w:val="auto"/>
          <w:lang w:eastAsia="zh-CN"/>
        </w:rPr>
        <w:t>首先将塔机降节至不妨碍桥墩、能全旋转的高度，再将爬升架降至最低处（本次降到桥面的高度），</w:t>
      </w:r>
      <w:r>
        <w:rPr>
          <w:rFonts w:hint="eastAsia" w:ascii="宋体" w:hAnsi="宋体" w:cs="宋体"/>
          <w:color w:val="auto"/>
          <w:lang w:eastAsia="zh-CN"/>
        </w:rPr>
        <w:t>然后</w:t>
      </w:r>
      <w:r>
        <w:rPr>
          <w:rFonts w:hint="eastAsia" w:ascii="宋体" w:hAnsi="宋体" w:eastAsia="宋体" w:cs="宋体"/>
          <w:color w:val="auto"/>
        </w:rPr>
        <w:t>打开回转制动器和制动锁止装置，使其回转系统处于自由状态</w:t>
      </w:r>
      <w:r>
        <w:rPr>
          <w:rFonts w:hint="eastAsia" w:ascii="宋体" w:hAnsi="宋体" w:eastAsia="宋体" w:cs="宋体"/>
          <w:color w:val="auto"/>
          <w:lang w:eastAsia="zh-CN"/>
        </w:rPr>
        <w:t>，再用铁丝将配电柜、操作室等捆绑、加固</w:t>
      </w:r>
      <w:r>
        <w:rPr>
          <w:rFonts w:hint="eastAsia" w:ascii="宋体" w:hAnsi="宋体" w:eastAsia="宋体" w:cs="宋体"/>
          <w:color w:val="auto"/>
        </w:rPr>
        <w:t>。</w:t>
      </w:r>
    </w:p>
    <w:p w14:paraId="65D7486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8" w:name="_Toc1327194577"/>
      <w:bookmarkStart w:id="189" w:name="_Toc17383814"/>
      <w:bookmarkStart w:id="190" w:name="_Toc10936"/>
      <w:r>
        <w:rPr>
          <w:rFonts w:hint="eastAsia" w:ascii="宋体" w:hAnsi="宋体" w:eastAsia="宋体" w:cs="Times New Roman"/>
          <w:color w:val="auto"/>
          <w:lang w:val="en-US" w:eastAsia="zh-CN"/>
        </w:rPr>
        <w:t>6.4.13焊接与切割安全措施</w:t>
      </w:r>
    </w:p>
    <w:p w14:paraId="3048FEAD">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1）电源端接线必须由专业电工进行，焊机或供电线路出现故障，焊工要及时联系动力电工进行处理</w:t>
      </w:r>
      <w:r>
        <w:rPr>
          <w:rFonts w:hint="eastAsia" w:ascii="Times New Roman" w:hAnsi="Times New Roman"/>
          <w:color w:val="auto"/>
          <w:szCs w:val="24"/>
          <w:lang w:eastAsia="zh-CN"/>
        </w:rPr>
        <w:t>。</w:t>
      </w:r>
    </w:p>
    <w:p w14:paraId="75B4D255">
      <w:pPr>
        <w:ind w:firstLine="480"/>
        <w:rPr>
          <w:rFonts w:hint="eastAsia" w:ascii="Times New Roman" w:hAnsi="Times New Roman" w:eastAsia="宋体"/>
          <w:color w:val="auto"/>
          <w:szCs w:val="24"/>
          <w:lang w:eastAsia="zh-CN"/>
        </w:rPr>
      </w:pPr>
      <w:r>
        <w:rPr>
          <w:rFonts w:ascii="Times New Roman" w:hAnsi="Times New Roman"/>
          <w:color w:val="auto"/>
          <w:szCs w:val="24"/>
        </w:rPr>
        <w:t>2</w:t>
      </w:r>
      <w:r>
        <w:rPr>
          <w:rFonts w:hint="eastAsia" w:ascii="Times New Roman" w:hAnsi="Times New Roman"/>
          <w:color w:val="auto"/>
          <w:szCs w:val="24"/>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r>
        <w:rPr>
          <w:rFonts w:hint="eastAsia" w:ascii="Times New Roman" w:hAnsi="Times New Roman"/>
          <w:color w:val="auto"/>
          <w:szCs w:val="24"/>
          <w:lang w:eastAsia="zh-CN"/>
        </w:rPr>
        <w:t>。</w:t>
      </w:r>
    </w:p>
    <w:p w14:paraId="0BEEFC6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3）检查作场所周围是否有易燃物，如有，应清除或采取可靠的隔离、防护措施，并设专人监护</w:t>
      </w:r>
      <w:r>
        <w:rPr>
          <w:rFonts w:hint="eastAsia" w:ascii="Times New Roman" w:hAnsi="Times New Roman"/>
          <w:color w:val="auto"/>
          <w:szCs w:val="24"/>
          <w:lang w:eastAsia="zh-CN"/>
        </w:rPr>
        <w:t>。</w:t>
      </w:r>
    </w:p>
    <w:p w14:paraId="0DCFA65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4）不宜在雨、雪及大风天气进行露天焊接作业。如确实需要时，应采取遮蔽雨雪、防止触电和火花飞溅等措施</w:t>
      </w:r>
      <w:r>
        <w:rPr>
          <w:rFonts w:hint="eastAsia" w:ascii="Times New Roman" w:hAnsi="Times New Roman"/>
          <w:color w:val="auto"/>
          <w:szCs w:val="24"/>
          <w:lang w:eastAsia="zh-CN"/>
        </w:rPr>
        <w:t>。</w:t>
      </w:r>
    </w:p>
    <w:p w14:paraId="6EA4BB6D">
      <w:pPr>
        <w:ind w:firstLine="480"/>
        <w:rPr>
          <w:rFonts w:hint="eastAsia" w:ascii="Times New Roman" w:hAnsi="Times New Roman"/>
          <w:color w:val="auto"/>
          <w:szCs w:val="24"/>
          <w:lang w:eastAsia="zh-CN"/>
        </w:rPr>
      </w:pPr>
      <w:r>
        <w:rPr>
          <w:rFonts w:hint="eastAsia" w:ascii="Times New Roman" w:hAnsi="Times New Roman"/>
          <w:color w:val="auto"/>
          <w:szCs w:val="24"/>
        </w:rPr>
        <w:t>5）焊接时，焊工不要接触焊接物件或其它导电物件</w:t>
      </w:r>
      <w:r>
        <w:rPr>
          <w:rFonts w:hint="eastAsia" w:ascii="Times New Roman" w:hAnsi="Times New Roman"/>
          <w:color w:val="auto"/>
          <w:szCs w:val="24"/>
          <w:lang w:eastAsia="zh-CN"/>
        </w:rPr>
        <w:t>。</w:t>
      </w:r>
    </w:p>
    <w:p w14:paraId="37672A34">
      <w:pPr>
        <w:ind w:firstLine="480"/>
        <w:rPr>
          <w:rFonts w:hint="eastAsia" w:ascii="Times New Roman" w:hAnsi="Times New Roman" w:eastAsia="宋体"/>
          <w:color w:val="auto"/>
          <w:szCs w:val="24"/>
          <w:lang w:eastAsia="zh-CN"/>
        </w:rPr>
      </w:pPr>
      <w:r>
        <w:rPr>
          <w:rFonts w:ascii="Times New Roman" w:hAnsi="Times New Roman"/>
          <w:color w:val="auto"/>
          <w:szCs w:val="24"/>
        </w:rPr>
        <w:t>6</w:t>
      </w:r>
      <w:r>
        <w:rPr>
          <w:rFonts w:hint="eastAsia" w:ascii="Times New Roman" w:hAnsi="Times New Roman"/>
          <w:color w:val="auto"/>
          <w:szCs w:val="24"/>
        </w:rPr>
        <w:t>）焊接完工后，焊接位置应予以隔离或设专人监护，防止烫伤其他人员及火灾事故发生</w:t>
      </w:r>
      <w:r>
        <w:rPr>
          <w:rFonts w:hint="eastAsia" w:ascii="Times New Roman" w:hAnsi="Times New Roman"/>
          <w:color w:val="auto"/>
          <w:szCs w:val="24"/>
          <w:lang w:eastAsia="zh-CN"/>
        </w:rPr>
        <w:t>。</w:t>
      </w:r>
    </w:p>
    <w:p w14:paraId="25459D46">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7</w:t>
      </w:r>
      <w:r>
        <w:rPr>
          <w:rFonts w:hint="eastAsia" w:ascii="Times New Roman" w:hAnsi="Times New Roman"/>
          <w:color w:val="auto"/>
          <w:szCs w:val="24"/>
        </w:rPr>
        <w:t>）焊工在工作前必须检查好回火防止器及一切工具是否良好</w:t>
      </w:r>
      <w:r>
        <w:rPr>
          <w:rFonts w:hint="eastAsia" w:ascii="Times New Roman" w:hAnsi="Times New Roman"/>
          <w:color w:val="auto"/>
          <w:szCs w:val="24"/>
          <w:lang w:eastAsia="zh-CN"/>
        </w:rPr>
        <w:t>。</w:t>
      </w:r>
    </w:p>
    <w:p w14:paraId="40B0C21F">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8</w:t>
      </w:r>
      <w:r>
        <w:rPr>
          <w:rFonts w:hint="eastAsia" w:ascii="Times New Roman" w:hAnsi="Times New Roman"/>
          <w:color w:val="auto"/>
          <w:szCs w:val="24"/>
        </w:rPr>
        <w:t>）乙炔瓶、氧气瓶、胶管接头、阀塔的紧固件应坚固牢靠，不准有松动、破损和漏气。氧气瓶及其附件以及胶管工具上禁止沾油</w:t>
      </w:r>
      <w:r>
        <w:rPr>
          <w:rFonts w:hint="eastAsia" w:ascii="Times New Roman" w:hAnsi="Times New Roman"/>
          <w:color w:val="auto"/>
          <w:szCs w:val="24"/>
          <w:lang w:eastAsia="zh-CN"/>
        </w:rPr>
        <w:t>。</w:t>
      </w:r>
    </w:p>
    <w:p w14:paraId="72BE3E35">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9</w:t>
      </w:r>
      <w:r>
        <w:rPr>
          <w:rFonts w:hint="eastAsia" w:ascii="Times New Roman" w:hAnsi="Times New Roman"/>
          <w:color w:val="auto"/>
          <w:szCs w:val="24"/>
        </w:rPr>
        <w:t>）工作前必须检查氧气管、乙炔管，如有漏气、老化、鼓包和变质时，不准使用，管内应保持清洁，不得有异物，氧气管、乙炔管不得互换使用</w:t>
      </w:r>
      <w:r>
        <w:rPr>
          <w:rFonts w:hint="eastAsia" w:ascii="Times New Roman" w:hAnsi="Times New Roman"/>
          <w:color w:val="auto"/>
          <w:szCs w:val="24"/>
          <w:lang w:eastAsia="zh-CN"/>
        </w:rPr>
        <w:t>。</w:t>
      </w:r>
    </w:p>
    <w:p w14:paraId="72F7DA03">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10</w:t>
      </w:r>
      <w:r>
        <w:rPr>
          <w:rFonts w:hint="eastAsia" w:ascii="Times New Roman" w:hAnsi="Times New Roman"/>
          <w:color w:val="auto"/>
          <w:szCs w:val="24"/>
        </w:rPr>
        <w:t>）工作前应检查作场所周围是否有易燃物，如有，应清除或采取可靠的隔离、防护措施，并设专人监护</w:t>
      </w:r>
      <w:r>
        <w:rPr>
          <w:rFonts w:hint="eastAsia" w:ascii="Times New Roman" w:hAnsi="Times New Roman"/>
          <w:color w:val="auto"/>
          <w:szCs w:val="24"/>
          <w:lang w:eastAsia="zh-CN"/>
        </w:rPr>
        <w:t>。</w:t>
      </w:r>
    </w:p>
    <w:p w14:paraId="16E4C2A2">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11</w:t>
      </w:r>
      <w:r>
        <w:rPr>
          <w:rFonts w:hint="eastAsia" w:ascii="Times New Roman" w:hAnsi="Times New Roman"/>
          <w:color w:val="auto"/>
          <w:szCs w:val="24"/>
        </w:rPr>
        <w:t>）在连接氧气表（减压器）之前，要用专用扳手将氧气瓶阀塔微开，放出一些氧气，吹净瓶口污物和杂质，随后关闭。操作时工作人员应站在气口侧面，并闪开。开气时，气塔不可朝下</w:t>
      </w:r>
      <w:r>
        <w:rPr>
          <w:rFonts w:hint="eastAsia" w:ascii="Times New Roman" w:hAnsi="Times New Roman"/>
          <w:color w:val="auto"/>
          <w:szCs w:val="24"/>
          <w:lang w:eastAsia="zh-CN"/>
        </w:rPr>
        <w:t>。</w:t>
      </w:r>
    </w:p>
    <w:p w14:paraId="49A96FA0">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12</w:t>
      </w:r>
      <w:r>
        <w:rPr>
          <w:rFonts w:hint="eastAsia" w:ascii="Times New Roman" w:hAnsi="Times New Roman"/>
          <w:color w:val="auto"/>
          <w:szCs w:val="24"/>
        </w:rPr>
        <w:t>）乙炔、氧气瓶应垂直放置，防止倾倒，严禁与氧气瓶等易燃品同时存放</w:t>
      </w:r>
      <w:r>
        <w:rPr>
          <w:rFonts w:hint="eastAsia" w:ascii="Times New Roman" w:hAnsi="Times New Roman"/>
          <w:color w:val="auto"/>
          <w:szCs w:val="24"/>
          <w:lang w:eastAsia="zh-CN"/>
        </w:rPr>
        <w:t>。</w:t>
      </w:r>
    </w:p>
    <w:p w14:paraId="7B2A3DAE">
      <w:pPr>
        <w:ind w:firstLine="480"/>
        <w:rPr>
          <w:rFonts w:hint="eastAsia" w:ascii="Times New Roman" w:hAnsi="Times New Roman"/>
          <w:color w:val="auto"/>
          <w:szCs w:val="24"/>
          <w:lang w:eastAsia="zh-CN"/>
        </w:rPr>
      </w:pPr>
      <w:r>
        <w:rPr>
          <w:rFonts w:hint="eastAsia" w:ascii="Times New Roman" w:hAnsi="Times New Roman"/>
          <w:color w:val="auto"/>
          <w:szCs w:val="24"/>
          <w:lang w:val="en-US" w:eastAsia="zh-CN"/>
        </w:rPr>
        <w:t>13</w:t>
      </w:r>
      <w:r>
        <w:rPr>
          <w:rFonts w:hint="eastAsia" w:ascii="Times New Roman" w:hAnsi="Times New Roman"/>
          <w:color w:val="auto"/>
          <w:szCs w:val="24"/>
        </w:rPr>
        <w:t>）开启氧气或乙炔瓶阀塔时，禁止用铁器敲击，应用专用工具，动作要缓慢，防止产生火花，严禁面对减压器站立</w:t>
      </w:r>
      <w:r>
        <w:rPr>
          <w:rFonts w:hint="eastAsia" w:ascii="Times New Roman" w:hAnsi="Times New Roman"/>
          <w:color w:val="auto"/>
          <w:szCs w:val="24"/>
          <w:lang w:eastAsia="zh-CN"/>
        </w:rPr>
        <w:t>。</w:t>
      </w:r>
    </w:p>
    <w:p w14:paraId="1E6F84B8">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4</w:t>
      </w:r>
      <w:r>
        <w:rPr>
          <w:rFonts w:hint="eastAsia" w:ascii="Times New Roman" w:hAnsi="Times New Roman"/>
          <w:color w:val="auto"/>
          <w:szCs w:val="24"/>
        </w:rPr>
        <w:t>）在机械上（或高处）作业时，应在切割部件下部搭设安全保护装置以防金属溶液落下引起火灾或烧伤其他人员</w:t>
      </w:r>
      <w:r>
        <w:rPr>
          <w:rFonts w:hint="eastAsia" w:ascii="Times New Roman" w:hAnsi="Times New Roman"/>
          <w:color w:val="auto"/>
          <w:szCs w:val="24"/>
          <w:lang w:eastAsia="zh-CN"/>
        </w:rPr>
        <w:t>。</w:t>
      </w:r>
    </w:p>
    <w:p w14:paraId="465B9A4E">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5</w:t>
      </w:r>
      <w:r>
        <w:rPr>
          <w:rFonts w:hint="eastAsia" w:ascii="Times New Roman" w:hAnsi="Times New Roman"/>
          <w:color w:val="auto"/>
          <w:szCs w:val="24"/>
        </w:rPr>
        <w:t>）了解设备的消防器材状况，并保证在焊接地点周围有2个以上干粉灭火器；切割工作结束后，应检查地面，灭绝火种</w:t>
      </w:r>
      <w:r>
        <w:rPr>
          <w:rFonts w:hint="eastAsia" w:ascii="Times New Roman" w:hAnsi="Times New Roman"/>
          <w:color w:val="auto"/>
          <w:szCs w:val="24"/>
          <w:lang w:eastAsia="zh-CN"/>
        </w:rPr>
        <w:t>。</w:t>
      </w:r>
    </w:p>
    <w:p w14:paraId="4AB1A400">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lang w:val="en-US" w:eastAsia="zh-CN"/>
        </w:rPr>
        <w:t>6</w:t>
      </w:r>
      <w:r>
        <w:rPr>
          <w:rFonts w:hint="eastAsia" w:ascii="Times New Roman" w:hAnsi="Times New Roman"/>
          <w:color w:val="auto"/>
          <w:szCs w:val="24"/>
        </w:rPr>
        <w:t>）使用时，必须保证氧气瓶、乙炔瓶距明火不得小于10m。</w:t>
      </w:r>
    </w:p>
    <w:p w14:paraId="503DCE95">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7</w:t>
      </w:r>
      <w:r>
        <w:rPr>
          <w:rFonts w:hint="eastAsia" w:ascii="Times New Roman" w:hAnsi="Times New Roman"/>
          <w:color w:val="auto"/>
          <w:szCs w:val="24"/>
        </w:rPr>
        <w:t>）工作地点不固定、移动较频繁时，应装在专用小车上，严禁将乙炔瓶和氧气瓶放在一起</w:t>
      </w:r>
      <w:r>
        <w:rPr>
          <w:rFonts w:hint="eastAsia" w:ascii="Times New Roman" w:hAnsi="Times New Roman"/>
          <w:color w:val="auto"/>
          <w:szCs w:val="24"/>
          <w:lang w:eastAsia="zh-CN"/>
        </w:rPr>
        <w:t>。</w:t>
      </w:r>
    </w:p>
    <w:p w14:paraId="1C393C1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6.4.14安装防倾覆措施</w:t>
      </w:r>
    </w:p>
    <w:p w14:paraId="3365F709">
      <w:pPr>
        <w:ind w:firstLine="480"/>
        <w:rPr>
          <w:rFonts w:ascii="Times New Roman" w:hAnsi="Times New Roman"/>
          <w:color w:val="auto"/>
          <w:szCs w:val="24"/>
        </w:rPr>
      </w:pPr>
      <w:r>
        <w:rPr>
          <w:rFonts w:hint="eastAsia" w:ascii="Times New Roman" w:hAnsi="Times New Roman"/>
          <w:color w:val="auto"/>
          <w:szCs w:val="24"/>
        </w:rPr>
        <w:t>1）起吊构件时，吊索要保持垂直，不得超出起重机回转半径斜向拖拉，以免超负荷和钢丝绳滑脱或拉断绳索而使起重机失稳。起吊重型构件时应设牵拉绳。</w:t>
      </w:r>
    </w:p>
    <w:p w14:paraId="739963D5">
      <w:pPr>
        <w:ind w:firstLine="480"/>
        <w:rPr>
          <w:rFonts w:ascii="Times New Roman" w:hAnsi="Times New Roman"/>
          <w:color w:val="auto"/>
          <w:szCs w:val="24"/>
        </w:rPr>
      </w:pPr>
      <w:r>
        <w:rPr>
          <w:rFonts w:hint="eastAsia" w:ascii="Times New Roman" w:hAnsi="Times New Roman"/>
          <w:color w:val="auto"/>
          <w:szCs w:val="24"/>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7367A6BA">
      <w:pPr>
        <w:ind w:firstLine="480"/>
        <w:rPr>
          <w:rFonts w:ascii="Times New Roman" w:hAnsi="Times New Roman"/>
          <w:color w:val="auto"/>
          <w:szCs w:val="24"/>
        </w:rPr>
      </w:pPr>
      <w:r>
        <w:rPr>
          <w:rFonts w:hint="eastAsia" w:ascii="Times New Roman" w:hAnsi="Times New Roman"/>
          <w:color w:val="auto"/>
          <w:szCs w:val="24"/>
        </w:rPr>
        <w:t>3）塔机应尽量避免满负荷行驶；在满负荷或接近满负荷时，严禁同时进行提升与回转（起升与回转或小车变幅）两种动作，以免因惯性力等原因引塔机超负荷而酿成倾覆事故。</w:t>
      </w:r>
    </w:p>
    <w:p w14:paraId="35F50D20">
      <w:pPr>
        <w:ind w:firstLine="480"/>
        <w:rPr>
          <w:rFonts w:ascii="Times New Roman" w:hAnsi="Times New Roman"/>
          <w:color w:val="auto"/>
          <w:szCs w:val="24"/>
        </w:rPr>
      </w:pPr>
      <w:r>
        <w:rPr>
          <w:rFonts w:ascii="Times New Roman" w:hAnsi="Times New Roman"/>
          <w:color w:val="auto"/>
          <w:szCs w:val="24"/>
        </w:rPr>
        <w:t>4</w:t>
      </w:r>
      <w:r>
        <w:rPr>
          <w:rFonts w:hint="eastAsia" w:ascii="Times New Roman" w:hAnsi="Times New Roman"/>
          <w:color w:val="auto"/>
          <w:szCs w:val="24"/>
        </w:rP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03CA1671">
      <w:pPr>
        <w:ind w:firstLine="480"/>
        <w:rPr>
          <w:rFonts w:ascii="Times New Roman" w:hAnsi="Times New Roman"/>
          <w:color w:val="auto"/>
          <w:szCs w:val="24"/>
        </w:rPr>
      </w:pPr>
      <w:r>
        <w:rPr>
          <w:rFonts w:hint="eastAsia" w:ascii="Times New Roman" w:hAnsi="Times New Roman"/>
          <w:color w:val="auto"/>
          <w:szCs w:val="24"/>
        </w:rPr>
        <w:t>5）在顶升降塔作业时，必须先将塔机酌配平，回转下支承必须与爬升架与塔身可靠连接。</w:t>
      </w:r>
    </w:p>
    <w:p w14:paraId="3CD69FEB">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）塔机停止工作时，回转机构因处于自由状态，吊钩上不得悬挂构件，以免摆动伤人和造成塔机失稳。</w:t>
      </w:r>
    </w:p>
    <w:p w14:paraId="28BFEB42">
      <w:pPr>
        <w:ind w:firstLine="480"/>
        <w:rPr>
          <w:rFonts w:ascii="Times New Roman" w:hAnsi="Times New Roman"/>
          <w:color w:val="auto"/>
          <w:szCs w:val="24"/>
        </w:rPr>
      </w:pPr>
      <w:r>
        <w:rPr>
          <w:rFonts w:hint="eastAsia" w:ascii="Times New Roman" w:hAnsi="Times New Roman"/>
          <w:color w:val="auto"/>
          <w:szCs w:val="24"/>
        </w:rPr>
        <w:t>7）</w:t>
      </w:r>
      <w:r>
        <w:rPr>
          <w:rFonts w:ascii="Times New Roman" w:hAnsi="Times New Roman"/>
          <w:color w:val="auto"/>
          <w:szCs w:val="24"/>
        </w:rPr>
        <w:t>严格遵守《特种设备安全监察条例</w:t>
      </w:r>
      <w:r>
        <w:rPr>
          <w:rFonts w:hint="eastAsia" w:ascii="Times New Roman" w:hAnsi="Times New Roman"/>
          <w:color w:val="auto"/>
          <w:szCs w:val="24"/>
          <w:lang w:val="en-US" w:eastAsia="zh-CN"/>
        </w:rPr>
        <w:t xml:space="preserve"> 第549号</w:t>
      </w:r>
      <w:r>
        <w:rPr>
          <w:rFonts w:ascii="Times New Roman" w:hAnsi="Times New Roman"/>
          <w:color w:val="auto"/>
          <w:szCs w:val="24"/>
        </w:rPr>
        <w:t>》等法律、法规的要求，驾驶员须持证上岗，并对</w:t>
      </w:r>
      <w:r>
        <w:rPr>
          <w:rFonts w:hint="eastAsia" w:ascii="Times New Roman" w:hAnsi="Times New Roman"/>
          <w:color w:val="auto"/>
          <w:szCs w:val="24"/>
        </w:rPr>
        <w:t>塔机</w:t>
      </w:r>
      <w:r>
        <w:rPr>
          <w:rFonts w:ascii="Times New Roman" w:hAnsi="Times New Roman"/>
          <w:color w:val="auto"/>
          <w:szCs w:val="24"/>
        </w:rPr>
        <w:t>定期检查、维修等</w:t>
      </w:r>
      <w:r>
        <w:rPr>
          <w:rFonts w:hint="eastAsia" w:ascii="Times New Roman" w:hAnsi="Times New Roman"/>
          <w:color w:val="auto"/>
          <w:szCs w:val="24"/>
        </w:rPr>
        <w:t>。</w:t>
      </w:r>
    </w:p>
    <w:p w14:paraId="1C2A12DE">
      <w:pPr>
        <w:ind w:firstLine="480"/>
        <w:rPr>
          <w:rFonts w:ascii="Times New Roman" w:hAnsi="Times New Roman"/>
          <w:color w:val="auto"/>
          <w:szCs w:val="24"/>
        </w:rPr>
      </w:pPr>
      <w:r>
        <w:rPr>
          <w:rFonts w:ascii="Times New Roman" w:hAnsi="Times New Roman"/>
          <w:color w:val="auto"/>
          <w:szCs w:val="24"/>
        </w:rPr>
        <w:t>8</w:t>
      </w:r>
      <w:r>
        <w:rPr>
          <w:rFonts w:hint="eastAsia" w:ascii="Times New Roman" w:hAnsi="Times New Roman"/>
          <w:color w:val="auto"/>
          <w:szCs w:val="24"/>
        </w:rPr>
        <w:t>）</w:t>
      </w:r>
      <w:r>
        <w:rPr>
          <w:rFonts w:ascii="Times New Roman" w:hAnsi="Times New Roman"/>
          <w:color w:val="auto"/>
          <w:szCs w:val="24"/>
        </w:rPr>
        <w:t>对露天场地作业的起重机械应针对在各种季节中的气象特点，建立不同的工作制度和相应的预防措施。</w:t>
      </w:r>
    </w:p>
    <w:p w14:paraId="27BEA534">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6.4.15夜间施工措施</w:t>
      </w:r>
    </w:p>
    <w:p w14:paraId="04808114">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）在信号不明和作业现场光线阴暗时，严禁进行起吊作业。</w:t>
      </w:r>
    </w:p>
    <w:p w14:paraId="2003DE02">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）作业人员必须穿戴有应急反光的服装。</w:t>
      </w:r>
    </w:p>
    <w:p w14:paraId="29CD3E90">
      <w:pPr>
        <w:ind w:firstLine="480"/>
        <w:rPr>
          <w:rFonts w:ascii="Times New Roman" w:hAnsi="Times New Roman"/>
          <w:color w:val="auto"/>
          <w:szCs w:val="24"/>
        </w:rPr>
      </w:pPr>
      <w:r>
        <w:rPr>
          <w:rFonts w:hint="eastAsia" w:ascii="Times New Roman" w:hAnsi="Times New Roman"/>
          <w:color w:val="auto"/>
          <w:szCs w:val="24"/>
        </w:rPr>
        <w:t>3）夜间不得进行吊装作业，如已进行但未进行完毕的，应采取措施尽快完成，并确保夜间施工照明及指挥。</w:t>
      </w:r>
    </w:p>
    <w:p w14:paraId="3CD04734">
      <w:pPr>
        <w:ind w:firstLine="480"/>
        <w:rPr>
          <w:rFonts w:ascii="Times New Roman" w:hAnsi="Times New Roman"/>
          <w:color w:val="auto"/>
          <w:szCs w:val="24"/>
        </w:rPr>
      </w:pPr>
      <w:r>
        <w:rPr>
          <w:rFonts w:hint="eastAsia" w:ascii="Times New Roman" w:hAnsi="Times New Roman"/>
          <w:color w:val="auto"/>
          <w:szCs w:val="24"/>
        </w:rPr>
        <w:t>4）夜间作业做好作业区的安全警示。</w:t>
      </w:r>
    </w:p>
    <w:p w14:paraId="1398F555">
      <w:pPr>
        <w:ind w:firstLine="48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5）夜间作业时清楚场地内的障碍物及杂物，确保施工安全顺利。</w:t>
      </w:r>
    </w:p>
    <w:p w14:paraId="346EFEA1">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6.4.16其他安全技术措施</w:t>
      </w:r>
      <w:bookmarkEnd w:id="188"/>
      <w:bookmarkEnd w:id="189"/>
      <w:bookmarkEnd w:id="190"/>
    </w:p>
    <w:p w14:paraId="45BCECE1">
      <w:pPr>
        <w:ind w:firstLine="480"/>
        <w:rPr>
          <w:color w:val="auto"/>
        </w:rPr>
      </w:pPr>
      <w:r>
        <w:rPr>
          <w:rFonts w:hint="eastAsia"/>
          <w:color w:val="auto"/>
        </w:rPr>
        <w:t>（1）起重</w:t>
      </w:r>
      <w:r>
        <w:rPr>
          <w:rFonts w:hint="eastAsia"/>
          <w:color w:val="auto"/>
          <w:lang w:val="en-US" w:eastAsia="zh-CN"/>
        </w:rPr>
        <w:t>卷扬机</w:t>
      </w:r>
      <w:r>
        <w:rPr>
          <w:rFonts w:hint="eastAsia"/>
          <w:color w:val="auto"/>
        </w:rPr>
        <w:t>、</w:t>
      </w:r>
      <w:r>
        <w:rPr>
          <w:rFonts w:hint="eastAsia"/>
          <w:color w:val="auto"/>
          <w:lang w:val="en-US" w:eastAsia="zh-CN"/>
        </w:rPr>
        <w:t>电动葫芦</w:t>
      </w:r>
      <w:r>
        <w:rPr>
          <w:rFonts w:hint="eastAsia"/>
          <w:color w:val="auto"/>
        </w:rPr>
        <w:t>防风防雨保证措施</w:t>
      </w:r>
    </w:p>
    <w:p w14:paraId="4C397A1F">
      <w:pPr>
        <w:ind w:firstLine="480"/>
        <w:rPr>
          <w:color w:val="auto"/>
        </w:rPr>
      </w:pPr>
      <w:r>
        <w:rPr>
          <w:rFonts w:hint="eastAsia"/>
          <w:color w:val="auto"/>
        </w:rPr>
        <w:t>①起重</w:t>
      </w:r>
      <w:r>
        <w:rPr>
          <w:rFonts w:hint="eastAsia"/>
          <w:color w:val="auto"/>
          <w:lang w:val="en-US" w:eastAsia="zh-CN"/>
        </w:rPr>
        <w:t>卷扬机</w:t>
      </w:r>
      <w:r>
        <w:rPr>
          <w:rFonts w:hint="eastAsia"/>
          <w:color w:val="auto"/>
        </w:rPr>
        <w:t>需加装防雨盖，对起重、行走电机进行保护。</w:t>
      </w:r>
    </w:p>
    <w:p w14:paraId="0B34CF00">
      <w:pPr>
        <w:ind w:firstLine="480"/>
        <w:rPr>
          <w:color w:val="auto"/>
        </w:rPr>
      </w:pPr>
      <w:r>
        <w:rPr>
          <w:rFonts w:hint="eastAsia"/>
          <w:color w:val="auto"/>
        </w:rPr>
        <w:t>②防雨盖两端用螺栓检拧紧固定，防雨盖支腿</w:t>
      </w:r>
      <w:r>
        <w:rPr>
          <w:rFonts w:hint="eastAsia"/>
          <w:color w:val="auto"/>
          <w:lang w:val="en-US" w:eastAsia="zh-CN"/>
        </w:rPr>
        <w:t>与连接部位</w:t>
      </w:r>
      <w:r>
        <w:rPr>
          <w:rFonts w:hint="eastAsia"/>
          <w:color w:val="auto"/>
        </w:rPr>
        <w:t>间的间隙涂抹玻璃胶。</w:t>
      </w:r>
    </w:p>
    <w:p w14:paraId="26259E34">
      <w:pPr>
        <w:ind w:firstLine="480"/>
        <w:rPr>
          <w:color w:val="auto"/>
        </w:rPr>
      </w:pPr>
      <w:r>
        <w:rPr>
          <w:rFonts w:hint="eastAsia"/>
          <w:color w:val="auto"/>
        </w:rPr>
        <w:t>③大风大雨前，操作人员需仔细检查防雨盖的螺栓紧固情况及玻璃胶涂抹情况，防止雨水渗入电机，造成电机损坏及触电事故。</w:t>
      </w:r>
    </w:p>
    <w:p w14:paraId="6D878C56">
      <w:pPr>
        <w:ind w:firstLine="480"/>
        <w:rPr>
          <w:color w:val="auto"/>
        </w:rPr>
      </w:pPr>
      <w:r>
        <w:rPr>
          <w:rFonts w:hint="eastAsia"/>
          <w:color w:val="auto"/>
        </w:rPr>
        <w:t>（2）</w:t>
      </w:r>
      <w:r>
        <w:rPr>
          <w:rFonts w:hint="eastAsia"/>
          <w:color w:val="auto"/>
          <w:lang w:val="en-US" w:eastAsia="zh-CN"/>
        </w:rPr>
        <w:t>电动葫芦及</w:t>
      </w:r>
      <w:r>
        <w:rPr>
          <w:rFonts w:hint="eastAsia"/>
          <w:color w:val="auto"/>
        </w:rPr>
        <w:t>滑动电缆保证措施</w:t>
      </w:r>
    </w:p>
    <w:p w14:paraId="6FD37B13">
      <w:pPr>
        <w:ind w:firstLine="480"/>
        <w:rPr>
          <w:color w:val="auto"/>
        </w:rPr>
      </w:pPr>
      <w:r>
        <w:rPr>
          <w:rFonts w:hint="eastAsia"/>
          <w:color w:val="auto"/>
        </w:rPr>
        <w:t>①维修人员、操作人员需经常检查电缆与滑轮连接处螺栓连接情况，防止电缆松动。</w:t>
      </w:r>
    </w:p>
    <w:p w14:paraId="56ACC054">
      <w:pPr>
        <w:ind w:firstLine="480"/>
        <w:rPr>
          <w:color w:val="auto"/>
        </w:rPr>
      </w:pPr>
      <w:r>
        <w:rPr>
          <w:rFonts w:hint="eastAsia"/>
          <w:color w:val="auto"/>
        </w:rPr>
        <w:t>②维修人员、操作人员需经常检查滑轮磨损情况，防止造成电缆破损，造成触电事故。</w:t>
      </w:r>
    </w:p>
    <w:p w14:paraId="5236B995">
      <w:pPr>
        <w:ind w:firstLine="480"/>
        <w:rPr>
          <w:color w:val="auto"/>
        </w:rPr>
      </w:pPr>
      <w:r>
        <w:rPr>
          <w:rFonts w:hint="eastAsia"/>
          <w:color w:val="auto"/>
        </w:rPr>
        <w:t>（3）限位装置保证措施</w:t>
      </w:r>
    </w:p>
    <w:p w14:paraId="368F8E32">
      <w:pPr>
        <w:ind w:firstLine="480"/>
        <w:rPr>
          <w:color w:val="auto"/>
        </w:rPr>
      </w:pPr>
      <w:r>
        <w:rPr>
          <w:rFonts w:hint="eastAsia"/>
          <w:color w:val="auto"/>
        </w:rPr>
        <w:t>①限位装置需动作灵敏有效，每班作业前需对行走限位、起升限位进行试车，动作可靠方可作业。限位装置失效或损坏需及时整改更换。</w:t>
      </w:r>
    </w:p>
    <w:p w14:paraId="3BE3E177">
      <w:pPr>
        <w:ind w:firstLine="480"/>
        <w:rPr>
          <w:color w:val="auto"/>
        </w:rPr>
      </w:pPr>
      <w:r>
        <w:rPr>
          <w:rFonts w:hint="eastAsia"/>
          <w:color w:val="auto"/>
        </w:rPr>
        <w:t>②重量限位需每周进行一次检测、自校，防止失效发生超载使用。</w:t>
      </w:r>
    </w:p>
    <w:p w14:paraId="1B2A8573">
      <w:pPr>
        <w:ind w:firstLine="480"/>
        <w:rPr>
          <w:color w:val="auto"/>
        </w:rPr>
      </w:pPr>
      <w:r>
        <w:rPr>
          <w:rFonts w:hint="eastAsia"/>
          <w:color w:val="auto"/>
        </w:rPr>
        <w:t>（4）吊装钢丝绳保证措施</w:t>
      </w:r>
    </w:p>
    <w:p w14:paraId="55782552">
      <w:pPr>
        <w:ind w:firstLine="480"/>
        <w:rPr>
          <w:color w:val="auto"/>
        </w:rPr>
      </w:pPr>
      <w:r>
        <w:rPr>
          <w:rFonts w:hint="eastAsia"/>
          <w:color w:val="auto"/>
        </w:rPr>
        <w:t>①吊装钢丝绳每班作业前应进行检查，按规定进行保养。</w:t>
      </w:r>
    </w:p>
    <w:p w14:paraId="1023C4CB">
      <w:pPr>
        <w:ind w:firstLine="480"/>
        <w:rPr>
          <w:color w:val="auto"/>
        </w:rPr>
      </w:pPr>
      <w:r>
        <w:rPr>
          <w:rFonts w:hint="eastAsia"/>
          <w:color w:val="auto"/>
        </w:rPr>
        <w:t>②在使用过程中发现使用老化、断丝严重、断股等，应停止使用，更换新钢丝绳。</w:t>
      </w:r>
    </w:p>
    <w:p w14:paraId="22AA8863">
      <w:pPr>
        <w:ind w:firstLine="480"/>
        <w:rPr>
          <w:color w:val="auto"/>
        </w:rPr>
      </w:pPr>
      <w:r>
        <w:rPr>
          <w:rFonts w:hint="eastAsia"/>
          <w:color w:val="auto"/>
        </w:rPr>
        <w:t>（5）上下安全爬梯、防护栏杆保证措施</w:t>
      </w:r>
    </w:p>
    <w:p w14:paraId="7E6540CC">
      <w:pPr>
        <w:ind w:firstLine="480"/>
        <w:rPr>
          <w:rFonts w:hint="eastAsia"/>
          <w:color w:val="auto"/>
        </w:rPr>
      </w:pPr>
      <w:r>
        <w:rPr>
          <w:rFonts w:hint="eastAsia"/>
          <w:color w:val="auto"/>
        </w:rPr>
        <w:t>上下爬梯、防护栏杆每月应对爬梯的连接状况，焊接情况进行检查，防止在使用过程中螺栓松动、脱焊等现象。</w:t>
      </w:r>
    </w:p>
    <w:p w14:paraId="6A131E5C">
      <w:pPr>
        <w:pStyle w:val="3"/>
        <w:spacing w:before="156" w:after="156"/>
        <w:ind w:left="480" w:leftChars="0" w:firstLineChars="0"/>
        <w:rPr>
          <w:rFonts w:hint="eastAsia" w:eastAsia="宋体"/>
          <w:color w:val="auto"/>
          <w:lang w:val="en-US" w:eastAsia="zh-CN"/>
        </w:rPr>
      </w:pPr>
      <w:bookmarkStart w:id="191" w:name="_Toc26590"/>
      <w:r>
        <w:rPr>
          <w:rFonts w:hint="eastAsia" w:eastAsia="宋体"/>
          <w:color w:val="auto"/>
          <w:lang w:val="en-US" w:eastAsia="zh-CN"/>
        </w:rPr>
        <w:t>监测监控措施</w:t>
      </w:r>
      <w:bookmarkEnd w:id="191"/>
    </w:p>
    <w:p w14:paraId="2A88B2DF">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1FF5F4B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6EB103A6">
      <w:pPr>
        <w:pStyle w:val="3"/>
        <w:spacing w:before="156" w:after="156"/>
        <w:ind w:left="480" w:leftChars="0" w:firstLineChars="0"/>
        <w:rPr>
          <w:rFonts w:hint="eastAsia" w:eastAsia="宋体"/>
          <w:color w:val="auto"/>
          <w:lang w:val="en-US" w:eastAsia="zh-CN"/>
        </w:rPr>
      </w:pPr>
      <w:bookmarkStart w:id="192" w:name="_Toc10424"/>
      <w:bookmarkStart w:id="193" w:name="_Toc24745_WPSOffice_Level2"/>
      <w:bookmarkStart w:id="194" w:name="_Toc530055697"/>
      <w:r>
        <w:rPr>
          <w:rFonts w:hint="eastAsia" w:eastAsia="宋体"/>
          <w:color w:val="auto"/>
          <w:lang w:val="en-US" w:eastAsia="zh-CN"/>
        </w:rPr>
        <w:t>电气设备</w:t>
      </w:r>
      <w:bookmarkEnd w:id="192"/>
    </w:p>
    <w:bookmarkEnd w:id="193"/>
    <w:bookmarkEnd w:id="194"/>
    <w:p w14:paraId="62DD3C48">
      <w:pPr>
        <w:spacing w:line="360" w:lineRule="auto"/>
        <w:ind w:firstLine="482" w:firstLineChars="200"/>
        <w:rPr>
          <w:rFonts w:ascii="宋体" w:hAnsi="宋体" w:eastAsia="宋体" w:cs="宋体"/>
          <w:b/>
          <w:color w:val="auto"/>
          <w:sz w:val="24"/>
          <w:szCs w:val="24"/>
        </w:rPr>
      </w:pPr>
      <w:bookmarkStart w:id="195"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195"/>
    </w:p>
    <w:p w14:paraId="0F614C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5F20F01">
      <w:pPr>
        <w:spacing w:line="360" w:lineRule="auto"/>
        <w:ind w:firstLine="482" w:firstLineChars="200"/>
        <w:rPr>
          <w:rFonts w:ascii="宋体" w:hAnsi="宋体" w:eastAsia="宋体" w:cs="宋体"/>
          <w:b/>
          <w:color w:val="auto"/>
          <w:sz w:val="24"/>
          <w:szCs w:val="24"/>
        </w:rPr>
      </w:pPr>
      <w:bookmarkStart w:id="196"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196"/>
    </w:p>
    <w:p w14:paraId="7B774C1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2B54D446">
      <w:pPr>
        <w:spacing w:line="360" w:lineRule="auto"/>
        <w:ind w:firstLine="482" w:firstLineChars="200"/>
        <w:rPr>
          <w:rFonts w:ascii="宋体" w:hAnsi="宋体" w:eastAsia="宋体" w:cs="宋体"/>
          <w:b/>
          <w:color w:val="auto"/>
          <w:sz w:val="24"/>
          <w:szCs w:val="24"/>
        </w:rPr>
      </w:pPr>
      <w:bookmarkStart w:id="197"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197"/>
    </w:p>
    <w:p w14:paraId="3C5E901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7BA3C18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198" w:name="_Toc20258_WPSOffice_Level2"/>
      <w:r>
        <w:rPr>
          <w:rFonts w:hint="eastAsia" w:ascii="宋体" w:hAnsi="宋体" w:eastAsia="宋体" w:cs="宋体"/>
          <w:color w:val="auto"/>
          <w:sz w:val="24"/>
          <w:szCs w:val="24"/>
        </w:rPr>
        <w:t>人机安全的目的。</w:t>
      </w:r>
      <w:bookmarkEnd w:id="198"/>
    </w:p>
    <w:p w14:paraId="1AEC5B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4225DE5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199" w:name="_Toc12226_WPSOffice_Level2"/>
      <w:r>
        <w:rPr>
          <w:rFonts w:hint="eastAsia" w:ascii="宋体" w:hAnsi="宋体" w:eastAsia="宋体" w:cs="宋体"/>
          <w:color w:val="auto"/>
          <w:sz w:val="24"/>
          <w:szCs w:val="24"/>
        </w:rPr>
        <w:t>作为失压保护</w:t>
      </w:r>
      <w:bookmarkEnd w:id="199"/>
      <w:r>
        <w:rPr>
          <w:rFonts w:hint="eastAsia" w:ascii="宋体" w:hAnsi="宋体" w:eastAsia="宋体" w:cs="宋体"/>
          <w:color w:val="auto"/>
          <w:sz w:val="24"/>
          <w:szCs w:val="24"/>
        </w:rPr>
        <w:t>装置，当供电电源中断时,能够自动断开电源。</w:t>
      </w:r>
    </w:p>
    <w:p w14:paraId="4527BA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18E14E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200" w:name="_Toc29864_WPSOffice_Level1"/>
      <w:r>
        <w:rPr>
          <w:rFonts w:hint="eastAsia" w:ascii="宋体" w:hAnsi="宋体" w:eastAsia="宋体" w:cs="宋体"/>
          <w:color w:val="auto"/>
          <w:sz w:val="24"/>
          <w:szCs w:val="24"/>
        </w:rPr>
        <w:t>的电动机才能启动工作。</w:t>
      </w:r>
      <w:bookmarkEnd w:id="200"/>
    </w:p>
    <w:p w14:paraId="0EDA8A2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2402E99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7885EE2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1145BE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201" w:name="_Toc27220_WPSOffice_Level2"/>
      <w:r>
        <w:rPr>
          <w:rFonts w:hint="eastAsia" w:ascii="宋体" w:hAnsi="宋体" w:eastAsia="宋体" w:cs="宋体"/>
          <w:color w:val="auto"/>
          <w:sz w:val="24"/>
          <w:szCs w:val="24"/>
        </w:rPr>
        <w:t>车的目的，确保起重机的</w:t>
      </w:r>
      <w:bookmarkEnd w:id="201"/>
      <w:r>
        <w:rPr>
          <w:rFonts w:hint="eastAsia" w:ascii="宋体" w:hAnsi="宋体" w:eastAsia="宋体" w:cs="宋体"/>
          <w:color w:val="auto"/>
          <w:sz w:val="24"/>
          <w:szCs w:val="24"/>
        </w:rPr>
        <w:t>安全运行。</w:t>
      </w:r>
    </w:p>
    <w:p w14:paraId="4E9DD67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061BC5A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04F596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4644077E">
      <w:pPr>
        <w:spacing w:line="360" w:lineRule="auto"/>
        <w:ind w:firstLine="482" w:firstLineChars="200"/>
        <w:rPr>
          <w:rFonts w:ascii="宋体" w:hAnsi="宋体" w:eastAsia="宋体" w:cs="宋体"/>
          <w:b/>
          <w:color w:val="auto"/>
          <w:sz w:val="24"/>
          <w:szCs w:val="24"/>
        </w:rPr>
      </w:pPr>
      <w:bookmarkStart w:id="202" w:name="_Toc530055703"/>
      <w:bookmarkStart w:id="203"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202"/>
    </w:p>
    <w:p w14:paraId="417339D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7FFB7FC1">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0D09F6A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203"/>
    </w:p>
    <w:p w14:paraId="780E70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0108F6A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5613897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2EC1048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409B6AB4">
      <w:pPr>
        <w:spacing w:line="360" w:lineRule="auto"/>
        <w:ind w:firstLine="482" w:firstLineChars="200"/>
        <w:rPr>
          <w:rFonts w:ascii="宋体" w:hAnsi="宋体" w:eastAsia="宋体" w:cs="宋体"/>
          <w:b/>
          <w:color w:val="auto"/>
          <w:sz w:val="24"/>
          <w:szCs w:val="24"/>
        </w:rPr>
      </w:pPr>
      <w:bookmarkStart w:id="204"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204"/>
    </w:p>
    <w:p w14:paraId="78BAC5B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2ACA581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B962C1E">
      <w:pPr>
        <w:spacing w:line="360" w:lineRule="auto"/>
        <w:ind w:firstLine="482" w:firstLineChars="200"/>
        <w:rPr>
          <w:rFonts w:ascii="宋体" w:hAnsi="宋体" w:eastAsia="宋体" w:cs="宋体"/>
          <w:b/>
          <w:color w:val="auto"/>
          <w:sz w:val="24"/>
          <w:szCs w:val="24"/>
        </w:rPr>
      </w:pPr>
      <w:bookmarkStart w:id="205"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205"/>
    </w:p>
    <w:p w14:paraId="396C062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5B337C19">
      <w:pPr>
        <w:pStyle w:val="81"/>
        <w:jc w:val="left"/>
        <w:rPr>
          <w:color w:val="auto"/>
        </w:rPr>
      </w:pPr>
      <w:r>
        <w:rPr>
          <w:rFonts w:hint="eastAsia"/>
          <w:color w:val="auto"/>
        </w:rPr>
        <w:t>2）总受电屏和各机构控制屏中的布线采用铜导线和铜排。</w:t>
      </w:r>
    </w:p>
    <w:p w14:paraId="1F7B6ADB">
      <w:pPr>
        <w:pStyle w:val="9"/>
        <w:ind w:left="0" w:leftChars="0" w:firstLine="0" w:firstLineChars="0"/>
        <w:rPr>
          <w:rFonts w:hint="eastAsia"/>
          <w:color w:val="auto"/>
        </w:rPr>
      </w:pPr>
    </w:p>
    <w:p w14:paraId="37299AB0">
      <w:pPr>
        <w:pStyle w:val="25"/>
        <w:ind w:left="0" w:leftChars="0" w:firstLine="0" w:firstLineChars="0"/>
        <w:rPr>
          <w:rFonts w:hint="eastAsia"/>
          <w:color w:val="auto"/>
        </w:rPr>
      </w:pPr>
    </w:p>
    <w:p w14:paraId="5DEB6047">
      <w:pPr>
        <w:pStyle w:val="25"/>
        <w:ind w:left="0" w:leftChars="0" w:firstLine="0" w:firstLineChars="0"/>
        <w:rPr>
          <w:color w:val="auto"/>
        </w:rPr>
      </w:pPr>
    </w:p>
    <w:p w14:paraId="4D6D61B4">
      <w:pPr>
        <w:ind w:firstLine="480"/>
        <w:rPr>
          <w:rFonts w:hint="eastAsia"/>
          <w:color w:val="auto"/>
        </w:rPr>
      </w:pPr>
    </w:p>
    <w:p w14:paraId="42834EEF">
      <w:pPr>
        <w:ind w:firstLine="480"/>
        <w:rPr>
          <w:rFonts w:hint="eastAsia"/>
          <w:color w:val="auto"/>
        </w:rPr>
      </w:pPr>
    </w:p>
    <w:p w14:paraId="49A6E969">
      <w:pPr>
        <w:ind w:firstLine="480"/>
        <w:rPr>
          <w:rFonts w:hint="eastAsia"/>
          <w:color w:val="auto"/>
        </w:rPr>
      </w:pPr>
    </w:p>
    <w:p w14:paraId="578A0712">
      <w:pPr>
        <w:ind w:firstLine="480"/>
        <w:rPr>
          <w:rFonts w:hint="eastAsia"/>
          <w:color w:val="auto"/>
        </w:rPr>
      </w:pPr>
    </w:p>
    <w:p w14:paraId="73BEB416">
      <w:pPr>
        <w:ind w:firstLine="480"/>
        <w:rPr>
          <w:rFonts w:hint="eastAsia"/>
          <w:color w:val="auto"/>
        </w:rPr>
      </w:pPr>
    </w:p>
    <w:bookmarkEnd w:id="142"/>
    <w:bookmarkEnd w:id="143"/>
    <w:bookmarkEnd w:id="144"/>
    <w:bookmarkEnd w:id="145"/>
    <w:bookmarkEnd w:id="146"/>
    <w:bookmarkEnd w:id="147"/>
    <w:p w14:paraId="6F6F8838">
      <w:pPr>
        <w:ind w:left="0" w:leftChars="0" w:firstLine="0" w:firstLineChars="0"/>
        <w:rPr>
          <w:color w:val="auto"/>
        </w:rPr>
      </w:pPr>
    </w:p>
    <w:p w14:paraId="0A319781">
      <w:pPr>
        <w:ind w:firstLine="480"/>
        <w:rPr>
          <w:color w:val="auto"/>
        </w:rPr>
        <w:sectPr>
          <w:headerReference r:id="rId16" w:type="default"/>
          <w:footerReference r:id="rId17" w:type="default"/>
          <w:pgSz w:w="11906" w:h="16838"/>
          <w:pgMar w:top="1440" w:right="1800" w:bottom="1440" w:left="1800" w:header="851" w:footer="992" w:gutter="0"/>
          <w:pgNumType w:fmt="decimal"/>
          <w:cols w:space="720" w:num="1"/>
          <w:docGrid w:type="lines" w:linePitch="312" w:charSpace="0"/>
        </w:sectPr>
      </w:pPr>
    </w:p>
    <w:p w14:paraId="643D3751">
      <w:pPr>
        <w:pStyle w:val="2"/>
        <w:spacing w:before="156" w:after="156"/>
        <w:rPr>
          <w:color w:val="auto"/>
        </w:rPr>
      </w:pPr>
      <w:bookmarkStart w:id="206" w:name="_Toc15539"/>
      <w:bookmarkStart w:id="207" w:name="_Toc2870"/>
      <w:bookmarkStart w:id="208" w:name="_Toc40778447"/>
      <w:bookmarkStart w:id="209" w:name="_Toc13979"/>
      <w:r>
        <w:rPr>
          <w:rFonts w:hint="eastAsia"/>
          <w:color w:val="auto"/>
        </w:rPr>
        <w:t>施工管理及作业人员配备和分工</w:t>
      </w:r>
      <w:bookmarkEnd w:id="206"/>
      <w:bookmarkEnd w:id="207"/>
      <w:bookmarkEnd w:id="208"/>
      <w:bookmarkEnd w:id="209"/>
    </w:p>
    <w:p w14:paraId="2542E561">
      <w:pPr>
        <w:pStyle w:val="3"/>
        <w:numPr>
          <w:ilvl w:val="0"/>
          <w:numId w:val="0"/>
        </w:numPr>
        <w:ind w:left="420" w:leftChars="0"/>
        <w:rPr>
          <w:color w:val="auto"/>
        </w:rPr>
      </w:pPr>
      <w:bookmarkStart w:id="210" w:name="_Toc31501"/>
      <w:r>
        <w:rPr>
          <w:rFonts w:hint="eastAsia"/>
          <w:color w:val="auto"/>
          <w:lang w:val="en-US" w:eastAsia="zh-CN"/>
        </w:rPr>
        <w:t>7.1</w:t>
      </w:r>
      <w:r>
        <w:rPr>
          <w:rFonts w:hint="eastAsia"/>
          <w:color w:val="auto"/>
        </w:rPr>
        <w:t>施工组织机构</w:t>
      </w:r>
      <w:bookmarkEnd w:id="210"/>
    </w:p>
    <w:p w14:paraId="06D78BE4">
      <w:pPr>
        <w:pStyle w:val="73"/>
        <w:spacing w:before="156"/>
        <w:ind w:firstLine="422"/>
        <w:jc w:val="center"/>
        <w:rPr>
          <w:rFonts w:ascii="宋体" w:hAnsi="宋体" w:eastAsia="宋体" w:cs="黑体"/>
          <w:b/>
          <w:color w:val="auto"/>
          <w:sz w:val="21"/>
          <w:szCs w:val="21"/>
        </w:rPr>
      </w:pPr>
      <w:r>
        <w:rPr>
          <w:color w:val="auto"/>
        </w:rPr>
        <w:drawing>
          <wp:inline distT="0" distB="0" distL="114300" distR="114300">
            <wp:extent cx="5168900" cy="2391410"/>
            <wp:effectExtent l="0" t="0" r="12700" b="8890"/>
            <wp:docPr id="68" name="图片 1124"/>
            <wp:cNvGraphicFramePr/>
            <a:graphic xmlns:a="http://schemas.openxmlformats.org/drawingml/2006/main">
              <a:graphicData uri="http://schemas.openxmlformats.org/drawingml/2006/picture">
                <pic:pic xmlns:pic="http://schemas.openxmlformats.org/drawingml/2006/picture">
                  <pic:nvPicPr>
                    <pic:cNvPr id="68" name="图片 1124"/>
                    <pic:cNvPicPr/>
                  </pic:nvPicPr>
                  <pic:blipFill>
                    <a:blip r:embed="rId32"/>
                    <a:stretch>
                      <a:fillRect/>
                    </a:stretch>
                  </pic:blipFill>
                  <pic:spPr>
                    <a:xfrm>
                      <a:off x="0" y="0"/>
                      <a:ext cx="5168900" cy="2391410"/>
                    </a:xfrm>
                    <a:prstGeom prst="rect">
                      <a:avLst/>
                    </a:prstGeom>
                    <a:noFill/>
                    <a:ln>
                      <a:noFill/>
                    </a:ln>
                  </pic:spPr>
                </pic:pic>
              </a:graphicData>
            </a:graphic>
          </wp:inline>
        </w:drawing>
      </w:r>
      <w:r>
        <w:rPr>
          <w:rFonts w:hint="eastAsia" w:ascii="宋体" w:hAnsi="宋体" w:eastAsia="宋体" w:cs="黑体"/>
          <w:b/>
          <w:color w:val="auto"/>
          <w:sz w:val="21"/>
          <w:szCs w:val="21"/>
        </w:rPr>
        <w:t>图</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.1</w:t>
      </w:r>
      <w:r>
        <w:rPr>
          <w:rFonts w:hint="eastAsia" w:ascii="宋体" w:hAnsi="宋体" w:eastAsia="宋体" w:cs="黑体"/>
          <w:b/>
          <w:color w:val="auto"/>
          <w:sz w:val="21"/>
          <w:szCs w:val="21"/>
        </w:rPr>
        <w:t>-</w:t>
      </w:r>
      <w:r>
        <w:rPr>
          <w:rFonts w:ascii="宋体" w:hAnsi="宋体" w:eastAsia="宋体" w:cs="黑体"/>
          <w:b/>
          <w:color w:val="auto"/>
          <w:sz w:val="21"/>
          <w:szCs w:val="21"/>
        </w:rPr>
        <w:t xml:space="preserve">1 </w:t>
      </w:r>
      <w:r>
        <w:rPr>
          <w:rFonts w:hint="eastAsia" w:ascii="宋体" w:hAnsi="宋体" w:eastAsia="宋体" w:cs="黑体"/>
          <w:b/>
          <w:color w:val="auto"/>
          <w:sz w:val="21"/>
          <w:szCs w:val="21"/>
        </w:rPr>
        <w:t>施工组织机构图</w:t>
      </w:r>
    </w:p>
    <w:p w14:paraId="151C2529">
      <w:pPr>
        <w:pStyle w:val="3"/>
        <w:numPr>
          <w:ilvl w:val="0"/>
          <w:numId w:val="0"/>
        </w:numPr>
        <w:ind w:left="420" w:leftChars="0"/>
        <w:rPr>
          <w:color w:val="auto"/>
        </w:rPr>
      </w:pPr>
      <w:bookmarkStart w:id="211" w:name="_Toc1298"/>
      <w:bookmarkStart w:id="212" w:name="_Toc21435"/>
      <w:r>
        <w:rPr>
          <w:rFonts w:hint="eastAsia"/>
          <w:color w:val="auto"/>
          <w:lang w:val="en-US" w:eastAsia="zh-CN"/>
        </w:rPr>
        <w:t>7.2</w:t>
      </w:r>
      <w:r>
        <w:rPr>
          <w:rFonts w:hint="eastAsia"/>
          <w:color w:val="auto"/>
        </w:rPr>
        <w:t>人员配置</w:t>
      </w:r>
      <w:bookmarkEnd w:id="211"/>
      <w:bookmarkEnd w:id="212"/>
    </w:p>
    <w:p w14:paraId="289AACB8">
      <w:pPr>
        <w:pStyle w:val="13"/>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6"/>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4E33C1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noWrap w:val="0"/>
            <w:vAlign w:val="center"/>
          </w:tcPr>
          <w:p w14:paraId="7FD05778">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noWrap w:val="0"/>
            <w:vAlign w:val="center"/>
          </w:tcPr>
          <w:p w14:paraId="7A2D06B7">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noWrap w:val="0"/>
            <w:vAlign w:val="center"/>
          </w:tcPr>
          <w:p w14:paraId="57617242">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5C9566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noWrap w:val="0"/>
            <w:vAlign w:val="center"/>
          </w:tcPr>
          <w:p w14:paraId="4ACECF7E">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noWrap w:val="0"/>
            <w:vAlign w:val="center"/>
          </w:tcPr>
          <w:p w14:paraId="3244BA16">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noWrap w:val="0"/>
            <w:vAlign w:val="center"/>
          </w:tcPr>
          <w:p w14:paraId="1F4EDA40">
            <w:pPr>
              <w:pStyle w:val="71"/>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6E195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noWrap w:val="0"/>
            <w:vAlign w:val="center"/>
          </w:tcPr>
          <w:p w14:paraId="40781C35">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noWrap w:val="0"/>
            <w:vAlign w:val="center"/>
          </w:tcPr>
          <w:p w14:paraId="65FAE0F8">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noWrap w:val="0"/>
            <w:vAlign w:val="center"/>
          </w:tcPr>
          <w:p w14:paraId="4B1F6892">
            <w:pPr>
              <w:pStyle w:val="71"/>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00AC67F8">
      <w:pPr>
        <w:pStyle w:val="50"/>
        <w:rPr>
          <w:rFonts w:hint="eastAsia"/>
          <w:color w:val="auto"/>
        </w:rPr>
      </w:pPr>
    </w:p>
    <w:p w14:paraId="64894587">
      <w:pPr>
        <w:pStyle w:val="73"/>
        <w:spacing w:before="156"/>
        <w:ind w:firstLine="422"/>
        <w:jc w:val="center"/>
        <w:rPr>
          <w:rFonts w:hint="eastAsia" w:ascii="宋体" w:hAnsi="宋体" w:eastAsia="宋体" w:cs="黑体"/>
          <w:b/>
          <w:color w:val="auto"/>
          <w:sz w:val="21"/>
          <w:szCs w:val="21"/>
          <w:lang w:val="en-US" w:eastAsia="zh-CN"/>
        </w:rPr>
      </w:pPr>
      <w:bookmarkStart w:id="213" w:name="_Toc10028"/>
      <w:bookmarkStart w:id="214" w:name="_Toc1349054167"/>
      <w:bookmarkStart w:id="215" w:name="_Toc17383790"/>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6"/>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6722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56CFD0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7D441C7">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0BC7849">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28FD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7F2CE76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105AE2E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3F2C5079">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5E68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1E8DF149">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234DA36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499BA3B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4F8F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6D9F8498">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383E0F75">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5D483C1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CC4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05AC692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381DDF73">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7536421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7C59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839BA0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147E5A03">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72B249C6">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FA3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577C009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431DC181">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2288454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4EF8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D99B3F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069E6C52">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66F819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05F2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F06B19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295C6FB6">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67125E8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A34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E56637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hint="eastAsia" w:cs="Times New Roman"/>
                <w:b w:val="0"/>
                <w:color w:val="000000"/>
                <w:lang w:val="en-US" w:eastAsia="zh-CN"/>
              </w:rPr>
              <w:t>信号司索工</w:t>
            </w:r>
          </w:p>
        </w:tc>
        <w:tc>
          <w:tcPr>
            <w:tcW w:w="1221" w:type="dxa"/>
            <w:noWrap w:val="0"/>
            <w:vAlign w:val="top"/>
          </w:tcPr>
          <w:p w14:paraId="6C661CA0">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noWrap w:val="0"/>
            <w:vAlign w:val="center"/>
          </w:tcPr>
          <w:p w14:paraId="1E654BDE">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imes New Roman"/>
                <w:b w:val="0"/>
                <w:color w:val="000000"/>
              </w:rPr>
              <w:t>负责吊具、索具的操作</w:t>
            </w:r>
            <w:r>
              <w:rPr>
                <w:rStyle w:val="79"/>
                <w:rFonts w:hint="eastAsia" w:cs="Times New Roman"/>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25E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38B55364">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21FBD1E1">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19331A1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213"/>
      <w:bookmarkEnd w:id="214"/>
      <w:bookmarkEnd w:id="215"/>
    </w:tbl>
    <w:p w14:paraId="4E1C0F45">
      <w:pPr>
        <w:pStyle w:val="73"/>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7"/>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5148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19645C1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noWrap w:val="0"/>
            <w:vAlign w:val="top"/>
          </w:tcPr>
          <w:p w14:paraId="3CAE81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noWrap w:val="0"/>
            <w:vAlign w:val="top"/>
          </w:tcPr>
          <w:p w14:paraId="5D761D1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noWrap w:val="0"/>
            <w:vAlign w:val="top"/>
          </w:tcPr>
          <w:p w14:paraId="144A03A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noWrap w:val="0"/>
            <w:vAlign w:val="top"/>
          </w:tcPr>
          <w:p w14:paraId="41D631D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noWrap w:val="0"/>
            <w:vAlign w:val="top"/>
          </w:tcPr>
          <w:p w14:paraId="62E92BC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7A80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36A7BB1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noWrap w:val="0"/>
            <w:vAlign w:val="center"/>
          </w:tcPr>
          <w:p w14:paraId="2301C41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衣磊</w:t>
            </w:r>
          </w:p>
        </w:tc>
        <w:tc>
          <w:tcPr>
            <w:tcW w:w="975" w:type="dxa"/>
            <w:noWrap w:val="0"/>
            <w:vAlign w:val="top"/>
          </w:tcPr>
          <w:p w14:paraId="536DDBD6">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noWrap w:val="0"/>
            <w:vAlign w:val="top"/>
          </w:tcPr>
          <w:p w14:paraId="46CAE1B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noWrap w:val="0"/>
            <w:vAlign w:val="center"/>
          </w:tcPr>
          <w:p w14:paraId="3B85D222">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noWrap w:val="0"/>
            <w:vAlign w:val="center"/>
          </w:tcPr>
          <w:p w14:paraId="74934B1C">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2DCC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71A57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noWrap w:val="0"/>
            <w:vAlign w:val="center"/>
          </w:tcPr>
          <w:p w14:paraId="026386F0">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彭善忠</w:t>
            </w:r>
          </w:p>
        </w:tc>
        <w:tc>
          <w:tcPr>
            <w:tcW w:w="975" w:type="dxa"/>
            <w:noWrap w:val="0"/>
            <w:vAlign w:val="top"/>
          </w:tcPr>
          <w:p w14:paraId="6155FEA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211787F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noWrap w:val="0"/>
            <w:vAlign w:val="center"/>
          </w:tcPr>
          <w:p w14:paraId="6EB62FC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noWrap w:val="0"/>
            <w:vAlign w:val="center"/>
          </w:tcPr>
          <w:p w14:paraId="24F6D54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59B8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18F2C4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noWrap w:val="0"/>
            <w:vAlign w:val="center"/>
          </w:tcPr>
          <w:p w14:paraId="1464D571">
            <w:pPr>
              <w:adjustRightInd w:val="0"/>
              <w:spacing w:line="240" w:lineRule="auto"/>
              <w:ind w:firstLine="0" w:firstLineChars="0"/>
              <w:jc w:val="center"/>
              <w:rPr>
                <w:rStyle w:val="79"/>
                <w:rFonts w:hint="eastAsia"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白美富</w:t>
            </w:r>
          </w:p>
        </w:tc>
        <w:tc>
          <w:tcPr>
            <w:tcW w:w="975" w:type="dxa"/>
            <w:noWrap w:val="0"/>
            <w:vAlign w:val="top"/>
          </w:tcPr>
          <w:p w14:paraId="04A0F50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noWrap w:val="0"/>
            <w:vAlign w:val="top"/>
          </w:tcPr>
          <w:p w14:paraId="4CF916F0">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noWrap w:val="0"/>
            <w:vAlign w:val="center"/>
          </w:tcPr>
          <w:p w14:paraId="67DB9C0F">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川建安C3(2023)0080797</w:t>
            </w:r>
          </w:p>
        </w:tc>
        <w:tc>
          <w:tcPr>
            <w:tcW w:w="2475" w:type="dxa"/>
            <w:noWrap w:val="0"/>
            <w:vAlign w:val="center"/>
          </w:tcPr>
          <w:p w14:paraId="3B662A45">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328C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10D59D3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noWrap w:val="0"/>
            <w:vAlign w:val="center"/>
          </w:tcPr>
          <w:p w14:paraId="3751B603">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明兴富</w:t>
            </w:r>
          </w:p>
        </w:tc>
        <w:tc>
          <w:tcPr>
            <w:tcW w:w="975" w:type="dxa"/>
            <w:noWrap w:val="0"/>
            <w:vAlign w:val="top"/>
          </w:tcPr>
          <w:p w14:paraId="5D53B54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155090D6">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noWrap w:val="0"/>
            <w:vAlign w:val="center"/>
          </w:tcPr>
          <w:p w14:paraId="2457EAD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 xml:space="preserve">川 </w:t>
            </w:r>
            <w:r>
              <w:rPr>
                <w:rFonts w:hint="eastAsia"/>
                <w:sz w:val="22"/>
                <w:szCs w:val="20"/>
              </w:rPr>
              <w:t>A</w:t>
            </w:r>
            <w:r>
              <w:rPr>
                <w:rFonts w:hint="eastAsia"/>
                <w:sz w:val="22"/>
                <w:szCs w:val="20"/>
                <w:lang w:val="en-US" w:eastAsia="zh-CN"/>
              </w:rPr>
              <w:t xml:space="preserve"> </w:t>
            </w:r>
            <w:r>
              <w:rPr>
                <w:rFonts w:hint="eastAsia"/>
                <w:sz w:val="22"/>
                <w:szCs w:val="20"/>
              </w:rPr>
              <w:t>O12023012238</w:t>
            </w:r>
          </w:p>
        </w:tc>
        <w:tc>
          <w:tcPr>
            <w:tcW w:w="2475" w:type="dxa"/>
            <w:noWrap w:val="0"/>
            <w:vAlign w:val="center"/>
          </w:tcPr>
          <w:p w14:paraId="277ADB3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119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B634BC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noWrap w:val="0"/>
            <w:vAlign w:val="center"/>
          </w:tcPr>
          <w:p w14:paraId="6FAFD63D">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黄科</w:t>
            </w:r>
          </w:p>
        </w:tc>
        <w:tc>
          <w:tcPr>
            <w:tcW w:w="975" w:type="dxa"/>
            <w:noWrap w:val="0"/>
            <w:vAlign w:val="top"/>
          </w:tcPr>
          <w:p w14:paraId="7D0D3AC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05912A1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4A917F7F">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082023006932</w:t>
            </w:r>
          </w:p>
        </w:tc>
        <w:tc>
          <w:tcPr>
            <w:tcW w:w="2475" w:type="dxa"/>
            <w:noWrap w:val="0"/>
            <w:vAlign w:val="center"/>
          </w:tcPr>
          <w:p w14:paraId="1029684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510113198609247470</w:t>
            </w:r>
          </w:p>
        </w:tc>
      </w:tr>
      <w:tr w14:paraId="1785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0311BEB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noWrap w:val="0"/>
            <w:vAlign w:val="center"/>
          </w:tcPr>
          <w:p w14:paraId="027E491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陈刚</w:t>
            </w:r>
          </w:p>
        </w:tc>
        <w:tc>
          <w:tcPr>
            <w:tcW w:w="975" w:type="dxa"/>
            <w:noWrap w:val="0"/>
            <w:vAlign w:val="top"/>
          </w:tcPr>
          <w:p w14:paraId="347A6F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4BE7C9B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318A8D3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O82023006907</w:t>
            </w:r>
          </w:p>
        </w:tc>
        <w:tc>
          <w:tcPr>
            <w:tcW w:w="2475" w:type="dxa"/>
            <w:noWrap w:val="0"/>
            <w:vAlign w:val="center"/>
          </w:tcPr>
          <w:p w14:paraId="6BD52C9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r w14:paraId="2615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7DFE1B8">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noWrap w:val="0"/>
            <w:vAlign w:val="center"/>
          </w:tcPr>
          <w:p w14:paraId="061827B1">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徐刚</w:t>
            </w:r>
          </w:p>
        </w:tc>
        <w:tc>
          <w:tcPr>
            <w:tcW w:w="975" w:type="dxa"/>
            <w:noWrap w:val="0"/>
            <w:vAlign w:val="top"/>
          </w:tcPr>
          <w:p w14:paraId="6678D03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005F5F8E">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2C4074A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O82023007219</w:t>
            </w:r>
          </w:p>
        </w:tc>
        <w:tc>
          <w:tcPr>
            <w:tcW w:w="2475" w:type="dxa"/>
            <w:noWrap w:val="0"/>
            <w:vAlign w:val="center"/>
          </w:tcPr>
          <w:p w14:paraId="3580DAA5">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500226198809275711</w:t>
            </w:r>
          </w:p>
        </w:tc>
      </w:tr>
      <w:tr w14:paraId="4DB2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3A5A8CA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noWrap w:val="0"/>
            <w:vAlign w:val="center"/>
          </w:tcPr>
          <w:p w14:paraId="23F5ECF8">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黄仁训</w:t>
            </w:r>
          </w:p>
        </w:tc>
        <w:tc>
          <w:tcPr>
            <w:tcW w:w="975" w:type="dxa"/>
            <w:noWrap w:val="0"/>
            <w:vAlign w:val="top"/>
          </w:tcPr>
          <w:p w14:paraId="3430FEB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49630E1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1C09FD5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K</w:t>
            </w:r>
            <w:r>
              <w:rPr>
                <w:rFonts w:hint="eastAsia"/>
                <w:sz w:val="22"/>
                <w:szCs w:val="20"/>
                <w:lang w:val="en-US" w:eastAsia="zh-CN"/>
              </w:rPr>
              <w:t xml:space="preserve"> </w:t>
            </w:r>
            <w:r>
              <w:rPr>
                <w:rFonts w:hint="eastAsia"/>
                <w:sz w:val="22"/>
                <w:szCs w:val="20"/>
              </w:rPr>
              <w:t>082019700001</w:t>
            </w:r>
          </w:p>
        </w:tc>
        <w:tc>
          <w:tcPr>
            <w:tcW w:w="2475" w:type="dxa"/>
            <w:noWrap w:val="0"/>
            <w:vAlign w:val="center"/>
          </w:tcPr>
          <w:p w14:paraId="4FA2DD4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510113198608137413</w:t>
            </w:r>
          </w:p>
        </w:tc>
      </w:tr>
      <w:tr w14:paraId="531E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50F5E0C2">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noWrap w:val="0"/>
            <w:vAlign w:val="center"/>
          </w:tcPr>
          <w:p w14:paraId="20CDD782">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彭兴华</w:t>
            </w:r>
          </w:p>
        </w:tc>
        <w:tc>
          <w:tcPr>
            <w:tcW w:w="975" w:type="dxa"/>
            <w:noWrap w:val="0"/>
            <w:vAlign w:val="top"/>
          </w:tcPr>
          <w:p w14:paraId="0E9CB3B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noWrap w:val="0"/>
            <w:vAlign w:val="top"/>
          </w:tcPr>
          <w:p w14:paraId="7DB7DCD2">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imes New Roman"/>
                <w:b w:val="0"/>
                <w:color w:val="000000"/>
                <w:lang w:val="en-US" w:eastAsia="zh-CN"/>
              </w:rPr>
              <w:t>信号司索工</w:t>
            </w:r>
          </w:p>
        </w:tc>
        <w:tc>
          <w:tcPr>
            <w:tcW w:w="2745" w:type="dxa"/>
            <w:noWrap w:val="0"/>
            <w:vAlign w:val="center"/>
          </w:tcPr>
          <w:p w14:paraId="51E1326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M 052019700224</w:t>
            </w:r>
          </w:p>
        </w:tc>
        <w:tc>
          <w:tcPr>
            <w:tcW w:w="2475" w:type="dxa"/>
            <w:noWrap w:val="0"/>
            <w:vAlign w:val="center"/>
          </w:tcPr>
          <w:p w14:paraId="7CF436F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510923198703045214</w:t>
            </w:r>
          </w:p>
        </w:tc>
      </w:tr>
      <w:tr w14:paraId="0F3D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71E2BC4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noWrap w:val="0"/>
            <w:vAlign w:val="center"/>
          </w:tcPr>
          <w:p w14:paraId="0C8ADF6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张全超</w:t>
            </w:r>
          </w:p>
        </w:tc>
        <w:tc>
          <w:tcPr>
            <w:tcW w:w="975" w:type="dxa"/>
            <w:noWrap w:val="0"/>
            <w:vAlign w:val="top"/>
          </w:tcPr>
          <w:p w14:paraId="55EF4F0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60473B11">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noWrap w:val="0"/>
            <w:vAlign w:val="center"/>
          </w:tcPr>
          <w:p w14:paraId="54B2AD4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noWrap w:val="0"/>
            <w:vAlign w:val="center"/>
          </w:tcPr>
          <w:p w14:paraId="115AD74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510112197804090711</w:t>
            </w:r>
          </w:p>
        </w:tc>
      </w:tr>
    </w:tbl>
    <w:p w14:paraId="2A72A3AA">
      <w:pPr>
        <w:pStyle w:val="11"/>
        <w:rPr>
          <w:color w:val="auto"/>
        </w:rPr>
        <w:sectPr>
          <w:pgSz w:w="11906" w:h="16838"/>
          <w:pgMar w:top="1440" w:right="1800" w:bottom="1440" w:left="1800" w:header="851" w:footer="992" w:gutter="0"/>
          <w:pgNumType w:fmt="decimal"/>
          <w:cols w:space="720" w:num="1"/>
          <w:docGrid w:type="lines" w:linePitch="312" w:charSpace="0"/>
        </w:sectPr>
      </w:pPr>
    </w:p>
    <w:p w14:paraId="352EB930">
      <w:pPr>
        <w:pStyle w:val="2"/>
        <w:spacing w:before="156" w:after="156"/>
        <w:rPr>
          <w:color w:val="auto"/>
        </w:rPr>
      </w:pPr>
      <w:bookmarkStart w:id="216" w:name="_Toc5288"/>
      <w:bookmarkStart w:id="217" w:name="_Toc6639"/>
      <w:bookmarkStart w:id="218" w:name="_Toc15333"/>
      <w:bookmarkStart w:id="219" w:name="_Toc28613973"/>
      <w:bookmarkStart w:id="220" w:name="_Toc40778448"/>
      <w:r>
        <w:rPr>
          <w:rFonts w:hint="eastAsia"/>
          <w:color w:val="auto"/>
        </w:rPr>
        <w:t>验收要求</w:t>
      </w:r>
      <w:bookmarkEnd w:id="216"/>
      <w:bookmarkEnd w:id="217"/>
      <w:bookmarkEnd w:id="218"/>
      <w:bookmarkEnd w:id="219"/>
      <w:bookmarkEnd w:id="220"/>
    </w:p>
    <w:p w14:paraId="15ADFEBE">
      <w:pPr>
        <w:pStyle w:val="3"/>
        <w:bidi w:val="0"/>
      </w:pPr>
      <w:bookmarkStart w:id="221" w:name="_Toc109137384"/>
      <w:bookmarkStart w:id="222" w:name="_Toc18421"/>
      <w:bookmarkStart w:id="223" w:name="_Toc25769"/>
      <w:bookmarkStart w:id="224" w:name="_Toc29137"/>
      <w:bookmarkStart w:id="225" w:name="_Toc365"/>
      <w:bookmarkStart w:id="226" w:name="_Toc4255"/>
      <w:bookmarkStart w:id="227" w:name="_Toc40778457"/>
      <w:r>
        <w:rPr>
          <w:rFonts w:hint="eastAsia"/>
        </w:rPr>
        <w:t>验收要求</w:t>
      </w:r>
      <w:bookmarkEnd w:id="221"/>
      <w:bookmarkEnd w:id="222"/>
    </w:p>
    <w:p w14:paraId="465E17D4">
      <w:pPr>
        <w:ind w:firstLine="480"/>
        <w:rPr>
          <w:rFonts w:hint="eastAsia" w:ascii="Times New Roman" w:hAnsi="Times New Roman"/>
          <w:color w:val="auto"/>
          <w:szCs w:val="24"/>
        </w:rPr>
      </w:pPr>
      <w:r>
        <w:rPr>
          <w:rFonts w:hint="eastAsia" w:ascii="Times New Roman" w:hAnsi="Times New Roman"/>
          <w:color w:val="auto"/>
          <w:szCs w:val="24"/>
        </w:rPr>
        <w:t>本处验收特指安全专项施工方案的工程验收，亦称联合验收或多方验收。</w:t>
      </w:r>
    </w:p>
    <w:p w14:paraId="7B122A07">
      <w:pPr>
        <w:ind w:firstLine="480"/>
        <w:rPr>
          <w:rFonts w:hint="eastAsia" w:ascii="Times New Roman" w:hAnsi="Times New Roman"/>
          <w:color w:val="auto"/>
          <w:szCs w:val="24"/>
        </w:rPr>
      </w:pPr>
      <w:r>
        <w:rPr>
          <w:rFonts w:hint="eastAsia" w:ascii="Times New Roman" w:hAnsi="Times New Roman"/>
          <w:color w:val="auto"/>
          <w:szCs w:val="24"/>
        </w:rPr>
        <w:t>起重设备安装施工完毕，应经空负荷、动负荷试运行和静负荷试验合格后，办理相关手续；空负荷、静负荷试验和动负荷试运行宜连续地进行；起重机安装工程验收时，应具备下列资料：</w:t>
      </w:r>
    </w:p>
    <w:p w14:paraId="3319EEC0">
      <w:pPr>
        <w:ind w:firstLine="480"/>
        <w:rPr>
          <w:rFonts w:hint="eastAsia" w:ascii="Times New Roman" w:hAnsi="Times New Roman"/>
          <w:color w:val="auto"/>
          <w:szCs w:val="24"/>
        </w:rPr>
      </w:pPr>
      <w:bookmarkStart w:id="228" w:name="_Toc6784"/>
      <w:bookmarkStart w:id="229" w:name="_Toc19475"/>
      <w:r>
        <w:rPr>
          <w:rFonts w:hint="eastAsia" w:ascii="Times New Roman" w:hAnsi="Times New Roman"/>
          <w:color w:val="auto"/>
          <w:szCs w:val="24"/>
        </w:rPr>
        <w:t>（1）设计变更和修改等有关资料</w:t>
      </w:r>
      <w:bookmarkEnd w:id="228"/>
      <w:bookmarkEnd w:id="229"/>
    </w:p>
    <w:p w14:paraId="7BA401E9">
      <w:pPr>
        <w:ind w:firstLine="480"/>
        <w:rPr>
          <w:rFonts w:hint="eastAsia" w:ascii="Times New Roman" w:hAnsi="Times New Roman"/>
          <w:color w:val="auto"/>
          <w:szCs w:val="24"/>
        </w:rPr>
      </w:pPr>
      <w:bookmarkStart w:id="230" w:name="_Toc7517"/>
      <w:bookmarkStart w:id="231" w:name="_Toc25778"/>
      <w:r>
        <w:rPr>
          <w:rFonts w:hint="eastAsia" w:ascii="Times New Roman" w:hAnsi="Times New Roman"/>
          <w:color w:val="auto"/>
          <w:szCs w:val="24"/>
        </w:rPr>
        <w:t>（2）重要部件的焊接、高强螺栓连接的检验记录</w:t>
      </w:r>
      <w:bookmarkEnd w:id="230"/>
      <w:bookmarkEnd w:id="231"/>
    </w:p>
    <w:p w14:paraId="0EF88C55">
      <w:pPr>
        <w:ind w:firstLine="480"/>
        <w:rPr>
          <w:rFonts w:hint="eastAsia" w:ascii="Times New Roman" w:hAnsi="Times New Roman"/>
          <w:color w:val="auto"/>
          <w:szCs w:val="24"/>
        </w:rPr>
      </w:pPr>
      <w:bookmarkStart w:id="232" w:name="_Toc30560"/>
      <w:bookmarkStart w:id="233" w:name="_Toc2600"/>
      <w:r>
        <w:rPr>
          <w:rFonts w:hint="eastAsia" w:ascii="Times New Roman" w:hAnsi="Times New Roman"/>
          <w:color w:val="auto"/>
          <w:szCs w:val="24"/>
        </w:rPr>
        <w:t>（3）起重机有关的几何尺寸复查和安装检查记录</w:t>
      </w:r>
      <w:bookmarkEnd w:id="232"/>
      <w:bookmarkEnd w:id="233"/>
    </w:p>
    <w:p w14:paraId="2EF74888">
      <w:pPr>
        <w:ind w:firstLine="480"/>
        <w:rPr>
          <w:rFonts w:hint="eastAsia" w:ascii="Times New Roman" w:hAnsi="Times New Roman"/>
          <w:color w:val="auto"/>
          <w:szCs w:val="24"/>
        </w:rPr>
      </w:pPr>
      <w:bookmarkStart w:id="234" w:name="_Toc26252"/>
      <w:bookmarkStart w:id="235" w:name="_Toc20263"/>
      <w:r>
        <w:rPr>
          <w:rFonts w:hint="eastAsia" w:ascii="Times New Roman" w:hAnsi="Times New Roman"/>
          <w:color w:val="auto"/>
          <w:szCs w:val="24"/>
        </w:rPr>
        <w:t>（4）</w:t>
      </w:r>
      <w:bookmarkEnd w:id="234"/>
      <w:bookmarkStart w:id="236" w:name="_Toc8262"/>
      <w:r>
        <w:rPr>
          <w:rFonts w:hint="eastAsia" w:ascii="Times New Roman" w:hAnsi="Times New Roman"/>
          <w:color w:val="auto"/>
          <w:szCs w:val="24"/>
        </w:rPr>
        <w:t>起重机试运转和试验记录</w:t>
      </w:r>
      <w:bookmarkEnd w:id="235"/>
      <w:bookmarkEnd w:id="236"/>
    </w:p>
    <w:p w14:paraId="4E9AA072">
      <w:pPr>
        <w:ind w:firstLine="480"/>
        <w:rPr>
          <w:rFonts w:hint="eastAsia" w:ascii="Times New Roman" w:hAnsi="Times New Roman"/>
          <w:color w:val="auto"/>
          <w:szCs w:val="24"/>
        </w:rPr>
      </w:pPr>
      <w:bookmarkStart w:id="237" w:name="_Toc26640"/>
      <w:bookmarkStart w:id="238" w:name="_Toc8412"/>
      <w:r>
        <w:rPr>
          <w:rFonts w:hint="eastAsia" w:ascii="Times New Roman" w:hAnsi="Times New Roman"/>
          <w:color w:val="auto"/>
          <w:szCs w:val="24"/>
        </w:rPr>
        <w:t>（5）工程质量评定资料</w:t>
      </w:r>
      <w:bookmarkEnd w:id="237"/>
      <w:bookmarkEnd w:id="238"/>
    </w:p>
    <w:p w14:paraId="6C5CB883">
      <w:pPr>
        <w:pStyle w:val="3"/>
        <w:numPr>
          <w:ilvl w:val="1"/>
          <w:numId w:val="0"/>
        </w:numPr>
        <w:tabs>
          <w:tab w:val="left" w:pos="0"/>
        </w:tabs>
        <w:ind w:left="480" w:leftChars="0"/>
        <w:rPr>
          <w:color w:val="auto"/>
        </w:rPr>
      </w:pPr>
      <w:bookmarkStart w:id="239" w:name="_Toc10409829"/>
      <w:bookmarkStart w:id="240" w:name="_Toc17561"/>
      <w:bookmarkStart w:id="241" w:name="_Toc109137385"/>
      <w:r>
        <w:rPr>
          <w:rFonts w:hint="eastAsia"/>
          <w:color w:val="auto"/>
          <w:szCs w:val="24"/>
          <w:lang w:val="en-US" w:eastAsia="zh-CN"/>
        </w:rPr>
        <w:t xml:space="preserve">8.2 </w:t>
      </w:r>
      <w:r>
        <w:rPr>
          <w:rFonts w:hint="eastAsia"/>
          <w:color w:val="auto"/>
          <w:szCs w:val="24"/>
        </w:rPr>
        <w:t>塔机安全检查</w:t>
      </w:r>
      <w:bookmarkEnd w:id="239"/>
      <w:bookmarkEnd w:id="240"/>
      <w:bookmarkEnd w:id="241"/>
    </w:p>
    <w:p w14:paraId="7432077E">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0A96F7D7">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6AF0F3EA">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24E0032C">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526459BB">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7205A961">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2CFC957A">
      <w:pPr>
        <w:pStyle w:val="55"/>
        <w:ind w:left="420" w:firstLine="0" w:firstLineChars="0"/>
        <w:jc w:val="center"/>
        <w:rPr>
          <w:rFonts w:hint="eastAsia" w:ascii="宋体" w:hAnsi="宋体" w:cs="宋体"/>
          <w:b/>
          <w:color w:val="auto"/>
          <w:sz w:val="21"/>
          <w:szCs w:val="21"/>
        </w:rPr>
      </w:pPr>
    </w:p>
    <w:p w14:paraId="3149F86D">
      <w:pPr>
        <w:pStyle w:val="55"/>
        <w:ind w:left="420" w:firstLine="0" w:firstLineChars="0"/>
        <w:jc w:val="center"/>
        <w:rPr>
          <w:rFonts w:hint="eastAsia" w:ascii="宋体" w:hAnsi="宋体" w:cs="宋体"/>
          <w:b/>
          <w:color w:val="auto"/>
          <w:sz w:val="21"/>
          <w:szCs w:val="21"/>
        </w:rPr>
      </w:pPr>
    </w:p>
    <w:p w14:paraId="28FBA3E2">
      <w:pPr>
        <w:pStyle w:val="55"/>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8.2</w:t>
      </w:r>
      <w:r>
        <w:rPr>
          <w:rFonts w:hint="eastAsia" w:ascii="宋体" w:hAnsi="宋体" w:cs="宋体"/>
          <w:b/>
          <w:color w:val="auto"/>
          <w:sz w:val="21"/>
          <w:szCs w:val="21"/>
        </w:rPr>
        <w:t>-1 塔机安全检查表</w:t>
      </w:r>
    </w:p>
    <w:p w14:paraId="105FFF6A">
      <w:pPr>
        <w:pStyle w:val="11"/>
        <w:spacing w:line="360" w:lineRule="auto"/>
        <w:rPr>
          <w:rFonts w:hint="eastAsia" w:ascii="仿宋" w:hAnsi="仿宋" w:eastAsia="仿宋" w:cs="仿宋"/>
          <w:bCs/>
          <w:color w:val="auto"/>
          <w:sz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4CCE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4E89E2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343A1B7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672CFA3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74D7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4C20236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3573235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15BFBF1A">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20D1EC4C">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2BE08055">
            <w:pPr>
              <w:ind w:firstLine="0" w:firstLineChars="0"/>
              <w:rPr>
                <w:rFonts w:hint="eastAsia" w:ascii="宋体" w:hAnsi="宋体" w:cs="宋体"/>
                <w:bCs/>
                <w:color w:val="auto"/>
                <w:sz w:val="21"/>
                <w:szCs w:val="21"/>
              </w:rPr>
            </w:pPr>
          </w:p>
        </w:tc>
      </w:tr>
      <w:tr w14:paraId="289F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F076074">
            <w:pPr>
              <w:ind w:firstLine="0" w:firstLineChars="0"/>
              <w:jc w:val="center"/>
              <w:rPr>
                <w:rFonts w:hint="eastAsia" w:ascii="宋体" w:hAnsi="宋体" w:cs="宋体"/>
                <w:bCs/>
                <w:color w:val="auto"/>
                <w:sz w:val="21"/>
                <w:szCs w:val="21"/>
              </w:rPr>
            </w:pPr>
          </w:p>
        </w:tc>
        <w:tc>
          <w:tcPr>
            <w:tcW w:w="5019" w:type="dxa"/>
            <w:noWrap w:val="0"/>
            <w:vAlign w:val="center"/>
          </w:tcPr>
          <w:p w14:paraId="6F555BE5">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7B789B12">
            <w:pPr>
              <w:ind w:firstLine="0" w:firstLineChars="0"/>
              <w:rPr>
                <w:rFonts w:hint="eastAsia" w:ascii="宋体" w:hAnsi="宋体" w:cs="宋体"/>
                <w:bCs/>
                <w:color w:val="auto"/>
                <w:sz w:val="21"/>
                <w:szCs w:val="21"/>
              </w:rPr>
            </w:pPr>
          </w:p>
        </w:tc>
        <w:tc>
          <w:tcPr>
            <w:tcW w:w="1407" w:type="dxa"/>
            <w:noWrap w:val="0"/>
            <w:vAlign w:val="center"/>
          </w:tcPr>
          <w:p w14:paraId="62FA5E3C">
            <w:pPr>
              <w:ind w:firstLine="0" w:firstLineChars="0"/>
              <w:rPr>
                <w:rFonts w:hint="eastAsia" w:ascii="宋体" w:hAnsi="宋体" w:cs="宋体"/>
                <w:bCs/>
                <w:color w:val="auto"/>
                <w:sz w:val="21"/>
                <w:szCs w:val="21"/>
              </w:rPr>
            </w:pPr>
          </w:p>
        </w:tc>
      </w:tr>
      <w:tr w14:paraId="4B4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256C012D">
            <w:pPr>
              <w:ind w:firstLine="0" w:firstLineChars="0"/>
              <w:jc w:val="center"/>
              <w:rPr>
                <w:rFonts w:hint="eastAsia" w:ascii="宋体" w:hAnsi="宋体" w:cs="宋体"/>
                <w:bCs/>
                <w:color w:val="auto"/>
                <w:sz w:val="21"/>
                <w:szCs w:val="21"/>
              </w:rPr>
            </w:pPr>
          </w:p>
        </w:tc>
        <w:tc>
          <w:tcPr>
            <w:tcW w:w="5019" w:type="dxa"/>
            <w:noWrap w:val="0"/>
            <w:vAlign w:val="center"/>
          </w:tcPr>
          <w:p w14:paraId="3064BF8E">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4BC0433D">
            <w:pPr>
              <w:ind w:firstLine="0" w:firstLineChars="0"/>
              <w:rPr>
                <w:rFonts w:hint="eastAsia" w:ascii="宋体" w:hAnsi="宋体" w:cs="宋体"/>
                <w:bCs/>
                <w:color w:val="auto"/>
                <w:sz w:val="21"/>
                <w:szCs w:val="21"/>
              </w:rPr>
            </w:pPr>
          </w:p>
        </w:tc>
        <w:tc>
          <w:tcPr>
            <w:tcW w:w="1407" w:type="dxa"/>
            <w:noWrap w:val="0"/>
            <w:vAlign w:val="center"/>
          </w:tcPr>
          <w:p w14:paraId="48607ABF">
            <w:pPr>
              <w:ind w:firstLine="0" w:firstLineChars="0"/>
              <w:rPr>
                <w:rFonts w:hint="eastAsia" w:ascii="宋体" w:hAnsi="宋体" w:cs="宋体"/>
                <w:bCs/>
                <w:color w:val="auto"/>
                <w:sz w:val="21"/>
                <w:szCs w:val="21"/>
              </w:rPr>
            </w:pPr>
          </w:p>
        </w:tc>
      </w:tr>
      <w:tr w14:paraId="140F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7AECE5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3501188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6619CA4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09ED358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14DD93B0">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64B5749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41835EB">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93A4989">
            <w:pPr>
              <w:ind w:firstLine="0" w:firstLineChars="0"/>
              <w:rPr>
                <w:rFonts w:hint="eastAsia" w:ascii="宋体" w:hAnsi="宋体" w:cs="宋体"/>
                <w:bCs/>
                <w:color w:val="auto"/>
                <w:sz w:val="21"/>
                <w:szCs w:val="21"/>
              </w:rPr>
            </w:pPr>
          </w:p>
        </w:tc>
      </w:tr>
      <w:tr w14:paraId="3261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21D6EEDA">
            <w:pPr>
              <w:ind w:firstLine="0" w:firstLineChars="0"/>
              <w:jc w:val="center"/>
              <w:rPr>
                <w:rFonts w:hint="eastAsia" w:ascii="宋体" w:hAnsi="宋体" w:cs="宋体"/>
                <w:bCs/>
                <w:color w:val="auto"/>
                <w:sz w:val="21"/>
                <w:szCs w:val="21"/>
              </w:rPr>
            </w:pPr>
          </w:p>
        </w:tc>
        <w:tc>
          <w:tcPr>
            <w:tcW w:w="5019" w:type="dxa"/>
            <w:noWrap w:val="0"/>
            <w:vAlign w:val="center"/>
          </w:tcPr>
          <w:p w14:paraId="1D3D2A74">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2FCE5CBA">
            <w:pPr>
              <w:ind w:firstLine="0" w:firstLineChars="0"/>
              <w:rPr>
                <w:rFonts w:hint="eastAsia" w:ascii="宋体" w:hAnsi="宋体" w:cs="宋体"/>
                <w:bCs/>
                <w:color w:val="auto"/>
                <w:sz w:val="21"/>
                <w:szCs w:val="21"/>
              </w:rPr>
            </w:pPr>
          </w:p>
        </w:tc>
        <w:tc>
          <w:tcPr>
            <w:tcW w:w="1407" w:type="dxa"/>
            <w:noWrap w:val="0"/>
            <w:vAlign w:val="center"/>
          </w:tcPr>
          <w:p w14:paraId="5566BC26">
            <w:pPr>
              <w:ind w:firstLine="0" w:firstLineChars="0"/>
              <w:rPr>
                <w:rFonts w:hint="eastAsia" w:ascii="宋体" w:hAnsi="宋体" w:cs="宋体"/>
                <w:bCs/>
                <w:color w:val="auto"/>
                <w:sz w:val="21"/>
                <w:szCs w:val="21"/>
              </w:rPr>
            </w:pPr>
          </w:p>
        </w:tc>
      </w:tr>
      <w:tr w14:paraId="5A02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0A9182D0">
            <w:pPr>
              <w:ind w:firstLine="0" w:firstLineChars="0"/>
              <w:jc w:val="center"/>
              <w:rPr>
                <w:rFonts w:hint="eastAsia" w:ascii="宋体" w:hAnsi="宋体" w:cs="宋体"/>
                <w:bCs/>
                <w:color w:val="auto"/>
                <w:sz w:val="21"/>
                <w:szCs w:val="21"/>
              </w:rPr>
            </w:pPr>
          </w:p>
        </w:tc>
        <w:tc>
          <w:tcPr>
            <w:tcW w:w="5019" w:type="dxa"/>
            <w:noWrap w:val="0"/>
            <w:vAlign w:val="center"/>
          </w:tcPr>
          <w:p w14:paraId="2F2599F4">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2144E3AB">
            <w:pPr>
              <w:ind w:firstLine="0" w:firstLineChars="0"/>
              <w:rPr>
                <w:rFonts w:hint="eastAsia" w:ascii="宋体" w:hAnsi="宋体" w:cs="宋体"/>
                <w:bCs/>
                <w:color w:val="auto"/>
                <w:sz w:val="21"/>
                <w:szCs w:val="21"/>
              </w:rPr>
            </w:pPr>
          </w:p>
        </w:tc>
        <w:tc>
          <w:tcPr>
            <w:tcW w:w="1407" w:type="dxa"/>
            <w:noWrap w:val="0"/>
            <w:vAlign w:val="center"/>
          </w:tcPr>
          <w:p w14:paraId="6AA64515">
            <w:pPr>
              <w:ind w:firstLine="0" w:firstLineChars="0"/>
              <w:rPr>
                <w:rFonts w:hint="eastAsia" w:ascii="宋体" w:hAnsi="宋体" w:cs="宋体"/>
                <w:bCs/>
                <w:color w:val="auto"/>
                <w:sz w:val="21"/>
                <w:szCs w:val="21"/>
              </w:rPr>
            </w:pPr>
          </w:p>
        </w:tc>
      </w:tr>
      <w:tr w14:paraId="7C95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517B896">
            <w:pPr>
              <w:ind w:firstLine="0" w:firstLineChars="0"/>
              <w:jc w:val="center"/>
              <w:rPr>
                <w:rFonts w:hint="eastAsia" w:ascii="宋体" w:hAnsi="宋体" w:cs="宋体"/>
                <w:bCs/>
                <w:color w:val="auto"/>
                <w:sz w:val="21"/>
                <w:szCs w:val="21"/>
              </w:rPr>
            </w:pPr>
          </w:p>
        </w:tc>
        <w:tc>
          <w:tcPr>
            <w:tcW w:w="5019" w:type="dxa"/>
            <w:noWrap w:val="0"/>
            <w:vAlign w:val="center"/>
          </w:tcPr>
          <w:p w14:paraId="1ABEC60D">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041370EF">
            <w:pPr>
              <w:ind w:firstLine="0" w:firstLineChars="0"/>
              <w:rPr>
                <w:rFonts w:hint="eastAsia" w:ascii="宋体" w:hAnsi="宋体" w:cs="宋体"/>
                <w:bCs/>
                <w:color w:val="auto"/>
                <w:sz w:val="21"/>
                <w:szCs w:val="21"/>
              </w:rPr>
            </w:pPr>
          </w:p>
        </w:tc>
        <w:tc>
          <w:tcPr>
            <w:tcW w:w="1407" w:type="dxa"/>
            <w:noWrap w:val="0"/>
            <w:vAlign w:val="center"/>
          </w:tcPr>
          <w:p w14:paraId="53D90021">
            <w:pPr>
              <w:ind w:firstLine="0" w:firstLineChars="0"/>
              <w:rPr>
                <w:rFonts w:hint="eastAsia" w:ascii="宋体" w:hAnsi="宋体" w:cs="宋体"/>
                <w:bCs/>
                <w:color w:val="auto"/>
                <w:sz w:val="21"/>
                <w:szCs w:val="21"/>
              </w:rPr>
            </w:pPr>
          </w:p>
        </w:tc>
      </w:tr>
      <w:tr w14:paraId="1B6B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5529237">
            <w:pPr>
              <w:ind w:firstLine="0" w:firstLineChars="0"/>
              <w:jc w:val="center"/>
              <w:rPr>
                <w:rFonts w:hint="eastAsia" w:ascii="宋体" w:hAnsi="宋体" w:cs="宋体"/>
                <w:bCs/>
                <w:color w:val="auto"/>
                <w:sz w:val="21"/>
                <w:szCs w:val="21"/>
              </w:rPr>
            </w:pPr>
          </w:p>
        </w:tc>
        <w:tc>
          <w:tcPr>
            <w:tcW w:w="5019" w:type="dxa"/>
            <w:noWrap w:val="0"/>
            <w:vAlign w:val="center"/>
          </w:tcPr>
          <w:p w14:paraId="5617F038">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112C9E7F">
            <w:pPr>
              <w:ind w:firstLine="0" w:firstLineChars="0"/>
              <w:rPr>
                <w:rFonts w:hint="eastAsia" w:ascii="宋体" w:hAnsi="宋体" w:cs="宋体"/>
                <w:bCs/>
                <w:color w:val="auto"/>
                <w:sz w:val="21"/>
                <w:szCs w:val="21"/>
              </w:rPr>
            </w:pPr>
          </w:p>
        </w:tc>
        <w:tc>
          <w:tcPr>
            <w:tcW w:w="1407" w:type="dxa"/>
            <w:noWrap w:val="0"/>
            <w:vAlign w:val="center"/>
          </w:tcPr>
          <w:p w14:paraId="0CD6CFEF">
            <w:pPr>
              <w:ind w:firstLine="0" w:firstLineChars="0"/>
              <w:rPr>
                <w:rFonts w:hint="eastAsia" w:ascii="宋体" w:hAnsi="宋体" w:cs="宋体"/>
                <w:bCs/>
                <w:color w:val="auto"/>
                <w:sz w:val="21"/>
                <w:szCs w:val="21"/>
              </w:rPr>
            </w:pPr>
          </w:p>
        </w:tc>
      </w:tr>
      <w:tr w14:paraId="6FA1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3159CAF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77B2993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6B92DB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462784C0">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41B5210C">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14547BE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2CDF6AF">
            <w:pPr>
              <w:ind w:firstLine="0" w:firstLineChars="0"/>
              <w:rPr>
                <w:rFonts w:hint="eastAsia" w:ascii="宋体" w:hAnsi="宋体" w:cs="宋体"/>
                <w:bCs/>
                <w:color w:val="auto"/>
                <w:sz w:val="21"/>
                <w:szCs w:val="21"/>
              </w:rPr>
            </w:pPr>
          </w:p>
        </w:tc>
      </w:tr>
      <w:tr w14:paraId="4D3E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8BDF021">
            <w:pPr>
              <w:ind w:firstLine="0" w:firstLineChars="0"/>
              <w:jc w:val="center"/>
              <w:rPr>
                <w:rFonts w:hint="eastAsia" w:ascii="宋体" w:hAnsi="宋体" w:cs="宋体"/>
                <w:bCs/>
                <w:color w:val="auto"/>
                <w:sz w:val="21"/>
                <w:szCs w:val="21"/>
              </w:rPr>
            </w:pPr>
          </w:p>
        </w:tc>
        <w:tc>
          <w:tcPr>
            <w:tcW w:w="5019" w:type="dxa"/>
            <w:noWrap w:val="0"/>
            <w:vAlign w:val="center"/>
          </w:tcPr>
          <w:p w14:paraId="6FEB2182">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1A9CF1F9">
            <w:pPr>
              <w:ind w:firstLine="0" w:firstLineChars="0"/>
              <w:rPr>
                <w:rFonts w:hint="eastAsia" w:ascii="宋体" w:hAnsi="宋体" w:cs="宋体"/>
                <w:bCs/>
                <w:color w:val="auto"/>
                <w:sz w:val="21"/>
                <w:szCs w:val="21"/>
              </w:rPr>
            </w:pPr>
          </w:p>
        </w:tc>
        <w:tc>
          <w:tcPr>
            <w:tcW w:w="1407" w:type="dxa"/>
            <w:noWrap w:val="0"/>
            <w:vAlign w:val="center"/>
          </w:tcPr>
          <w:p w14:paraId="28783B36">
            <w:pPr>
              <w:ind w:firstLine="0" w:firstLineChars="0"/>
              <w:rPr>
                <w:rFonts w:hint="eastAsia" w:ascii="宋体" w:hAnsi="宋体" w:cs="宋体"/>
                <w:bCs/>
                <w:color w:val="auto"/>
                <w:sz w:val="21"/>
                <w:szCs w:val="21"/>
              </w:rPr>
            </w:pPr>
          </w:p>
        </w:tc>
      </w:tr>
      <w:tr w14:paraId="6EE4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51E1B02B">
            <w:pPr>
              <w:ind w:firstLine="0" w:firstLineChars="0"/>
              <w:jc w:val="center"/>
              <w:rPr>
                <w:rFonts w:hint="eastAsia" w:ascii="宋体" w:hAnsi="宋体" w:cs="宋体"/>
                <w:bCs/>
                <w:color w:val="auto"/>
                <w:sz w:val="21"/>
                <w:szCs w:val="21"/>
              </w:rPr>
            </w:pPr>
          </w:p>
        </w:tc>
        <w:tc>
          <w:tcPr>
            <w:tcW w:w="5019" w:type="dxa"/>
            <w:noWrap w:val="0"/>
            <w:vAlign w:val="center"/>
          </w:tcPr>
          <w:p w14:paraId="52378445">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2B90C430">
            <w:pPr>
              <w:ind w:firstLine="0" w:firstLineChars="0"/>
              <w:rPr>
                <w:rFonts w:hint="eastAsia" w:ascii="宋体" w:hAnsi="宋体" w:cs="宋体"/>
                <w:bCs/>
                <w:color w:val="auto"/>
                <w:sz w:val="21"/>
                <w:szCs w:val="21"/>
              </w:rPr>
            </w:pPr>
          </w:p>
        </w:tc>
        <w:tc>
          <w:tcPr>
            <w:tcW w:w="1407" w:type="dxa"/>
            <w:noWrap w:val="0"/>
            <w:vAlign w:val="center"/>
          </w:tcPr>
          <w:p w14:paraId="209AEA19">
            <w:pPr>
              <w:ind w:firstLine="0" w:firstLineChars="0"/>
              <w:rPr>
                <w:rFonts w:hint="eastAsia" w:ascii="宋体" w:hAnsi="宋体" w:cs="宋体"/>
                <w:bCs/>
                <w:color w:val="auto"/>
                <w:sz w:val="21"/>
                <w:szCs w:val="21"/>
              </w:rPr>
            </w:pPr>
          </w:p>
        </w:tc>
      </w:tr>
      <w:tr w14:paraId="1D0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61D0BE1">
            <w:pPr>
              <w:ind w:firstLine="0" w:firstLineChars="0"/>
              <w:jc w:val="center"/>
              <w:rPr>
                <w:rFonts w:hint="eastAsia" w:ascii="宋体" w:hAnsi="宋体" w:cs="宋体"/>
                <w:bCs/>
                <w:color w:val="auto"/>
                <w:sz w:val="21"/>
                <w:szCs w:val="21"/>
              </w:rPr>
            </w:pPr>
          </w:p>
        </w:tc>
        <w:tc>
          <w:tcPr>
            <w:tcW w:w="5019" w:type="dxa"/>
            <w:noWrap w:val="0"/>
            <w:vAlign w:val="center"/>
          </w:tcPr>
          <w:p w14:paraId="7A1CE0CE">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5AAB0588">
            <w:pPr>
              <w:ind w:firstLine="0" w:firstLineChars="0"/>
              <w:rPr>
                <w:rFonts w:hint="eastAsia" w:ascii="宋体" w:hAnsi="宋体" w:cs="宋体"/>
                <w:bCs/>
                <w:color w:val="auto"/>
                <w:sz w:val="21"/>
                <w:szCs w:val="21"/>
              </w:rPr>
            </w:pPr>
          </w:p>
        </w:tc>
        <w:tc>
          <w:tcPr>
            <w:tcW w:w="1407" w:type="dxa"/>
            <w:noWrap w:val="0"/>
            <w:vAlign w:val="center"/>
          </w:tcPr>
          <w:p w14:paraId="544295FE">
            <w:pPr>
              <w:ind w:firstLine="0" w:firstLineChars="0"/>
              <w:rPr>
                <w:rFonts w:hint="eastAsia" w:ascii="宋体" w:hAnsi="宋体" w:cs="宋体"/>
                <w:bCs/>
                <w:color w:val="auto"/>
                <w:sz w:val="21"/>
                <w:szCs w:val="21"/>
              </w:rPr>
            </w:pPr>
          </w:p>
        </w:tc>
      </w:tr>
      <w:tr w14:paraId="236C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468198D5">
            <w:pPr>
              <w:ind w:firstLine="0" w:firstLineChars="0"/>
              <w:jc w:val="center"/>
              <w:rPr>
                <w:rFonts w:hint="eastAsia" w:ascii="宋体" w:hAnsi="宋体" w:cs="宋体"/>
                <w:bCs/>
                <w:color w:val="auto"/>
                <w:sz w:val="21"/>
                <w:szCs w:val="21"/>
              </w:rPr>
            </w:pPr>
          </w:p>
        </w:tc>
        <w:tc>
          <w:tcPr>
            <w:tcW w:w="5019" w:type="dxa"/>
            <w:noWrap w:val="0"/>
            <w:vAlign w:val="center"/>
          </w:tcPr>
          <w:p w14:paraId="4317DB66">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40DD967D">
            <w:pPr>
              <w:ind w:firstLine="0" w:firstLineChars="0"/>
              <w:rPr>
                <w:rFonts w:hint="eastAsia" w:ascii="宋体" w:hAnsi="宋体" w:cs="宋体"/>
                <w:bCs/>
                <w:color w:val="auto"/>
                <w:sz w:val="21"/>
                <w:szCs w:val="21"/>
              </w:rPr>
            </w:pPr>
          </w:p>
        </w:tc>
        <w:tc>
          <w:tcPr>
            <w:tcW w:w="1407" w:type="dxa"/>
            <w:noWrap w:val="0"/>
            <w:vAlign w:val="center"/>
          </w:tcPr>
          <w:p w14:paraId="094D1763">
            <w:pPr>
              <w:ind w:firstLine="0" w:firstLineChars="0"/>
              <w:rPr>
                <w:rFonts w:hint="eastAsia" w:ascii="宋体" w:hAnsi="宋体" w:cs="宋体"/>
                <w:bCs/>
                <w:color w:val="auto"/>
                <w:sz w:val="21"/>
                <w:szCs w:val="21"/>
              </w:rPr>
            </w:pPr>
          </w:p>
        </w:tc>
      </w:tr>
      <w:tr w14:paraId="67F0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E6D6EBF">
            <w:pPr>
              <w:ind w:firstLine="0" w:firstLineChars="0"/>
              <w:jc w:val="center"/>
              <w:rPr>
                <w:rFonts w:hint="eastAsia" w:ascii="宋体" w:hAnsi="宋体" w:cs="宋体"/>
                <w:bCs/>
                <w:color w:val="auto"/>
                <w:sz w:val="21"/>
                <w:szCs w:val="21"/>
              </w:rPr>
            </w:pPr>
          </w:p>
        </w:tc>
        <w:tc>
          <w:tcPr>
            <w:tcW w:w="5019" w:type="dxa"/>
            <w:noWrap w:val="0"/>
            <w:vAlign w:val="center"/>
          </w:tcPr>
          <w:p w14:paraId="1BFCE5A4">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3DBB9A8B">
            <w:pPr>
              <w:ind w:firstLine="0" w:firstLineChars="0"/>
              <w:rPr>
                <w:rFonts w:hint="eastAsia" w:ascii="宋体" w:hAnsi="宋体" w:cs="宋体"/>
                <w:bCs/>
                <w:color w:val="auto"/>
                <w:sz w:val="21"/>
                <w:szCs w:val="21"/>
              </w:rPr>
            </w:pPr>
          </w:p>
        </w:tc>
        <w:tc>
          <w:tcPr>
            <w:tcW w:w="1407" w:type="dxa"/>
            <w:noWrap w:val="0"/>
            <w:vAlign w:val="center"/>
          </w:tcPr>
          <w:p w14:paraId="3823F30D">
            <w:pPr>
              <w:ind w:firstLine="0" w:firstLineChars="0"/>
              <w:rPr>
                <w:rFonts w:hint="eastAsia" w:ascii="宋体" w:hAnsi="宋体" w:cs="宋体"/>
                <w:bCs/>
                <w:color w:val="auto"/>
                <w:sz w:val="21"/>
                <w:szCs w:val="21"/>
              </w:rPr>
            </w:pPr>
          </w:p>
        </w:tc>
      </w:tr>
      <w:tr w14:paraId="650B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1507A04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234BEF4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670C7B25">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516DEB7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6D732A6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7A73F6BC">
            <w:pPr>
              <w:ind w:firstLine="0" w:firstLineChars="0"/>
              <w:rPr>
                <w:rFonts w:hint="eastAsia" w:ascii="宋体" w:hAnsi="宋体" w:cs="宋体"/>
                <w:bCs/>
                <w:color w:val="auto"/>
                <w:sz w:val="21"/>
                <w:szCs w:val="21"/>
              </w:rPr>
            </w:pPr>
          </w:p>
        </w:tc>
      </w:tr>
      <w:tr w14:paraId="3272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0165DEFA">
            <w:pPr>
              <w:ind w:firstLine="0" w:firstLineChars="0"/>
              <w:jc w:val="center"/>
              <w:rPr>
                <w:rFonts w:hint="eastAsia" w:ascii="宋体" w:hAnsi="宋体" w:cs="宋体"/>
                <w:bCs/>
                <w:color w:val="auto"/>
                <w:sz w:val="21"/>
                <w:szCs w:val="21"/>
              </w:rPr>
            </w:pPr>
          </w:p>
        </w:tc>
        <w:tc>
          <w:tcPr>
            <w:tcW w:w="5019" w:type="dxa"/>
            <w:noWrap w:val="0"/>
            <w:vAlign w:val="center"/>
          </w:tcPr>
          <w:p w14:paraId="3B5D5472">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490583A0">
            <w:pPr>
              <w:ind w:firstLine="0" w:firstLineChars="0"/>
              <w:rPr>
                <w:rFonts w:hint="eastAsia" w:ascii="宋体" w:hAnsi="宋体" w:cs="宋体"/>
                <w:bCs/>
                <w:color w:val="auto"/>
                <w:sz w:val="21"/>
                <w:szCs w:val="21"/>
              </w:rPr>
            </w:pPr>
          </w:p>
        </w:tc>
        <w:tc>
          <w:tcPr>
            <w:tcW w:w="1407" w:type="dxa"/>
            <w:noWrap w:val="0"/>
            <w:vAlign w:val="center"/>
          </w:tcPr>
          <w:p w14:paraId="3705EBC5">
            <w:pPr>
              <w:ind w:firstLine="0" w:firstLineChars="0"/>
              <w:rPr>
                <w:rFonts w:hint="eastAsia" w:ascii="宋体" w:hAnsi="宋体" w:cs="宋体"/>
                <w:bCs/>
                <w:color w:val="auto"/>
                <w:sz w:val="21"/>
                <w:szCs w:val="21"/>
              </w:rPr>
            </w:pPr>
          </w:p>
        </w:tc>
      </w:tr>
      <w:tr w14:paraId="068F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FE68D2F">
            <w:pPr>
              <w:ind w:firstLine="0" w:firstLineChars="0"/>
              <w:jc w:val="center"/>
              <w:rPr>
                <w:rFonts w:hint="eastAsia" w:ascii="宋体" w:hAnsi="宋体" w:cs="宋体"/>
                <w:bCs/>
                <w:color w:val="auto"/>
                <w:sz w:val="21"/>
                <w:szCs w:val="21"/>
              </w:rPr>
            </w:pPr>
          </w:p>
        </w:tc>
        <w:tc>
          <w:tcPr>
            <w:tcW w:w="5019" w:type="dxa"/>
            <w:noWrap w:val="0"/>
            <w:vAlign w:val="center"/>
          </w:tcPr>
          <w:p w14:paraId="2C829021">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2DEFAFF3">
            <w:pPr>
              <w:ind w:firstLine="0" w:firstLineChars="0"/>
              <w:rPr>
                <w:rFonts w:hint="eastAsia" w:ascii="宋体" w:hAnsi="宋体" w:cs="宋体"/>
                <w:bCs/>
                <w:color w:val="auto"/>
                <w:sz w:val="21"/>
                <w:szCs w:val="21"/>
              </w:rPr>
            </w:pPr>
          </w:p>
        </w:tc>
        <w:tc>
          <w:tcPr>
            <w:tcW w:w="1407" w:type="dxa"/>
            <w:noWrap w:val="0"/>
            <w:vAlign w:val="center"/>
          </w:tcPr>
          <w:p w14:paraId="403F3158">
            <w:pPr>
              <w:ind w:firstLine="0" w:firstLineChars="0"/>
              <w:rPr>
                <w:rFonts w:hint="eastAsia" w:ascii="宋体" w:hAnsi="宋体" w:cs="宋体"/>
                <w:bCs/>
                <w:color w:val="auto"/>
                <w:sz w:val="21"/>
                <w:szCs w:val="21"/>
              </w:rPr>
            </w:pPr>
          </w:p>
        </w:tc>
      </w:tr>
      <w:tr w14:paraId="414C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459A928B">
            <w:pPr>
              <w:ind w:firstLine="0" w:firstLineChars="0"/>
              <w:jc w:val="center"/>
              <w:rPr>
                <w:rFonts w:hint="eastAsia" w:ascii="宋体" w:hAnsi="宋体" w:cs="宋体"/>
                <w:bCs/>
                <w:color w:val="auto"/>
                <w:sz w:val="21"/>
                <w:szCs w:val="21"/>
              </w:rPr>
            </w:pPr>
          </w:p>
        </w:tc>
        <w:tc>
          <w:tcPr>
            <w:tcW w:w="5019" w:type="dxa"/>
            <w:noWrap w:val="0"/>
            <w:vAlign w:val="center"/>
          </w:tcPr>
          <w:p w14:paraId="6A7FD78D">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1888BF4C">
            <w:pPr>
              <w:ind w:firstLine="0" w:firstLineChars="0"/>
              <w:rPr>
                <w:rFonts w:hint="eastAsia" w:ascii="宋体" w:hAnsi="宋体" w:cs="宋体"/>
                <w:bCs/>
                <w:color w:val="auto"/>
                <w:sz w:val="21"/>
                <w:szCs w:val="21"/>
              </w:rPr>
            </w:pPr>
          </w:p>
        </w:tc>
        <w:tc>
          <w:tcPr>
            <w:tcW w:w="1407" w:type="dxa"/>
            <w:noWrap w:val="0"/>
            <w:vAlign w:val="center"/>
          </w:tcPr>
          <w:p w14:paraId="33318BAF">
            <w:pPr>
              <w:ind w:firstLine="0" w:firstLineChars="0"/>
              <w:rPr>
                <w:rFonts w:hint="eastAsia" w:ascii="宋体" w:hAnsi="宋体" w:cs="宋体"/>
                <w:bCs/>
                <w:color w:val="auto"/>
                <w:sz w:val="21"/>
                <w:szCs w:val="21"/>
              </w:rPr>
            </w:pPr>
          </w:p>
        </w:tc>
      </w:tr>
      <w:tr w14:paraId="36E6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5057790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1796F8B5">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39D160BA">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BB7E8CE">
            <w:pPr>
              <w:ind w:firstLine="0" w:firstLineChars="0"/>
              <w:rPr>
                <w:rFonts w:hint="eastAsia" w:ascii="宋体" w:hAnsi="宋体" w:cs="宋体"/>
                <w:bCs/>
                <w:color w:val="auto"/>
                <w:sz w:val="21"/>
                <w:szCs w:val="21"/>
                <w:highlight w:val="none"/>
              </w:rPr>
            </w:pPr>
          </w:p>
        </w:tc>
        <w:tc>
          <w:tcPr>
            <w:tcW w:w="1407" w:type="dxa"/>
            <w:noWrap w:val="0"/>
            <w:vAlign w:val="center"/>
          </w:tcPr>
          <w:p w14:paraId="5EB9B6C0">
            <w:pPr>
              <w:ind w:firstLine="0" w:firstLineChars="0"/>
              <w:rPr>
                <w:rFonts w:hint="eastAsia" w:ascii="宋体" w:hAnsi="宋体" w:cs="宋体"/>
                <w:bCs/>
                <w:color w:val="auto"/>
                <w:sz w:val="21"/>
                <w:szCs w:val="21"/>
              </w:rPr>
            </w:pPr>
          </w:p>
        </w:tc>
      </w:tr>
      <w:tr w14:paraId="5618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4E9C17AD">
            <w:pPr>
              <w:ind w:firstLine="0" w:firstLineChars="0"/>
              <w:jc w:val="center"/>
              <w:rPr>
                <w:rFonts w:hint="eastAsia" w:ascii="宋体" w:hAnsi="宋体" w:cs="宋体"/>
                <w:bCs/>
                <w:color w:val="auto"/>
                <w:sz w:val="21"/>
                <w:szCs w:val="21"/>
              </w:rPr>
            </w:pPr>
          </w:p>
        </w:tc>
        <w:tc>
          <w:tcPr>
            <w:tcW w:w="5019" w:type="dxa"/>
            <w:noWrap w:val="0"/>
            <w:vAlign w:val="center"/>
          </w:tcPr>
          <w:p w14:paraId="442401B8">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1F62BDD4">
            <w:pPr>
              <w:ind w:firstLine="0" w:firstLineChars="0"/>
              <w:rPr>
                <w:rFonts w:hint="eastAsia" w:ascii="宋体" w:hAnsi="宋体" w:cs="宋体"/>
                <w:bCs/>
                <w:color w:val="auto"/>
                <w:sz w:val="21"/>
                <w:szCs w:val="21"/>
              </w:rPr>
            </w:pPr>
          </w:p>
        </w:tc>
        <w:tc>
          <w:tcPr>
            <w:tcW w:w="1407" w:type="dxa"/>
            <w:noWrap w:val="0"/>
            <w:vAlign w:val="center"/>
          </w:tcPr>
          <w:p w14:paraId="6F152291">
            <w:pPr>
              <w:ind w:firstLine="0" w:firstLineChars="0"/>
              <w:rPr>
                <w:rFonts w:hint="eastAsia" w:ascii="宋体" w:hAnsi="宋体" w:cs="宋体"/>
                <w:bCs/>
                <w:color w:val="auto"/>
                <w:sz w:val="21"/>
                <w:szCs w:val="21"/>
              </w:rPr>
            </w:pPr>
          </w:p>
        </w:tc>
      </w:tr>
      <w:tr w14:paraId="18ED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31E9A78F">
            <w:pPr>
              <w:ind w:firstLine="0" w:firstLineChars="0"/>
              <w:jc w:val="center"/>
              <w:rPr>
                <w:rFonts w:hint="eastAsia" w:ascii="宋体" w:hAnsi="宋体" w:cs="宋体"/>
                <w:bCs/>
                <w:color w:val="auto"/>
                <w:sz w:val="21"/>
                <w:szCs w:val="21"/>
              </w:rPr>
            </w:pPr>
          </w:p>
        </w:tc>
        <w:tc>
          <w:tcPr>
            <w:tcW w:w="5019" w:type="dxa"/>
            <w:noWrap w:val="0"/>
            <w:vAlign w:val="center"/>
          </w:tcPr>
          <w:p w14:paraId="083D7380">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63379674">
            <w:pPr>
              <w:ind w:firstLine="0" w:firstLineChars="0"/>
              <w:rPr>
                <w:rFonts w:hint="eastAsia" w:ascii="宋体" w:hAnsi="宋体" w:cs="宋体"/>
                <w:bCs/>
                <w:color w:val="auto"/>
                <w:sz w:val="21"/>
                <w:szCs w:val="21"/>
              </w:rPr>
            </w:pPr>
          </w:p>
        </w:tc>
        <w:tc>
          <w:tcPr>
            <w:tcW w:w="1407" w:type="dxa"/>
            <w:noWrap w:val="0"/>
            <w:vAlign w:val="center"/>
          </w:tcPr>
          <w:p w14:paraId="2E94A410">
            <w:pPr>
              <w:ind w:firstLine="0" w:firstLineChars="0"/>
              <w:rPr>
                <w:rFonts w:hint="eastAsia" w:ascii="宋体" w:hAnsi="宋体" w:cs="宋体"/>
                <w:bCs/>
                <w:color w:val="auto"/>
                <w:sz w:val="21"/>
                <w:szCs w:val="21"/>
              </w:rPr>
            </w:pPr>
          </w:p>
        </w:tc>
      </w:tr>
      <w:tr w14:paraId="366A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66A038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78D8FFE5">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3DDC9E3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C1A9BEB">
            <w:pPr>
              <w:ind w:firstLine="0" w:firstLineChars="0"/>
              <w:rPr>
                <w:rFonts w:hint="eastAsia" w:ascii="宋体" w:hAnsi="宋体" w:cs="宋体"/>
                <w:bCs/>
                <w:color w:val="auto"/>
                <w:sz w:val="21"/>
                <w:szCs w:val="21"/>
                <w:highlight w:val="none"/>
              </w:rPr>
            </w:pPr>
          </w:p>
        </w:tc>
        <w:tc>
          <w:tcPr>
            <w:tcW w:w="1407" w:type="dxa"/>
            <w:noWrap w:val="0"/>
            <w:vAlign w:val="center"/>
          </w:tcPr>
          <w:p w14:paraId="4CDAF270">
            <w:pPr>
              <w:ind w:firstLine="0" w:firstLineChars="0"/>
              <w:rPr>
                <w:rFonts w:hint="eastAsia" w:ascii="宋体" w:hAnsi="宋体" w:cs="宋体"/>
                <w:bCs/>
                <w:color w:val="auto"/>
                <w:sz w:val="21"/>
                <w:szCs w:val="21"/>
              </w:rPr>
            </w:pPr>
          </w:p>
        </w:tc>
      </w:tr>
      <w:tr w14:paraId="03D4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72123F21">
            <w:pPr>
              <w:ind w:firstLine="0" w:firstLineChars="0"/>
              <w:jc w:val="center"/>
              <w:rPr>
                <w:rFonts w:hint="eastAsia" w:ascii="宋体" w:hAnsi="宋体" w:cs="宋体"/>
                <w:bCs/>
                <w:color w:val="auto"/>
                <w:sz w:val="21"/>
                <w:szCs w:val="21"/>
              </w:rPr>
            </w:pPr>
          </w:p>
        </w:tc>
        <w:tc>
          <w:tcPr>
            <w:tcW w:w="5019" w:type="dxa"/>
            <w:noWrap w:val="0"/>
            <w:vAlign w:val="center"/>
          </w:tcPr>
          <w:p w14:paraId="4774C731">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372F4E95">
            <w:pPr>
              <w:ind w:firstLine="0" w:firstLineChars="0"/>
              <w:rPr>
                <w:rFonts w:hint="eastAsia" w:ascii="宋体" w:hAnsi="宋体" w:cs="宋体"/>
                <w:bCs/>
                <w:color w:val="auto"/>
                <w:sz w:val="21"/>
                <w:szCs w:val="21"/>
              </w:rPr>
            </w:pPr>
          </w:p>
        </w:tc>
        <w:tc>
          <w:tcPr>
            <w:tcW w:w="1407" w:type="dxa"/>
            <w:noWrap w:val="0"/>
            <w:vAlign w:val="center"/>
          </w:tcPr>
          <w:p w14:paraId="68307B1C">
            <w:pPr>
              <w:ind w:firstLine="0" w:firstLineChars="0"/>
              <w:rPr>
                <w:rFonts w:hint="eastAsia" w:ascii="宋体" w:hAnsi="宋体" w:cs="宋体"/>
                <w:bCs/>
                <w:color w:val="auto"/>
                <w:sz w:val="21"/>
                <w:szCs w:val="21"/>
              </w:rPr>
            </w:pPr>
          </w:p>
        </w:tc>
      </w:tr>
      <w:tr w14:paraId="5018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6615F82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0808FCAA">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432DA59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751B0B49">
            <w:pPr>
              <w:ind w:firstLine="0" w:firstLineChars="0"/>
              <w:rPr>
                <w:rFonts w:hint="eastAsia" w:ascii="宋体" w:hAnsi="宋体" w:cs="宋体"/>
                <w:bCs/>
                <w:color w:val="auto"/>
                <w:sz w:val="21"/>
                <w:szCs w:val="21"/>
              </w:rPr>
            </w:pPr>
          </w:p>
        </w:tc>
      </w:tr>
      <w:tr w14:paraId="0448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92DDE41">
            <w:pPr>
              <w:ind w:firstLine="0" w:firstLineChars="0"/>
              <w:jc w:val="center"/>
              <w:rPr>
                <w:rFonts w:hint="eastAsia" w:ascii="宋体" w:hAnsi="宋体" w:cs="宋体"/>
                <w:bCs/>
                <w:color w:val="auto"/>
                <w:sz w:val="21"/>
                <w:szCs w:val="21"/>
              </w:rPr>
            </w:pPr>
          </w:p>
        </w:tc>
        <w:tc>
          <w:tcPr>
            <w:tcW w:w="5019" w:type="dxa"/>
            <w:noWrap w:val="0"/>
            <w:vAlign w:val="center"/>
          </w:tcPr>
          <w:p w14:paraId="725042CC">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5787256F">
            <w:pPr>
              <w:ind w:firstLine="0" w:firstLineChars="0"/>
              <w:rPr>
                <w:rFonts w:hint="eastAsia" w:ascii="宋体" w:hAnsi="宋体" w:cs="宋体"/>
                <w:bCs/>
                <w:color w:val="auto"/>
                <w:sz w:val="21"/>
                <w:szCs w:val="21"/>
              </w:rPr>
            </w:pPr>
          </w:p>
        </w:tc>
        <w:tc>
          <w:tcPr>
            <w:tcW w:w="1407" w:type="dxa"/>
            <w:noWrap w:val="0"/>
            <w:vAlign w:val="center"/>
          </w:tcPr>
          <w:p w14:paraId="3B43DB3F">
            <w:pPr>
              <w:ind w:firstLine="0" w:firstLineChars="0"/>
              <w:rPr>
                <w:rFonts w:hint="eastAsia" w:ascii="宋体" w:hAnsi="宋体" w:cs="宋体"/>
                <w:bCs/>
                <w:color w:val="auto"/>
                <w:sz w:val="21"/>
                <w:szCs w:val="21"/>
              </w:rPr>
            </w:pPr>
          </w:p>
        </w:tc>
      </w:tr>
      <w:tr w14:paraId="27F0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5F6E7472">
            <w:pPr>
              <w:ind w:firstLine="0" w:firstLineChars="0"/>
              <w:jc w:val="center"/>
              <w:rPr>
                <w:rFonts w:hint="eastAsia" w:ascii="宋体" w:hAnsi="宋体" w:cs="宋体"/>
                <w:bCs/>
                <w:color w:val="auto"/>
                <w:sz w:val="21"/>
                <w:szCs w:val="21"/>
              </w:rPr>
            </w:pPr>
          </w:p>
        </w:tc>
        <w:tc>
          <w:tcPr>
            <w:tcW w:w="5019" w:type="dxa"/>
            <w:noWrap w:val="0"/>
            <w:vAlign w:val="center"/>
          </w:tcPr>
          <w:p w14:paraId="7A0D3D00">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1A7CC05C">
            <w:pPr>
              <w:ind w:firstLine="0" w:firstLineChars="0"/>
              <w:rPr>
                <w:rFonts w:hint="eastAsia" w:ascii="宋体" w:hAnsi="宋体" w:cs="宋体"/>
                <w:bCs/>
                <w:color w:val="auto"/>
                <w:sz w:val="21"/>
                <w:szCs w:val="21"/>
              </w:rPr>
            </w:pPr>
          </w:p>
        </w:tc>
        <w:tc>
          <w:tcPr>
            <w:tcW w:w="1407" w:type="dxa"/>
            <w:noWrap w:val="0"/>
            <w:vAlign w:val="center"/>
          </w:tcPr>
          <w:p w14:paraId="6A9DE5D0">
            <w:pPr>
              <w:ind w:firstLine="0" w:firstLineChars="0"/>
              <w:rPr>
                <w:rFonts w:hint="eastAsia" w:ascii="宋体" w:hAnsi="宋体" w:cs="宋体"/>
                <w:bCs/>
                <w:color w:val="auto"/>
                <w:sz w:val="21"/>
                <w:szCs w:val="21"/>
              </w:rPr>
            </w:pPr>
          </w:p>
        </w:tc>
      </w:tr>
      <w:tr w14:paraId="5C89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5726DDA4">
            <w:pPr>
              <w:ind w:firstLine="0" w:firstLineChars="0"/>
              <w:jc w:val="center"/>
              <w:rPr>
                <w:rFonts w:hint="eastAsia" w:ascii="宋体" w:hAnsi="宋体" w:cs="宋体"/>
                <w:bCs/>
                <w:color w:val="auto"/>
                <w:sz w:val="21"/>
                <w:szCs w:val="21"/>
              </w:rPr>
            </w:pPr>
          </w:p>
        </w:tc>
        <w:tc>
          <w:tcPr>
            <w:tcW w:w="5019" w:type="dxa"/>
            <w:noWrap w:val="0"/>
            <w:vAlign w:val="center"/>
          </w:tcPr>
          <w:p w14:paraId="7DE5A991">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4A55B268">
            <w:pPr>
              <w:ind w:firstLine="0" w:firstLineChars="0"/>
              <w:rPr>
                <w:rFonts w:hint="eastAsia" w:ascii="宋体" w:hAnsi="宋体" w:cs="宋体"/>
                <w:bCs/>
                <w:color w:val="auto"/>
                <w:sz w:val="21"/>
                <w:szCs w:val="21"/>
              </w:rPr>
            </w:pPr>
          </w:p>
        </w:tc>
        <w:tc>
          <w:tcPr>
            <w:tcW w:w="1407" w:type="dxa"/>
            <w:noWrap w:val="0"/>
            <w:vAlign w:val="center"/>
          </w:tcPr>
          <w:p w14:paraId="7711889A">
            <w:pPr>
              <w:ind w:firstLine="0" w:firstLineChars="0"/>
              <w:rPr>
                <w:rFonts w:hint="eastAsia" w:ascii="宋体" w:hAnsi="宋体" w:cs="宋体"/>
                <w:bCs/>
                <w:color w:val="auto"/>
                <w:sz w:val="21"/>
                <w:szCs w:val="21"/>
              </w:rPr>
            </w:pPr>
          </w:p>
        </w:tc>
      </w:tr>
      <w:tr w14:paraId="4B42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58A334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1993286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43FF4EA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66736AD6">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4EE6E874">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14D3FC8C">
            <w:pPr>
              <w:ind w:firstLine="0" w:firstLineChars="0"/>
              <w:rPr>
                <w:rFonts w:hint="eastAsia" w:ascii="宋体" w:hAnsi="宋体" w:cs="宋体"/>
                <w:bCs/>
                <w:color w:val="auto"/>
                <w:sz w:val="21"/>
                <w:szCs w:val="21"/>
              </w:rPr>
            </w:pPr>
          </w:p>
        </w:tc>
      </w:tr>
      <w:tr w14:paraId="18C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E5A4289">
            <w:pPr>
              <w:ind w:firstLine="0" w:firstLineChars="0"/>
              <w:jc w:val="center"/>
              <w:rPr>
                <w:rFonts w:hint="eastAsia" w:ascii="宋体" w:hAnsi="宋体" w:cs="宋体"/>
                <w:bCs/>
                <w:color w:val="auto"/>
                <w:sz w:val="21"/>
                <w:szCs w:val="21"/>
              </w:rPr>
            </w:pPr>
          </w:p>
        </w:tc>
        <w:tc>
          <w:tcPr>
            <w:tcW w:w="5019" w:type="dxa"/>
            <w:noWrap w:val="0"/>
            <w:vAlign w:val="center"/>
          </w:tcPr>
          <w:p w14:paraId="77551DA8">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7989235D">
            <w:pPr>
              <w:ind w:firstLine="0" w:firstLineChars="0"/>
              <w:rPr>
                <w:rFonts w:hint="eastAsia" w:ascii="宋体" w:hAnsi="宋体" w:cs="宋体"/>
                <w:bCs/>
                <w:color w:val="auto"/>
                <w:sz w:val="21"/>
                <w:szCs w:val="21"/>
              </w:rPr>
            </w:pPr>
          </w:p>
        </w:tc>
        <w:tc>
          <w:tcPr>
            <w:tcW w:w="1407" w:type="dxa"/>
            <w:noWrap w:val="0"/>
            <w:vAlign w:val="center"/>
          </w:tcPr>
          <w:p w14:paraId="515890D7">
            <w:pPr>
              <w:ind w:firstLine="0" w:firstLineChars="0"/>
              <w:rPr>
                <w:rFonts w:hint="eastAsia" w:ascii="宋体" w:hAnsi="宋体" w:cs="宋体"/>
                <w:bCs/>
                <w:color w:val="auto"/>
                <w:sz w:val="21"/>
                <w:szCs w:val="21"/>
              </w:rPr>
            </w:pPr>
          </w:p>
        </w:tc>
      </w:tr>
      <w:tr w14:paraId="099A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BE49576">
            <w:pPr>
              <w:ind w:firstLine="0" w:firstLineChars="0"/>
              <w:jc w:val="center"/>
              <w:rPr>
                <w:rFonts w:hint="eastAsia" w:ascii="宋体" w:hAnsi="宋体" w:cs="宋体"/>
                <w:bCs/>
                <w:color w:val="auto"/>
                <w:sz w:val="21"/>
                <w:szCs w:val="21"/>
              </w:rPr>
            </w:pPr>
          </w:p>
        </w:tc>
        <w:tc>
          <w:tcPr>
            <w:tcW w:w="5019" w:type="dxa"/>
            <w:noWrap w:val="0"/>
            <w:vAlign w:val="center"/>
          </w:tcPr>
          <w:p w14:paraId="62619801">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2C9A3EE4">
            <w:pPr>
              <w:ind w:firstLine="0" w:firstLineChars="0"/>
              <w:rPr>
                <w:rFonts w:hint="eastAsia" w:ascii="宋体" w:hAnsi="宋体" w:cs="宋体"/>
                <w:bCs/>
                <w:color w:val="auto"/>
                <w:sz w:val="21"/>
                <w:szCs w:val="21"/>
              </w:rPr>
            </w:pPr>
          </w:p>
        </w:tc>
        <w:tc>
          <w:tcPr>
            <w:tcW w:w="1407" w:type="dxa"/>
            <w:noWrap w:val="0"/>
            <w:vAlign w:val="center"/>
          </w:tcPr>
          <w:p w14:paraId="2F5B2ACE">
            <w:pPr>
              <w:ind w:firstLine="0" w:firstLineChars="0"/>
              <w:rPr>
                <w:rFonts w:hint="eastAsia" w:ascii="宋体" w:hAnsi="宋体" w:cs="宋体"/>
                <w:bCs/>
                <w:color w:val="auto"/>
                <w:sz w:val="21"/>
                <w:szCs w:val="21"/>
              </w:rPr>
            </w:pPr>
          </w:p>
        </w:tc>
      </w:tr>
      <w:tr w14:paraId="0F16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1A71AB7">
            <w:pPr>
              <w:ind w:firstLine="0" w:firstLineChars="0"/>
              <w:jc w:val="center"/>
              <w:rPr>
                <w:rFonts w:hint="eastAsia" w:ascii="宋体" w:hAnsi="宋体" w:cs="宋体"/>
                <w:bCs/>
                <w:color w:val="auto"/>
                <w:sz w:val="21"/>
                <w:szCs w:val="21"/>
              </w:rPr>
            </w:pPr>
          </w:p>
        </w:tc>
        <w:tc>
          <w:tcPr>
            <w:tcW w:w="5019" w:type="dxa"/>
            <w:noWrap w:val="0"/>
            <w:vAlign w:val="center"/>
          </w:tcPr>
          <w:p w14:paraId="68BAEA55">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476EBCD2">
            <w:pPr>
              <w:ind w:firstLine="0" w:firstLineChars="0"/>
              <w:rPr>
                <w:rFonts w:hint="eastAsia" w:ascii="宋体" w:hAnsi="宋体" w:cs="宋体"/>
                <w:bCs/>
                <w:color w:val="auto"/>
                <w:sz w:val="21"/>
                <w:szCs w:val="21"/>
              </w:rPr>
            </w:pPr>
          </w:p>
        </w:tc>
        <w:tc>
          <w:tcPr>
            <w:tcW w:w="1407" w:type="dxa"/>
            <w:noWrap w:val="0"/>
            <w:vAlign w:val="center"/>
          </w:tcPr>
          <w:p w14:paraId="5F8EF004">
            <w:pPr>
              <w:ind w:firstLine="0" w:firstLineChars="0"/>
              <w:rPr>
                <w:rFonts w:hint="eastAsia" w:ascii="宋体" w:hAnsi="宋体" w:cs="宋体"/>
                <w:bCs/>
                <w:color w:val="auto"/>
                <w:sz w:val="21"/>
                <w:szCs w:val="21"/>
              </w:rPr>
            </w:pPr>
          </w:p>
        </w:tc>
      </w:tr>
      <w:tr w14:paraId="18B2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1E6D9E1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7C9304C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553C99EB">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070CA2C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07CFA9B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45A542A3">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33468EC4">
            <w:pPr>
              <w:ind w:firstLine="0" w:firstLineChars="0"/>
              <w:rPr>
                <w:rFonts w:hint="eastAsia" w:ascii="宋体" w:hAnsi="宋体" w:cs="宋体"/>
                <w:bCs/>
                <w:color w:val="auto"/>
                <w:sz w:val="21"/>
                <w:szCs w:val="21"/>
              </w:rPr>
            </w:pPr>
          </w:p>
        </w:tc>
      </w:tr>
      <w:tr w14:paraId="545D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7D6F8833">
            <w:pPr>
              <w:ind w:firstLine="0" w:firstLineChars="0"/>
              <w:jc w:val="center"/>
              <w:rPr>
                <w:rFonts w:hint="eastAsia" w:ascii="宋体" w:hAnsi="宋体" w:cs="宋体"/>
                <w:bCs/>
                <w:color w:val="auto"/>
                <w:sz w:val="21"/>
                <w:szCs w:val="21"/>
              </w:rPr>
            </w:pPr>
          </w:p>
        </w:tc>
        <w:tc>
          <w:tcPr>
            <w:tcW w:w="5019" w:type="dxa"/>
            <w:noWrap w:val="0"/>
            <w:vAlign w:val="center"/>
          </w:tcPr>
          <w:p w14:paraId="6F8A02A7">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199A4036">
            <w:pPr>
              <w:ind w:firstLine="0" w:firstLineChars="0"/>
              <w:rPr>
                <w:rFonts w:hint="eastAsia" w:ascii="宋体" w:hAnsi="宋体" w:cs="宋体"/>
                <w:bCs/>
                <w:color w:val="auto"/>
                <w:sz w:val="21"/>
                <w:szCs w:val="21"/>
              </w:rPr>
            </w:pPr>
          </w:p>
        </w:tc>
        <w:tc>
          <w:tcPr>
            <w:tcW w:w="1407" w:type="dxa"/>
            <w:noWrap w:val="0"/>
            <w:vAlign w:val="center"/>
          </w:tcPr>
          <w:p w14:paraId="560D027A">
            <w:pPr>
              <w:ind w:firstLine="0" w:firstLineChars="0"/>
              <w:rPr>
                <w:rFonts w:hint="eastAsia" w:ascii="宋体" w:hAnsi="宋体" w:cs="宋体"/>
                <w:bCs/>
                <w:color w:val="auto"/>
                <w:sz w:val="21"/>
                <w:szCs w:val="21"/>
              </w:rPr>
            </w:pPr>
          </w:p>
        </w:tc>
      </w:tr>
      <w:tr w14:paraId="4807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293ADE6">
            <w:pPr>
              <w:ind w:firstLine="0" w:firstLineChars="0"/>
              <w:jc w:val="center"/>
              <w:rPr>
                <w:rFonts w:hint="eastAsia" w:ascii="宋体" w:hAnsi="宋体" w:cs="宋体"/>
                <w:bCs/>
                <w:color w:val="auto"/>
                <w:sz w:val="21"/>
                <w:szCs w:val="21"/>
              </w:rPr>
            </w:pPr>
          </w:p>
        </w:tc>
        <w:tc>
          <w:tcPr>
            <w:tcW w:w="5019" w:type="dxa"/>
            <w:noWrap w:val="0"/>
            <w:vAlign w:val="center"/>
          </w:tcPr>
          <w:p w14:paraId="67254D3C">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3807B0AF">
            <w:pPr>
              <w:ind w:firstLine="0" w:firstLineChars="0"/>
              <w:rPr>
                <w:rFonts w:hint="eastAsia" w:ascii="宋体" w:hAnsi="宋体" w:cs="宋体"/>
                <w:bCs/>
                <w:color w:val="auto"/>
                <w:sz w:val="21"/>
                <w:szCs w:val="21"/>
              </w:rPr>
            </w:pPr>
          </w:p>
        </w:tc>
        <w:tc>
          <w:tcPr>
            <w:tcW w:w="1407" w:type="dxa"/>
            <w:noWrap w:val="0"/>
            <w:vAlign w:val="center"/>
          </w:tcPr>
          <w:p w14:paraId="566A7533">
            <w:pPr>
              <w:ind w:firstLine="0" w:firstLineChars="0"/>
              <w:rPr>
                <w:rFonts w:hint="eastAsia" w:ascii="宋体" w:hAnsi="宋体" w:cs="宋体"/>
                <w:bCs/>
                <w:color w:val="auto"/>
                <w:sz w:val="21"/>
                <w:szCs w:val="21"/>
              </w:rPr>
            </w:pPr>
          </w:p>
        </w:tc>
      </w:tr>
      <w:tr w14:paraId="7A7D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CEE6223">
            <w:pPr>
              <w:ind w:firstLine="0" w:firstLineChars="0"/>
              <w:jc w:val="center"/>
              <w:rPr>
                <w:rFonts w:hint="eastAsia" w:ascii="宋体" w:hAnsi="宋体" w:cs="宋体"/>
                <w:bCs/>
                <w:color w:val="auto"/>
                <w:sz w:val="21"/>
                <w:szCs w:val="21"/>
              </w:rPr>
            </w:pPr>
          </w:p>
        </w:tc>
        <w:tc>
          <w:tcPr>
            <w:tcW w:w="5019" w:type="dxa"/>
            <w:noWrap w:val="0"/>
            <w:vAlign w:val="center"/>
          </w:tcPr>
          <w:p w14:paraId="6AF014A3">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6267FD08">
            <w:pPr>
              <w:ind w:firstLine="0" w:firstLineChars="0"/>
              <w:rPr>
                <w:rFonts w:hint="eastAsia" w:ascii="宋体" w:hAnsi="宋体" w:cs="宋体"/>
                <w:bCs/>
                <w:color w:val="auto"/>
                <w:sz w:val="21"/>
                <w:szCs w:val="21"/>
              </w:rPr>
            </w:pPr>
          </w:p>
        </w:tc>
        <w:tc>
          <w:tcPr>
            <w:tcW w:w="1407" w:type="dxa"/>
            <w:noWrap w:val="0"/>
            <w:vAlign w:val="center"/>
          </w:tcPr>
          <w:p w14:paraId="4DB96922">
            <w:pPr>
              <w:ind w:firstLine="0" w:firstLineChars="0"/>
              <w:rPr>
                <w:rFonts w:hint="eastAsia" w:ascii="宋体" w:hAnsi="宋体" w:cs="宋体"/>
                <w:bCs/>
                <w:color w:val="auto"/>
                <w:sz w:val="21"/>
                <w:szCs w:val="21"/>
              </w:rPr>
            </w:pPr>
          </w:p>
        </w:tc>
      </w:tr>
      <w:tr w14:paraId="410F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58BBCAD1">
            <w:pPr>
              <w:ind w:firstLine="0" w:firstLineChars="0"/>
              <w:jc w:val="center"/>
              <w:rPr>
                <w:rFonts w:hint="eastAsia" w:ascii="宋体" w:hAnsi="宋体" w:cs="宋体"/>
                <w:bCs/>
                <w:color w:val="auto"/>
                <w:sz w:val="21"/>
                <w:szCs w:val="21"/>
              </w:rPr>
            </w:pPr>
          </w:p>
        </w:tc>
        <w:tc>
          <w:tcPr>
            <w:tcW w:w="5019" w:type="dxa"/>
            <w:noWrap w:val="0"/>
            <w:vAlign w:val="center"/>
          </w:tcPr>
          <w:p w14:paraId="294452C8">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78F2D292">
            <w:pPr>
              <w:ind w:firstLine="0" w:firstLineChars="0"/>
              <w:rPr>
                <w:rFonts w:hint="eastAsia" w:ascii="宋体" w:hAnsi="宋体" w:cs="宋体"/>
                <w:bCs/>
                <w:color w:val="auto"/>
                <w:sz w:val="21"/>
                <w:szCs w:val="21"/>
              </w:rPr>
            </w:pPr>
          </w:p>
        </w:tc>
        <w:tc>
          <w:tcPr>
            <w:tcW w:w="1407" w:type="dxa"/>
            <w:noWrap w:val="0"/>
            <w:vAlign w:val="center"/>
          </w:tcPr>
          <w:p w14:paraId="1A9A71EE">
            <w:pPr>
              <w:ind w:firstLine="0" w:firstLineChars="0"/>
              <w:rPr>
                <w:rFonts w:hint="eastAsia" w:ascii="宋体" w:hAnsi="宋体" w:cs="宋体"/>
                <w:bCs/>
                <w:color w:val="auto"/>
                <w:sz w:val="21"/>
                <w:szCs w:val="21"/>
              </w:rPr>
            </w:pPr>
          </w:p>
        </w:tc>
      </w:tr>
      <w:tr w14:paraId="7FBF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E57AC85">
            <w:pPr>
              <w:ind w:firstLine="0" w:firstLineChars="0"/>
              <w:jc w:val="center"/>
              <w:rPr>
                <w:rFonts w:hint="eastAsia" w:ascii="宋体" w:hAnsi="宋体" w:cs="宋体"/>
                <w:bCs/>
                <w:color w:val="auto"/>
                <w:sz w:val="21"/>
                <w:szCs w:val="21"/>
              </w:rPr>
            </w:pPr>
          </w:p>
        </w:tc>
        <w:tc>
          <w:tcPr>
            <w:tcW w:w="5019" w:type="dxa"/>
            <w:noWrap w:val="0"/>
            <w:vAlign w:val="center"/>
          </w:tcPr>
          <w:p w14:paraId="10EC9160">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1217C593">
            <w:pPr>
              <w:ind w:firstLine="0" w:firstLineChars="0"/>
              <w:rPr>
                <w:rFonts w:hint="eastAsia" w:ascii="宋体" w:hAnsi="宋体" w:cs="宋体"/>
                <w:bCs/>
                <w:color w:val="auto"/>
                <w:sz w:val="21"/>
                <w:szCs w:val="21"/>
              </w:rPr>
            </w:pPr>
          </w:p>
        </w:tc>
        <w:tc>
          <w:tcPr>
            <w:tcW w:w="1407" w:type="dxa"/>
            <w:noWrap w:val="0"/>
            <w:vAlign w:val="center"/>
          </w:tcPr>
          <w:p w14:paraId="13A0B935">
            <w:pPr>
              <w:ind w:firstLine="0" w:firstLineChars="0"/>
              <w:rPr>
                <w:rFonts w:hint="eastAsia" w:ascii="宋体" w:hAnsi="宋体" w:cs="宋体"/>
                <w:bCs/>
                <w:color w:val="auto"/>
                <w:sz w:val="21"/>
                <w:szCs w:val="21"/>
              </w:rPr>
            </w:pPr>
          </w:p>
        </w:tc>
      </w:tr>
      <w:tr w14:paraId="1C0F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62328A7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1DF7052E">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418F643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1782CE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79EB7FB5">
            <w:pPr>
              <w:ind w:firstLine="0" w:firstLineChars="0"/>
              <w:rPr>
                <w:rFonts w:hint="eastAsia" w:ascii="宋体" w:hAnsi="宋体" w:cs="宋体"/>
                <w:bCs/>
                <w:color w:val="auto"/>
                <w:sz w:val="21"/>
                <w:szCs w:val="21"/>
              </w:rPr>
            </w:pPr>
          </w:p>
        </w:tc>
      </w:tr>
      <w:tr w14:paraId="1BB2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C98C59A">
            <w:pPr>
              <w:ind w:firstLine="0" w:firstLineChars="0"/>
              <w:jc w:val="center"/>
              <w:rPr>
                <w:rFonts w:hint="eastAsia" w:ascii="宋体" w:hAnsi="宋体" w:cs="宋体"/>
                <w:bCs/>
                <w:color w:val="auto"/>
                <w:sz w:val="21"/>
                <w:szCs w:val="21"/>
              </w:rPr>
            </w:pPr>
          </w:p>
        </w:tc>
        <w:tc>
          <w:tcPr>
            <w:tcW w:w="5019" w:type="dxa"/>
            <w:noWrap w:val="0"/>
            <w:vAlign w:val="center"/>
          </w:tcPr>
          <w:p w14:paraId="7BBD2D17">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066797F8">
            <w:pPr>
              <w:ind w:firstLine="0" w:firstLineChars="0"/>
              <w:rPr>
                <w:rFonts w:hint="eastAsia" w:ascii="宋体" w:hAnsi="宋体" w:cs="宋体"/>
                <w:bCs/>
                <w:color w:val="auto"/>
                <w:sz w:val="21"/>
                <w:szCs w:val="21"/>
              </w:rPr>
            </w:pPr>
          </w:p>
        </w:tc>
        <w:tc>
          <w:tcPr>
            <w:tcW w:w="1407" w:type="dxa"/>
            <w:noWrap w:val="0"/>
            <w:vAlign w:val="center"/>
          </w:tcPr>
          <w:p w14:paraId="01C95E4B">
            <w:pPr>
              <w:ind w:firstLine="0" w:firstLineChars="0"/>
              <w:rPr>
                <w:rFonts w:hint="eastAsia" w:ascii="宋体" w:hAnsi="宋体" w:cs="宋体"/>
                <w:bCs/>
                <w:color w:val="auto"/>
                <w:sz w:val="21"/>
                <w:szCs w:val="21"/>
              </w:rPr>
            </w:pPr>
          </w:p>
        </w:tc>
      </w:tr>
      <w:tr w14:paraId="2259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20B746B0">
            <w:pPr>
              <w:ind w:firstLine="0" w:firstLineChars="0"/>
              <w:jc w:val="center"/>
              <w:rPr>
                <w:rFonts w:hint="eastAsia" w:ascii="宋体" w:hAnsi="宋体" w:cs="宋体"/>
                <w:bCs/>
                <w:color w:val="auto"/>
                <w:sz w:val="21"/>
                <w:szCs w:val="21"/>
              </w:rPr>
            </w:pPr>
          </w:p>
        </w:tc>
        <w:tc>
          <w:tcPr>
            <w:tcW w:w="5019" w:type="dxa"/>
            <w:noWrap w:val="0"/>
            <w:vAlign w:val="center"/>
          </w:tcPr>
          <w:p w14:paraId="3725A1EF">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3E7DED62">
            <w:pPr>
              <w:ind w:firstLine="0" w:firstLineChars="0"/>
              <w:rPr>
                <w:rFonts w:hint="eastAsia" w:ascii="宋体" w:hAnsi="宋体" w:cs="宋体"/>
                <w:bCs/>
                <w:color w:val="auto"/>
                <w:sz w:val="21"/>
                <w:szCs w:val="21"/>
              </w:rPr>
            </w:pPr>
          </w:p>
        </w:tc>
        <w:tc>
          <w:tcPr>
            <w:tcW w:w="1407" w:type="dxa"/>
            <w:noWrap w:val="0"/>
            <w:vAlign w:val="center"/>
          </w:tcPr>
          <w:p w14:paraId="375FAD09">
            <w:pPr>
              <w:ind w:firstLine="0" w:firstLineChars="0"/>
              <w:rPr>
                <w:rFonts w:hint="eastAsia" w:ascii="宋体" w:hAnsi="宋体" w:cs="宋体"/>
                <w:bCs/>
                <w:color w:val="auto"/>
                <w:sz w:val="21"/>
                <w:szCs w:val="21"/>
              </w:rPr>
            </w:pPr>
          </w:p>
        </w:tc>
      </w:tr>
      <w:tr w14:paraId="4E07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6CB5C1A">
            <w:pPr>
              <w:ind w:firstLine="0" w:firstLineChars="0"/>
              <w:jc w:val="center"/>
              <w:rPr>
                <w:rFonts w:hint="eastAsia" w:ascii="宋体" w:hAnsi="宋体" w:cs="宋体"/>
                <w:bCs/>
                <w:color w:val="auto"/>
                <w:sz w:val="21"/>
                <w:szCs w:val="21"/>
              </w:rPr>
            </w:pPr>
          </w:p>
        </w:tc>
        <w:tc>
          <w:tcPr>
            <w:tcW w:w="5019" w:type="dxa"/>
            <w:noWrap w:val="0"/>
            <w:vAlign w:val="center"/>
          </w:tcPr>
          <w:p w14:paraId="03471C44">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0DF6BE52">
            <w:pPr>
              <w:ind w:firstLine="0" w:firstLineChars="0"/>
              <w:rPr>
                <w:rFonts w:hint="eastAsia" w:ascii="宋体" w:hAnsi="宋体" w:cs="宋体"/>
                <w:bCs/>
                <w:color w:val="auto"/>
                <w:sz w:val="21"/>
                <w:szCs w:val="21"/>
              </w:rPr>
            </w:pPr>
          </w:p>
        </w:tc>
        <w:tc>
          <w:tcPr>
            <w:tcW w:w="1407" w:type="dxa"/>
            <w:noWrap w:val="0"/>
            <w:vAlign w:val="center"/>
          </w:tcPr>
          <w:p w14:paraId="417EB3FF">
            <w:pPr>
              <w:ind w:firstLine="0" w:firstLineChars="0"/>
              <w:rPr>
                <w:rFonts w:hint="eastAsia" w:ascii="宋体" w:hAnsi="宋体" w:cs="宋体"/>
                <w:bCs/>
                <w:color w:val="auto"/>
                <w:sz w:val="21"/>
                <w:szCs w:val="21"/>
              </w:rPr>
            </w:pPr>
          </w:p>
        </w:tc>
      </w:tr>
      <w:tr w14:paraId="2872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3D22940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473025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09979F6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2584EDCD">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6F9FC3EE">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420FA6E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2C3D73E">
            <w:pPr>
              <w:ind w:firstLine="0" w:firstLineChars="0"/>
              <w:rPr>
                <w:rFonts w:hint="eastAsia" w:ascii="宋体" w:hAnsi="宋体" w:cs="宋体"/>
                <w:bCs/>
                <w:color w:val="auto"/>
                <w:sz w:val="21"/>
                <w:szCs w:val="21"/>
              </w:rPr>
            </w:pPr>
          </w:p>
        </w:tc>
      </w:tr>
      <w:tr w14:paraId="7F4B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58D446FD">
            <w:pPr>
              <w:ind w:firstLine="0" w:firstLineChars="0"/>
              <w:jc w:val="center"/>
              <w:rPr>
                <w:rFonts w:hint="eastAsia" w:ascii="宋体" w:hAnsi="宋体" w:cs="宋体"/>
                <w:bCs/>
                <w:color w:val="auto"/>
                <w:sz w:val="21"/>
                <w:szCs w:val="21"/>
              </w:rPr>
            </w:pPr>
          </w:p>
        </w:tc>
        <w:tc>
          <w:tcPr>
            <w:tcW w:w="5019" w:type="dxa"/>
            <w:noWrap w:val="0"/>
            <w:vAlign w:val="center"/>
          </w:tcPr>
          <w:p w14:paraId="18A8F22B">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2AF75A4C">
            <w:pPr>
              <w:ind w:firstLine="0" w:firstLineChars="0"/>
              <w:rPr>
                <w:rFonts w:hint="eastAsia" w:ascii="宋体" w:hAnsi="宋体" w:cs="宋体"/>
                <w:bCs/>
                <w:color w:val="auto"/>
                <w:sz w:val="21"/>
                <w:szCs w:val="21"/>
              </w:rPr>
            </w:pPr>
          </w:p>
        </w:tc>
        <w:tc>
          <w:tcPr>
            <w:tcW w:w="1407" w:type="dxa"/>
            <w:noWrap w:val="0"/>
            <w:vAlign w:val="center"/>
          </w:tcPr>
          <w:p w14:paraId="462848B9">
            <w:pPr>
              <w:ind w:firstLine="0" w:firstLineChars="0"/>
              <w:rPr>
                <w:rFonts w:hint="eastAsia" w:ascii="宋体" w:hAnsi="宋体" w:cs="宋体"/>
                <w:bCs/>
                <w:color w:val="auto"/>
                <w:sz w:val="21"/>
                <w:szCs w:val="21"/>
              </w:rPr>
            </w:pPr>
          </w:p>
        </w:tc>
      </w:tr>
      <w:tr w14:paraId="6089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752B771B">
            <w:pPr>
              <w:ind w:firstLine="0" w:firstLineChars="0"/>
              <w:jc w:val="center"/>
              <w:rPr>
                <w:rFonts w:hint="eastAsia" w:ascii="宋体" w:hAnsi="宋体" w:cs="宋体"/>
                <w:bCs/>
                <w:color w:val="auto"/>
                <w:sz w:val="21"/>
                <w:szCs w:val="21"/>
              </w:rPr>
            </w:pPr>
          </w:p>
        </w:tc>
        <w:tc>
          <w:tcPr>
            <w:tcW w:w="5019" w:type="dxa"/>
            <w:noWrap w:val="0"/>
            <w:vAlign w:val="center"/>
          </w:tcPr>
          <w:p w14:paraId="375A3296">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7391F18C">
            <w:pPr>
              <w:ind w:firstLine="0" w:firstLineChars="0"/>
              <w:rPr>
                <w:rFonts w:hint="eastAsia" w:ascii="宋体" w:hAnsi="宋体" w:cs="宋体"/>
                <w:bCs/>
                <w:color w:val="auto"/>
                <w:sz w:val="21"/>
                <w:szCs w:val="21"/>
              </w:rPr>
            </w:pPr>
          </w:p>
        </w:tc>
        <w:tc>
          <w:tcPr>
            <w:tcW w:w="1407" w:type="dxa"/>
            <w:noWrap w:val="0"/>
            <w:vAlign w:val="center"/>
          </w:tcPr>
          <w:p w14:paraId="09491983">
            <w:pPr>
              <w:ind w:firstLine="0" w:firstLineChars="0"/>
              <w:rPr>
                <w:rFonts w:hint="eastAsia" w:ascii="宋体" w:hAnsi="宋体" w:cs="宋体"/>
                <w:bCs/>
                <w:color w:val="auto"/>
                <w:sz w:val="21"/>
                <w:szCs w:val="21"/>
              </w:rPr>
            </w:pPr>
          </w:p>
        </w:tc>
      </w:tr>
      <w:tr w14:paraId="5B67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37AA59C6">
            <w:pPr>
              <w:ind w:firstLine="0" w:firstLineChars="0"/>
              <w:jc w:val="center"/>
              <w:rPr>
                <w:rFonts w:hint="eastAsia" w:ascii="宋体" w:hAnsi="宋体" w:cs="宋体"/>
                <w:bCs/>
                <w:color w:val="auto"/>
                <w:sz w:val="21"/>
                <w:szCs w:val="21"/>
              </w:rPr>
            </w:pPr>
          </w:p>
        </w:tc>
        <w:tc>
          <w:tcPr>
            <w:tcW w:w="5019" w:type="dxa"/>
            <w:noWrap w:val="0"/>
            <w:vAlign w:val="center"/>
          </w:tcPr>
          <w:p w14:paraId="6AF741A9">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20B70F9E">
            <w:pPr>
              <w:ind w:firstLine="0" w:firstLineChars="0"/>
              <w:rPr>
                <w:rFonts w:hint="eastAsia" w:ascii="宋体" w:hAnsi="宋体" w:cs="宋体"/>
                <w:bCs/>
                <w:color w:val="auto"/>
                <w:sz w:val="21"/>
                <w:szCs w:val="21"/>
              </w:rPr>
            </w:pPr>
          </w:p>
        </w:tc>
        <w:tc>
          <w:tcPr>
            <w:tcW w:w="1407" w:type="dxa"/>
            <w:noWrap w:val="0"/>
            <w:vAlign w:val="center"/>
          </w:tcPr>
          <w:p w14:paraId="66D3EA6F">
            <w:pPr>
              <w:ind w:firstLine="0" w:firstLineChars="0"/>
              <w:rPr>
                <w:rFonts w:hint="eastAsia" w:ascii="宋体" w:hAnsi="宋体" w:cs="宋体"/>
                <w:bCs/>
                <w:color w:val="auto"/>
                <w:sz w:val="21"/>
                <w:szCs w:val="21"/>
              </w:rPr>
            </w:pPr>
          </w:p>
        </w:tc>
      </w:tr>
      <w:tr w14:paraId="18B0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4DDD17D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77AA57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77D40C3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52E5E79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33836042">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3C7C9C50">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79405911">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D85271A">
            <w:pPr>
              <w:ind w:firstLine="0" w:firstLineChars="0"/>
              <w:rPr>
                <w:rFonts w:hint="eastAsia" w:ascii="宋体" w:hAnsi="宋体" w:cs="宋体"/>
                <w:bCs/>
                <w:color w:val="auto"/>
                <w:sz w:val="21"/>
                <w:szCs w:val="21"/>
              </w:rPr>
            </w:pPr>
          </w:p>
        </w:tc>
      </w:tr>
      <w:tr w14:paraId="082A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2B72547E">
            <w:pPr>
              <w:ind w:firstLine="0" w:firstLineChars="0"/>
              <w:jc w:val="center"/>
              <w:rPr>
                <w:rFonts w:hint="eastAsia" w:ascii="宋体" w:hAnsi="宋体" w:cs="宋体"/>
                <w:bCs/>
                <w:color w:val="auto"/>
                <w:sz w:val="21"/>
                <w:szCs w:val="21"/>
              </w:rPr>
            </w:pPr>
          </w:p>
        </w:tc>
        <w:tc>
          <w:tcPr>
            <w:tcW w:w="5019" w:type="dxa"/>
            <w:noWrap w:val="0"/>
            <w:vAlign w:val="center"/>
          </w:tcPr>
          <w:p w14:paraId="6621C446">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723C50A4">
            <w:pPr>
              <w:ind w:firstLine="0" w:firstLineChars="0"/>
              <w:rPr>
                <w:rFonts w:hint="eastAsia" w:ascii="宋体" w:hAnsi="宋体" w:cs="宋体"/>
                <w:bCs/>
                <w:color w:val="auto"/>
                <w:sz w:val="21"/>
                <w:szCs w:val="21"/>
              </w:rPr>
            </w:pPr>
          </w:p>
        </w:tc>
        <w:tc>
          <w:tcPr>
            <w:tcW w:w="1407" w:type="dxa"/>
            <w:noWrap w:val="0"/>
            <w:vAlign w:val="center"/>
          </w:tcPr>
          <w:p w14:paraId="272D0524">
            <w:pPr>
              <w:ind w:firstLine="0" w:firstLineChars="0"/>
              <w:rPr>
                <w:rFonts w:hint="eastAsia" w:ascii="宋体" w:hAnsi="宋体" w:cs="宋体"/>
                <w:bCs/>
                <w:color w:val="auto"/>
                <w:sz w:val="21"/>
                <w:szCs w:val="21"/>
              </w:rPr>
            </w:pPr>
          </w:p>
        </w:tc>
      </w:tr>
      <w:tr w14:paraId="6787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064C549B">
            <w:pPr>
              <w:ind w:firstLine="0" w:firstLineChars="0"/>
              <w:jc w:val="center"/>
              <w:rPr>
                <w:rFonts w:hint="eastAsia" w:ascii="宋体" w:hAnsi="宋体" w:cs="宋体"/>
                <w:bCs/>
                <w:color w:val="auto"/>
                <w:sz w:val="21"/>
                <w:szCs w:val="21"/>
              </w:rPr>
            </w:pPr>
          </w:p>
        </w:tc>
        <w:tc>
          <w:tcPr>
            <w:tcW w:w="5019" w:type="dxa"/>
            <w:noWrap w:val="0"/>
            <w:vAlign w:val="center"/>
          </w:tcPr>
          <w:p w14:paraId="278BB2B8">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01718742">
            <w:pPr>
              <w:ind w:firstLine="0" w:firstLineChars="0"/>
              <w:rPr>
                <w:rFonts w:hint="eastAsia" w:ascii="宋体" w:hAnsi="宋体" w:cs="宋体"/>
                <w:bCs/>
                <w:color w:val="auto"/>
                <w:sz w:val="21"/>
                <w:szCs w:val="21"/>
              </w:rPr>
            </w:pPr>
          </w:p>
        </w:tc>
        <w:tc>
          <w:tcPr>
            <w:tcW w:w="1407" w:type="dxa"/>
            <w:noWrap w:val="0"/>
            <w:vAlign w:val="center"/>
          </w:tcPr>
          <w:p w14:paraId="733AFE00">
            <w:pPr>
              <w:ind w:firstLine="0" w:firstLineChars="0"/>
              <w:rPr>
                <w:rFonts w:hint="eastAsia" w:ascii="宋体" w:hAnsi="宋体" w:cs="宋体"/>
                <w:bCs/>
                <w:color w:val="auto"/>
                <w:sz w:val="21"/>
                <w:szCs w:val="21"/>
              </w:rPr>
            </w:pPr>
          </w:p>
        </w:tc>
      </w:tr>
      <w:tr w14:paraId="6F43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0483E53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59479E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5C0A15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6290C90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26F85121">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11CA0D42">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634C6D6E">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3157DD8C">
            <w:pPr>
              <w:ind w:firstLine="0" w:firstLineChars="0"/>
              <w:rPr>
                <w:rFonts w:hint="eastAsia" w:ascii="宋体" w:hAnsi="宋体" w:cs="宋体"/>
                <w:bCs/>
                <w:color w:val="auto"/>
                <w:sz w:val="21"/>
                <w:szCs w:val="21"/>
              </w:rPr>
            </w:pPr>
          </w:p>
        </w:tc>
      </w:tr>
      <w:tr w14:paraId="0F62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17093451">
            <w:pPr>
              <w:ind w:firstLine="0" w:firstLineChars="0"/>
              <w:jc w:val="center"/>
              <w:rPr>
                <w:rFonts w:hint="eastAsia" w:ascii="宋体" w:hAnsi="宋体" w:cs="宋体"/>
                <w:bCs/>
                <w:color w:val="auto"/>
                <w:sz w:val="21"/>
                <w:szCs w:val="21"/>
              </w:rPr>
            </w:pPr>
          </w:p>
        </w:tc>
        <w:tc>
          <w:tcPr>
            <w:tcW w:w="5019" w:type="dxa"/>
            <w:noWrap w:val="0"/>
            <w:vAlign w:val="center"/>
          </w:tcPr>
          <w:p w14:paraId="66F62345">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0A19BD5B">
            <w:pPr>
              <w:ind w:firstLine="0" w:firstLineChars="0"/>
              <w:rPr>
                <w:rFonts w:hint="eastAsia" w:ascii="宋体" w:hAnsi="宋体" w:cs="宋体"/>
                <w:bCs/>
                <w:color w:val="auto"/>
                <w:sz w:val="21"/>
                <w:szCs w:val="21"/>
              </w:rPr>
            </w:pPr>
          </w:p>
        </w:tc>
        <w:tc>
          <w:tcPr>
            <w:tcW w:w="1407" w:type="dxa"/>
            <w:noWrap w:val="0"/>
            <w:vAlign w:val="center"/>
          </w:tcPr>
          <w:p w14:paraId="5B1A9FB5">
            <w:pPr>
              <w:ind w:firstLine="0" w:firstLineChars="0"/>
              <w:rPr>
                <w:rFonts w:hint="eastAsia" w:ascii="宋体" w:hAnsi="宋体" w:cs="宋体"/>
                <w:bCs/>
                <w:color w:val="auto"/>
                <w:sz w:val="21"/>
                <w:szCs w:val="21"/>
              </w:rPr>
            </w:pPr>
          </w:p>
        </w:tc>
      </w:tr>
      <w:tr w14:paraId="6B71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5D889D59">
            <w:pPr>
              <w:ind w:firstLine="0" w:firstLineChars="0"/>
              <w:jc w:val="center"/>
              <w:rPr>
                <w:rFonts w:hint="eastAsia" w:ascii="宋体" w:hAnsi="宋体" w:cs="宋体"/>
                <w:bCs/>
                <w:color w:val="auto"/>
                <w:sz w:val="21"/>
                <w:szCs w:val="21"/>
              </w:rPr>
            </w:pPr>
          </w:p>
        </w:tc>
        <w:tc>
          <w:tcPr>
            <w:tcW w:w="5019" w:type="dxa"/>
            <w:noWrap w:val="0"/>
            <w:vAlign w:val="center"/>
          </w:tcPr>
          <w:p w14:paraId="161BFBCE">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4A9472D5">
            <w:pPr>
              <w:ind w:firstLine="0" w:firstLineChars="0"/>
              <w:rPr>
                <w:rFonts w:hint="eastAsia" w:ascii="宋体" w:hAnsi="宋体" w:cs="宋体"/>
                <w:bCs/>
                <w:color w:val="auto"/>
                <w:sz w:val="21"/>
                <w:szCs w:val="21"/>
              </w:rPr>
            </w:pPr>
          </w:p>
        </w:tc>
        <w:tc>
          <w:tcPr>
            <w:tcW w:w="1407" w:type="dxa"/>
            <w:noWrap w:val="0"/>
            <w:vAlign w:val="center"/>
          </w:tcPr>
          <w:p w14:paraId="53D5ED92">
            <w:pPr>
              <w:ind w:firstLine="0" w:firstLineChars="0"/>
              <w:rPr>
                <w:rFonts w:hint="eastAsia" w:ascii="宋体" w:hAnsi="宋体" w:cs="宋体"/>
                <w:bCs/>
                <w:color w:val="auto"/>
                <w:sz w:val="21"/>
                <w:szCs w:val="21"/>
              </w:rPr>
            </w:pPr>
          </w:p>
        </w:tc>
      </w:tr>
      <w:tr w14:paraId="08E3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0620B519">
            <w:pPr>
              <w:ind w:firstLine="0" w:firstLineChars="0"/>
              <w:jc w:val="center"/>
              <w:rPr>
                <w:rFonts w:hint="eastAsia" w:ascii="宋体" w:hAnsi="宋体" w:cs="宋体"/>
                <w:bCs/>
                <w:color w:val="auto"/>
                <w:sz w:val="21"/>
                <w:szCs w:val="21"/>
              </w:rPr>
            </w:pPr>
          </w:p>
        </w:tc>
        <w:tc>
          <w:tcPr>
            <w:tcW w:w="5019" w:type="dxa"/>
            <w:noWrap w:val="0"/>
            <w:vAlign w:val="center"/>
          </w:tcPr>
          <w:p w14:paraId="70865021">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07A8ADCA">
            <w:pPr>
              <w:ind w:firstLine="0" w:firstLineChars="0"/>
              <w:rPr>
                <w:rFonts w:hint="eastAsia" w:ascii="宋体" w:hAnsi="宋体" w:cs="宋体"/>
                <w:bCs/>
                <w:color w:val="auto"/>
                <w:sz w:val="21"/>
                <w:szCs w:val="21"/>
              </w:rPr>
            </w:pPr>
          </w:p>
        </w:tc>
        <w:tc>
          <w:tcPr>
            <w:tcW w:w="1407" w:type="dxa"/>
            <w:noWrap w:val="0"/>
            <w:vAlign w:val="center"/>
          </w:tcPr>
          <w:p w14:paraId="633974AE">
            <w:pPr>
              <w:ind w:firstLine="0" w:firstLineChars="0"/>
              <w:rPr>
                <w:rFonts w:hint="eastAsia" w:ascii="宋体" w:hAnsi="宋体" w:cs="宋体"/>
                <w:bCs/>
                <w:color w:val="auto"/>
                <w:sz w:val="21"/>
                <w:szCs w:val="21"/>
              </w:rPr>
            </w:pPr>
          </w:p>
        </w:tc>
      </w:tr>
      <w:tr w14:paraId="1067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44007DC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2D857DBE">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074706FD">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17018F27">
            <w:pPr>
              <w:ind w:firstLine="0" w:firstLineChars="0"/>
              <w:rPr>
                <w:rFonts w:hint="eastAsia" w:ascii="宋体" w:hAnsi="宋体" w:cs="宋体"/>
                <w:bCs/>
                <w:color w:val="auto"/>
                <w:sz w:val="21"/>
                <w:szCs w:val="21"/>
              </w:rPr>
            </w:pPr>
          </w:p>
        </w:tc>
      </w:tr>
      <w:tr w14:paraId="6AF8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3CD865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5DAF1B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0ACC6C37">
            <w:pPr>
              <w:ind w:firstLine="0" w:firstLineChars="0"/>
              <w:rPr>
                <w:rFonts w:hint="eastAsia" w:ascii="宋体" w:hAnsi="宋体" w:cs="宋体"/>
                <w:bCs/>
                <w:color w:val="auto"/>
                <w:sz w:val="21"/>
                <w:szCs w:val="21"/>
              </w:rPr>
            </w:pPr>
          </w:p>
          <w:p w14:paraId="08987290">
            <w:pPr>
              <w:ind w:firstLine="0" w:firstLineChars="0"/>
              <w:rPr>
                <w:rFonts w:hint="eastAsia" w:ascii="宋体" w:hAnsi="宋体" w:cs="宋体"/>
                <w:bCs/>
                <w:color w:val="auto"/>
                <w:sz w:val="21"/>
                <w:szCs w:val="21"/>
              </w:rPr>
            </w:pPr>
          </w:p>
          <w:p w14:paraId="7270AFA3">
            <w:pPr>
              <w:ind w:firstLine="0" w:firstLineChars="0"/>
              <w:rPr>
                <w:rFonts w:hint="eastAsia" w:ascii="宋体" w:hAnsi="宋体" w:cs="宋体"/>
                <w:bCs/>
                <w:color w:val="auto"/>
                <w:sz w:val="21"/>
                <w:szCs w:val="21"/>
              </w:rPr>
            </w:pPr>
          </w:p>
          <w:p w14:paraId="3D6A4ACF">
            <w:pPr>
              <w:ind w:firstLine="0" w:firstLineChars="0"/>
              <w:rPr>
                <w:rFonts w:hint="eastAsia" w:ascii="宋体" w:hAnsi="宋体" w:cs="宋体"/>
                <w:bCs/>
                <w:color w:val="auto"/>
                <w:sz w:val="21"/>
                <w:szCs w:val="21"/>
              </w:rPr>
            </w:pPr>
          </w:p>
        </w:tc>
      </w:tr>
    </w:tbl>
    <w:p w14:paraId="770F22CE">
      <w:pPr>
        <w:rPr>
          <w:rFonts w:hint="eastAsia"/>
          <w:color w:val="auto"/>
        </w:rPr>
        <w:sectPr>
          <w:headerReference r:id="rId18" w:type="default"/>
          <w:footerReference r:id="rId19" w:type="default"/>
          <w:pgSz w:w="11906" w:h="16838"/>
          <w:pgMar w:top="1440" w:right="1134" w:bottom="1440" w:left="1797" w:header="851" w:footer="992" w:gutter="0"/>
          <w:pgNumType w:fmt="decimal"/>
          <w:cols w:space="720" w:num="1"/>
          <w:docGrid w:type="linesAndChars" w:linePitch="326" w:charSpace="0"/>
        </w:sectPr>
      </w:pPr>
    </w:p>
    <w:p w14:paraId="3478FCE1">
      <w:pPr>
        <w:pStyle w:val="3"/>
        <w:numPr>
          <w:ilvl w:val="1"/>
          <w:numId w:val="0"/>
        </w:numPr>
        <w:tabs>
          <w:tab w:val="left" w:pos="0"/>
        </w:tabs>
        <w:rPr>
          <w:rFonts w:ascii="Times New Roman" w:hAnsi="Times New Roman"/>
          <w:color w:val="auto"/>
          <w:sz w:val="24"/>
          <w:szCs w:val="24"/>
        </w:rPr>
      </w:pPr>
      <w:bookmarkStart w:id="242" w:name="_Toc109137386"/>
      <w:bookmarkStart w:id="243" w:name="_Toc10409830"/>
      <w:bookmarkStart w:id="244" w:name="_Toc5349"/>
      <w:r>
        <w:rPr>
          <w:rFonts w:hint="eastAsia"/>
          <w:color w:val="auto"/>
          <w:szCs w:val="24"/>
          <w:lang w:val="en-US" w:eastAsia="zh-CN"/>
        </w:rPr>
        <w:t>8.3</w:t>
      </w:r>
      <w:r>
        <w:rPr>
          <w:rFonts w:hint="eastAsia"/>
          <w:color w:val="auto"/>
          <w:szCs w:val="24"/>
        </w:rPr>
        <w:t>电气要求</w:t>
      </w:r>
      <w:bookmarkEnd w:id="242"/>
      <w:bookmarkEnd w:id="243"/>
      <w:bookmarkEnd w:id="244"/>
    </w:p>
    <w:p w14:paraId="0F438C53">
      <w:pPr>
        <w:ind w:firstLine="480"/>
        <w:rPr>
          <w:rFonts w:ascii="Times New Roman" w:hAnsi="Times New Roman"/>
          <w:color w:val="auto"/>
          <w:szCs w:val="24"/>
        </w:rPr>
      </w:pPr>
      <w:r>
        <w:rPr>
          <w:rFonts w:hint="eastAsia" w:ascii="Times New Roman" w:hAnsi="Times New Roman"/>
          <w:color w:val="auto"/>
          <w:szCs w:val="24"/>
        </w:rPr>
        <w:t>起重机电气系统的设计符合《起重机设计规范》</w:t>
      </w:r>
      <w:r>
        <w:rPr>
          <w:rFonts w:hint="eastAsia" w:ascii="Times New Roman" w:hAnsi="Times New Roman"/>
          <w:color w:val="auto"/>
          <w:szCs w:val="24"/>
          <w:lang w:eastAsia="zh-CN"/>
        </w:rPr>
        <w:t>（</w:t>
      </w:r>
      <w:r>
        <w:rPr>
          <w:rFonts w:ascii="Times New Roman" w:hAnsi="Times New Roman"/>
          <w:color w:val="auto"/>
          <w:szCs w:val="24"/>
        </w:rPr>
        <w:t>GB3811-2008</w:t>
      </w:r>
      <w:r>
        <w:rPr>
          <w:rFonts w:hint="eastAsia" w:ascii="Times New Roman" w:hAnsi="Times New Roman"/>
          <w:color w:val="auto"/>
          <w:szCs w:val="24"/>
          <w:lang w:eastAsia="zh-CN"/>
        </w:rPr>
        <w:t>）</w:t>
      </w:r>
      <w:r>
        <w:rPr>
          <w:rFonts w:hint="eastAsia" w:ascii="Times New Roman" w:hAnsi="Times New Roman"/>
          <w:color w:val="auto"/>
          <w:szCs w:val="24"/>
        </w:rPr>
        <w:t>和《起重机械安全规程》</w:t>
      </w:r>
      <w:r>
        <w:rPr>
          <w:rFonts w:hint="eastAsia" w:ascii="Times New Roman" w:hAnsi="Times New Roman"/>
          <w:color w:val="auto"/>
          <w:szCs w:val="24"/>
          <w:lang w:eastAsia="zh-CN"/>
        </w:rPr>
        <w:t>（</w:t>
      </w:r>
      <w:r>
        <w:rPr>
          <w:rFonts w:ascii="Times New Roman" w:hAnsi="Times New Roman"/>
          <w:color w:val="auto"/>
          <w:szCs w:val="24"/>
        </w:rPr>
        <w:t>GB</w:t>
      </w:r>
      <w:r>
        <w:rPr>
          <w:rFonts w:hint="eastAsia" w:ascii="Times New Roman" w:hAnsi="Times New Roman"/>
          <w:color w:val="auto"/>
          <w:szCs w:val="24"/>
          <w:lang w:val="en-US" w:eastAsia="zh-CN"/>
        </w:rPr>
        <w:t xml:space="preserve"> </w:t>
      </w:r>
      <w:r>
        <w:rPr>
          <w:rFonts w:ascii="Times New Roman" w:hAnsi="Times New Roman"/>
          <w:color w:val="auto"/>
          <w:szCs w:val="24"/>
        </w:rPr>
        <w:t>6067</w:t>
      </w:r>
      <w:r>
        <w:rPr>
          <w:rFonts w:hint="eastAsia" w:ascii="Times New Roman" w:hAnsi="Times New Roman"/>
          <w:color w:val="auto"/>
          <w:szCs w:val="24"/>
          <w:lang w:val="en-US" w:eastAsia="zh-CN"/>
        </w:rPr>
        <w:t>.1</w:t>
      </w:r>
      <w:r>
        <w:rPr>
          <w:rFonts w:ascii="Times New Roman" w:hAnsi="Times New Roman"/>
          <w:color w:val="auto"/>
          <w:szCs w:val="24"/>
        </w:rPr>
        <w:t>-2010</w:t>
      </w:r>
      <w:r>
        <w:rPr>
          <w:rFonts w:hint="eastAsia" w:ascii="Times New Roman" w:hAnsi="Times New Roman"/>
          <w:color w:val="auto"/>
          <w:szCs w:val="24"/>
          <w:lang w:eastAsia="zh-CN"/>
        </w:rPr>
        <w:t>）</w:t>
      </w:r>
      <w:r>
        <w:rPr>
          <w:rFonts w:hint="eastAsia" w:ascii="Times New Roman" w:hAnsi="Times New Roman"/>
          <w:color w:val="auto"/>
          <w:szCs w:val="24"/>
        </w:rPr>
        <w:t>的各项规定。起重机的电气设备能够保证机械的传动性能、电气的监控及保护性能安全、准确和可靠。在起重机发生紧急情况下，操作人员能够在司机室切断电源</w:t>
      </w:r>
      <w:r>
        <w:rPr>
          <w:rFonts w:ascii="Times New Roman" w:hAnsi="Times New Roman"/>
          <w:color w:val="auto"/>
          <w:szCs w:val="24"/>
        </w:rPr>
        <w:t>,</w:t>
      </w:r>
      <w:r>
        <w:rPr>
          <w:rFonts w:hint="eastAsia" w:ascii="Times New Roman" w:hAnsi="Times New Roman"/>
          <w:color w:val="auto"/>
          <w:szCs w:val="24"/>
        </w:rPr>
        <w:t>安全停车。</w:t>
      </w:r>
    </w:p>
    <w:p w14:paraId="38F0FB28">
      <w:pPr>
        <w:ind w:firstLine="480"/>
        <w:rPr>
          <w:rFonts w:ascii="Times New Roman" w:hAnsi="Times New Roman"/>
          <w:color w:val="auto"/>
          <w:szCs w:val="24"/>
        </w:rPr>
      </w:pPr>
      <w:r>
        <w:rPr>
          <w:rFonts w:hint="eastAsia" w:ascii="Times New Roman" w:hAnsi="Times New Roman"/>
          <w:color w:val="auto"/>
          <w:szCs w:val="24"/>
        </w:rPr>
        <w:t>1）供电：</w:t>
      </w:r>
    </w:p>
    <w:p w14:paraId="79995395">
      <w:pPr>
        <w:ind w:firstLine="480"/>
        <w:rPr>
          <w:rFonts w:ascii="Times New Roman" w:hAnsi="Times New Roman"/>
          <w:color w:val="auto"/>
          <w:szCs w:val="24"/>
        </w:rPr>
      </w:pPr>
      <w:r>
        <w:rPr>
          <w:rFonts w:hint="eastAsia" w:ascii="Times New Roman" w:hAnsi="Times New Roman"/>
          <w:color w:val="auto"/>
          <w:szCs w:val="24"/>
        </w:rPr>
        <w:t>起重机供电电源为三相交流电源</w:t>
      </w:r>
      <w:r>
        <w:rPr>
          <w:rFonts w:ascii="Times New Roman" w:hAnsi="Times New Roman"/>
          <w:color w:val="auto"/>
          <w:szCs w:val="24"/>
        </w:rPr>
        <w:t>,</w:t>
      </w:r>
      <w:r>
        <w:rPr>
          <w:rFonts w:hint="eastAsia" w:ascii="Times New Roman" w:hAnsi="Times New Roman"/>
          <w:color w:val="auto"/>
          <w:szCs w:val="24"/>
        </w:rPr>
        <w:t>电压</w:t>
      </w:r>
      <w:r>
        <w:rPr>
          <w:rFonts w:ascii="Times New Roman" w:hAnsi="Times New Roman"/>
          <w:color w:val="auto"/>
          <w:szCs w:val="24"/>
        </w:rPr>
        <w:t>380V</w:t>
      </w:r>
      <w:r>
        <w:rPr>
          <w:rFonts w:hint="eastAsia" w:ascii="Times New Roman" w:hAnsi="Times New Roman"/>
          <w:color w:val="auto"/>
          <w:szCs w:val="24"/>
        </w:rPr>
        <w:t>±</w:t>
      </w:r>
      <w:r>
        <w:rPr>
          <w:rFonts w:ascii="Times New Roman" w:hAnsi="Times New Roman"/>
          <w:color w:val="auto"/>
          <w:szCs w:val="24"/>
        </w:rPr>
        <w:t>10%,</w:t>
      </w:r>
      <w:r>
        <w:rPr>
          <w:rFonts w:hint="eastAsia" w:ascii="Times New Roman" w:hAnsi="Times New Roman"/>
          <w:color w:val="auto"/>
          <w:szCs w:val="24"/>
        </w:rPr>
        <w:t>频率</w:t>
      </w:r>
      <w:r>
        <w:rPr>
          <w:rFonts w:ascii="Times New Roman" w:hAnsi="Times New Roman"/>
          <w:color w:val="auto"/>
          <w:szCs w:val="24"/>
        </w:rPr>
        <w:t>50HZ</w:t>
      </w:r>
      <w:r>
        <w:rPr>
          <w:rFonts w:hint="eastAsia" w:ascii="Times New Roman" w:hAnsi="Times New Roman"/>
          <w:color w:val="auto"/>
          <w:szCs w:val="24"/>
        </w:rPr>
        <w:t>。</w:t>
      </w:r>
    </w:p>
    <w:p w14:paraId="50F20ADE">
      <w:pPr>
        <w:ind w:firstLine="480"/>
        <w:rPr>
          <w:rFonts w:ascii="Times New Roman" w:hAnsi="Times New Roman"/>
          <w:color w:val="auto"/>
          <w:szCs w:val="24"/>
        </w:rPr>
      </w:pPr>
      <w:r>
        <w:rPr>
          <w:rFonts w:hint="eastAsia" w:ascii="Times New Roman" w:hAnsi="Times New Roman"/>
          <w:color w:val="auto"/>
          <w:szCs w:val="24"/>
        </w:rPr>
        <w:t>2）电气保护：</w:t>
      </w:r>
    </w:p>
    <w:p w14:paraId="49C9FB14">
      <w:pPr>
        <w:ind w:firstLine="480"/>
        <w:rPr>
          <w:rFonts w:ascii="Times New Roman" w:hAnsi="Times New Roman"/>
          <w:color w:val="auto"/>
          <w:szCs w:val="24"/>
        </w:rPr>
      </w:pPr>
      <w:r>
        <w:rPr>
          <w:rFonts w:hint="eastAsia" w:ascii="Times New Roman" w:hAnsi="Times New Roman"/>
          <w:color w:val="auto"/>
          <w:szCs w:val="24"/>
        </w:rPr>
        <w:t>短路及过载保护：</w:t>
      </w:r>
    </w:p>
    <w:p w14:paraId="614EC39E">
      <w:pPr>
        <w:ind w:firstLine="480"/>
        <w:rPr>
          <w:rFonts w:ascii="Times New Roman" w:hAnsi="Times New Roman"/>
          <w:color w:val="auto"/>
          <w:szCs w:val="24"/>
        </w:rPr>
      </w:pPr>
      <w:r>
        <w:rPr>
          <w:rFonts w:hint="eastAsia" w:ascii="Times New Roman" w:hAnsi="Times New Roman"/>
          <w:color w:val="auto"/>
          <w:szCs w:val="24"/>
        </w:rPr>
        <w:t>起重机总受电屏、控制屏进出电源设置断路器、控制回路设置小容量断路器，使各机构在短路，过载等事故状态下，迅速与电源脱离</w:t>
      </w:r>
      <w:r>
        <w:rPr>
          <w:rFonts w:ascii="Times New Roman" w:hAnsi="Times New Roman"/>
          <w:color w:val="auto"/>
          <w:szCs w:val="24"/>
        </w:rPr>
        <w:t>,</w:t>
      </w:r>
      <w:r>
        <w:rPr>
          <w:rFonts w:hint="eastAsia" w:ascii="Times New Roman" w:hAnsi="Times New Roman"/>
          <w:color w:val="auto"/>
          <w:szCs w:val="24"/>
        </w:rPr>
        <w:t>以达到保护设备及人机安全的目的。</w:t>
      </w:r>
    </w:p>
    <w:p w14:paraId="06624D3A">
      <w:pPr>
        <w:ind w:firstLine="480"/>
        <w:rPr>
          <w:rFonts w:ascii="Times New Roman" w:hAnsi="Times New Roman"/>
          <w:color w:val="auto"/>
          <w:szCs w:val="24"/>
        </w:rPr>
      </w:pPr>
      <w:r>
        <w:rPr>
          <w:rFonts w:hint="eastAsia" w:ascii="Times New Roman" w:hAnsi="Times New Roman"/>
          <w:color w:val="auto"/>
          <w:szCs w:val="24"/>
        </w:rPr>
        <w:t>3）失压保护：</w:t>
      </w:r>
    </w:p>
    <w:p w14:paraId="07F95A0A">
      <w:pPr>
        <w:ind w:firstLine="480"/>
        <w:rPr>
          <w:rFonts w:ascii="Times New Roman" w:hAnsi="Times New Roman"/>
          <w:color w:val="auto"/>
          <w:szCs w:val="24"/>
        </w:rPr>
      </w:pPr>
      <w:r>
        <w:rPr>
          <w:rFonts w:hint="eastAsia" w:ascii="Times New Roman" w:hAnsi="Times New Roman"/>
          <w:color w:val="auto"/>
          <w:szCs w:val="24"/>
        </w:rPr>
        <w:t>在总受电屏及机构控制屏中，用线路接触器作为失压保护装置，当供电电源中断时</w:t>
      </w:r>
      <w:r>
        <w:rPr>
          <w:rFonts w:ascii="Times New Roman" w:hAnsi="Times New Roman"/>
          <w:color w:val="auto"/>
          <w:szCs w:val="24"/>
        </w:rPr>
        <w:t>,</w:t>
      </w:r>
      <w:r>
        <w:rPr>
          <w:rFonts w:hint="eastAsia" w:ascii="Times New Roman" w:hAnsi="Times New Roman"/>
          <w:color w:val="auto"/>
          <w:szCs w:val="24"/>
        </w:rPr>
        <w:t>能够自动断开电源。</w:t>
      </w:r>
    </w:p>
    <w:p w14:paraId="1479E700">
      <w:pPr>
        <w:ind w:firstLine="480"/>
        <w:rPr>
          <w:rFonts w:ascii="Times New Roman" w:hAnsi="Times New Roman"/>
          <w:color w:val="auto"/>
          <w:szCs w:val="24"/>
        </w:rPr>
      </w:pPr>
      <w:r>
        <w:rPr>
          <w:rFonts w:hint="eastAsia" w:ascii="Times New Roman" w:hAnsi="Times New Roman"/>
          <w:color w:val="auto"/>
          <w:szCs w:val="24"/>
        </w:rPr>
        <w:t>4）零位保护：</w:t>
      </w:r>
    </w:p>
    <w:p w14:paraId="7325B0DB">
      <w:pPr>
        <w:ind w:firstLine="480"/>
        <w:rPr>
          <w:rFonts w:ascii="Times New Roman" w:hAnsi="Times New Roman"/>
          <w:color w:val="auto"/>
          <w:szCs w:val="24"/>
        </w:rPr>
      </w:pPr>
      <w:r>
        <w:rPr>
          <w:rFonts w:hint="eastAsia" w:ascii="Times New Roman" w:hAnsi="Times New Roman"/>
          <w:color w:val="auto"/>
          <w:szCs w:val="24"/>
        </w:rPr>
        <w:t>司机室的联动台凸轮控制器手柄上设有零位连锁，达到零位的目的。即当起重机开始运转前和失压恢复供电时，必须将控制器的手柄置于零位，各机构的电动机才能启动工作。</w:t>
      </w:r>
    </w:p>
    <w:p w14:paraId="3B9252A0">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）紧急断电保护：</w:t>
      </w:r>
    </w:p>
    <w:p w14:paraId="6C573679">
      <w:pPr>
        <w:ind w:firstLine="480"/>
        <w:rPr>
          <w:rFonts w:ascii="Times New Roman" w:hAnsi="Times New Roman"/>
          <w:color w:val="auto"/>
          <w:szCs w:val="24"/>
        </w:rPr>
      </w:pPr>
      <w:r>
        <w:rPr>
          <w:rFonts w:hint="eastAsia" w:ascii="Times New Roman" w:hAnsi="Times New Roman"/>
          <w:color w:val="auto"/>
          <w:szCs w:val="24"/>
        </w:rPr>
        <w:t>司机室内设有紧急断电按钮，当起重机发生紧急情况时，随时方便地切断控制回路电源，从而使主回路断电，确保起重机的安全运行。</w:t>
      </w:r>
    </w:p>
    <w:p w14:paraId="28F240CF">
      <w:pPr>
        <w:ind w:firstLine="480"/>
        <w:rPr>
          <w:rFonts w:ascii="Times New Roman" w:hAnsi="Times New Roman"/>
          <w:color w:val="auto"/>
          <w:szCs w:val="24"/>
        </w:rPr>
      </w:pPr>
      <w:r>
        <w:rPr>
          <w:rFonts w:hint="eastAsia" w:ascii="Times New Roman" w:hAnsi="Times New Roman"/>
          <w:color w:val="auto"/>
          <w:szCs w:val="24"/>
        </w:rPr>
        <w:t>6）起升行程限位保护：</w:t>
      </w:r>
    </w:p>
    <w:p w14:paraId="7EB1C8E0">
      <w:pPr>
        <w:ind w:firstLine="480"/>
        <w:rPr>
          <w:rFonts w:ascii="Times New Roman" w:hAnsi="Times New Roman"/>
          <w:color w:val="auto"/>
          <w:szCs w:val="24"/>
        </w:rPr>
      </w:pPr>
      <w:r>
        <w:rPr>
          <w:rFonts w:hint="eastAsia" w:ascii="Times New Roman" w:hAnsi="Times New Roman"/>
          <w:color w:val="auto"/>
          <w:szCs w:val="24"/>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341500EF">
      <w:pPr>
        <w:ind w:firstLine="480"/>
        <w:rPr>
          <w:rFonts w:ascii="Times New Roman" w:hAnsi="Times New Roman"/>
          <w:color w:val="auto"/>
          <w:szCs w:val="24"/>
        </w:rPr>
      </w:pPr>
      <w:r>
        <w:rPr>
          <w:rFonts w:hint="eastAsia" w:ascii="Times New Roman" w:hAnsi="Times New Roman"/>
          <w:color w:val="auto"/>
          <w:szCs w:val="24"/>
        </w:rPr>
        <w:t>7）开关保护：</w:t>
      </w:r>
    </w:p>
    <w:p w14:paraId="6C83A23D">
      <w:pPr>
        <w:ind w:firstLine="480"/>
        <w:rPr>
          <w:rFonts w:ascii="Times New Roman" w:hAnsi="Times New Roman"/>
          <w:color w:val="auto"/>
          <w:szCs w:val="24"/>
        </w:rPr>
      </w:pPr>
      <w:r>
        <w:rPr>
          <w:rFonts w:hint="eastAsia" w:ascii="Times New Roman" w:hAnsi="Times New Roman"/>
          <w:color w:val="auto"/>
          <w:szCs w:val="24"/>
        </w:rPr>
        <w:t>应设有安全开关。当其中任意一个安全开关断开时，总接触器即自动断开，可避免造成事故。大车上车塔设联系按钮。</w:t>
      </w:r>
    </w:p>
    <w:p w14:paraId="47BE4B68">
      <w:pPr>
        <w:ind w:firstLine="480"/>
        <w:rPr>
          <w:rFonts w:ascii="Times New Roman" w:hAnsi="Times New Roman"/>
          <w:color w:val="auto"/>
          <w:szCs w:val="24"/>
        </w:rPr>
      </w:pPr>
      <w:r>
        <w:rPr>
          <w:rFonts w:hint="eastAsia" w:ascii="Times New Roman" w:hAnsi="Times New Roman"/>
          <w:color w:val="auto"/>
          <w:szCs w:val="24"/>
        </w:rPr>
        <w:t>8）超载保护：</w:t>
      </w:r>
    </w:p>
    <w:p w14:paraId="5AD289EE">
      <w:pPr>
        <w:ind w:firstLine="480"/>
        <w:rPr>
          <w:rFonts w:ascii="Times New Roman" w:hAnsi="Times New Roman"/>
          <w:color w:val="auto"/>
          <w:szCs w:val="24"/>
        </w:rPr>
      </w:pPr>
      <w:r>
        <w:rPr>
          <w:rFonts w:hint="eastAsia" w:ascii="Times New Roman" w:hAnsi="Times New Roman"/>
          <w:color w:val="auto"/>
          <w:szCs w:val="24"/>
        </w:rPr>
        <w:t>起升机构配置超载限制器，具有报警功能，当载荷达到额定起重量的</w:t>
      </w:r>
      <w:r>
        <w:rPr>
          <w:rFonts w:ascii="Times New Roman" w:hAnsi="Times New Roman"/>
          <w:color w:val="auto"/>
          <w:szCs w:val="24"/>
        </w:rPr>
        <w:t>90</w:t>
      </w:r>
      <w:r>
        <w:rPr>
          <w:rFonts w:hint="eastAsia" w:ascii="Times New Roman" w:hAnsi="Times New Roman"/>
          <w:color w:val="auto"/>
          <w:szCs w:val="24"/>
        </w:rPr>
        <w:t>％时，能发出提示性报警信号，当起重量超过额定起重量时，能自动切断起升动力源，并发出禁止性报警信号。</w:t>
      </w:r>
    </w:p>
    <w:p w14:paraId="4BAEEA6F">
      <w:pPr>
        <w:ind w:firstLine="480"/>
        <w:rPr>
          <w:rFonts w:ascii="Times New Roman" w:hAnsi="Times New Roman"/>
          <w:color w:val="auto"/>
          <w:szCs w:val="24"/>
        </w:rPr>
      </w:pPr>
      <w:r>
        <w:rPr>
          <w:rFonts w:hint="eastAsia" w:ascii="Times New Roman" w:hAnsi="Times New Roman"/>
          <w:color w:val="auto"/>
          <w:szCs w:val="24"/>
        </w:rPr>
        <w:t>控制柜</w:t>
      </w:r>
      <w:r>
        <w:rPr>
          <w:rFonts w:ascii="Times New Roman" w:hAnsi="Times New Roman"/>
          <w:color w:val="auto"/>
          <w:szCs w:val="24"/>
        </w:rPr>
        <w:t>,</w:t>
      </w:r>
      <w:r>
        <w:rPr>
          <w:rFonts w:hint="eastAsia" w:ascii="Times New Roman" w:hAnsi="Times New Roman"/>
          <w:color w:val="auto"/>
          <w:szCs w:val="24"/>
        </w:rPr>
        <w:t>端子箱防护等级</w:t>
      </w:r>
      <w:r>
        <w:rPr>
          <w:rFonts w:ascii="Times New Roman" w:hAnsi="Times New Roman"/>
          <w:color w:val="auto"/>
          <w:szCs w:val="24"/>
        </w:rPr>
        <w:t>IP55</w:t>
      </w:r>
      <w:r>
        <w:rPr>
          <w:rFonts w:hint="eastAsia" w:ascii="Times New Roman" w:hAnsi="Times New Roman"/>
          <w:color w:val="auto"/>
          <w:szCs w:val="24"/>
        </w:rPr>
        <w:t>，端子箱采用下部或侧部进线上部做防雨，槽盖加防脱落装置。</w:t>
      </w:r>
    </w:p>
    <w:p w14:paraId="453C58A1">
      <w:pPr>
        <w:ind w:firstLine="480"/>
        <w:rPr>
          <w:rFonts w:hint="eastAsia" w:ascii="Times New Roman" w:hAnsi="Times New Roman"/>
          <w:color w:val="auto"/>
          <w:szCs w:val="24"/>
        </w:rPr>
      </w:pPr>
      <w:r>
        <w:rPr>
          <w:rFonts w:hint="eastAsia" w:ascii="Times New Roman" w:hAnsi="Times New Roman"/>
          <w:color w:val="auto"/>
          <w:szCs w:val="24"/>
        </w:rPr>
        <w:t>9）操纵方式：</w:t>
      </w:r>
    </w:p>
    <w:p w14:paraId="256E8993">
      <w:pPr>
        <w:ind w:firstLine="480"/>
        <w:rPr>
          <w:rFonts w:ascii="Times New Roman" w:hAnsi="Times New Roman"/>
          <w:color w:val="auto"/>
          <w:szCs w:val="24"/>
        </w:rPr>
      </w:pPr>
      <w:r>
        <w:rPr>
          <w:rFonts w:hint="eastAsia" w:ascii="Times New Roman" w:hAnsi="Times New Roman"/>
          <w:color w:val="auto"/>
          <w:szCs w:val="24"/>
        </w:rPr>
        <w:t>司机室设有总电源和控制电源开关状态信号指示灯。</w:t>
      </w:r>
    </w:p>
    <w:p w14:paraId="0CA8619F">
      <w:pPr>
        <w:ind w:firstLine="480"/>
        <w:rPr>
          <w:rFonts w:ascii="Times New Roman" w:hAnsi="Times New Roman"/>
          <w:color w:val="auto"/>
          <w:szCs w:val="24"/>
        </w:rPr>
      </w:pPr>
      <w:r>
        <w:rPr>
          <w:rFonts w:hint="eastAsia" w:ascii="Times New Roman" w:hAnsi="Times New Roman"/>
          <w:color w:val="auto"/>
          <w:szCs w:val="24"/>
        </w:rPr>
        <w:t>司机室设置交流</w:t>
      </w:r>
      <w:r>
        <w:rPr>
          <w:rFonts w:ascii="Times New Roman" w:hAnsi="Times New Roman"/>
          <w:color w:val="auto"/>
          <w:szCs w:val="24"/>
        </w:rPr>
        <w:t>220V</w:t>
      </w:r>
      <w:r>
        <w:rPr>
          <w:rFonts w:hint="eastAsia" w:ascii="Times New Roman" w:hAnsi="Times New Roman"/>
          <w:color w:val="auto"/>
          <w:szCs w:val="24"/>
        </w:rPr>
        <w:t>电源插座及三相</w:t>
      </w:r>
      <w:r>
        <w:rPr>
          <w:rFonts w:ascii="Times New Roman" w:hAnsi="Times New Roman"/>
          <w:color w:val="auto"/>
          <w:szCs w:val="24"/>
        </w:rPr>
        <w:t>380V</w:t>
      </w:r>
      <w:r>
        <w:rPr>
          <w:rFonts w:hint="eastAsia" w:ascii="Times New Roman" w:hAnsi="Times New Roman"/>
          <w:color w:val="auto"/>
          <w:szCs w:val="24"/>
        </w:rPr>
        <w:t>电源，备接其它电气设备。</w:t>
      </w:r>
    </w:p>
    <w:p w14:paraId="51D62167">
      <w:pPr>
        <w:ind w:firstLine="480"/>
        <w:rPr>
          <w:rFonts w:ascii="Times New Roman" w:hAnsi="Times New Roman"/>
          <w:color w:val="auto"/>
          <w:szCs w:val="24"/>
        </w:rPr>
      </w:pPr>
      <w:r>
        <w:rPr>
          <w:rFonts w:hint="eastAsia" w:ascii="Times New Roman" w:hAnsi="Times New Roman"/>
          <w:color w:val="auto"/>
          <w:szCs w:val="24"/>
        </w:rPr>
        <w:t>司机室设有</w:t>
      </w:r>
      <w:r>
        <w:rPr>
          <w:rFonts w:ascii="Times New Roman" w:hAnsi="Times New Roman"/>
          <w:color w:val="auto"/>
          <w:szCs w:val="24"/>
        </w:rPr>
        <w:t>36V</w:t>
      </w:r>
      <w:r>
        <w:rPr>
          <w:rFonts w:hint="eastAsia" w:ascii="Times New Roman" w:hAnsi="Times New Roman"/>
          <w:color w:val="auto"/>
          <w:szCs w:val="24"/>
        </w:rPr>
        <w:t>插座，以便于检修作业。</w:t>
      </w:r>
    </w:p>
    <w:p w14:paraId="6A5809D8">
      <w:pPr>
        <w:ind w:firstLine="480"/>
        <w:rPr>
          <w:rFonts w:ascii="Times New Roman" w:hAnsi="Times New Roman"/>
          <w:color w:val="auto"/>
          <w:szCs w:val="24"/>
        </w:rPr>
      </w:pPr>
      <w:r>
        <w:rPr>
          <w:rFonts w:hint="eastAsia" w:ascii="Times New Roman" w:hAnsi="Times New Roman"/>
          <w:color w:val="auto"/>
          <w:szCs w:val="24"/>
        </w:rPr>
        <w:t>司机室用交流</w:t>
      </w:r>
      <w:r>
        <w:rPr>
          <w:rFonts w:ascii="Times New Roman" w:hAnsi="Times New Roman"/>
          <w:color w:val="auto"/>
          <w:szCs w:val="24"/>
        </w:rPr>
        <w:t>220V/40W</w:t>
      </w:r>
      <w:r>
        <w:rPr>
          <w:rFonts w:hint="eastAsia" w:ascii="Times New Roman" w:hAnsi="Times New Roman"/>
          <w:color w:val="auto"/>
          <w:szCs w:val="24"/>
        </w:rPr>
        <w:t>荧光灯具照明，以满足照度不低于</w:t>
      </w:r>
      <w:r>
        <w:rPr>
          <w:rFonts w:ascii="Times New Roman" w:hAnsi="Times New Roman"/>
          <w:color w:val="auto"/>
          <w:szCs w:val="24"/>
        </w:rPr>
        <w:t>200LX</w:t>
      </w:r>
      <w:r>
        <w:rPr>
          <w:rFonts w:hint="eastAsia" w:ascii="Times New Roman" w:hAnsi="Times New Roman"/>
          <w:color w:val="auto"/>
          <w:szCs w:val="24"/>
        </w:rPr>
        <w:t>的要求。</w:t>
      </w:r>
    </w:p>
    <w:p w14:paraId="5A5A040E">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0</w:t>
      </w:r>
      <w:r>
        <w:rPr>
          <w:rFonts w:hint="eastAsia" w:ascii="Times New Roman" w:hAnsi="Times New Roman"/>
          <w:color w:val="auto"/>
          <w:szCs w:val="24"/>
        </w:rPr>
        <w:t>）照明信号：</w:t>
      </w:r>
    </w:p>
    <w:p w14:paraId="5C3F585E">
      <w:pPr>
        <w:ind w:firstLine="480"/>
        <w:rPr>
          <w:rFonts w:ascii="Times New Roman" w:hAnsi="Times New Roman"/>
          <w:color w:val="auto"/>
          <w:szCs w:val="24"/>
        </w:rPr>
      </w:pPr>
      <w:r>
        <w:rPr>
          <w:rFonts w:hint="eastAsia" w:ascii="Times New Roman" w:hAnsi="Times New Roman"/>
          <w:color w:val="auto"/>
          <w:szCs w:val="24"/>
        </w:rPr>
        <w:t>照明及信号部分设有专用的隔离变压器。原边进线电压为交流</w:t>
      </w:r>
      <w:r>
        <w:rPr>
          <w:rFonts w:ascii="Times New Roman" w:hAnsi="Times New Roman"/>
          <w:color w:val="auto"/>
          <w:szCs w:val="24"/>
        </w:rPr>
        <w:t>380V</w:t>
      </w:r>
      <w:r>
        <w:rPr>
          <w:rFonts w:hint="eastAsia" w:ascii="Times New Roman" w:hAnsi="Times New Roman"/>
          <w:color w:val="auto"/>
          <w:szCs w:val="24"/>
        </w:rPr>
        <w:t>，副边出线电压为交流</w:t>
      </w:r>
      <w:r>
        <w:rPr>
          <w:rFonts w:ascii="Times New Roman" w:hAnsi="Times New Roman"/>
          <w:color w:val="auto"/>
          <w:szCs w:val="24"/>
        </w:rPr>
        <w:t>220V</w:t>
      </w:r>
      <w:r>
        <w:rPr>
          <w:rFonts w:hint="eastAsia" w:ascii="Times New Roman" w:hAnsi="Times New Roman"/>
          <w:color w:val="auto"/>
          <w:szCs w:val="24"/>
        </w:rPr>
        <w:t>，交流</w:t>
      </w:r>
      <w:r>
        <w:rPr>
          <w:rFonts w:ascii="Times New Roman" w:hAnsi="Times New Roman"/>
          <w:color w:val="auto"/>
          <w:szCs w:val="24"/>
        </w:rPr>
        <w:t>36V</w:t>
      </w:r>
      <w:r>
        <w:rPr>
          <w:rFonts w:hint="eastAsia" w:ascii="Times New Roman" w:hAnsi="Times New Roman"/>
          <w:color w:val="auto"/>
          <w:szCs w:val="24"/>
        </w:rPr>
        <w:t>。交流</w:t>
      </w:r>
      <w:r>
        <w:rPr>
          <w:rFonts w:ascii="Times New Roman" w:hAnsi="Times New Roman"/>
          <w:color w:val="auto"/>
          <w:szCs w:val="24"/>
        </w:rPr>
        <w:t>220V</w:t>
      </w:r>
      <w:r>
        <w:rPr>
          <w:rFonts w:hint="eastAsia" w:ascii="Times New Roman" w:hAnsi="Times New Roman"/>
          <w:color w:val="auto"/>
          <w:szCs w:val="24"/>
        </w:rPr>
        <w:t>为起重机照明电源；交流</w:t>
      </w:r>
      <w:r>
        <w:rPr>
          <w:rFonts w:ascii="Times New Roman" w:hAnsi="Times New Roman"/>
          <w:color w:val="auto"/>
          <w:szCs w:val="24"/>
        </w:rPr>
        <w:t>36V</w:t>
      </w:r>
      <w:r>
        <w:rPr>
          <w:rFonts w:hint="eastAsia" w:ascii="Times New Roman" w:hAnsi="Times New Roman"/>
          <w:color w:val="auto"/>
          <w:szCs w:val="24"/>
        </w:rPr>
        <w:t>为起重机安全信号和检修电源。照明变压器从主接触器上端引线，以保证主接触器断电时，照明回路不断电。</w:t>
      </w:r>
    </w:p>
    <w:p w14:paraId="7218E7DE">
      <w:pPr>
        <w:ind w:firstLine="480"/>
        <w:rPr>
          <w:rFonts w:ascii="Times New Roman" w:hAnsi="Times New Roman"/>
          <w:color w:val="auto"/>
          <w:szCs w:val="24"/>
        </w:rPr>
      </w:pPr>
      <w:r>
        <w:rPr>
          <w:rFonts w:hint="eastAsia" w:ascii="Times New Roman" w:hAnsi="Times New Roman"/>
          <w:color w:val="auto"/>
          <w:szCs w:val="24"/>
        </w:rPr>
        <w:t>设有报警装置</w:t>
      </w:r>
      <w:r>
        <w:rPr>
          <w:rFonts w:ascii="Times New Roman" w:hAnsi="Times New Roman"/>
          <w:color w:val="auto"/>
          <w:szCs w:val="24"/>
        </w:rPr>
        <w:t>,</w:t>
      </w:r>
      <w:r>
        <w:rPr>
          <w:rFonts w:hint="eastAsia" w:ascii="Times New Roman" w:hAnsi="Times New Roman"/>
          <w:color w:val="auto"/>
          <w:szCs w:val="24"/>
        </w:rPr>
        <w:t>开车时起提示作用。</w:t>
      </w:r>
    </w:p>
    <w:p w14:paraId="59267320">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1</w:t>
      </w:r>
      <w:r>
        <w:rPr>
          <w:rFonts w:hint="eastAsia" w:ascii="Times New Roman" w:hAnsi="Times New Roman"/>
          <w:color w:val="auto"/>
          <w:szCs w:val="24"/>
        </w:rPr>
        <w:t>）其它：</w:t>
      </w:r>
    </w:p>
    <w:p w14:paraId="2C547DE5">
      <w:pPr>
        <w:ind w:firstLine="480"/>
        <w:rPr>
          <w:rFonts w:ascii="Times New Roman" w:hAnsi="Times New Roman"/>
          <w:color w:val="auto"/>
          <w:szCs w:val="24"/>
        </w:rPr>
      </w:pPr>
      <w:r>
        <w:rPr>
          <w:rFonts w:hint="eastAsia" w:ascii="Times New Roman" w:hAnsi="Times New Roman"/>
          <w:color w:val="auto"/>
          <w:szCs w:val="24"/>
        </w:rPr>
        <w:t>总受电屏和各机构控制屏中的布线采用铜导线和铜排。</w:t>
      </w:r>
    </w:p>
    <w:p w14:paraId="288E9DDE">
      <w:pPr>
        <w:ind w:firstLine="480"/>
        <w:rPr>
          <w:rFonts w:ascii="Times New Roman" w:hAnsi="Times New Roman"/>
          <w:color w:val="auto"/>
          <w:szCs w:val="24"/>
        </w:rPr>
      </w:pPr>
      <w:r>
        <w:rPr>
          <w:rFonts w:hint="eastAsia" w:ascii="Times New Roman" w:hAnsi="Times New Roman"/>
          <w:color w:val="auto"/>
          <w:szCs w:val="24"/>
        </w:rPr>
        <w:t>按照防雷要求设置避雷装置。</w:t>
      </w:r>
    </w:p>
    <w:p w14:paraId="64C5702C">
      <w:pPr>
        <w:pStyle w:val="3"/>
        <w:numPr>
          <w:ilvl w:val="1"/>
          <w:numId w:val="0"/>
        </w:numPr>
        <w:tabs>
          <w:tab w:val="left" w:pos="0"/>
        </w:tabs>
        <w:rPr>
          <w:color w:val="auto"/>
          <w:szCs w:val="24"/>
        </w:rPr>
      </w:pPr>
      <w:bookmarkStart w:id="245" w:name="_Toc5960"/>
      <w:bookmarkStart w:id="246" w:name="_Toc109137387"/>
      <w:bookmarkStart w:id="247" w:name="_Toc10409831"/>
      <w:r>
        <w:rPr>
          <w:rFonts w:hint="eastAsia"/>
          <w:color w:val="auto"/>
          <w:szCs w:val="24"/>
          <w:lang w:val="en-US" w:eastAsia="zh-CN"/>
        </w:rPr>
        <w:t>8.4</w:t>
      </w:r>
      <w:r>
        <w:rPr>
          <w:rFonts w:hint="eastAsia"/>
          <w:color w:val="auto"/>
          <w:szCs w:val="24"/>
        </w:rPr>
        <w:t>焊接要求</w:t>
      </w:r>
      <w:bookmarkEnd w:id="245"/>
      <w:bookmarkEnd w:id="246"/>
      <w:bookmarkEnd w:id="247"/>
    </w:p>
    <w:p w14:paraId="417D03F6">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焊缝外部检查不得有目测可见的裂纹</w:t>
      </w:r>
      <w:r>
        <w:rPr>
          <w:rFonts w:hint="eastAsia" w:ascii="Times New Roman" w:hAnsi="Times New Roman"/>
          <w:color w:val="auto"/>
          <w:szCs w:val="24"/>
        </w:rPr>
        <w:t>、</w:t>
      </w:r>
      <w:r>
        <w:rPr>
          <w:rFonts w:ascii="Times New Roman" w:hAnsi="Times New Roman"/>
          <w:color w:val="auto"/>
          <w:szCs w:val="24"/>
        </w:rPr>
        <w:t>气孔</w:t>
      </w:r>
      <w:r>
        <w:rPr>
          <w:rFonts w:hint="eastAsia" w:ascii="Times New Roman" w:hAnsi="Times New Roman"/>
          <w:color w:val="auto"/>
          <w:szCs w:val="24"/>
        </w:rPr>
        <w:t>、</w:t>
      </w:r>
      <w:r>
        <w:rPr>
          <w:rFonts w:ascii="Times New Roman" w:hAnsi="Times New Roman"/>
          <w:color w:val="auto"/>
          <w:szCs w:val="24"/>
        </w:rPr>
        <w:t>固体夹杂</w:t>
      </w:r>
      <w:r>
        <w:rPr>
          <w:rFonts w:hint="eastAsia" w:ascii="Times New Roman" w:hAnsi="Times New Roman"/>
          <w:color w:val="auto"/>
          <w:szCs w:val="24"/>
        </w:rPr>
        <w:t>、</w:t>
      </w:r>
      <w:r>
        <w:rPr>
          <w:rFonts w:ascii="Times New Roman" w:hAnsi="Times New Roman"/>
          <w:color w:val="auto"/>
          <w:szCs w:val="24"/>
        </w:rPr>
        <w:t>未熔合</w:t>
      </w:r>
      <w:r>
        <w:rPr>
          <w:rFonts w:hint="eastAsia" w:ascii="Times New Roman" w:hAnsi="Times New Roman"/>
          <w:color w:val="auto"/>
          <w:szCs w:val="24"/>
        </w:rPr>
        <w:t>、</w:t>
      </w:r>
      <w:r>
        <w:rPr>
          <w:rFonts w:ascii="Times New Roman" w:hAnsi="Times New Roman"/>
          <w:color w:val="auto"/>
          <w:szCs w:val="24"/>
        </w:rPr>
        <w:t>未焊透等明显缺陷。</w:t>
      </w:r>
    </w:p>
    <w:p w14:paraId="6124793E">
      <w:pPr>
        <w:ind w:firstLine="480"/>
        <w:rPr>
          <w:rFonts w:ascii="Times New Roman" w:hAnsi="Times New Roman"/>
          <w:color w:val="auto"/>
          <w:szCs w:val="24"/>
          <w:highlight w:val="none"/>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制造过程中焊接质量要求：</w:t>
      </w:r>
      <w:r>
        <w:rPr>
          <w:rFonts w:hint="eastAsia" w:ascii="Times New Roman" w:hAnsi="Times New Roman"/>
          <w:color w:val="auto"/>
          <w:szCs w:val="24"/>
        </w:rPr>
        <w:t>预埋</w:t>
      </w:r>
      <w:r>
        <w:rPr>
          <w:rFonts w:ascii="Times New Roman" w:hAnsi="Times New Roman"/>
          <w:color w:val="auto"/>
          <w:szCs w:val="24"/>
        </w:rPr>
        <w:t>支腿、</w:t>
      </w:r>
      <w:r>
        <w:rPr>
          <w:rFonts w:hint="eastAsia" w:ascii="Times New Roman" w:hAnsi="Times New Roman"/>
          <w:color w:val="auto"/>
          <w:szCs w:val="24"/>
        </w:rPr>
        <w:t>顶升套架、回转总在、塔顶等</w:t>
      </w:r>
      <w:r>
        <w:rPr>
          <w:rFonts w:ascii="Times New Roman" w:hAnsi="Times New Roman"/>
          <w:color w:val="auto"/>
          <w:szCs w:val="24"/>
        </w:rPr>
        <w:t>受拉区的对接焊缝</w:t>
      </w:r>
      <w:r>
        <w:rPr>
          <w:rFonts w:hint="eastAsia" w:ascii="Times New Roman" w:hAnsi="Times New Roman"/>
          <w:color w:val="auto"/>
          <w:szCs w:val="24"/>
        </w:rPr>
        <w:t>表面质量</w:t>
      </w:r>
      <w:r>
        <w:rPr>
          <w:rFonts w:ascii="Times New Roman" w:hAnsi="Times New Roman"/>
          <w:color w:val="auto"/>
          <w:szCs w:val="24"/>
        </w:rPr>
        <w:t>应</w:t>
      </w:r>
      <w:r>
        <w:rPr>
          <w:rFonts w:hint="eastAsia" w:ascii="Times New Roman" w:hAnsi="Times New Roman"/>
          <w:color w:val="auto"/>
          <w:szCs w:val="24"/>
        </w:rPr>
        <w:t>达到</w:t>
      </w:r>
      <w:r>
        <w:rPr>
          <w:rFonts w:hint="eastAsia" w:ascii="Times New Roman" w:hAnsi="Times New Roman"/>
          <w:color w:val="auto"/>
          <w:szCs w:val="24"/>
          <w:highlight w:val="none"/>
        </w:rPr>
        <w:t>《钢的弧焊接头 缺陷质量分析指南》（GB/T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19418-2003）中的“B”级，焊缝内部质量应</w:t>
      </w:r>
      <w:r>
        <w:rPr>
          <w:rFonts w:ascii="Times New Roman" w:hAnsi="Times New Roman"/>
          <w:color w:val="auto"/>
          <w:szCs w:val="24"/>
          <w:highlight w:val="none"/>
        </w:rPr>
        <w:t>进行无损探伤，射线探伤时应不低于</w:t>
      </w:r>
      <w:r>
        <w:rPr>
          <w:rFonts w:hint="eastAsia" w:ascii="Times New Roman" w:hAnsi="Times New Roman"/>
          <w:color w:val="auto"/>
          <w:szCs w:val="24"/>
          <w:highlight w:val="none"/>
        </w:rPr>
        <w:t>《金属融化焊接接头射线照相》（</w:t>
      </w:r>
      <w:r>
        <w:rPr>
          <w:rFonts w:ascii="Times New Roman" w:hAnsi="Times New Roman"/>
          <w:color w:val="auto"/>
          <w:szCs w:val="24"/>
          <w:highlight w:val="none"/>
        </w:rPr>
        <w:t>GB</w:t>
      </w:r>
      <w:r>
        <w:rPr>
          <w:rFonts w:hint="eastAsia" w:ascii="Times New Roman" w:hAnsi="Times New Roman"/>
          <w:color w:val="auto"/>
          <w:szCs w:val="24"/>
          <w:highlight w:val="none"/>
          <w:lang w:val="en-US" w:eastAsia="zh-CN"/>
        </w:rPr>
        <w:t xml:space="preserve">/T </w:t>
      </w:r>
      <w:r>
        <w:rPr>
          <w:rFonts w:ascii="Times New Roman" w:hAnsi="Times New Roman"/>
          <w:color w:val="auto"/>
          <w:szCs w:val="24"/>
          <w:highlight w:val="none"/>
        </w:rPr>
        <w:t>3323</w:t>
      </w:r>
      <w:r>
        <w:rPr>
          <w:rFonts w:hint="eastAsia" w:ascii="Times New Roman" w:hAnsi="Times New Roman"/>
          <w:color w:val="auto"/>
          <w:szCs w:val="24"/>
          <w:highlight w:val="none"/>
          <w:lang w:val="en-US" w:eastAsia="zh-CN"/>
        </w:rPr>
        <w:t>.1</w:t>
      </w:r>
      <w:r>
        <w:rPr>
          <w:rFonts w:hint="eastAsia" w:ascii="Times New Roman" w:hAnsi="Times New Roman"/>
          <w:color w:val="auto"/>
          <w:szCs w:val="24"/>
          <w:highlight w:val="none"/>
        </w:rPr>
        <w:t>-20</w:t>
      </w:r>
      <w:r>
        <w:rPr>
          <w:rFonts w:hint="eastAsia" w:ascii="Times New Roman" w:hAnsi="Times New Roman"/>
          <w:color w:val="auto"/>
          <w:szCs w:val="24"/>
          <w:highlight w:val="none"/>
          <w:lang w:val="en-US" w:eastAsia="zh-CN"/>
        </w:rPr>
        <w:t>19</w:t>
      </w:r>
      <w:r>
        <w:rPr>
          <w:rFonts w:hint="eastAsia" w:ascii="Times New Roman" w:hAnsi="Times New Roman"/>
          <w:color w:val="auto"/>
          <w:szCs w:val="24"/>
          <w:highlight w:val="none"/>
        </w:rPr>
        <w:t>）</w:t>
      </w:r>
      <w:r>
        <w:rPr>
          <w:rFonts w:ascii="Times New Roman" w:hAnsi="Times New Roman"/>
          <w:color w:val="auto"/>
          <w:szCs w:val="24"/>
          <w:highlight w:val="none"/>
        </w:rPr>
        <w:t>中规定的Ⅱ级，超声波探伤时应不低于</w:t>
      </w:r>
      <w:r>
        <w:rPr>
          <w:rFonts w:hint="eastAsia" w:ascii="Times New Roman" w:hAnsi="Times New Roman"/>
          <w:color w:val="auto"/>
          <w:szCs w:val="24"/>
          <w:highlight w:val="none"/>
        </w:rPr>
        <w:t>《钢结构超声波探伤及质量分级法》（</w:t>
      </w:r>
      <w:r>
        <w:rPr>
          <w:rFonts w:ascii="Times New Roman" w:hAnsi="Times New Roman"/>
          <w:color w:val="auto"/>
          <w:szCs w:val="24"/>
          <w:highlight w:val="none"/>
        </w:rPr>
        <w:t>J</w:t>
      </w:r>
      <w:r>
        <w:rPr>
          <w:rFonts w:hint="eastAsia" w:ascii="Times New Roman" w:hAnsi="Times New Roman"/>
          <w:color w:val="auto"/>
          <w:szCs w:val="24"/>
          <w:highlight w:val="none"/>
        </w:rPr>
        <w:t>G/T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203-2007）</w:t>
      </w:r>
      <w:r>
        <w:rPr>
          <w:rFonts w:ascii="Times New Roman" w:hAnsi="Times New Roman"/>
          <w:color w:val="auto"/>
          <w:szCs w:val="24"/>
          <w:highlight w:val="none"/>
        </w:rPr>
        <w:t>中规定的I级。</w:t>
      </w:r>
    </w:p>
    <w:p w14:paraId="242EB713">
      <w:pPr>
        <w:pStyle w:val="3"/>
        <w:numPr>
          <w:ilvl w:val="1"/>
          <w:numId w:val="0"/>
        </w:numPr>
        <w:tabs>
          <w:tab w:val="left" w:pos="0"/>
        </w:tabs>
        <w:rPr>
          <w:color w:val="auto"/>
          <w:szCs w:val="24"/>
          <w:highlight w:val="none"/>
        </w:rPr>
      </w:pPr>
      <w:bookmarkStart w:id="248" w:name="_Toc10409832"/>
      <w:bookmarkStart w:id="249" w:name="_Toc109137388"/>
      <w:bookmarkStart w:id="250" w:name="_Toc9342"/>
      <w:r>
        <w:rPr>
          <w:rFonts w:hint="eastAsia"/>
          <w:color w:val="auto"/>
          <w:szCs w:val="24"/>
          <w:highlight w:val="none"/>
          <w:lang w:val="en-US" w:eastAsia="zh-CN"/>
        </w:rPr>
        <w:t>8.5</w:t>
      </w:r>
      <w:r>
        <w:rPr>
          <w:rFonts w:hint="eastAsia"/>
          <w:color w:val="auto"/>
          <w:szCs w:val="24"/>
          <w:highlight w:val="none"/>
        </w:rPr>
        <w:t>螺栓连接要求</w:t>
      </w:r>
      <w:bookmarkEnd w:id="248"/>
      <w:bookmarkEnd w:id="249"/>
      <w:bookmarkEnd w:id="250"/>
    </w:p>
    <w:p w14:paraId="6742A44B">
      <w:pPr>
        <w:ind w:firstLine="480"/>
        <w:rPr>
          <w:rFonts w:ascii="Times New Roman" w:hAnsi="Times New Roman"/>
          <w:color w:val="auto"/>
          <w:szCs w:val="24"/>
          <w:highlight w:val="none"/>
        </w:rPr>
      </w:pPr>
      <w:r>
        <w:rPr>
          <w:rFonts w:hint="eastAsia" w:ascii="Times New Roman" w:hAnsi="Times New Roman"/>
          <w:color w:val="auto"/>
          <w:szCs w:val="24"/>
          <w:highlight w:val="none"/>
        </w:rPr>
        <w:t>1）</w:t>
      </w:r>
      <w:r>
        <w:rPr>
          <w:rFonts w:ascii="Times New Roman" w:hAnsi="Times New Roman"/>
          <w:color w:val="auto"/>
          <w:szCs w:val="24"/>
          <w:highlight w:val="none"/>
        </w:rPr>
        <w:t>钢结构采用高强度螺栓完成构件的连接时，其连接接头应符合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钢结构高强度螺栓连接技术规程</w:t>
      </w:r>
      <w:r>
        <w:rPr>
          <w:rFonts w:hint="eastAsia" w:ascii="Times New Roman" w:hAnsi="Times New Roman"/>
          <w:color w:val="auto"/>
          <w:szCs w:val="24"/>
          <w:highlight w:val="none"/>
          <w:lang w:eastAsia="zh-CN"/>
        </w:rPr>
        <w:t>》（</w:t>
      </w:r>
      <w:r>
        <w:rPr>
          <w:rFonts w:ascii="Times New Roman" w:hAnsi="Times New Roman"/>
          <w:color w:val="auto"/>
          <w:szCs w:val="24"/>
          <w:highlight w:val="none"/>
        </w:rPr>
        <w:t>JGJ</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82</w:t>
      </w:r>
      <w:r>
        <w:rPr>
          <w:rFonts w:hint="eastAsia" w:ascii="Times New Roman" w:hAnsi="Times New Roman"/>
          <w:color w:val="auto"/>
          <w:szCs w:val="24"/>
          <w:highlight w:val="none"/>
          <w:lang w:val="en-US" w:eastAsia="zh-CN"/>
        </w:rPr>
        <w:t>-2011</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006CAB73">
      <w:pPr>
        <w:ind w:firstLine="480"/>
        <w:rPr>
          <w:rFonts w:ascii="Times New Roman" w:hAnsi="Times New Roman"/>
          <w:color w:val="auto"/>
          <w:szCs w:val="24"/>
          <w:highlight w:val="none"/>
        </w:rPr>
      </w:pPr>
      <w:r>
        <w:rPr>
          <w:rFonts w:ascii="Times New Roman" w:hAnsi="Times New Roman"/>
          <w:color w:val="auto"/>
          <w:szCs w:val="24"/>
          <w:highlight w:val="none"/>
        </w:rPr>
        <w:t>2</w:t>
      </w:r>
      <w:r>
        <w:rPr>
          <w:rFonts w:hint="eastAsia" w:ascii="Times New Roman" w:hAnsi="Times New Roman"/>
          <w:color w:val="auto"/>
          <w:szCs w:val="24"/>
          <w:highlight w:val="none"/>
        </w:rPr>
        <w:t>）</w:t>
      </w:r>
      <w:r>
        <w:rPr>
          <w:rFonts w:ascii="Times New Roman" w:hAnsi="Times New Roman"/>
          <w:color w:val="auto"/>
          <w:szCs w:val="24"/>
          <w:highlight w:val="none"/>
        </w:rPr>
        <w:t>大六角头高强度螺栓接头所用螺栓、螺母、垫圈及其技术要求应分别符合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1228</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钢结构用高强度大六角螺母</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1229</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钢结构用高强度垫圈</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1230</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钢结构用高强度大六角螺栓、大六角螺母、垫圈技术条件</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1231</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7F5F0969">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）必须根据说明书的要求作业。</w:t>
      </w:r>
    </w:p>
    <w:p w14:paraId="17EE9D1C">
      <w:pPr>
        <w:pStyle w:val="3"/>
        <w:numPr>
          <w:ilvl w:val="1"/>
          <w:numId w:val="0"/>
        </w:numPr>
        <w:tabs>
          <w:tab w:val="left" w:pos="0"/>
        </w:tabs>
        <w:rPr>
          <w:color w:val="auto"/>
          <w:szCs w:val="24"/>
        </w:rPr>
      </w:pPr>
      <w:bookmarkStart w:id="251" w:name="_Toc109137389"/>
      <w:bookmarkStart w:id="252" w:name="_Toc10409833"/>
      <w:bookmarkStart w:id="253" w:name="_Toc13616"/>
      <w:r>
        <w:rPr>
          <w:rFonts w:hint="eastAsia"/>
          <w:color w:val="auto"/>
          <w:szCs w:val="24"/>
          <w:lang w:val="en-US" w:eastAsia="zh-CN"/>
        </w:rPr>
        <w:t>8.6</w:t>
      </w:r>
      <w:r>
        <w:rPr>
          <w:rFonts w:hint="eastAsia"/>
          <w:color w:val="auto"/>
          <w:szCs w:val="24"/>
        </w:rPr>
        <w:t>防雷接地要求</w:t>
      </w:r>
      <w:bookmarkEnd w:id="251"/>
      <w:bookmarkEnd w:id="252"/>
      <w:bookmarkEnd w:id="253"/>
    </w:p>
    <w:p w14:paraId="34911CB2">
      <w:pPr>
        <w:ind w:firstLine="480"/>
        <w:rPr>
          <w:rFonts w:ascii="Times New Roman" w:hAnsi="Times New Roman"/>
          <w:color w:val="auto"/>
          <w:szCs w:val="24"/>
        </w:rPr>
      </w:pPr>
      <w:r>
        <w:rPr>
          <w:rFonts w:hint="eastAsia" w:ascii="Times New Roman" w:hAnsi="Times New Roman"/>
          <w:color w:val="auto"/>
          <w:szCs w:val="24"/>
        </w:rPr>
        <w:t>1）塔机的接地：</w:t>
      </w:r>
    </w:p>
    <w:p w14:paraId="06213802">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hint="eastAsia" w:ascii="Times New Roman" w:hAnsi="Times New Roman"/>
          <w:color w:val="auto"/>
          <w:szCs w:val="24"/>
        </w:rPr>
        <w:t>塔机的金属结构及所有电气设备的金属外壳，电缆金属外皮和变压器的低压侧均有可靠的接地。</w:t>
      </w:r>
    </w:p>
    <w:p w14:paraId="48458E6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hint="eastAsia" w:ascii="Times New Roman" w:hAnsi="Times New Roman"/>
          <w:color w:val="auto"/>
          <w:szCs w:val="24"/>
        </w:rPr>
        <w:t>接地线连接用不小于</w:t>
      </w:r>
      <w:r>
        <w:rPr>
          <w:rFonts w:ascii="Times New Roman" w:hAnsi="Times New Roman"/>
          <w:color w:val="auto"/>
          <w:szCs w:val="24"/>
        </w:rPr>
        <w:t>150mm</w:t>
      </w:r>
      <w:r>
        <w:rPr>
          <w:rFonts w:ascii="Times New Roman" w:hAnsi="Times New Roman"/>
          <w:color w:val="auto"/>
          <w:szCs w:val="24"/>
          <w:vertAlign w:val="superscript"/>
        </w:rPr>
        <w:t>2</w:t>
      </w:r>
      <w:r>
        <w:rPr>
          <w:rFonts w:hint="eastAsia" w:ascii="Times New Roman" w:hAnsi="Times New Roman"/>
          <w:color w:val="auto"/>
          <w:szCs w:val="24"/>
        </w:rPr>
        <w:t>扁钢或</w:t>
      </w:r>
      <w:r>
        <w:rPr>
          <w:rFonts w:ascii="Times New Roman" w:hAnsi="Times New Roman"/>
          <w:color w:val="auto"/>
          <w:szCs w:val="24"/>
        </w:rPr>
        <w:t>10 mm</w:t>
      </w:r>
      <w:r>
        <w:rPr>
          <w:rFonts w:ascii="Times New Roman" w:hAnsi="Times New Roman"/>
          <w:color w:val="auto"/>
          <w:szCs w:val="24"/>
          <w:vertAlign w:val="superscript"/>
        </w:rPr>
        <w:t>2</w:t>
      </w:r>
      <w:r>
        <w:rPr>
          <w:rFonts w:hint="eastAsia" w:ascii="Times New Roman" w:hAnsi="Times New Roman"/>
          <w:color w:val="auto"/>
          <w:szCs w:val="24"/>
        </w:rPr>
        <w:t>的铜线，用焊接法连接。</w:t>
      </w:r>
    </w:p>
    <w:p w14:paraId="70657A44">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hint="eastAsia" w:ascii="Times New Roman" w:hAnsi="Times New Roman"/>
          <w:color w:val="auto"/>
          <w:szCs w:val="24"/>
        </w:rPr>
        <w:t>要求接地电阻≤4</w:t>
      </w:r>
      <w:r>
        <w:rPr>
          <w:rFonts w:hint="default" w:ascii="Times New Roman" w:hAnsi="Times New Roman" w:cs="Times New Roman"/>
          <w:color w:val="auto"/>
          <w:szCs w:val="24"/>
        </w:rPr>
        <w:t>Ω</w:t>
      </w:r>
      <w:r>
        <w:rPr>
          <w:rFonts w:hint="eastAsia" w:ascii="Times New Roman" w:hAnsi="Times New Roman"/>
          <w:color w:val="auto"/>
          <w:szCs w:val="24"/>
        </w:rPr>
        <w:t>，</w:t>
      </w:r>
      <w:r>
        <w:rPr>
          <w:rFonts w:ascii="Times New Roman" w:hAnsi="Times New Roman"/>
          <w:color w:val="auto"/>
          <w:szCs w:val="24"/>
        </w:rPr>
        <w:t>同时</w:t>
      </w:r>
      <w:r>
        <w:rPr>
          <w:rFonts w:hint="eastAsia" w:ascii="Times New Roman" w:hAnsi="Times New Roman"/>
          <w:color w:val="auto"/>
          <w:szCs w:val="24"/>
        </w:rPr>
        <w:t>起重机上任何一点的接地电阻均不大于4</w:t>
      </w:r>
      <w:r>
        <w:rPr>
          <w:rFonts w:hint="default" w:ascii="Times New Roman" w:hAnsi="Times New Roman" w:cs="Times New Roman"/>
          <w:color w:val="auto"/>
          <w:szCs w:val="24"/>
        </w:rPr>
        <w:t>Ω</w:t>
      </w:r>
      <w:r>
        <w:rPr>
          <w:rFonts w:hint="eastAsia" w:ascii="Times New Roman" w:hAnsi="Times New Roman"/>
          <w:color w:val="auto"/>
          <w:szCs w:val="24"/>
        </w:rPr>
        <w:t>。</w:t>
      </w:r>
    </w:p>
    <w:p w14:paraId="6A055F90">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）接地方式</w:t>
      </w:r>
    </w:p>
    <w:p w14:paraId="1C9DAD2D">
      <w:pPr>
        <w:ind w:firstLine="480"/>
        <w:rPr>
          <w:rFonts w:ascii="Times New Roman" w:hAnsi="Times New Roman"/>
          <w:color w:val="auto"/>
          <w:szCs w:val="24"/>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1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①</w:t>
      </w:r>
      <w:r>
        <w:rPr>
          <w:rFonts w:ascii="Times New Roman" w:hAnsi="Times New Roman"/>
          <w:color w:val="auto"/>
        </w:rPr>
        <w:fldChar w:fldCharType="end"/>
      </w:r>
      <w:r>
        <w:rPr>
          <w:rFonts w:hint="eastAsia" w:ascii="Times New Roman" w:hAnsi="Times New Roman"/>
          <w:color w:val="auto"/>
        </w:rPr>
        <w:t>采用长2.3米截面积为150mm2的钢管埋入地下2.5米处，再用50×5mm2镀锌扁钢充分焊接引出地表作接地母线，最后采用10mm2多股铜导线连接钢轨与接地母线</w:t>
      </w:r>
      <w:r>
        <w:rPr>
          <w:rFonts w:hint="eastAsia" w:ascii="Times New Roman" w:hAnsi="Times New Roman"/>
          <w:color w:val="auto"/>
          <w:szCs w:val="24"/>
        </w:rPr>
        <w:t>。</w:t>
      </w:r>
    </w:p>
    <w:p w14:paraId="5AF335A3">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）防雷接地</w:t>
      </w:r>
      <w:r>
        <w:rPr>
          <w:rFonts w:hint="eastAsia" w:ascii="Times New Roman" w:hAnsi="Times New Roman"/>
          <w:color w:val="auto"/>
        </w:rPr>
        <w:t>具体内容：</w:t>
      </w:r>
    </w:p>
    <w:p w14:paraId="33CB53A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防雷接地装置由接闪器、引下线、接地装置组成。</w:t>
      </w:r>
    </w:p>
    <w:p w14:paraId="09094FD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建筑物内的设备、管道构架等主要金属物和防侧击雷的塔窗、栏杆以及屋面的金属物体必须接地焊接。</w:t>
      </w:r>
    </w:p>
    <w:p w14:paraId="1D4330EA">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ascii="Times New Roman" w:hAnsi="Times New Roman"/>
          <w:color w:val="auto"/>
          <w:szCs w:val="24"/>
        </w:rPr>
        <w:t>防雷接地体应采取焊接方法：</w:t>
      </w:r>
    </w:p>
    <w:p w14:paraId="00D78BF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4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④</w:t>
      </w:r>
      <w:r>
        <w:rPr>
          <w:rFonts w:ascii="Times New Roman" w:hAnsi="Times New Roman"/>
          <w:color w:val="auto"/>
          <w:szCs w:val="24"/>
        </w:rPr>
        <w:fldChar w:fldCharType="end"/>
      </w:r>
      <w:r>
        <w:rPr>
          <w:rFonts w:ascii="Times New Roman" w:hAnsi="Times New Roman"/>
          <w:color w:val="auto"/>
          <w:szCs w:val="24"/>
        </w:rPr>
        <w:t>使用金属管作接地体时应在其串接部位焊接角形金属跨接线；</w:t>
      </w:r>
    </w:p>
    <w:p w14:paraId="11AFA50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5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⑤</w:t>
      </w:r>
      <w:r>
        <w:rPr>
          <w:rFonts w:ascii="Times New Roman" w:hAnsi="Times New Roman"/>
          <w:color w:val="auto"/>
          <w:szCs w:val="24"/>
        </w:rPr>
        <w:fldChar w:fldCharType="end"/>
      </w:r>
      <w:r>
        <w:rPr>
          <w:rFonts w:ascii="Times New Roman" w:hAnsi="Times New Roman"/>
          <w:color w:val="auto"/>
          <w:szCs w:val="24"/>
        </w:rPr>
        <w:t>钢筋与钢筋交叉要用一条短圆钢进行跨接焊接，焊接长度不小于圆钢直径的6倍，圆钢同扁钢的焊接必须进行三面焊接；</w:t>
      </w:r>
    </w:p>
    <w:p w14:paraId="6C67061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6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⑥</w:t>
      </w:r>
      <w:r>
        <w:rPr>
          <w:rFonts w:ascii="Times New Roman" w:hAnsi="Times New Roman"/>
          <w:color w:val="auto"/>
          <w:szCs w:val="24"/>
        </w:rPr>
        <w:fldChar w:fldCharType="end"/>
      </w:r>
      <w:r>
        <w:rPr>
          <w:rFonts w:ascii="Times New Roman" w:hAnsi="Times New Roman"/>
          <w:color w:val="auto"/>
          <w:szCs w:val="24"/>
        </w:rPr>
        <w:t>焊接处焊缝应饱满，要有足够的机械强度，不得有灰渣，咬肉裂纹虚焊气孔等缺陷，焊接处的药皮应敲净。 接地体采取搭焊接时。其搭接长度必须符合以下要求：</w:t>
      </w:r>
      <w:r>
        <w:rPr>
          <w:rFonts w:hint="eastAsia" w:ascii="Times New Roman" w:hAnsi="Times New Roman"/>
          <w:color w:val="auto"/>
          <w:szCs w:val="24"/>
        </w:rPr>
        <w:t>①</w:t>
      </w:r>
      <w:r>
        <w:rPr>
          <w:rFonts w:ascii="Times New Roman" w:hAnsi="Times New Roman"/>
          <w:color w:val="auto"/>
          <w:szCs w:val="24"/>
        </w:rPr>
        <w:t>扁钢为其宽的2倍以上；（三个棱边焊接）</w:t>
      </w:r>
      <w:r>
        <w:rPr>
          <w:rFonts w:hint="eastAsia" w:ascii="Times New Roman" w:hAnsi="Times New Roman"/>
          <w:color w:val="auto"/>
          <w:szCs w:val="24"/>
        </w:rPr>
        <w:t>②</w:t>
      </w:r>
      <w:r>
        <w:rPr>
          <w:rFonts w:ascii="Times New Roman" w:hAnsi="Times New Roman"/>
          <w:color w:val="auto"/>
          <w:szCs w:val="24"/>
        </w:rPr>
        <w:t>圆钢为其直径的6倍以上；（双面焊接）</w:t>
      </w:r>
      <w:r>
        <w:rPr>
          <w:rFonts w:hint="eastAsia" w:ascii="Times New Roman" w:hAnsi="Times New Roman"/>
          <w:color w:val="auto"/>
          <w:szCs w:val="24"/>
        </w:rPr>
        <w:t>③</w:t>
      </w:r>
      <w:r>
        <w:rPr>
          <w:rFonts w:ascii="Times New Roman" w:hAnsi="Times New Roman"/>
          <w:color w:val="auto"/>
          <w:szCs w:val="24"/>
        </w:rPr>
        <w:t>圆钢和扁钢连接，其长度为圆钢直径的6倍。（三面焊接）</w:t>
      </w:r>
      <w:r>
        <w:rPr>
          <w:rFonts w:hint="eastAsia" w:ascii="Times New Roman" w:hAnsi="Times New Roman"/>
          <w:color w:val="auto"/>
          <w:szCs w:val="24"/>
        </w:rPr>
        <w:t>。</w:t>
      </w:r>
    </w:p>
    <w:p w14:paraId="1BC0C95F">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7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⑦</w:t>
      </w:r>
      <w:r>
        <w:rPr>
          <w:rFonts w:ascii="Times New Roman" w:hAnsi="Times New Roman"/>
          <w:color w:val="auto"/>
          <w:szCs w:val="24"/>
        </w:rPr>
        <w:fldChar w:fldCharType="end"/>
      </w:r>
      <w:r>
        <w:rPr>
          <w:rFonts w:ascii="Times New Roman" w:hAnsi="Times New Roman"/>
          <w:color w:val="auto"/>
          <w:szCs w:val="24"/>
        </w:rPr>
        <w:t>人工接地体应采用圆钢、扁钢、角钢、钢管等金属材料，必须符合以下要求：</w:t>
      </w:r>
      <w:r>
        <w:rPr>
          <w:rFonts w:hint="eastAsia" w:ascii="Times New Roman" w:hAnsi="Times New Roman"/>
          <w:color w:val="auto"/>
          <w:szCs w:val="24"/>
        </w:rPr>
        <w:t>①</w:t>
      </w:r>
      <w:r>
        <w:rPr>
          <w:rFonts w:ascii="Times New Roman" w:hAnsi="Times New Roman"/>
          <w:color w:val="auto"/>
          <w:szCs w:val="24"/>
        </w:rPr>
        <w:t>圆钢直径不小于10mm；</w:t>
      </w:r>
      <w:r>
        <w:rPr>
          <w:rFonts w:hint="eastAsia" w:ascii="Times New Roman" w:hAnsi="Times New Roman"/>
          <w:color w:val="auto"/>
          <w:szCs w:val="24"/>
        </w:rPr>
        <w:t>②</w:t>
      </w:r>
      <w:r>
        <w:rPr>
          <w:rFonts w:ascii="Times New Roman" w:hAnsi="Times New Roman"/>
          <w:color w:val="auto"/>
          <w:szCs w:val="24"/>
        </w:rPr>
        <w:t>扁钢截面不小于100平方毫米，厚度不小于4毫米；</w:t>
      </w:r>
      <w:r>
        <w:rPr>
          <w:rFonts w:hint="eastAsia" w:ascii="Times New Roman" w:hAnsi="Times New Roman"/>
          <w:color w:val="auto"/>
          <w:szCs w:val="24"/>
        </w:rPr>
        <w:t>③</w:t>
      </w:r>
      <w:r>
        <w:rPr>
          <w:rFonts w:ascii="Times New Roman" w:hAnsi="Times New Roman"/>
          <w:color w:val="auto"/>
          <w:szCs w:val="24"/>
        </w:rPr>
        <w:t>角钢厚度不小于4毫米；</w:t>
      </w:r>
      <w:r>
        <w:rPr>
          <w:rFonts w:hint="eastAsia" w:ascii="Times New Roman" w:hAnsi="Times New Roman"/>
          <w:color w:val="auto"/>
          <w:szCs w:val="24"/>
        </w:rPr>
        <w:t>④</w:t>
      </w:r>
      <w:r>
        <w:rPr>
          <w:rFonts w:ascii="Times New Roman" w:hAnsi="Times New Roman"/>
          <w:color w:val="auto"/>
          <w:szCs w:val="24"/>
        </w:rPr>
        <w:t>钢管壁厚不小于3.5毫米。</w:t>
      </w:r>
    </w:p>
    <w:p w14:paraId="5F781799">
      <w:pPr>
        <w:pStyle w:val="3"/>
        <w:numPr>
          <w:ilvl w:val="1"/>
          <w:numId w:val="0"/>
        </w:numPr>
        <w:tabs>
          <w:tab w:val="left" w:pos="0"/>
        </w:tabs>
        <w:rPr>
          <w:color w:val="auto"/>
          <w:szCs w:val="24"/>
        </w:rPr>
      </w:pPr>
      <w:bookmarkStart w:id="254" w:name="_Toc10409834"/>
      <w:bookmarkStart w:id="255" w:name="_Toc109137390"/>
      <w:bookmarkStart w:id="256" w:name="_Toc14796"/>
      <w:r>
        <w:rPr>
          <w:rFonts w:hint="eastAsia"/>
          <w:color w:val="auto"/>
          <w:szCs w:val="24"/>
          <w:lang w:val="en-US" w:eastAsia="zh-CN"/>
        </w:rPr>
        <w:t>8.7</w:t>
      </w:r>
      <w:r>
        <w:rPr>
          <w:rFonts w:hint="eastAsia"/>
          <w:color w:val="auto"/>
          <w:szCs w:val="24"/>
        </w:rPr>
        <w:t>整体噪声要求</w:t>
      </w:r>
      <w:bookmarkEnd w:id="254"/>
      <w:bookmarkEnd w:id="255"/>
      <w:bookmarkEnd w:id="256"/>
    </w:p>
    <w:p w14:paraId="713352BF">
      <w:pPr>
        <w:ind w:firstLine="480"/>
        <w:rPr>
          <w:rFonts w:ascii="Times New Roman" w:hAnsi="Times New Roman"/>
          <w:color w:val="auto"/>
          <w:szCs w:val="24"/>
        </w:rPr>
      </w:pPr>
      <w:r>
        <w:rPr>
          <w:rFonts w:hint="eastAsia" w:ascii="Times New Roman" w:hAnsi="Times New Roman"/>
          <w:color w:val="auto"/>
          <w:szCs w:val="24"/>
        </w:rPr>
        <w:t>在起吊额定载荷，同时开动小车变幅和起升机构，但需控制速度。在操作座椅处用声级计A档读数测噪声，测试时脉冲声峰值除外。总噪声与背景噪声之差应大于3dB（A）。总噪声值减去表</w:t>
      </w:r>
      <w:r>
        <w:rPr>
          <w:rFonts w:ascii="Times New Roman" w:hAnsi="Times New Roman"/>
          <w:color w:val="auto"/>
          <w:szCs w:val="24"/>
        </w:rPr>
        <w:t>7.6-1</w:t>
      </w:r>
      <w:r>
        <w:rPr>
          <w:rFonts w:hint="eastAsia" w:ascii="Times New Roman" w:hAnsi="Times New Roman"/>
          <w:color w:val="auto"/>
          <w:szCs w:val="24"/>
        </w:rPr>
        <w:t>（背景噪声修正值）所列的修正值即为实际噪声，然后取三次的平均值。</w:t>
      </w:r>
    </w:p>
    <w:p w14:paraId="376CC233">
      <w:pPr>
        <w:pStyle w:val="3"/>
        <w:numPr>
          <w:ilvl w:val="1"/>
          <w:numId w:val="0"/>
        </w:numPr>
        <w:tabs>
          <w:tab w:val="left" w:pos="0"/>
        </w:tabs>
        <w:rPr>
          <w:color w:val="auto"/>
          <w:szCs w:val="24"/>
        </w:rPr>
      </w:pPr>
      <w:bookmarkStart w:id="257" w:name="_Toc10409835"/>
      <w:bookmarkStart w:id="258" w:name="_Toc109137391"/>
      <w:bookmarkStart w:id="259" w:name="_Toc10447"/>
      <w:r>
        <w:rPr>
          <w:rFonts w:hint="eastAsia"/>
          <w:color w:val="auto"/>
          <w:szCs w:val="24"/>
          <w:lang w:val="en-US" w:eastAsia="zh-CN"/>
        </w:rPr>
        <w:t>8.8</w:t>
      </w:r>
      <w:r>
        <w:rPr>
          <w:rFonts w:hint="eastAsia"/>
          <w:color w:val="auto"/>
          <w:szCs w:val="24"/>
        </w:rPr>
        <w:t>质量保证措施</w:t>
      </w:r>
      <w:bookmarkEnd w:id="257"/>
      <w:bookmarkEnd w:id="258"/>
      <w:bookmarkEnd w:id="259"/>
    </w:p>
    <w:p w14:paraId="74D38BFD">
      <w:pPr>
        <w:ind w:firstLine="480"/>
        <w:rPr>
          <w:rFonts w:ascii="Times New Roman" w:hAnsi="Times New Roman"/>
          <w:color w:val="auto"/>
          <w:szCs w:val="24"/>
        </w:rPr>
      </w:pPr>
      <w:r>
        <w:rPr>
          <w:rFonts w:hint="eastAsia" w:ascii="Times New Roman" w:hAnsi="Times New Roman"/>
          <w:color w:val="auto"/>
          <w:szCs w:val="24"/>
        </w:rPr>
        <w:t>1）严格执行国家现行制作、安装施工验收规范和施工图设计要求及设备说明书提出的有关要求，项目部拟定相应质量计划并规范操作。</w:t>
      </w:r>
    </w:p>
    <w:p w14:paraId="725E66C0">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C8EB1C5">
      <w:pPr>
        <w:ind w:firstLine="480"/>
        <w:rPr>
          <w:rFonts w:ascii="Times New Roman" w:hAnsi="Times New Roman"/>
          <w:color w:val="auto"/>
          <w:szCs w:val="24"/>
        </w:rPr>
      </w:pPr>
      <w:r>
        <w:rPr>
          <w:rFonts w:hint="eastAsia" w:ascii="Times New Roman" w:hAnsi="Times New Roman"/>
          <w:color w:val="auto"/>
          <w:szCs w:val="24"/>
        </w:rPr>
        <w:t>3）实行施工全过程的质量控制。在工程开工前，确定关键工序停工检验点，一般工序实行工序交叉检，上道工序不合格，不得转入下道工序。</w:t>
      </w:r>
    </w:p>
    <w:p w14:paraId="14173539">
      <w:pPr>
        <w:ind w:firstLine="480"/>
        <w:rPr>
          <w:rFonts w:ascii="Times New Roman" w:hAnsi="Times New Roman"/>
          <w:color w:val="auto"/>
          <w:szCs w:val="24"/>
        </w:rPr>
      </w:pPr>
      <w:r>
        <w:rPr>
          <w:rFonts w:hint="eastAsia" w:ascii="Times New Roman" w:hAnsi="Times New Roman"/>
          <w:color w:val="auto"/>
          <w:szCs w:val="24"/>
        </w:rPr>
        <w:t>4）施工队详细填写质量验收检查表，以保证质量施工原始记录的及时、完整和准确。</w:t>
      </w:r>
    </w:p>
    <w:p w14:paraId="6BCAAEBB">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）项目工程师要按使用单位提供图纸及实测数据，编制施工方案或技术措施，施工前向施工人员作详细的技术交底。</w:t>
      </w:r>
    </w:p>
    <w:p w14:paraId="4A6206D2">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）施工使用的水准仪、经纬仪与盒尺等检验器具，必须严格按国家有关要求定期校验和核查，未经检验或过期、失准的计量器具严禁使用。</w:t>
      </w:r>
    </w:p>
    <w:p w14:paraId="7FC051BA">
      <w:pPr>
        <w:ind w:firstLine="480"/>
        <w:rPr>
          <w:rFonts w:ascii="Times New Roman" w:hAnsi="Times New Roman"/>
          <w:color w:val="auto"/>
          <w:szCs w:val="24"/>
        </w:rPr>
      </w:pPr>
      <w:r>
        <w:rPr>
          <w:rFonts w:ascii="Times New Roman" w:hAnsi="Times New Roman"/>
          <w:color w:val="auto"/>
          <w:szCs w:val="24"/>
        </w:rPr>
        <w:t>7</w:t>
      </w:r>
      <w:r>
        <w:rPr>
          <w:rFonts w:hint="eastAsia" w:ascii="Times New Roman" w:hAnsi="Times New Roman"/>
          <w:color w:val="auto"/>
          <w:szCs w:val="24"/>
        </w:rPr>
        <w:t>）各种设备的交接、验收、保管、存放应按有关要求进行。拆卸应视实际情况采取相关措施，保证设备安全。存放保管应按设备材料就按要求进行，认真核对名称、型号、规格、数量。</w:t>
      </w:r>
    </w:p>
    <w:p w14:paraId="4A5078B2">
      <w:pPr>
        <w:ind w:firstLine="480"/>
        <w:rPr>
          <w:rFonts w:ascii="Times New Roman" w:hAnsi="Times New Roman"/>
          <w:color w:val="auto"/>
          <w:szCs w:val="24"/>
        </w:rPr>
      </w:pPr>
      <w:r>
        <w:rPr>
          <w:rFonts w:hint="eastAsia" w:ascii="Times New Roman" w:hAnsi="Times New Roman"/>
          <w:color w:val="auto"/>
          <w:szCs w:val="24"/>
        </w:rPr>
        <w:t>8）经理部应高度重视控制塔机的垂直度，定期检查，以保证塔机长期正常、稳定运行。</w:t>
      </w:r>
    </w:p>
    <w:p w14:paraId="4BDECF0F">
      <w:pPr>
        <w:pStyle w:val="48"/>
        <w:ind w:firstLine="0" w:firstLineChars="0"/>
        <w:rPr>
          <w:rFonts w:hint="eastAsia"/>
          <w:color w:val="auto"/>
        </w:rPr>
      </w:pPr>
    </w:p>
    <w:p w14:paraId="6C363C59">
      <w:pPr>
        <w:pStyle w:val="3"/>
        <w:numPr>
          <w:ilvl w:val="1"/>
          <w:numId w:val="0"/>
        </w:numPr>
        <w:tabs>
          <w:tab w:val="left" w:pos="0"/>
        </w:tabs>
        <w:rPr>
          <w:color w:val="auto"/>
          <w:szCs w:val="24"/>
        </w:rPr>
      </w:pPr>
      <w:bookmarkStart w:id="260" w:name="_Toc109137392"/>
      <w:bookmarkStart w:id="261" w:name="_Toc17011"/>
      <w:r>
        <w:rPr>
          <w:rFonts w:hint="eastAsia"/>
          <w:color w:val="auto"/>
          <w:szCs w:val="24"/>
          <w:lang w:val="en-US" w:eastAsia="zh-CN"/>
        </w:rPr>
        <w:t>8.9</w:t>
      </w:r>
      <w:r>
        <w:rPr>
          <w:rFonts w:hint="eastAsia"/>
          <w:color w:val="auto"/>
          <w:szCs w:val="24"/>
        </w:rPr>
        <w:t>工程验收内容</w:t>
      </w:r>
      <w:bookmarkEnd w:id="260"/>
      <w:bookmarkEnd w:id="261"/>
    </w:p>
    <w:p w14:paraId="12ED94CB">
      <w:pPr>
        <w:ind w:firstLine="480"/>
        <w:rPr>
          <w:rFonts w:hint="eastAsia" w:ascii="Times New Roman" w:hAnsi="Times New Roman"/>
          <w:color w:val="auto"/>
          <w:szCs w:val="24"/>
        </w:rPr>
      </w:pPr>
      <w:r>
        <w:rPr>
          <w:rFonts w:hint="eastAsia" w:ascii="Times New Roman" w:hAnsi="Times New Roman"/>
          <w:color w:val="auto"/>
          <w:szCs w:val="24"/>
        </w:rPr>
        <w:t>塔式起重机安装工程验收内容详见表7</w:t>
      </w:r>
      <w:r>
        <w:rPr>
          <w:rFonts w:ascii="Times New Roman" w:hAnsi="Times New Roman"/>
          <w:color w:val="auto"/>
          <w:szCs w:val="24"/>
        </w:rPr>
        <w:t>.</w:t>
      </w:r>
      <w:r>
        <w:rPr>
          <w:rFonts w:hint="eastAsia" w:ascii="Times New Roman" w:hAnsi="Times New Roman"/>
          <w:color w:val="auto"/>
          <w:szCs w:val="24"/>
        </w:rPr>
        <w:t>8</w:t>
      </w:r>
      <w:r>
        <w:rPr>
          <w:rFonts w:ascii="Times New Roman" w:hAnsi="Times New Roman"/>
          <w:color w:val="auto"/>
          <w:szCs w:val="24"/>
        </w:rPr>
        <w:t>-1</w:t>
      </w:r>
      <w:r>
        <w:rPr>
          <w:rFonts w:hint="eastAsia" w:ascii="Times New Roman" w:hAnsi="Times New Roman"/>
          <w:color w:val="auto"/>
          <w:szCs w:val="24"/>
        </w:rPr>
        <w:t>所示：</w:t>
      </w:r>
    </w:p>
    <w:p w14:paraId="438C8AFF">
      <w:pPr>
        <w:ind w:firstLine="422"/>
        <w:jc w:val="center"/>
        <w:rPr>
          <w:rFonts w:ascii="宋体" w:hAnsi="宋体" w:cs="宋体"/>
          <w:bCs/>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8.9</w:t>
      </w:r>
      <w:r>
        <w:rPr>
          <w:rFonts w:hint="eastAsia" w:ascii="宋体" w:hAnsi="宋体" w:cs="宋体"/>
          <w:b/>
          <w:color w:val="auto"/>
          <w:sz w:val="21"/>
          <w:szCs w:val="21"/>
        </w:rPr>
        <w:t>-1 塔式起重机安装验收表</w:t>
      </w:r>
    </w:p>
    <w:tbl>
      <w:tblPr>
        <w:tblStyle w:val="26"/>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54"/>
        <w:gridCol w:w="1698"/>
        <w:gridCol w:w="1226"/>
        <w:gridCol w:w="743"/>
        <w:gridCol w:w="1282"/>
        <w:gridCol w:w="670"/>
        <w:gridCol w:w="591"/>
        <w:gridCol w:w="845"/>
        <w:gridCol w:w="1095"/>
      </w:tblGrid>
      <w:tr w14:paraId="51B8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A5F215E">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工程名称</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07B07461">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2910DAD">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规格型号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E7EE9D8">
            <w:pPr>
              <w:ind w:firstLine="420"/>
              <w:jc w:val="both"/>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37D88E6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备案编号</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5897694F">
            <w:pPr>
              <w:ind w:firstLine="420"/>
              <w:jc w:val="center"/>
              <w:rPr>
                <w:rFonts w:ascii="宋体" w:hAnsi="宋体" w:cs="宋体"/>
                <w:snapToGrid w:val="0"/>
                <w:color w:val="auto"/>
                <w:sz w:val="21"/>
                <w:szCs w:val="21"/>
              </w:rPr>
            </w:pPr>
          </w:p>
          <w:p w14:paraId="0C636080">
            <w:pPr>
              <w:ind w:firstLine="420"/>
              <w:jc w:val="center"/>
              <w:rPr>
                <w:rFonts w:ascii="宋体" w:hAnsi="宋体" w:cs="宋体"/>
                <w:snapToGrid w:val="0"/>
                <w:color w:val="auto"/>
                <w:sz w:val="21"/>
                <w:szCs w:val="21"/>
              </w:rPr>
            </w:pPr>
          </w:p>
        </w:tc>
      </w:tr>
      <w:tr w14:paraId="7E23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BE6F6D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出厂日期</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A393B74">
            <w:pPr>
              <w:ind w:firstLine="420"/>
              <w:jc w:val="center"/>
              <w:rPr>
                <w:rFonts w:hint="eastAsia"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03C70C4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制造厂家</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932F2CE">
            <w:pPr>
              <w:ind w:firstLine="420"/>
              <w:jc w:val="center"/>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395BA04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出租单位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C7A4FAD">
            <w:pPr>
              <w:ind w:firstLine="0" w:firstLineChars="0"/>
              <w:jc w:val="center"/>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r>
      <w:tr w14:paraId="1E81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17225CBB">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安装单位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D21B360">
            <w:pPr>
              <w:ind w:left="0" w:leftChars="0" w:firstLine="0" w:firstLineChars="0"/>
              <w:jc w:val="both"/>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0B5CB46">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使用单位</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A5FF40E">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409FCF3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监理单位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6847B4BE">
            <w:pPr>
              <w:ind w:firstLine="420"/>
              <w:jc w:val="center"/>
              <w:rPr>
                <w:rFonts w:ascii="宋体" w:hAnsi="宋体" w:cs="宋体"/>
                <w:snapToGrid w:val="0"/>
                <w:color w:val="auto"/>
                <w:sz w:val="21"/>
                <w:szCs w:val="21"/>
              </w:rPr>
            </w:pPr>
          </w:p>
        </w:tc>
      </w:tr>
      <w:tr w14:paraId="1739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106A7D43">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起重量</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72633543">
            <w:pPr>
              <w:ind w:firstLine="0" w:firstLineChars="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1B2E8BF">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工作级别</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1B7EFF24">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A4</w:t>
            </w: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EA0B394">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跨  度</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F3C1793">
            <w:pPr>
              <w:ind w:firstLine="420"/>
              <w:jc w:val="center"/>
              <w:rPr>
                <w:rFonts w:ascii="宋体" w:hAnsi="宋体" w:cs="宋体"/>
                <w:snapToGrid w:val="0"/>
                <w:color w:val="auto"/>
                <w:sz w:val="21"/>
                <w:szCs w:val="21"/>
              </w:rPr>
            </w:pPr>
          </w:p>
          <w:p w14:paraId="342A2661">
            <w:pPr>
              <w:ind w:firstLine="420"/>
              <w:jc w:val="center"/>
              <w:rPr>
                <w:rFonts w:ascii="宋体" w:hAnsi="宋体" w:cs="宋体"/>
                <w:snapToGrid w:val="0"/>
                <w:color w:val="auto"/>
                <w:sz w:val="21"/>
                <w:szCs w:val="21"/>
              </w:rPr>
            </w:pPr>
          </w:p>
        </w:tc>
      </w:tr>
      <w:tr w14:paraId="0D73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ED91E8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37646F94">
            <w:pPr>
              <w:ind w:firstLine="420"/>
              <w:jc w:val="center"/>
              <w:rPr>
                <w:rFonts w:ascii="宋体" w:hAnsi="宋体" w:cs="宋体"/>
                <w:snapToGrid w:val="0"/>
                <w:color w:val="auto"/>
                <w:sz w:val="21"/>
                <w:szCs w:val="21"/>
              </w:rPr>
            </w:pPr>
          </w:p>
          <w:p w14:paraId="0F1FF64F">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C024BA9">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检测报告编号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4A85DA1">
            <w:pPr>
              <w:ind w:firstLine="420"/>
              <w:jc w:val="center"/>
              <w:rPr>
                <w:rFonts w:ascii="宋体" w:hAnsi="宋体" w:cs="宋体"/>
                <w:snapToGrid w:val="0"/>
                <w:color w:val="auto"/>
                <w:sz w:val="21"/>
                <w:szCs w:val="21"/>
              </w:rPr>
            </w:pPr>
          </w:p>
          <w:p w14:paraId="1C2F4108">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0586B865">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检测日期及结论</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0BFCDD2D">
            <w:pPr>
              <w:ind w:firstLine="420"/>
              <w:jc w:val="center"/>
              <w:rPr>
                <w:rFonts w:ascii="宋体" w:hAnsi="宋体" w:cs="宋体"/>
                <w:snapToGrid w:val="0"/>
                <w:color w:val="auto"/>
                <w:sz w:val="21"/>
                <w:szCs w:val="21"/>
              </w:rPr>
            </w:pPr>
          </w:p>
        </w:tc>
      </w:tr>
      <w:tr w14:paraId="7B3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F2C07D3">
            <w:pPr>
              <w:ind w:firstLine="420"/>
              <w:jc w:val="center"/>
              <w:rPr>
                <w:rFonts w:ascii="宋体" w:hAnsi="宋体" w:cs="宋体"/>
                <w:color w:val="auto"/>
                <w:sz w:val="21"/>
                <w:szCs w:val="21"/>
              </w:rPr>
            </w:pPr>
            <w:r>
              <w:rPr>
                <w:rFonts w:hint="eastAsia" w:ascii="宋体" w:hAnsi="宋体" w:cs="宋体"/>
                <w:color w:val="auto"/>
                <w:sz w:val="21"/>
                <w:szCs w:val="21"/>
              </w:rPr>
              <w:t>序</w:t>
            </w:r>
          </w:p>
          <w:p w14:paraId="675168CE">
            <w:pPr>
              <w:ind w:firstLine="420"/>
              <w:jc w:val="center"/>
              <w:rPr>
                <w:rFonts w:ascii="宋体" w:hAnsi="宋体" w:cs="宋体"/>
                <w:color w:val="auto"/>
                <w:sz w:val="21"/>
                <w:szCs w:val="21"/>
              </w:rPr>
            </w:pPr>
            <w:r>
              <w:rPr>
                <w:rFonts w:hint="eastAsia" w:ascii="宋体" w:hAnsi="宋体" w:cs="宋体"/>
                <w:color w:val="auto"/>
                <w:sz w:val="21"/>
                <w:szCs w:val="21"/>
              </w:rPr>
              <w:t>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40DE40">
            <w:pPr>
              <w:ind w:firstLine="0" w:firstLineChars="0"/>
              <w:jc w:val="center"/>
              <w:rPr>
                <w:rFonts w:ascii="宋体" w:hAnsi="宋体" w:cs="宋体"/>
                <w:color w:val="auto"/>
                <w:sz w:val="21"/>
                <w:szCs w:val="21"/>
              </w:rPr>
            </w:pPr>
            <w:r>
              <w:rPr>
                <w:rFonts w:hint="eastAsia" w:ascii="宋体" w:hAnsi="宋体" w:cs="宋体"/>
                <w:color w:val="auto"/>
                <w:sz w:val="21"/>
                <w:szCs w:val="21"/>
              </w:rPr>
              <w:t>验收项目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5267CFD">
            <w:pPr>
              <w:ind w:firstLine="1260" w:firstLineChars="600"/>
              <w:jc w:val="center"/>
              <w:rPr>
                <w:rFonts w:ascii="宋体" w:hAnsi="宋体" w:cs="宋体"/>
                <w:snapToGrid w:val="0"/>
                <w:color w:val="auto"/>
                <w:sz w:val="21"/>
                <w:szCs w:val="21"/>
              </w:rPr>
            </w:pPr>
            <w:r>
              <w:rPr>
                <w:rFonts w:hint="eastAsia" w:ascii="宋体" w:hAnsi="宋体" w:cs="宋体"/>
                <w:snapToGrid w:val="0"/>
                <w:color w:val="auto"/>
                <w:sz w:val="21"/>
                <w:szCs w:val="21"/>
              </w:rPr>
              <w:t>验 收 内 容 与 要 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C76156F">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验收结果</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14DC507">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备注</w:t>
            </w:r>
          </w:p>
        </w:tc>
      </w:tr>
      <w:tr w14:paraId="4D77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right w:val="single" w:color="auto" w:sz="4" w:space="0"/>
            </w:tcBorders>
            <w:noWrap w:val="0"/>
            <w:vAlign w:val="center"/>
          </w:tcPr>
          <w:p w14:paraId="31889B45">
            <w:pPr>
              <w:ind w:firstLine="420"/>
              <w:jc w:val="center"/>
              <w:rPr>
                <w:rFonts w:hint="eastAsia" w:ascii="宋体" w:hAnsi="宋体" w:cs="宋体"/>
                <w:color w:val="auto"/>
                <w:sz w:val="21"/>
                <w:szCs w:val="21"/>
              </w:rPr>
            </w:pPr>
            <w:r>
              <w:rPr>
                <w:rFonts w:hint="eastAsia" w:ascii="宋体" w:hAnsi="宋体" w:cs="宋体"/>
                <w:color w:val="auto"/>
                <w:sz w:val="21"/>
                <w:szCs w:val="21"/>
              </w:rPr>
              <w:t>1</w:t>
            </w:r>
          </w:p>
        </w:tc>
        <w:tc>
          <w:tcPr>
            <w:tcW w:w="854" w:type="dxa"/>
            <w:vMerge w:val="restart"/>
            <w:tcBorders>
              <w:top w:val="single" w:color="auto" w:sz="4" w:space="0"/>
              <w:left w:val="single" w:color="auto" w:sz="4" w:space="0"/>
              <w:right w:val="single" w:color="auto" w:sz="4" w:space="0"/>
            </w:tcBorders>
            <w:noWrap w:val="0"/>
            <w:vAlign w:val="center"/>
          </w:tcPr>
          <w:p w14:paraId="03BAA7DB">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1.</w:t>
            </w:r>
          </w:p>
          <w:p w14:paraId="13494FF1">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技</w:t>
            </w:r>
          </w:p>
          <w:p w14:paraId="6B7FFDF3">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术</w:t>
            </w:r>
          </w:p>
          <w:p w14:paraId="03B460FF">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资</w:t>
            </w:r>
          </w:p>
          <w:p w14:paraId="4777552E">
            <w:pPr>
              <w:ind w:firstLine="340"/>
              <w:jc w:val="center"/>
              <w:rPr>
                <w:rFonts w:hint="eastAsia" w:ascii="宋体" w:hAnsi="宋体" w:cs="宋体"/>
                <w:color w:val="auto"/>
                <w:sz w:val="21"/>
                <w:szCs w:val="21"/>
              </w:rPr>
            </w:pPr>
            <w:r>
              <w:rPr>
                <w:rFonts w:hint="eastAsia" w:ascii="宋体" w:hAnsi="宋体" w:cs="宋体"/>
                <w:color w:val="auto"/>
                <w:spacing w:val="-20"/>
                <w:sz w:val="21"/>
                <w:szCs w:val="21"/>
              </w:rPr>
              <w:t>料</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E89A9D5">
            <w:pPr>
              <w:ind w:firstLine="420"/>
              <w:rPr>
                <w:rFonts w:hint="eastAsia" w:ascii="宋体" w:hAnsi="宋体" w:cs="宋体"/>
                <w:snapToGrid w:val="0"/>
                <w:color w:val="auto"/>
                <w:sz w:val="21"/>
                <w:szCs w:val="21"/>
              </w:rPr>
            </w:pPr>
            <w:r>
              <w:rPr>
                <w:rFonts w:hint="eastAsia" w:ascii="宋体" w:hAnsi="宋体" w:cs="宋体"/>
                <w:color w:val="auto"/>
                <w:sz w:val="21"/>
                <w:szCs w:val="21"/>
              </w:rPr>
              <w:t>制造单位应提供特种设备制造（生产）的许可证证明资料、产品出厂合格证、安装使用维护说明书等随机文件；必要时应提供型式试验报告。</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7CEA31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1EAB518">
            <w:pPr>
              <w:ind w:firstLine="422"/>
              <w:jc w:val="center"/>
              <w:rPr>
                <w:rFonts w:hint="eastAsia" w:ascii="宋体" w:hAnsi="宋体" w:cs="宋体"/>
                <w:b/>
                <w:bCs/>
                <w:snapToGrid w:val="0"/>
                <w:color w:val="auto"/>
                <w:sz w:val="21"/>
                <w:szCs w:val="21"/>
              </w:rPr>
            </w:pPr>
          </w:p>
        </w:tc>
      </w:tr>
      <w:tr w14:paraId="40E4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left w:val="single" w:color="auto" w:sz="4" w:space="0"/>
              <w:bottom w:val="single" w:color="auto" w:sz="4" w:space="0"/>
              <w:right w:val="single" w:color="auto" w:sz="4" w:space="0"/>
            </w:tcBorders>
            <w:noWrap w:val="0"/>
            <w:vAlign w:val="center"/>
          </w:tcPr>
          <w:p w14:paraId="0FE97F18">
            <w:pPr>
              <w:ind w:firstLine="420"/>
              <w:jc w:val="center"/>
              <w:rPr>
                <w:rFonts w:ascii="宋体" w:hAnsi="宋体" w:cs="宋体"/>
                <w:color w:val="auto"/>
                <w:sz w:val="21"/>
                <w:szCs w:val="21"/>
              </w:rPr>
            </w:pPr>
            <w:r>
              <w:rPr>
                <w:rFonts w:hint="eastAsia" w:ascii="宋体" w:hAnsi="宋体" w:cs="宋体"/>
                <w:color w:val="auto"/>
                <w:sz w:val="21"/>
                <w:szCs w:val="21"/>
              </w:rPr>
              <w:t>2</w:t>
            </w:r>
          </w:p>
        </w:tc>
        <w:tc>
          <w:tcPr>
            <w:tcW w:w="854" w:type="dxa"/>
            <w:vMerge w:val="continue"/>
            <w:tcBorders>
              <w:left w:val="single" w:color="auto" w:sz="4" w:space="0"/>
              <w:bottom w:val="single" w:color="auto" w:sz="4" w:space="0"/>
              <w:right w:val="single" w:color="auto" w:sz="4" w:space="0"/>
            </w:tcBorders>
            <w:noWrap w:val="0"/>
            <w:vAlign w:val="center"/>
          </w:tcPr>
          <w:p w14:paraId="46A35E0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324954">
            <w:pPr>
              <w:ind w:firstLine="420"/>
              <w:rPr>
                <w:rFonts w:ascii="宋体" w:hAnsi="宋体" w:cs="宋体"/>
                <w:color w:val="auto"/>
                <w:spacing w:val="-12"/>
                <w:sz w:val="21"/>
                <w:szCs w:val="21"/>
              </w:rPr>
            </w:pPr>
            <w:r>
              <w:rPr>
                <w:rFonts w:hint="eastAsia" w:ascii="宋体" w:hAnsi="宋体" w:cs="宋体"/>
                <w:color w:val="auto"/>
                <w:sz w:val="21"/>
                <w:szCs w:val="21"/>
              </w:rPr>
              <w:t>安装单位应提供：</w:t>
            </w:r>
          </w:p>
          <w:p w14:paraId="1684B06D">
            <w:pPr>
              <w:ind w:firstLine="420"/>
              <w:rPr>
                <w:rFonts w:ascii="宋体" w:hAnsi="宋体" w:cs="宋体"/>
                <w:color w:val="auto"/>
                <w:spacing w:val="-12"/>
                <w:sz w:val="21"/>
                <w:szCs w:val="21"/>
              </w:rPr>
            </w:pPr>
            <w:r>
              <w:rPr>
                <w:rFonts w:hint="eastAsia" w:ascii="宋体" w:hAnsi="宋体" w:cs="宋体"/>
                <w:color w:val="auto"/>
                <w:sz w:val="21"/>
                <w:szCs w:val="21"/>
              </w:rPr>
              <w:t>a.安装合同、安装施工方案、施工情况记录和自检报告；</w:t>
            </w:r>
          </w:p>
          <w:p w14:paraId="2F5F0B6D">
            <w:pPr>
              <w:ind w:firstLine="420"/>
              <w:rPr>
                <w:rFonts w:ascii="宋体" w:hAnsi="宋体" w:cs="宋体"/>
                <w:color w:val="auto"/>
                <w:spacing w:val="-12"/>
                <w:sz w:val="21"/>
                <w:szCs w:val="21"/>
              </w:rPr>
            </w:pPr>
            <w:r>
              <w:rPr>
                <w:rFonts w:hint="eastAsia" w:ascii="宋体" w:hAnsi="宋体" w:cs="宋体"/>
                <w:color w:val="auto"/>
                <w:sz w:val="21"/>
                <w:szCs w:val="21"/>
              </w:rPr>
              <w:t>b.基础及轨道等隐蔽工程验收证明；</w:t>
            </w:r>
          </w:p>
          <w:p w14:paraId="33FF377C">
            <w:pPr>
              <w:ind w:firstLine="420"/>
              <w:rPr>
                <w:rFonts w:ascii="宋体" w:hAnsi="宋体" w:cs="宋体"/>
                <w:color w:val="auto"/>
                <w:spacing w:val="-12"/>
                <w:sz w:val="21"/>
                <w:szCs w:val="21"/>
              </w:rPr>
            </w:pPr>
            <w:r>
              <w:rPr>
                <w:rFonts w:hint="eastAsia" w:ascii="宋体" w:hAnsi="宋体" w:cs="宋体"/>
                <w:color w:val="auto"/>
                <w:sz w:val="21"/>
                <w:szCs w:val="21"/>
              </w:rPr>
              <w:t>c.安装过程中事故记录与处理报告；</w:t>
            </w:r>
          </w:p>
          <w:p w14:paraId="302F9AAA">
            <w:pPr>
              <w:ind w:firstLine="420"/>
              <w:rPr>
                <w:rFonts w:hint="eastAsia" w:ascii="宋体" w:hAnsi="宋体" w:cs="宋体"/>
                <w:snapToGrid w:val="0"/>
                <w:color w:val="auto"/>
                <w:sz w:val="21"/>
                <w:szCs w:val="21"/>
              </w:rPr>
            </w:pPr>
            <w:r>
              <w:rPr>
                <w:rFonts w:hint="eastAsia" w:ascii="宋体" w:hAnsi="宋体" w:cs="宋体"/>
                <w:color w:val="auto"/>
                <w:sz w:val="21"/>
                <w:szCs w:val="21"/>
              </w:rPr>
              <w:t>d.安装过程中经制造单位同意的变更设计的证明文件。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E783D4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1A71A9A">
            <w:pPr>
              <w:ind w:firstLine="422"/>
              <w:jc w:val="center"/>
              <w:rPr>
                <w:rFonts w:hint="eastAsia" w:ascii="宋体" w:hAnsi="宋体" w:cs="宋体"/>
                <w:b/>
                <w:bCs/>
                <w:snapToGrid w:val="0"/>
                <w:color w:val="auto"/>
                <w:sz w:val="21"/>
                <w:szCs w:val="21"/>
              </w:rPr>
            </w:pPr>
          </w:p>
        </w:tc>
      </w:tr>
      <w:tr w14:paraId="61B3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794DE5F">
            <w:pPr>
              <w:ind w:firstLine="420"/>
              <w:jc w:val="center"/>
              <w:rPr>
                <w:rFonts w:hint="eastAsia" w:ascii="宋体" w:hAnsi="宋体"/>
                <w:color w:val="auto"/>
                <w:sz w:val="21"/>
                <w:szCs w:val="21"/>
              </w:rPr>
            </w:pPr>
            <w:r>
              <w:rPr>
                <w:rFonts w:hint="eastAsia" w:ascii="宋体" w:hAnsi="宋体"/>
                <w:color w:val="auto"/>
                <w:sz w:val="21"/>
                <w:szCs w:val="21"/>
              </w:rPr>
              <w:t>3</w:t>
            </w:r>
          </w:p>
          <w:p w14:paraId="3F2255D4">
            <w:pPr>
              <w:pStyle w:val="38"/>
              <w:rPr>
                <w:rFonts w:hint="eastAsia" w:hAnsi="宋体"/>
                <w:color w:val="auto"/>
                <w:sz w:val="21"/>
                <w:szCs w:val="21"/>
              </w:rPr>
            </w:pPr>
          </w:p>
          <w:p w14:paraId="66E1CD0F">
            <w:pPr>
              <w:pStyle w:val="38"/>
              <w:rPr>
                <w:rFonts w:hint="eastAsia" w:hAnsi="宋体"/>
                <w:color w:val="auto"/>
                <w:sz w:val="21"/>
                <w:szCs w:val="21"/>
              </w:rPr>
            </w:pPr>
          </w:p>
          <w:p w14:paraId="2F2ABF45">
            <w:pPr>
              <w:pStyle w:val="38"/>
              <w:rPr>
                <w:rFonts w:hAnsi="宋体"/>
                <w:color w:val="auto"/>
                <w:sz w:val="21"/>
                <w:szCs w:val="21"/>
              </w:rPr>
            </w:pPr>
          </w:p>
        </w:tc>
        <w:tc>
          <w:tcPr>
            <w:tcW w:w="854" w:type="dxa"/>
            <w:vMerge w:val="restart"/>
            <w:tcBorders>
              <w:top w:val="single" w:color="auto" w:sz="4" w:space="0"/>
              <w:left w:val="single" w:color="auto" w:sz="4" w:space="0"/>
              <w:right w:val="single" w:color="auto" w:sz="4" w:space="0"/>
            </w:tcBorders>
            <w:noWrap w:val="0"/>
            <w:vAlign w:val="center"/>
          </w:tcPr>
          <w:p w14:paraId="6BF02072">
            <w:pPr>
              <w:ind w:firstLine="199" w:firstLineChars="95"/>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p>
          <w:p w14:paraId="5B606BDD">
            <w:pPr>
              <w:pStyle w:val="38"/>
              <w:jc w:val="center"/>
              <w:rPr>
                <w:rFonts w:hint="eastAsia" w:hAnsi="宋体"/>
                <w:color w:val="auto"/>
                <w:sz w:val="21"/>
                <w:szCs w:val="21"/>
              </w:rPr>
            </w:pPr>
            <w:r>
              <w:rPr>
                <w:rFonts w:hint="eastAsia" w:hAnsi="宋体"/>
                <w:color w:val="auto"/>
                <w:sz w:val="21"/>
                <w:szCs w:val="21"/>
              </w:rPr>
              <w:t>金</w:t>
            </w:r>
          </w:p>
          <w:p w14:paraId="1C6E8EC6">
            <w:pPr>
              <w:pStyle w:val="38"/>
              <w:jc w:val="center"/>
              <w:rPr>
                <w:rFonts w:hint="eastAsia" w:hAnsi="宋体"/>
                <w:color w:val="auto"/>
                <w:sz w:val="21"/>
                <w:szCs w:val="21"/>
              </w:rPr>
            </w:pPr>
            <w:r>
              <w:rPr>
                <w:rFonts w:hint="eastAsia" w:hAnsi="宋体"/>
                <w:color w:val="auto"/>
                <w:sz w:val="21"/>
                <w:szCs w:val="21"/>
              </w:rPr>
              <w:t>属</w:t>
            </w:r>
          </w:p>
          <w:p w14:paraId="4D31187D">
            <w:pPr>
              <w:pStyle w:val="38"/>
              <w:jc w:val="center"/>
              <w:rPr>
                <w:rFonts w:hint="eastAsia" w:hAnsi="宋体"/>
                <w:color w:val="auto"/>
                <w:sz w:val="21"/>
                <w:szCs w:val="21"/>
              </w:rPr>
            </w:pPr>
            <w:r>
              <w:rPr>
                <w:rFonts w:hint="eastAsia" w:hAnsi="宋体"/>
                <w:color w:val="auto"/>
                <w:sz w:val="21"/>
                <w:szCs w:val="21"/>
              </w:rPr>
              <w:t>结</w:t>
            </w:r>
          </w:p>
          <w:p w14:paraId="0C1CCB31">
            <w:pPr>
              <w:pStyle w:val="38"/>
              <w:jc w:val="center"/>
              <w:rPr>
                <w:rFonts w:hint="eastAsia" w:hAnsi="宋体"/>
                <w:color w:val="auto"/>
                <w:sz w:val="21"/>
                <w:szCs w:val="21"/>
              </w:rPr>
            </w:pPr>
            <w:r>
              <w:rPr>
                <w:rFonts w:hint="eastAsia" w:hAnsi="宋体"/>
                <w:color w:val="auto"/>
                <w:sz w:val="21"/>
                <w:szCs w:val="21"/>
              </w:rPr>
              <w:t>构</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BB27E8">
            <w:pPr>
              <w:ind w:firstLine="420"/>
              <w:rPr>
                <w:rFonts w:hint="eastAsia" w:ascii="宋体" w:hAnsi="宋体" w:cs="宋体"/>
                <w:snapToGrid w:val="0"/>
                <w:color w:val="auto"/>
                <w:sz w:val="21"/>
                <w:szCs w:val="21"/>
              </w:rPr>
            </w:pPr>
            <w:r>
              <w:rPr>
                <w:rFonts w:hint="eastAsia" w:ascii="宋体" w:hAnsi="宋体" w:cs="宋体"/>
                <w:color w:val="auto"/>
                <w:sz w:val="21"/>
                <w:szCs w:val="21"/>
              </w:rPr>
              <w:t>主要受力构件无整体失稳，无严重断面腐蚀；无影响安全运行的塑性变形；无开裂。整体失稳应报废，严重塑性变形如不能修复应报废，产生裂纹应采取措施防止裂纹扩展，并采取加强或改变应力分布措施；断面腐蚀超过原厚度的10%时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943589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B329EFF">
            <w:pPr>
              <w:ind w:firstLine="422"/>
              <w:jc w:val="center"/>
              <w:rPr>
                <w:rFonts w:hint="eastAsia" w:ascii="宋体" w:hAnsi="宋体" w:cs="宋体"/>
                <w:b/>
                <w:bCs/>
                <w:snapToGrid w:val="0"/>
                <w:color w:val="auto"/>
                <w:sz w:val="21"/>
                <w:szCs w:val="21"/>
              </w:rPr>
            </w:pPr>
          </w:p>
        </w:tc>
      </w:tr>
      <w:tr w14:paraId="3B22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0B1C142">
            <w:pPr>
              <w:ind w:firstLine="420"/>
              <w:jc w:val="center"/>
              <w:rPr>
                <w:rFonts w:ascii="宋体" w:hAnsi="宋体" w:cs="宋体"/>
                <w:color w:val="auto"/>
                <w:sz w:val="21"/>
                <w:szCs w:val="21"/>
              </w:rPr>
            </w:pPr>
            <w:r>
              <w:rPr>
                <w:rFonts w:hint="eastAsia" w:ascii="宋体" w:hAnsi="宋体" w:cs="宋体"/>
                <w:color w:val="auto"/>
                <w:sz w:val="21"/>
                <w:szCs w:val="21"/>
              </w:rPr>
              <w:t>4</w:t>
            </w:r>
          </w:p>
        </w:tc>
        <w:tc>
          <w:tcPr>
            <w:tcW w:w="854" w:type="dxa"/>
            <w:vMerge w:val="continue"/>
            <w:tcBorders>
              <w:left w:val="single" w:color="auto" w:sz="4" w:space="0"/>
              <w:right w:val="single" w:color="auto" w:sz="4" w:space="0"/>
            </w:tcBorders>
            <w:noWrap w:val="0"/>
            <w:vAlign w:val="center"/>
          </w:tcPr>
          <w:p w14:paraId="59CF1D1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31AE504">
            <w:pPr>
              <w:ind w:firstLine="420"/>
              <w:rPr>
                <w:rFonts w:hint="eastAsia" w:ascii="宋体" w:hAnsi="宋体" w:cs="宋体"/>
                <w:snapToGrid w:val="0"/>
                <w:color w:val="auto"/>
                <w:sz w:val="21"/>
                <w:szCs w:val="21"/>
              </w:rPr>
            </w:pPr>
            <w:r>
              <w:rPr>
                <w:rFonts w:hint="eastAsia" w:ascii="宋体" w:hAnsi="宋体" w:cs="宋体"/>
                <w:color w:val="auto"/>
                <w:sz w:val="21"/>
                <w:szCs w:val="21"/>
              </w:rPr>
              <w:t>重要结构件不应有明显的焊接缺陷，重要部位的联接牢固可靠。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3864C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1A205A">
            <w:pPr>
              <w:ind w:firstLine="422"/>
              <w:jc w:val="center"/>
              <w:rPr>
                <w:rFonts w:hint="eastAsia" w:ascii="宋体" w:hAnsi="宋体" w:cs="宋体"/>
                <w:b/>
                <w:bCs/>
                <w:snapToGrid w:val="0"/>
                <w:color w:val="auto"/>
                <w:sz w:val="21"/>
                <w:szCs w:val="21"/>
              </w:rPr>
            </w:pPr>
          </w:p>
        </w:tc>
      </w:tr>
      <w:tr w14:paraId="1AD5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D145CCA">
            <w:pPr>
              <w:ind w:firstLine="420"/>
              <w:jc w:val="center"/>
              <w:rPr>
                <w:rFonts w:ascii="宋体" w:hAnsi="宋体" w:cs="宋体"/>
                <w:color w:val="auto"/>
                <w:sz w:val="21"/>
                <w:szCs w:val="21"/>
              </w:rPr>
            </w:pPr>
            <w:r>
              <w:rPr>
                <w:rFonts w:hint="eastAsia" w:ascii="宋体" w:hAnsi="宋体" w:cs="宋体"/>
                <w:color w:val="auto"/>
                <w:sz w:val="21"/>
                <w:szCs w:val="21"/>
              </w:rPr>
              <w:t>5</w:t>
            </w:r>
          </w:p>
        </w:tc>
        <w:tc>
          <w:tcPr>
            <w:tcW w:w="854" w:type="dxa"/>
            <w:vMerge w:val="continue"/>
            <w:tcBorders>
              <w:left w:val="single" w:color="auto" w:sz="4" w:space="0"/>
              <w:bottom w:val="single" w:color="auto" w:sz="4" w:space="0"/>
              <w:right w:val="single" w:color="auto" w:sz="4" w:space="0"/>
            </w:tcBorders>
            <w:noWrap w:val="0"/>
            <w:vAlign w:val="center"/>
          </w:tcPr>
          <w:p w14:paraId="55E275C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DFDBA82">
            <w:pPr>
              <w:ind w:firstLine="420"/>
              <w:rPr>
                <w:rFonts w:hint="eastAsia" w:ascii="宋体" w:hAnsi="宋体" w:cs="宋体"/>
                <w:snapToGrid w:val="0"/>
                <w:color w:val="auto"/>
                <w:sz w:val="21"/>
                <w:szCs w:val="21"/>
              </w:rPr>
            </w:pPr>
            <w:r>
              <w:rPr>
                <w:rFonts w:hint="eastAsia" w:ascii="宋体" w:hAnsi="宋体" w:cs="宋体"/>
                <w:color w:val="auto"/>
                <w:sz w:val="21"/>
                <w:szCs w:val="21"/>
              </w:rPr>
              <w:t>起重机检查、维修、保养需要到达的部位应有安全、方便的通道及作业空间，特殊情况现场做不到的须有等效安全措施。度不低于1.8m，受空间限制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125950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949A80">
            <w:pPr>
              <w:ind w:firstLine="422"/>
              <w:jc w:val="center"/>
              <w:rPr>
                <w:rFonts w:hint="eastAsia" w:ascii="宋体" w:hAnsi="宋体" w:cs="宋体"/>
                <w:b/>
                <w:bCs/>
                <w:snapToGrid w:val="0"/>
                <w:color w:val="auto"/>
                <w:sz w:val="21"/>
                <w:szCs w:val="21"/>
              </w:rPr>
            </w:pPr>
          </w:p>
        </w:tc>
      </w:tr>
      <w:tr w14:paraId="3D8F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DCCBDD0">
            <w:pPr>
              <w:ind w:firstLine="422"/>
              <w:jc w:val="center"/>
              <w:rPr>
                <w:rFonts w:ascii="宋体" w:hAnsi="宋体" w:cs="宋体"/>
                <w:b/>
                <w:bCs/>
                <w:color w:val="auto"/>
                <w:sz w:val="21"/>
                <w:szCs w:val="21"/>
              </w:rPr>
            </w:pPr>
            <w:r>
              <w:rPr>
                <w:rFonts w:hint="eastAsia" w:ascii="宋体" w:hAnsi="宋体" w:cs="宋体"/>
                <w:b/>
                <w:bCs/>
                <w:color w:val="auto"/>
                <w:sz w:val="21"/>
                <w:szCs w:val="21"/>
              </w:rPr>
              <w:t>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327C7F3">
            <w:pPr>
              <w:ind w:firstLine="420"/>
              <w:jc w:val="center"/>
              <w:rPr>
                <w:rFonts w:hint="eastAsia" w:ascii="宋体" w:hAnsi="宋体" w:cs="宋体"/>
                <w:color w:val="auto"/>
                <w:sz w:val="21"/>
                <w:szCs w:val="21"/>
              </w:rPr>
            </w:pPr>
            <w:r>
              <w:rPr>
                <w:rFonts w:hint="eastAsia" w:ascii="宋体" w:hAnsi="宋体" w:cs="宋体"/>
                <w:color w:val="auto"/>
                <w:sz w:val="21"/>
                <w:szCs w:val="21"/>
              </w:rPr>
              <w:t>3</w:t>
            </w:r>
          </w:p>
          <w:p w14:paraId="6852D49D">
            <w:pPr>
              <w:ind w:firstLine="420"/>
              <w:jc w:val="center"/>
              <w:rPr>
                <w:rFonts w:hint="eastAsia" w:ascii="宋体" w:hAnsi="宋体" w:cs="宋体"/>
                <w:color w:val="auto"/>
                <w:sz w:val="21"/>
                <w:szCs w:val="21"/>
              </w:rPr>
            </w:pPr>
            <w:r>
              <w:rPr>
                <w:rFonts w:hint="eastAsia" w:ascii="宋体" w:hAnsi="宋体" w:cs="宋体"/>
                <w:color w:val="auto"/>
                <w:sz w:val="21"/>
                <w:szCs w:val="21"/>
              </w:rPr>
              <w:t>多</w:t>
            </w:r>
          </w:p>
          <w:p w14:paraId="054F3891">
            <w:pPr>
              <w:ind w:firstLine="420"/>
              <w:jc w:val="center"/>
              <w:rPr>
                <w:rFonts w:hint="eastAsia" w:ascii="宋体" w:hAnsi="宋体" w:cs="宋体"/>
                <w:color w:val="auto"/>
                <w:sz w:val="21"/>
                <w:szCs w:val="21"/>
              </w:rPr>
            </w:pPr>
            <w:r>
              <w:rPr>
                <w:rFonts w:hint="eastAsia" w:ascii="宋体" w:hAnsi="宋体" w:cs="宋体"/>
                <w:color w:val="auto"/>
                <w:sz w:val="21"/>
                <w:szCs w:val="21"/>
              </w:rPr>
              <w:t>塔</w:t>
            </w:r>
          </w:p>
          <w:p w14:paraId="246B203F">
            <w:pPr>
              <w:ind w:firstLine="420"/>
              <w:jc w:val="center"/>
              <w:rPr>
                <w:rFonts w:hint="eastAsia" w:ascii="宋体" w:hAnsi="宋体" w:cs="宋体"/>
                <w:color w:val="auto"/>
                <w:sz w:val="21"/>
                <w:szCs w:val="21"/>
              </w:rPr>
            </w:pPr>
            <w:r>
              <w:rPr>
                <w:rFonts w:hint="eastAsia" w:ascii="宋体" w:hAnsi="宋体" w:cs="宋体"/>
                <w:color w:val="auto"/>
                <w:sz w:val="21"/>
                <w:szCs w:val="21"/>
              </w:rPr>
              <w:t>作</w:t>
            </w:r>
          </w:p>
          <w:p w14:paraId="4FDC3D7C">
            <w:pPr>
              <w:ind w:firstLine="420"/>
              <w:jc w:val="center"/>
              <w:rPr>
                <w:rFonts w:hint="eastAsia" w:ascii="宋体" w:hAnsi="宋体" w:cs="宋体"/>
                <w:color w:val="auto"/>
                <w:sz w:val="21"/>
                <w:szCs w:val="21"/>
              </w:rPr>
            </w:pPr>
            <w:r>
              <w:rPr>
                <w:rFonts w:hint="eastAsia" w:ascii="宋体" w:hAnsi="宋体" w:cs="宋体"/>
                <w:color w:val="auto"/>
                <w:sz w:val="21"/>
                <w:szCs w:val="21"/>
              </w:rPr>
              <w:t>业</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A5832A9">
            <w:pPr>
              <w:ind w:firstLine="420"/>
              <w:rPr>
                <w:rFonts w:hint="eastAsia" w:ascii="宋体" w:hAnsi="宋体" w:cs="宋体"/>
                <w:b/>
                <w:bCs/>
                <w:snapToGrid w:val="0"/>
                <w:color w:val="auto"/>
                <w:sz w:val="21"/>
                <w:szCs w:val="21"/>
              </w:rPr>
            </w:pPr>
            <w:r>
              <w:rPr>
                <w:rFonts w:hint="eastAsia" w:ascii="宋体" w:hAnsi="宋体" w:cs="宋体"/>
                <w:color w:val="auto"/>
                <w:sz w:val="21"/>
                <w:szCs w:val="21"/>
              </w:rPr>
              <w:t>当多台塔机施工时，必须保证各塔之间的垂直高度不小于2米，起重臂端部距离另一台塔机的塔身不小于2米，严格按照多塔作业的要求施工。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5BD4C1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FD02407">
            <w:pPr>
              <w:ind w:firstLine="422"/>
              <w:jc w:val="center"/>
              <w:rPr>
                <w:rFonts w:hint="eastAsia" w:ascii="宋体" w:hAnsi="宋体" w:cs="宋体"/>
                <w:b/>
                <w:bCs/>
                <w:snapToGrid w:val="0"/>
                <w:color w:val="auto"/>
                <w:sz w:val="21"/>
                <w:szCs w:val="21"/>
              </w:rPr>
            </w:pPr>
          </w:p>
        </w:tc>
      </w:tr>
      <w:tr w14:paraId="4478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CEA834C">
            <w:pPr>
              <w:ind w:firstLine="422"/>
              <w:jc w:val="center"/>
              <w:rPr>
                <w:rFonts w:ascii="宋体" w:hAnsi="宋体" w:cs="宋体"/>
                <w:b/>
                <w:bCs/>
                <w:color w:val="auto"/>
                <w:sz w:val="21"/>
                <w:szCs w:val="21"/>
              </w:rPr>
            </w:pPr>
            <w:r>
              <w:rPr>
                <w:rFonts w:hint="eastAsia" w:ascii="宋体" w:hAnsi="宋体" w:cs="宋体"/>
                <w:b/>
                <w:bCs/>
                <w:color w:val="auto"/>
                <w:sz w:val="21"/>
                <w:szCs w:val="21"/>
              </w:rPr>
              <w:t>7</w:t>
            </w:r>
          </w:p>
        </w:tc>
        <w:tc>
          <w:tcPr>
            <w:tcW w:w="854" w:type="dxa"/>
            <w:vMerge w:val="restart"/>
            <w:tcBorders>
              <w:top w:val="single" w:color="auto" w:sz="4" w:space="0"/>
              <w:left w:val="single" w:color="auto" w:sz="4" w:space="0"/>
              <w:right w:val="single" w:color="auto" w:sz="4" w:space="0"/>
            </w:tcBorders>
            <w:noWrap w:val="0"/>
            <w:vAlign w:val="center"/>
          </w:tcPr>
          <w:p w14:paraId="7875E1B3">
            <w:pPr>
              <w:ind w:firstLine="420"/>
              <w:jc w:val="center"/>
              <w:rPr>
                <w:rFonts w:hint="eastAsia" w:ascii="宋体" w:hAnsi="宋体" w:cs="宋体"/>
                <w:color w:val="auto"/>
                <w:sz w:val="21"/>
                <w:szCs w:val="21"/>
              </w:rPr>
            </w:pPr>
            <w:r>
              <w:rPr>
                <w:rFonts w:hint="eastAsia" w:ascii="宋体" w:hAnsi="宋体" w:cs="宋体"/>
                <w:color w:val="auto"/>
                <w:sz w:val="21"/>
                <w:szCs w:val="21"/>
              </w:rPr>
              <w:t>4</w:t>
            </w:r>
          </w:p>
          <w:p w14:paraId="02A08F5F">
            <w:pPr>
              <w:ind w:firstLine="420"/>
              <w:jc w:val="center"/>
              <w:rPr>
                <w:rFonts w:hint="eastAsia" w:ascii="宋体" w:hAnsi="宋体" w:cs="宋体"/>
                <w:color w:val="auto"/>
                <w:sz w:val="21"/>
                <w:szCs w:val="21"/>
              </w:rPr>
            </w:pPr>
            <w:r>
              <w:rPr>
                <w:rFonts w:hint="eastAsia" w:ascii="宋体" w:hAnsi="宋体" w:cs="宋体"/>
                <w:color w:val="auto"/>
                <w:sz w:val="21"/>
                <w:szCs w:val="21"/>
              </w:rPr>
              <w:t>司</w:t>
            </w:r>
          </w:p>
          <w:p w14:paraId="79861F54">
            <w:pPr>
              <w:ind w:firstLine="420"/>
              <w:jc w:val="center"/>
              <w:rPr>
                <w:rFonts w:hint="eastAsia" w:ascii="宋体" w:hAnsi="宋体" w:cs="宋体"/>
                <w:color w:val="auto"/>
                <w:sz w:val="21"/>
                <w:szCs w:val="21"/>
              </w:rPr>
            </w:pPr>
            <w:r>
              <w:rPr>
                <w:rFonts w:hint="eastAsia" w:ascii="宋体" w:hAnsi="宋体" w:cs="宋体"/>
                <w:color w:val="auto"/>
                <w:sz w:val="21"/>
                <w:szCs w:val="21"/>
              </w:rPr>
              <w:t>机</w:t>
            </w:r>
          </w:p>
          <w:p w14:paraId="6F6F1A03">
            <w:pPr>
              <w:ind w:firstLine="420"/>
              <w:jc w:val="center"/>
              <w:rPr>
                <w:rFonts w:hint="eastAsia" w:ascii="宋体" w:hAnsi="宋体" w:cs="宋体"/>
                <w:color w:val="auto"/>
                <w:sz w:val="21"/>
                <w:szCs w:val="21"/>
              </w:rPr>
            </w:pPr>
            <w:r>
              <w:rPr>
                <w:rFonts w:hint="eastAsia" w:ascii="宋体" w:hAnsi="宋体" w:cs="宋体"/>
                <w:color w:val="auto"/>
                <w:sz w:val="21"/>
                <w:szCs w:val="21"/>
              </w:rPr>
              <w:t>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125939C">
            <w:pPr>
              <w:ind w:firstLine="420"/>
              <w:rPr>
                <w:rFonts w:hint="eastAsia" w:ascii="宋体" w:hAnsi="宋体" w:cs="宋体"/>
                <w:b/>
                <w:bCs/>
                <w:snapToGrid w:val="0"/>
                <w:color w:val="auto"/>
                <w:sz w:val="21"/>
                <w:szCs w:val="21"/>
              </w:rPr>
            </w:pPr>
            <w:r>
              <w:rPr>
                <w:rFonts w:hint="eastAsia" w:ascii="宋体" w:hAnsi="宋体" w:cs="宋体"/>
                <w:color w:val="auto"/>
                <w:sz w:val="21"/>
                <w:szCs w:val="21"/>
              </w:rPr>
              <w:t>司机室与下支承的连接的必须牢固可靠，其结构必须有足够的强度和刚度。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9A4D8A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B9D2B9">
            <w:pPr>
              <w:ind w:firstLine="422"/>
              <w:jc w:val="center"/>
              <w:rPr>
                <w:rFonts w:hint="eastAsia" w:ascii="宋体" w:hAnsi="宋体" w:cs="宋体"/>
                <w:b/>
                <w:bCs/>
                <w:snapToGrid w:val="0"/>
                <w:color w:val="auto"/>
                <w:sz w:val="21"/>
                <w:szCs w:val="21"/>
              </w:rPr>
            </w:pPr>
          </w:p>
        </w:tc>
      </w:tr>
      <w:tr w14:paraId="68BF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8630B64">
            <w:pPr>
              <w:ind w:firstLine="422"/>
              <w:jc w:val="center"/>
              <w:rPr>
                <w:rFonts w:ascii="宋体" w:hAnsi="宋体" w:cs="宋体"/>
                <w:b/>
                <w:bCs/>
                <w:color w:val="auto"/>
                <w:sz w:val="21"/>
                <w:szCs w:val="21"/>
              </w:rPr>
            </w:pPr>
            <w:r>
              <w:rPr>
                <w:rFonts w:hint="eastAsia"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693E678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B2FCE00">
            <w:pPr>
              <w:ind w:firstLine="420"/>
              <w:rPr>
                <w:rFonts w:hint="eastAsia" w:ascii="宋体" w:hAnsi="宋体" w:cs="宋体"/>
                <w:color w:val="auto"/>
                <w:sz w:val="21"/>
                <w:szCs w:val="21"/>
              </w:rPr>
            </w:pPr>
            <w:r>
              <w:rPr>
                <w:rFonts w:hint="eastAsia" w:ascii="宋体" w:hAnsi="宋体" w:cs="宋体"/>
                <w:color w:val="auto"/>
                <w:sz w:val="21"/>
                <w:szCs w:val="21"/>
              </w:rPr>
              <w:t>司机室视野良好，玻璃应采用钢化玻璃或夹层玻璃且只能在室内安装。</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3C0952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2F3E863">
            <w:pPr>
              <w:ind w:firstLine="422"/>
              <w:jc w:val="center"/>
              <w:rPr>
                <w:rFonts w:hint="eastAsia" w:ascii="宋体" w:hAnsi="宋体" w:cs="宋体"/>
                <w:b/>
                <w:bCs/>
                <w:snapToGrid w:val="0"/>
                <w:color w:val="auto"/>
                <w:sz w:val="21"/>
                <w:szCs w:val="21"/>
              </w:rPr>
            </w:pPr>
          </w:p>
        </w:tc>
      </w:tr>
      <w:tr w14:paraId="12B9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F722633">
            <w:pPr>
              <w:ind w:firstLine="422"/>
              <w:jc w:val="center"/>
              <w:rPr>
                <w:rFonts w:ascii="宋体" w:hAnsi="宋体" w:cs="宋体"/>
                <w:b/>
                <w:bCs/>
                <w:color w:val="auto"/>
                <w:sz w:val="21"/>
                <w:szCs w:val="21"/>
              </w:rPr>
            </w:pPr>
            <w:r>
              <w:rPr>
                <w:rFonts w:hint="eastAsia"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36D3743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2298E42">
            <w:pPr>
              <w:ind w:firstLine="372"/>
              <w:rPr>
                <w:rFonts w:hint="eastAsia" w:ascii="宋体" w:hAnsi="宋体" w:cs="宋体"/>
                <w:color w:val="auto"/>
                <w:sz w:val="21"/>
                <w:szCs w:val="21"/>
              </w:rPr>
            </w:pPr>
            <w:r>
              <w:rPr>
                <w:rFonts w:hint="eastAsia" w:ascii="宋体" w:hAnsi="宋体" w:cs="宋体"/>
                <w:color w:val="auto"/>
                <w:spacing w:val="-12"/>
                <w:sz w:val="21"/>
                <w:szCs w:val="21"/>
              </w:rPr>
              <w:t>司机室内应设通讯联络设备、手提式灭火器、报警装置、电源通断指示，明显处有主要技术参数标牌，</w:t>
            </w:r>
            <w:r>
              <w:rPr>
                <w:rFonts w:hint="eastAsia" w:ascii="宋体" w:hAnsi="宋体" w:cs="宋体"/>
                <w:color w:val="auto"/>
                <w:sz w:val="21"/>
                <w:szCs w:val="21"/>
              </w:rPr>
              <w:t>铺有绝缘地板，塔必须安装锁定装置。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B7264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D0107A">
            <w:pPr>
              <w:ind w:firstLine="422"/>
              <w:jc w:val="center"/>
              <w:rPr>
                <w:rFonts w:hint="eastAsia" w:ascii="宋体" w:hAnsi="宋体" w:cs="宋体"/>
                <w:b/>
                <w:bCs/>
                <w:snapToGrid w:val="0"/>
                <w:color w:val="auto"/>
                <w:sz w:val="21"/>
                <w:szCs w:val="21"/>
              </w:rPr>
            </w:pPr>
          </w:p>
        </w:tc>
      </w:tr>
      <w:tr w14:paraId="55D5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B1741F9">
            <w:pPr>
              <w:ind w:firstLine="422"/>
              <w:jc w:val="center"/>
              <w:rPr>
                <w:rFonts w:ascii="宋体" w:hAnsi="宋体" w:cs="宋体"/>
                <w:b/>
                <w:bCs/>
                <w:color w:val="auto"/>
                <w:sz w:val="21"/>
                <w:szCs w:val="21"/>
              </w:rPr>
            </w:pPr>
            <w:r>
              <w:rPr>
                <w:rFonts w:hint="eastAsia" w:ascii="宋体" w:hAnsi="宋体" w:cs="宋体"/>
                <w:b/>
                <w:bCs/>
                <w:color w:val="auto"/>
                <w:sz w:val="21"/>
                <w:szCs w:val="21"/>
              </w:rPr>
              <w:t>10</w:t>
            </w:r>
          </w:p>
        </w:tc>
        <w:tc>
          <w:tcPr>
            <w:tcW w:w="854" w:type="dxa"/>
            <w:vMerge w:val="continue"/>
            <w:tcBorders>
              <w:left w:val="single" w:color="auto" w:sz="4" w:space="0"/>
              <w:bottom w:val="single" w:color="auto" w:sz="4" w:space="0"/>
              <w:right w:val="single" w:color="auto" w:sz="4" w:space="0"/>
            </w:tcBorders>
            <w:noWrap w:val="0"/>
            <w:vAlign w:val="center"/>
          </w:tcPr>
          <w:p w14:paraId="70A42F6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E67A095">
            <w:pPr>
              <w:ind w:firstLine="420"/>
              <w:rPr>
                <w:rFonts w:hint="eastAsia" w:ascii="宋体" w:hAnsi="宋体" w:cs="宋体"/>
                <w:b/>
                <w:bCs/>
                <w:snapToGrid w:val="0"/>
                <w:color w:val="auto"/>
                <w:sz w:val="21"/>
                <w:szCs w:val="21"/>
              </w:rPr>
            </w:pPr>
            <w:r>
              <w:rPr>
                <w:rFonts w:hint="eastAsia" w:ascii="宋体" w:hAnsi="宋体" w:cs="宋体"/>
                <w:color w:val="auto"/>
                <w:sz w:val="21"/>
                <w:szCs w:val="21"/>
              </w:rPr>
              <w:t>通往司机室通道应符合：外开塔处的走台宽不小于900mm，一般宽度不小于600mm。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7ADF2D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B6D0A5">
            <w:pPr>
              <w:ind w:firstLine="422"/>
              <w:jc w:val="center"/>
              <w:rPr>
                <w:rFonts w:hint="eastAsia" w:ascii="宋体" w:hAnsi="宋体" w:cs="宋体"/>
                <w:b/>
                <w:bCs/>
                <w:snapToGrid w:val="0"/>
                <w:color w:val="auto"/>
                <w:sz w:val="21"/>
                <w:szCs w:val="21"/>
              </w:rPr>
            </w:pPr>
          </w:p>
        </w:tc>
      </w:tr>
      <w:tr w14:paraId="06AC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29B22A1">
            <w:pPr>
              <w:ind w:firstLine="422"/>
              <w:jc w:val="center"/>
              <w:rPr>
                <w:rFonts w:ascii="宋体" w:hAnsi="宋体" w:cs="宋体"/>
                <w:b/>
                <w:bCs/>
                <w:color w:val="auto"/>
                <w:sz w:val="21"/>
                <w:szCs w:val="21"/>
              </w:rPr>
            </w:pPr>
            <w:r>
              <w:rPr>
                <w:rFonts w:hint="eastAsia" w:ascii="宋体" w:hAnsi="宋体" w:cs="宋体"/>
                <w:b/>
                <w:bCs/>
                <w:color w:val="auto"/>
                <w:sz w:val="21"/>
                <w:szCs w:val="21"/>
              </w:rPr>
              <w:t>11</w:t>
            </w:r>
          </w:p>
        </w:tc>
        <w:tc>
          <w:tcPr>
            <w:tcW w:w="854" w:type="dxa"/>
            <w:vMerge w:val="restart"/>
            <w:tcBorders>
              <w:top w:val="single" w:color="auto" w:sz="4" w:space="0"/>
              <w:left w:val="single" w:color="auto" w:sz="4" w:space="0"/>
              <w:right w:val="single" w:color="auto" w:sz="4" w:space="0"/>
            </w:tcBorders>
            <w:noWrap w:val="0"/>
            <w:vAlign w:val="center"/>
          </w:tcPr>
          <w:p w14:paraId="7601E0AB">
            <w:pPr>
              <w:ind w:firstLine="420"/>
              <w:jc w:val="center"/>
              <w:rPr>
                <w:rFonts w:hint="eastAsia" w:ascii="宋体" w:hAnsi="宋体" w:cs="宋体"/>
                <w:color w:val="auto"/>
                <w:sz w:val="21"/>
                <w:szCs w:val="21"/>
              </w:rPr>
            </w:pPr>
            <w:r>
              <w:rPr>
                <w:rFonts w:hint="eastAsia" w:ascii="宋体" w:hAnsi="宋体" w:cs="宋体"/>
                <w:color w:val="auto"/>
                <w:sz w:val="21"/>
                <w:szCs w:val="21"/>
              </w:rPr>
              <w:t>5</w:t>
            </w:r>
          </w:p>
          <w:p w14:paraId="5F1E02D3">
            <w:pPr>
              <w:ind w:firstLine="420"/>
              <w:jc w:val="center"/>
              <w:rPr>
                <w:rFonts w:hint="eastAsia" w:ascii="宋体" w:hAnsi="宋体" w:cs="宋体"/>
                <w:color w:val="auto"/>
                <w:sz w:val="21"/>
                <w:szCs w:val="21"/>
              </w:rPr>
            </w:pPr>
            <w:r>
              <w:rPr>
                <w:rFonts w:hint="eastAsia" w:ascii="宋体" w:hAnsi="宋体" w:cs="宋体"/>
                <w:color w:val="auto"/>
                <w:sz w:val="21"/>
                <w:szCs w:val="21"/>
              </w:rPr>
              <w:t>吊</w:t>
            </w:r>
          </w:p>
          <w:p w14:paraId="1D88E360">
            <w:pPr>
              <w:ind w:firstLine="420"/>
              <w:jc w:val="center"/>
              <w:rPr>
                <w:rFonts w:hint="eastAsia" w:ascii="宋体" w:hAnsi="宋体" w:cs="宋体"/>
                <w:color w:val="auto"/>
                <w:sz w:val="21"/>
                <w:szCs w:val="21"/>
              </w:rPr>
            </w:pPr>
            <w:r>
              <w:rPr>
                <w:rFonts w:hint="eastAsia" w:ascii="宋体" w:hAnsi="宋体" w:cs="宋体"/>
                <w:color w:val="auto"/>
                <w:sz w:val="21"/>
                <w:szCs w:val="21"/>
              </w:rPr>
              <w:t>钩</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FFD73EB">
            <w:pPr>
              <w:ind w:firstLine="420"/>
              <w:rPr>
                <w:rFonts w:hint="eastAsia" w:ascii="宋体" w:hAnsi="宋体" w:cs="宋体"/>
                <w:b/>
                <w:bCs/>
                <w:snapToGrid w:val="0"/>
                <w:color w:val="auto"/>
                <w:sz w:val="21"/>
                <w:szCs w:val="21"/>
              </w:rPr>
            </w:pPr>
            <w:r>
              <w:rPr>
                <w:rFonts w:hint="eastAsia" w:ascii="宋体" w:hAnsi="宋体" w:cs="宋体"/>
                <w:color w:val="auto"/>
                <w:sz w:val="21"/>
                <w:szCs w:val="21"/>
              </w:rPr>
              <w:t>吊钩应有标记和防脱钩装置，不允许使用铸造吊钩。吊钩组的设计应能防止作业时钩挂舱口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B89B88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9B7F91">
            <w:pPr>
              <w:ind w:firstLine="422"/>
              <w:jc w:val="center"/>
              <w:rPr>
                <w:rFonts w:hint="eastAsia" w:ascii="宋体" w:hAnsi="宋体" w:cs="宋体"/>
                <w:b/>
                <w:bCs/>
                <w:snapToGrid w:val="0"/>
                <w:color w:val="auto"/>
                <w:sz w:val="21"/>
                <w:szCs w:val="21"/>
              </w:rPr>
            </w:pPr>
          </w:p>
        </w:tc>
      </w:tr>
      <w:tr w14:paraId="5CD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AC8AB6">
            <w:pPr>
              <w:ind w:firstLine="422"/>
              <w:jc w:val="center"/>
              <w:rPr>
                <w:rFonts w:ascii="宋体" w:hAnsi="宋体" w:cs="宋体"/>
                <w:b/>
                <w:bCs/>
                <w:color w:val="auto"/>
                <w:sz w:val="21"/>
                <w:szCs w:val="21"/>
              </w:rPr>
            </w:pPr>
            <w:r>
              <w:rPr>
                <w:rFonts w:hint="eastAsia" w:ascii="宋体" w:hAnsi="宋体" w:cs="宋体"/>
                <w:b/>
                <w:bCs/>
                <w:color w:val="auto"/>
                <w:sz w:val="21"/>
                <w:szCs w:val="21"/>
              </w:rPr>
              <w:t>12</w:t>
            </w:r>
          </w:p>
        </w:tc>
        <w:tc>
          <w:tcPr>
            <w:tcW w:w="854" w:type="dxa"/>
            <w:vMerge w:val="continue"/>
            <w:tcBorders>
              <w:left w:val="single" w:color="auto" w:sz="4" w:space="0"/>
              <w:right w:val="single" w:color="auto" w:sz="4" w:space="0"/>
            </w:tcBorders>
            <w:noWrap w:val="0"/>
            <w:vAlign w:val="center"/>
          </w:tcPr>
          <w:p w14:paraId="4A94DBA0">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F5DD6A0">
            <w:pPr>
              <w:ind w:firstLine="404"/>
              <w:rPr>
                <w:rFonts w:hint="eastAsia" w:ascii="宋体" w:hAnsi="宋体" w:cs="宋体"/>
                <w:b/>
                <w:bCs/>
                <w:snapToGrid w:val="0"/>
                <w:color w:val="auto"/>
                <w:sz w:val="21"/>
                <w:szCs w:val="21"/>
              </w:rPr>
            </w:pPr>
            <w:r>
              <w:rPr>
                <w:rFonts w:hint="eastAsia" w:ascii="宋体" w:hAnsi="宋体" w:cs="宋体"/>
                <w:color w:val="auto"/>
                <w:spacing w:val="-4"/>
                <w:sz w:val="21"/>
                <w:szCs w:val="21"/>
              </w:rPr>
              <w:t>吊钩不应有裂纹、剥裂等缺陷，存在缺陷不得焊补。吊钩危险断面磨损量：按</w:t>
            </w:r>
            <w:r>
              <w:rPr>
                <w:rFonts w:hint="eastAsia" w:ascii="宋体" w:hAnsi="宋体" w:cs="宋体"/>
                <w:color w:val="auto"/>
                <w:spacing w:val="-8"/>
                <w:sz w:val="21"/>
                <w:szCs w:val="21"/>
              </w:rPr>
              <w:t>GB10051.2</w:t>
            </w:r>
            <w:r>
              <w:rPr>
                <w:rFonts w:hint="eastAsia" w:ascii="宋体" w:hAnsi="宋体" w:cs="宋体"/>
                <w:color w:val="auto"/>
                <w:spacing w:val="-4"/>
                <w:sz w:val="21"/>
                <w:szCs w:val="21"/>
              </w:rPr>
              <w:t>制造的吊钩应不大于原尺寸的5%；按行业沿用标准制造的吊钩应不大于原尺寸的10%。板钩衬套磨损达原尺寸50%时，应报废衬套。</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38D2A7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1C9EB4">
            <w:pPr>
              <w:ind w:firstLine="422"/>
              <w:jc w:val="center"/>
              <w:rPr>
                <w:rFonts w:hint="eastAsia" w:ascii="宋体" w:hAnsi="宋体" w:cs="宋体"/>
                <w:b/>
                <w:bCs/>
                <w:snapToGrid w:val="0"/>
                <w:color w:val="auto"/>
                <w:sz w:val="21"/>
                <w:szCs w:val="21"/>
              </w:rPr>
            </w:pPr>
          </w:p>
        </w:tc>
      </w:tr>
      <w:tr w14:paraId="6EBD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C137A05">
            <w:pPr>
              <w:ind w:firstLine="422"/>
              <w:jc w:val="center"/>
              <w:rPr>
                <w:rFonts w:ascii="宋体" w:hAnsi="宋体" w:cs="宋体"/>
                <w:b/>
                <w:bCs/>
                <w:color w:val="auto"/>
                <w:sz w:val="21"/>
                <w:szCs w:val="21"/>
              </w:rPr>
            </w:pPr>
            <w:r>
              <w:rPr>
                <w:rFonts w:hint="eastAsia" w:ascii="宋体" w:hAnsi="宋体" w:cs="宋体"/>
                <w:b/>
                <w:bCs/>
                <w:color w:val="auto"/>
                <w:sz w:val="21"/>
                <w:szCs w:val="21"/>
              </w:rPr>
              <w:t>13</w:t>
            </w:r>
          </w:p>
        </w:tc>
        <w:tc>
          <w:tcPr>
            <w:tcW w:w="854" w:type="dxa"/>
            <w:vMerge w:val="continue"/>
            <w:tcBorders>
              <w:left w:val="single" w:color="auto" w:sz="4" w:space="0"/>
              <w:bottom w:val="single" w:color="auto" w:sz="4" w:space="0"/>
              <w:right w:val="single" w:color="auto" w:sz="4" w:space="0"/>
            </w:tcBorders>
            <w:noWrap w:val="0"/>
            <w:vAlign w:val="center"/>
          </w:tcPr>
          <w:p w14:paraId="22623D2E">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1D5BD22">
            <w:pPr>
              <w:ind w:firstLine="420"/>
              <w:rPr>
                <w:rFonts w:hint="eastAsia" w:ascii="宋体" w:hAnsi="宋体" w:cs="宋体"/>
                <w:b/>
                <w:bCs/>
                <w:snapToGrid w:val="0"/>
                <w:color w:val="auto"/>
                <w:sz w:val="21"/>
                <w:szCs w:val="21"/>
              </w:rPr>
            </w:pPr>
            <w:r>
              <w:rPr>
                <w:rFonts w:hint="eastAsia" w:ascii="宋体" w:hAnsi="宋体" w:cs="宋体"/>
                <w:color w:val="auto"/>
                <w:sz w:val="21"/>
                <w:szCs w:val="21"/>
              </w:rPr>
              <w:t>开口度增加量：按GB10051.2制造的吊钩应不大于原</w:t>
            </w:r>
            <w:r>
              <w:rPr>
                <w:rFonts w:hint="eastAsia" w:ascii="宋体" w:hAnsi="宋体" w:cs="宋体"/>
                <w:color w:val="auto"/>
                <w:spacing w:val="-12"/>
                <w:sz w:val="21"/>
                <w:szCs w:val="21"/>
              </w:rPr>
              <w:t>尺寸</w:t>
            </w:r>
            <w:r>
              <w:rPr>
                <w:rFonts w:hint="eastAsia" w:ascii="宋体" w:hAnsi="宋体" w:cs="宋体"/>
                <w:color w:val="auto"/>
                <w:sz w:val="21"/>
                <w:szCs w:val="21"/>
              </w:rPr>
              <w:t>的10%，其他吊钩应不大于原尺寸的15%。</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684A4BE">
            <w:pPr>
              <w:ind w:firstLine="422"/>
              <w:jc w:val="center"/>
              <w:rPr>
                <w:rFonts w:ascii="宋体" w:hAnsi="宋体" w:cs="宋体"/>
                <w:b/>
                <w:bCs/>
                <w:snapToGrid w:val="0"/>
                <w:color w:val="auto"/>
                <w:sz w:val="21"/>
                <w:szCs w:val="21"/>
              </w:rPr>
            </w:pPr>
          </w:p>
          <w:p w14:paraId="340E796D">
            <w:pPr>
              <w:pStyle w:val="25"/>
              <w:ind w:firstLine="400"/>
              <w:rPr>
                <w:color w:val="auto"/>
              </w:rPr>
            </w:pPr>
          </w:p>
          <w:p w14:paraId="264182FA">
            <w:pPr>
              <w:ind w:firstLine="0" w:firstLineChars="0"/>
              <w:rPr>
                <w:rFonts w:hint="eastAsia"/>
                <w:color w:val="auto"/>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00316E2">
            <w:pPr>
              <w:ind w:firstLine="422"/>
              <w:jc w:val="center"/>
              <w:rPr>
                <w:rFonts w:hint="eastAsia" w:ascii="宋体" w:hAnsi="宋体" w:cs="宋体"/>
                <w:b/>
                <w:bCs/>
                <w:snapToGrid w:val="0"/>
                <w:color w:val="auto"/>
                <w:sz w:val="21"/>
                <w:szCs w:val="21"/>
              </w:rPr>
            </w:pPr>
          </w:p>
        </w:tc>
      </w:tr>
      <w:tr w14:paraId="147A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51FE586">
            <w:pPr>
              <w:ind w:firstLine="422"/>
              <w:jc w:val="center"/>
              <w:rPr>
                <w:rFonts w:ascii="宋体" w:hAnsi="宋体" w:cs="宋体"/>
                <w:b/>
                <w:bCs/>
                <w:color w:val="auto"/>
                <w:sz w:val="21"/>
                <w:szCs w:val="21"/>
              </w:rPr>
            </w:pPr>
            <w:r>
              <w:rPr>
                <w:rFonts w:hint="eastAsia" w:ascii="宋体" w:hAnsi="宋体" w:cs="宋体"/>
                <w:b/>
                <w:bCs/>
                <w:color w:val="auto"/>
                <w:sz w:val="21"/>
                <w:szCs w:val="21"/>
              </w:rPr>
              <w:t>14</w:t>
            </w:r>
          </w:p>
        </w:tc>
        <w:tc>
          <w:tcPr>
            <w:tcW w:w="854" w:type="dxa"/>
            <w:vMerge w:val="restart"/>
            <w:tcBorders>
              <w:top w:val="single" w:color="auto" w:sz="4" w:space="0"/>
              <w:left w:val="single" w:color="auto" w:sz="4" w:space="0"/>
              <w:right w:val="single" w:color="auto" w:sz="4" w:space="0"/>
            </w:tcBorders>
            <w:noWrap w:val="0"/>
            <w:vAlign w:val="center"/>
          </w:tcPr>
          <w:p w14:paraId="27E7C59E">
            <w:pPr>
              <w:ind w:firstLine="420"/>
              <w:jc w:val="center"/>
              <w:rPr>
                <w:rFonts w:hint="eastAsia" w:ascii="宋体" w:hAnsi="宋体" w:cs="宋体"/>
                <w:color w:val="auto"/>
                <w:sz w:val="21"/>
                <w:szCs w:val="21"/>
              </w:rPr>
            </w:pPr>
            <w:r>
              <w:rPr>
                <w:rFonts w:hint="eastAsia" w:ascii="宋体" w:hAnsi="宋体" w:cs="宋体"/>
                <w:color w:val="auto"/>
                <w:sz w:val="21"/>
                <w:szCs w:val="21"/>
              </w:rPr>
              <w:t>6</w:t>
            </w:r>
          </w:p>
          <w:p w14:paraId="5E77CA71">
            <w:pPr>
              <w:ind w:firstLine="420"/>
              <w:jc w:val="center"/>
              <w:rPr>
                <w:rFonts w:hint="eastAsia" w:ascii="宋体" w:hAnsi="宋体" w:cs="宋体"/>
                <w:color w:val="auto"/>
                <w:sz w:val="21"/>
                <w:szCs w:val="21"/>
              </w:rPr>
            </w:pPr>
            <w:r>
              <w:rPr>
                <w:rFonts w:hint="eastAsia" w:ascii="宋体" w:hAnsi="宋体" w:cs="宋体"/>
                <w:color w:val="auto"/>
                <w:sz w:val="21"/>
                <w:szCs w:val="21"/>
              </w:rPr>
              <w:t>钢</w:t>
            </w:r>
          </w:p>
          <w:p w14:paraId="7E8FED8A">
            <w:pPr>
              <w:ind w:firstLine="420"/>
              <w:jc w:val="center"/>
              <w:rPr>
                <w:rFonts w:hint="eastAsia" w:ascii="宋体" w:hAnsi="宋体" w:cs="宋体"/>
                <w:color w:val="auto"/>
                <w:sz w:val="21"/>
                <w:szCs w:val="21"/>
              </w:rPr>
            </w:pPr>
            <w:r>
              <w:rPr>
                <w:rFonts w:hint="eastAsia" w:ascii="宋体" w:hAnsi="宋体" w:cs="宋体"/>
                <w:color w:val="auto"/>
                <w:sz w:val="21"/>
                <w:szCs w:val="21"/>
              </w:rPr>
              <w:t>丝</w:t>
            </w:r>
          </w:p>
          <w:p w14:paraId="27997DE2">
            <w:pPr>
              <w:ind w:firstLine="420"/>
              <w:jc w:val="center"/>
              <w:rPr>
                <w:rFonts w:hint="eastAsia" w:ascii="宋体" w:hAnsi="宋体" w:cs="宋体"/>
                <w:color w:val="auto"/>
                <w:sz w:val="21"/>
                <w:szCs w:val="21"/>
              </w:rPr>
            </w:pPr>
            <w:r>
              <w:rPr>
                <w:rFonts w:hint="eastAsia" w:ascii="宋体" w:hAnsi="宋体" w:cs="宋体"/>
                <w:color w:val="auto"/>
                <w:sz w:val="21"/>
                <w:szCs w:val="21"/>
              </w:rPr>
              <w:t>绳</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CF381BF">
            <w:pPr>
              <w:ind w:firstLine="412"/>
              <w:rPr>
                <w:rFonts w:hint="eastAsia" w:ascii="宋体" w:hAnsi="宋体" w:cs="宋体"/>
                <w:color w:val="auto"/>
                <w:sz w:val="21"/>
                <w:szCs w:val="21"/>
              </w:rPr>
            </w:pPr>
            <w:r>
              <w:rPr>
                <w:rFonts w:hint="eastAsia" w:ascii="宋体" w:hAnsi="宋体" w:cs="宋体"/>
                <w:color w:val="auto"/>
                <w:spacing w:val="-2"/>
                <w:sz w:val="21"/>
                <w:szCs w:val="21"/>
              </w:rPr>
              <w:t>钢丝绳的规格、型号应符合设计要求，与滑轮和卷筒相匹配，并正确穿绕。钢丝绳端固定应牢固、可靠。压板固定时，压板不少于2个，卷筒上的绳端固定装置应有防松或自紧的性能；金属压制接头固定时，接头不应有裂纹；楔块固定时，楔套不应有裂纹，楔块不应松动。绳卡固定时，绳卡安装应正确，绳卡数应满足要求。编结接头编结长度不小于15倍绳径且不小于300mm。旋转接头无明显可见的裂纹，接头转动灵活，无滞留。</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48A57B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6004261">
            <w:pPr>
              <w:ind w:firstLine="422"/>
              <w:jc w:val="center"/>
              <w:rPr>
                <w:rFonts w:hint="eastAsia" w:ascii="宋体" w:hAnsi="宋体" w:cs="宋体"/>
                <w:b/>
                <w:bCs/>
                <w:snapToGrid w:val="0"/>
                <w:color w:val="auto"/>
                <w:sz w:val="21"/>
                <w:szCs w:val="21"/>
              </w:rPr>
            </w:pPr>
          </w:p>
        </w:tc>
      </w:tr>
      <w:tr w14:paraId="592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EC984B0">
            <w:pPr>
              <w:ind w:firstLine="422"/>
              <w:jc w:val="center"/>
              <w:rPr>
                <w:rFonts w:ascii="宋体" w:hAnsi="宋体" w:cs="宋体"/>
                <w:b/>
                <w:bCs/>
                <w:color w:val="auto"/>
                <w:sz w:val="21"/>
                <w:szCs w:val="21"/>
              </w:rPr>
            </w:pPr>
            <w:r>
              <w:rPr>
                <w:rFonts w:hint="eastAsia" w:ascii="宋体" w:hAnsi="宋体" w:cs="宋体"/>
                <w:b/>
                <w:bCs/>
                <w:color w:val="auto"/>
                <w:sz w:val="21"/>
                <w:szCs w:val="21"/>
              </w:rPr>
              <w:t>15</w:t>
            </w:r>
          </w:p>
        </w:tc>
        <w:tc>
          <w:tcPr>
            <w:tcW w:w="854" w:type="dxa"/>
            <w:vMerge w:val="continue"/>
            <w:tcBorders>
              <w:left w:val="single" w:color="auto" w:sz="4" w:space="0"/>
              <w:right w:val="single" w:color="auto" w:sz="4" w:space="0"/>
            </w:tcBorders>
            <w:noWrap w:val="0"/>
            <w:vAlign w:val="center"/>
          </w:tcPr>
          <w:p w14:paraId="3450C2D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D347186">
            <w:pPr>
              <w:ind w:firstLine="420"/>
              <w:rPr>
                <w:rFonts w:hint="eastAsia" w:ascii="宋体" w:hAnsi="宋体" w:cs="宋体"/>
                <w:color w:val="auto"/>
                <w:spacing w:val="-12"/>
                <w:sz w:val="21"/>
                <w:szCs w:val="21"/>
              </w:rPr>
            </w:pPr>
            <w:r>
              <w:rPr>
                <w:rFonts w:hint="eastAsia" w:ascii="宋体" w:hAnsi="宋体" w:cs="宋体"/>
                <w:color w:val="auto"/>
                <w:sz w:val="21"/>
                <w:szCs w:val="21"/>
              </w:rPr>
              <w:t>除固定钢丝绳的圈数外，卷筒上至少应有保留3圈安全圈。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1240EF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15D7D0">
            <w:pPr>
              <w:ind w:firstLine="422"/>
              <w:jc w:val="center"/>
              <w:rPr>
                <w:rFonts w:hint="eastAsia" w:ascii="宋体" w:hAnsi="宋体" w:cs="宋体"/>
                <w:b/>
                <w:bCs/>
                <w:snapToGrid w:val="0"/>
                <w:color w:val="auto"/>
                <w:sz w:val="21"/>
                <w:szCs w:val="21"/>
              </w:rPr>
            </w:pPr>
          </w:p>
        </w:tc>
      </w:tr>
      <w:tr w14:paraId="536D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D908DA">
            <w:pPr>
              <w:ind w:firstLine="422"/>
              <w:jc w:val="center"/>
              <w:rPr>
                <w:rFonts w:ascii="宋体" w:hAnsi="宋体" w:cs="宋体"/>
                <w:b/>
                <w:bCs/>
                <w:color w:val="auto"/>
                <w:sz w:val="21"/>
                <w:szCs w:val="21"/>
              </w:rPr>
            </w:pPr>
            <w:r>
              <w:rPr>
                <w:rFonts w:hint="eastAsia" w:ascii="宋体" w:hAnsi="宋体" w:cs="宋体"/>
                <w:b/>
                <w:bCs/>
                <w:color w:val="auto"/>
                <w:sz w:val="21"/>
                <w:szCs w:val="21"/>
              </w:rPr>
              <w:t>16</w:t>
            </w:r>
          </w:p>
        </w:tc>
        <w:tc>
          <w:tcPr>
            <w:tcW w:w="854" w:type="dxa"/>
            <w:vMerge w:val="continue"/>
            <w:tcBorders>
              <w:left w:val="single" w:color="auto" w:sz="4" w:space="0"/>
              <w:right w:val="single" w:color="auto" w:sz="4" w:space="0"/>
            </w:tcBorders>
            <w:noWrap w:val="0"/>
            <w:vAlign w:val="center"/>
          </w:tcPr>
          <w:p w14:paraId="42BD9F7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F19C3A0">
            <w:pPr>
              <w:ind w:firstLine="372"/>
              <w:rPr>
                <w:rFonts w:hint="eastAsia" w:ascii="宋体" w:hAnsi="宋体" w:cs="宋体"/>
                <w:color w:val="auto"/>
                <w:sz w:val="21"/>
                <w:szCs w:val="21"/>
              </w:rPr>
            </w:pPr>
            <w:r>
              <w:rPr>
                <w:rFonts w:hint="eastAsia" w:ascii="宋体" w:hAnsi="宋体" w:cs="宋体"/>
                <w:color w:val="auto"/>
                <w:spacing w:val="-12"/>
                <w:sz w:val="21"/>
                <w:szCs w:val="21"/>
              </w:rPr>
              <w:t>钢丝绳应润滑良好。不应与金属结构磨擦。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7CA9AA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DC1C35">
            <w:pPr>
              <w:ind w:firstLine="422"/>
              <w:jc w:val="center"/>
              <w:rPr>
                <w:rFonts w:hint="eastAsia" w:ascii="宋体" w:hAnsi="宋体" w:cs="宋体"/>
                <w:b/>
                <w:bCs/>
                <w:snapToGrid w:val="0"/>
                <w:color w:val="auto"/>
                <w:sz w:val="21"/>
                <w:szCs w:val="21"/>
              </w:rPr>
            </w:pPr>
          </w:p>
        </w:tc>
      </w:tr>
      <w:tr w14:paraId="696F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5FB976">
            <w:pPr>
              <w:ind w:firstLine="422"/>
              <w:jc w:val="center"/>
              <w:rPr>
                <w:rFonts w:ascii="宋体" w:hAnsi="宋体" w:cs="宋体"/>
                <w:b/>
                <w:bCs/>
                <w:color w:val="auto"/>
                <w:sz w:val="21"/>
                <w:szCs w:val="21"/>
              </w:rPr>
            </w:pPr>
            <w:r>
              <w:rPr>
                <w:rFonts w:hint="eastAsia" w:ascii="宋体" w:hAnsi="宋体" w:cs="宋体"/>
                <w:b/>
                <w:bCs/>
                <w:color w:val="auto"/>
                <w:sz w:val="21"/>
                <w:szCs w:val="21"/>
              </w:rPr>
              <w:t>17</w:t>
            </w:r>
          </w:p>
        </w:tc>
        <w:tc>
          <w:tcPr>
            <w:tcW w:w="854" w:type="dxa"/>
            <w:vMerge w:val="continue"/>
            <w:tcBorders>
              <w:left w:val="single" w:color="auto" w:sz="4" w:space="0"/>
              <w:right w:val="single" w:color="auto" w:sz="4" w:space="0"/>
            </w:tcBorders>
            <w:noWrap w:val="0"/>
            <w:vAlign w:val="center"/>
          </w:tcPr>
          <w:p w14:paraId="69E6E5C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46E1548">
            <w:pPr>
              <w:ind w:firstLine="420"/>
              <w:rPr>
                <w:rFonts w:hint="eastAsia" w:ascii="宋体" w:hAnsi="宋体" w:cs="宋体"/>
                <w:color w:val="auto"/>
                <w:sz w:val="21"/>
                <w:szCs w:val="21"/>
              </w:rPr>
            </w:pPr>
            <w:r>
              <w:rPr>
                <w:rFonts w:hint="eastAsia" w:ascii="宋体" w:hAnsi="宋体" w:cs="宋体"/>
                <w:color w:val="auto"/>
                <w:sz w:val="21"/>
                <w:szCs w:val="21"/>
              </w:rPr>
              <w:t>钢丝绳不应有扭结、压扁、弯折、断股、笼状畸变、断芯等变形现象。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6A428A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8AEDB5B">
            <w:pPr>
              <w:ind w:firstLine="422"/>
              <w:jc w:val="center"/>
              <w:rPr>
                <w:rFonts w:hint="eastAsia" w:ascii="宋体" w:hAnsi="宋体" w:cs="宋体"/>
                <w:b/>
                <w:bCs/>
                <w:snapToGrid w:val="0"/>
                <w:color w:val="auto"/>
                <w:sz w:val="21"/>
                <w:szCs w:val="21"/>
              </w:rPr>
            </w:pPr>
          </w:p>
        </w:tc>
      </w:tr>
      <w:tr w14:paraId="066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1C3DA99">
            <w:pPr>
              <w:ind w:firstLine="422"/>
              <w:jc w:val="center"/>
              <w:rPr>
                <w:rFonts w:ascii="宋体" w:hAnsi="宋体" w:cs="宋体"/>
                <w:b/>
                <w:bCs/>
                <w:color w:val="auto"/>
                <w:sz w:val="21"/>
                <w:szCs w:val="21"/>
              </w:rPr>
            </w:pPr>
            <w:r>
              <w:rPr>
                <w:rFonts w:hint="eastAsia" w:ascii="宋体" w:hAnsi="宋体" w:cs="宋体"/>
                <w:b/>
                <w:bCs/>
                <w:color w:val="auto"/>
                <w:sz w:val="21"/>
                <w:szCs w:val="21"/>
              </w:rPr>
              <w:t>18</w:t>
            </w:r>
          </w:p>
        </w:tc>
        <w:tc>
          <w:tcPr>
            <w:tcW w:w="854" w:type="dxa"/>
            <w:vMerge w:val="continue"/>
            <w:tcBorders>
              <w:left w:val="single" w:color="auto" w:sz="4" w:space="0"/>
              <w:right w:val="single" w:color="auto" w:sz="4" w:space="0"/>
            </w:tcBorders>
            <w:noWrap w:val="0"/>
            <w:vAlign w:val="center"/>
          </w:tcPr>
          <w:p w14:paraId="1759FBC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3B186">
            <w:pPr>
              <w:ind w:firstLine="372"/>
              <w:rPr>
                <w:rFonts w:hint="eastAsia" w:ascii="宋体" w:hAnsi="宋体" w:cs="宋体"/>
                <w:color w:val="auto"/>
                <w:sz w:val="21"/>
                <w:szCs w:val="21"/>
              </w:rPr>
            </w:pPr>
            <w:r>
              <w:rPr>
                <w:rFonts w:hint="eastAsia" w:ascii="宋体" w:hAnsi="宋体" w:cs="宋体"/>
                <w:color w:val="auto"/>
                <w:spacing w:val="-12"/>
                <w:sz w:val="21"/>
                <w:szCs w:val="21"/>
              </w:rPr>
              <w:t>钢丝绳直径减小量不大于公称直径的7%。</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2F68C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9AA1AED">
            <w:pPr>
              <w:ind w:firstLine="422"/>
              <w:jc w:val="center"/>
              <w:rPr>
                <w:rFonts w:hint="eastAsia" w:ascii="宋体" w:hAnsi="宋体" w:cs="宋体"/>
                <w:b/>
                <w:bCs/>
                <w:snapToGrid w:val="0"/>
                <w:color w:val="auto"/>
                <w:sz w:val="21"/>
                <w:szCs w:val="21"/>
              </w:rPr>
            </w:pPr>
          </w:p>
        </w:tc>
      </w:tr>
      <w:tr w14:paraId="6985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7F834A2">
            <w:pPr>
              <w:ind w:firstLine="422"/>
              <w:jc w:val="center"/>
              <w:rPr>
                <w:rFonts w:ascii="宋体" w:hAnsi="宋体" w:cs="宋体"/>
                <w:b/>
                <w:bCs/>
                <w:color w:val="auto"/>
                <w:sz w:val="21"/>
                <w:szCs w:val="21"/>
              </w:rPr>
            </w:pPr>
            <w:r>
              <w:rPr>
                <w:rFonts w:hint="eastAsia" w:ascii="宋体" w:hAnsi="宋体" w:cs="宋体"/>
                <w:b/>
                <w:bCs/>
                <w:color w:val="auto"/>
                <w:sz w:val="21"/>
                <w:szCs w:val="21"/>
              </w:rPr>
              <w:t>19</w:t>
            </w:r>
          </w:p>
        </w:tc>
        <w:tc>
          <w:tcPr>
            <w:tcW w:w="854" w:type="dxa"/>
            <w:vMerge w:val="continue"/>
            <w:tcBorders>
              <w:left w:val="single" w:color="auto" w:sz="4" w:space="0"/>
              <w:bottom w:val="single" w:color="auto" w:sz="4" w:space="0"/>
              <w:right w:val="single" w:color="auto" w:sz="4" w:space="0"/>
            </w:tcBorders>
            <w:noWrap w:val="0"/>
            <w:vAlign w:val="center"/>
          </w:tcPr>
          <w:p w14:paraId="64C24EE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CFBEEA1">
            <w:pPr>
              <w:ind w:firstLine="372"/>
              <w:rPr>
                <w:rFonts w:hint="eastAsia" w:ascii="宋体" w:hAnsi="宋体" w:cs="宋体"/>
                <w:color w:val="auto"/>
                <w:sz w:val="21"/>
                <w:szCs w:val="21"/>
              </w:rPr>
            </w:pPr>
            <w:r>
              <w:rPr>
                <w:rFonts w:hint="eastAsia" w:ascii="宋体" w:hAnsi="宋体" w:cs="宋体"/>
                <w:color w:val="auto"/>
                <w:spacing w:val="-12"/>
                <w:sz w:val="21"/>
                <w:szCs w:val="21"/>
              </w:rPr>
              <w:t>钢丝绳断丝数不应超过规定的数值。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5BD61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36713A">
            <w:pPr>
              <w:ind w:firstLine="422"/>
              <w:jc w:val="center"/>
              <w:rPr>
                <w:rFonts w:hint="eastAsia" w:ascii="宋体" w:hAnsi="宋体" w:cs="宋体"/>
                <w:b/>
                <w:bCs/>
                <w:snapToGrid w:val="0"/>
                <w:color w:val="auto"/>
                <w:sz w:val="21"/>
                <w:szCs w:val="21"/>
              </w:rPr>
            </w:pPr>
          </w:p>
        </w:tc>
      </w:tr>
      <w:tr w14:paraId="7661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51A645E">
            <w:pPr>
              <w:ind w:firstLine="422"/>
              <w:jc w:val="center"/>
              <w:rPr>
                <w:rFonts w:ascii="宋体" w:hAnsi="宋体" w:cs="宋体"/>
                <w:b/>
                <w:bCs/>
                <w:color w:val="auto"/>
                <w:sz w:val="21"/>
                <w:szCs w:val="21"/>
              </w:rPr>
            </w:pPr>
            <w:r>
              <w:rPr>
                <w:rFonts w:hint="eastAsia" w:ascii="宋体" w:hAnsi="宋体" w:cs="宋体"/>
                <w:b/>
                <w:bCs/>
                <w:color w:val="auto"/>
                <w:sz w:val="21"/>
                <w:szCs w:val="21"/>
              </w:rPr>
              <w:t>20</w:t>
            </w:r>
          </w:p>
        </w:tc>
        <w:tc>
          <w:tcPr>
            <w:tcW w:w="854" w:type="dxa"/>
            <w:vMerge w:val="restart"/>
            <w:tcBorders>
              <w:top w:val="single" w:color="auto" w:sz="4" w:space="0"/>
              <w:left w:val="single" w:color="auto" w:sz="4" w:space="0"/>
              <w:right w:val="single" w:color="auto" w:sz="4" w:space="0"/>
            </w:tcBorders>
            <w:noWrap w:val="0"/>
            <w:vAlign w:val="center"/>
          </w:tcPr>
          <w:p w14:paraId="55139251">
            <w:pPr>
              <w:ind w:firstLine="420"/>
              <w:jc w:val="center"/>
              <w:rPr>
                <w:rFonts w:hint="eastAsia" w:ascii="宋体" w:hAnsi="宋体" w:cs="宋体"/>
                <w:color w:val="auto"/>
                <w:sz w:val="21"/>
                <w:szCs w:val="21"/>
              </w:rPr>
            </w:pPr>
            <w:r>
              <w:rPr>
                <w:rFonts w:hint="eastAsia" w:ascii="宋体" w:hAnsi="宋体" w:cs="宋体"/>
                <w:color w:val="auto"/>
                <w:sz w:val="21"/>
                <w:szCs w:val="21"/>
              </w:rPr>
              <w:t>7</w:t>
            </w:r>
          </w:p>
          <w:p w14:paraId="2F06E2DD">
            <w:pPr>
              <w:ind w:firstLine="420"/>
              <w:jc w:val="center"/>
              <w:rPr>
                <w:rFonts w:hint="eastAsia" w:ascii="宋体" w:hAnsi="宋体" w:cs="宋体"/>
                <w:color w:val="auto"/>
                <w:sz w:val="21"/>
                <w:szCs w:val="21"/>
              </w:rPr>
            </w:pPr>
            <w:r>
              <w:rPr>
                <w:rFonts w:hint="eastAsia" w:ascii="宋体" w:hAnsi="宋体" w:cs="宋体"/>
                <w:color w:val="auto"/>
                <w:sz w:val="21"/>
                <w:szCs w:val="21"/>
              </w:rPr>
              <w:t>滑</w:t>
            </w:r>
          </w:p>
          <w:p w14:paraId="73515BDB">
            <w:pPr>
              <w:ind w:firstLine="420"/>
              <w:jc w:val="center"/>
              <w:rPr>
                <w:rFonts w:hint="eastAsia" w:ascii="宋体" w:hAnsi="宋体" w:cs="宋体"/>
                <w:color w:val="auto"/>
                <w:sz w:val="21"/>
                <w:szCs w:val="21"/>
              </w:rPr>
            </w:pPr>
            <w:r>
              <w:rPr>
                <w:rFonts w:hint="eastAsia" w:ascii="宋体" w:hAnsi="宋体" w:cs="宋体"/>
                <w:color w:val="auto"/>
                <w:sz w:val="21"/>
                <w:szCs w:val="21"/>
              </w:rPr>
              <w:t>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A4109DB">
            <w:pPr>
              <w:ind w:firstLine="420"/>
              <w:rPr>
                <w:rFonts w:hint="eastAsia" w:ascii="宋体" w:hAnsi="宋体" w:cs="宋体"/>
                <w:color w:val="auto"/>
                <w:sz w:val="21"/>
                <w:szCs w:val="21"/>
              </w:rPr>
            </w:pPr>
            <w:r>
              <w:rPr>
                <w:rFonts w:hint="eastAsia" w:ascii="宋体" w:hAnsi="宋体" w:cs="宋体"/>
                <w:color w:val="auto"/>
                <w:sz w:val="21"/>
                <w:szCs w:val="21"/>
              </w:rPr>
              <w:t>滑轮直径D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2</w:t>
            </w:r>
            <w:r>
              <w:rPr>
                <w:rFonts w:hint="eastAsia" w:ascii="宋体" w:hAnsi="宋体" w:cs="宋体"/>
                <w:color w:val="auto"/>
                <w:sz w:val="21"/>
                <w:szCs w:val="21"/>
              </w:rPr>
              <w:t>·D）的选取不应小于规定的数值。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D48CA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4A9E15E">
            <w:pPr>
              <w:ind w:firstLine="422"/>
              <w:jc w:val="center"/>
              <w:rPr>
                <w:rFonts w:hint="eastAsia" w:ascii="宋体" w:hAnsi="宋体" w:cs="宋体"/>
                <w:b/>
                <w:bCs/>
                <w:snapToGrid w:val="0"/>
                <w:color w:val="auto"/>
                <w:sz w:val="21"/>
                <w:szCs w:val="21"/>
              </w:rPr>
            </w:pPr>
          </w:p>
        </w:tc>
      </w:tr>
      <w:tr w14:paraId="08EB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3E7A1EF">
            <w:pPr>
              <w:ind w:firstLine="422"/>
              <w:jc w:val="center"/>
              <w:rPr>
                <w:rFonts w:ascii="宋体" w:hAnsi="宋体" w:cs="宋体"/>
                <w:b/>
                <w:bCs/>
                <w:color w:val="auto"/>
                <w:sz w:val="21"/>
                <w:szCs w:val="21"/>
              </w:rPr>
            </w:pPr>
            <w:r>
              <w:rPr>
                <w:rFonts w:hint="eastAsia" w:ascii="宋体" w:hAnsi="宋体" w:cs="宋体"/>
                <w:b/>
                <w:bCs/>
                <w:color w:val="auto"/>
                <w:sz w:val="21"/>
                <w:szCs w:val="21"/>
              </w:rPr>
              <w:t>21</w:t>
            </w:r>
          </w:p>
        </w:tc>
        <w:tc>
          <w:tcPr>
            <w:tcW w:w="854" w:type="dxa"/>
            <w:vMerge w:val="continue"/>
            <w:tcBorders>
              <w:left w:val="single" w:color="auto" w:sz="4" w:space="0"/>
              <w:right w:val="single" w:color="auto" w:sz="4" w:space="0"/>
            </w:tcBorders>
            <w:noWrap w:val="0"/>
            <w:vAlign w:val="center"/>
          </w:tcPr>
          <w:p w14:paraId="6C19BC3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E1EBD4F">
            <w:pPr>
              <w:ind w:firstLine="404"/>
              <w:rPr>
                <w:rFonts w:ascii="宋体" w:hAnsi="宋体" w:cs="宋体"/>
                <w:color w:val="auto"/>
                <w:sz w:val="21"/>
                <w:szCs w:val="21"/>
              </w:rPr>
            </w:pPr>
            <w:r>
              <w:rPr>
                <w:rFonts w:hint="eastAsia" w:ascii="宋体" w:hAnsi="宋体" w:cs="宋体"/>
                <w:color w:val="auto"/>
                <w:spacing w:val="-4"/>
                <w:sz w:val="21"/>
                <w:szCs w:val="21"/>
              </w:rPr>
              <w:t>滑轮应转动良好，出现下列情况应报废：</w:t>
            </w:r>
          </w:p>
          <w:p w14:paraId="5E3B7B75">
            <w:pPr>
              <w:ind w:firstLine="412"/>
              <w:rPr>
                <w:rFonts w:ascii="宋体" w:hAnsi="宋体" w:cs="宋体"/>
                <w:color w:val="auto"/>
                <w:spacing w:val="-2"/>
                <w:sz w:val="21"/>
                <w:szCs w:val="21"/>
              </w:rPr>
            </w:pPr>
            <w:r>
              <w:rPr>
                <w:rFonts w:hint="eastAsia" w:ascii="宋体" w:hAnsi="宋体" w:cs="宋体"/>
                <w:color w:val="auto"/>
                <w:spacing w:val="-2"/>
                <w:sz w:val="21"/>
                <w:szCs w:val="21"/>
              </w:rPr>
              <w:t>①</w:t>
            </w:r>
            <w:r>
              <w:rPr>
                <w:rFonts w:hint="eastAsia" w:ascii="宋体" w:hAnsi="宋体" w:cs="宋体"/>
                <w:color w:val="auto"/>
                <w:spacing w:val="-8"/>
                <w:sz w:val="21"/>
                <w:szCs w:val="21"/>
              </w:rPr>
              <w:t>出现裂纹、轮缘破损等损伤钢丝绳的缺陷；</w:t>
            </w:r>
          </w:p>
          <w:p w14:paraId="1A01D411">
            <w:pPr>
              <w:ind w:firstLine="420"/>
              <w:rPr>
                <w:rFonts w:ascii="宋体" w:hAnsi="宋体" w:cs="宋体"/>
                <w:color w:val="auto"/>
                <w:sz w:val="21"/>
                <w:szCs w:val="21"/>
              </w:rPr>
            </w:pPr>
            <w:r>
              <w:rPr>
                <w:rFonts w:hint="eastAsia" w:ascii="宋体" w:hAnsi="宋体" w:cs="宋体"/>
                <w:color w:val="auto"/>
                <w:sz w:val="21"/>
                <w:szCs w:val="21"/>
              </w:rPr>
              <w:t>②轮槽壁厚磨损达原壁厚的20%；</w:t>
            </w:r>
          </w:p>
          <w:p w14:paraId="29E86C14">
            <w:pPr>
              <w:ind w:firstLine="396"/>
              <w:rPr>
                <w:rFonts w:hint="eastAsia" w:ascii="宋体" w:hAnsi="宋体" w:cs="宋体"/>
                <w:color w:val="auto"/>
                <w:sz w:val="21"/>
                <w:szCs w:val="21"/>
              </w:rPr>
            </w:pPr>
            <w:r>
              <w:rPr>
                <w:rFonts w:hint="eastAsia" w:ascii="宋体" w:hAnsi="宋体" w:cs="宋体"/>
                <w:color w:val="auto"/>
                <w:spacing w:val="-6"/>
                <w:sz w:val="21"/>
                <w:szCs w:val="21"/>
              </w:rPr>
              <w:t>③轮槽底部直径减少量达钢丝绳直径的50%或槽底出现沟槽。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EF5C20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A401234">
            <w:pPr>
              <w:ind w:firstLine="422"/>
              <w:jc w:val="center"/>
              <w:rPr>
                <w:rFonts w:hint="eastAsia" w:ascii="宋体" w:hAnsi="宋体" w:cs="宋体"/>
                <w:b/>
                <w:bCs/>
                <w:snapToGrid w:val="0"/>
                <w:color w:val="auto"/>
                <w:sz w:val="21"/>
                <w:szCs w:val="21"/>
              </w:rPr>
            </w:pPr>
          </w:p>
        </w:tc>
      </w:tr>
      <w:tr w14:paraId="3122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B352108">
            <w:pPr>
              <w:ind w:firstLine="422"/>
              <w:jc w:val="center"/>
              <w:rPr>
                <w:rFonts w:ascii="宋体" w:hAnsi="宋体" w:cs="宋体"/>
                <w:b/>
                <w:bCs/>
                <w:color w:val="auto"/>
                <w:sz w:val="21"/>
                <w:szCs w:val="21"/>
              </w:rPr>
            </w:pPr>
            <w:r>
              <w:rPr>
                <w:rFonts w:hint="eastAsia" w:ascii="宋体" w:hAnsi="宋体" w:cs="宋体"/>
                <w:b/>
                <w:bCs/>
                <w:color w:val="auto"/>
                <w:sz w:val="21"/>
                <w:szCs w:val="21"/>
              </w:rPr>
              <w:t>22</w:t>
            </w:r>
          </w:p>
        </w:tc>
        <w:tc>
          <w:tcPr>
            <w:tcW w:w="854" w:type="dxa"/>
            <w:vMerge w:val="continue"/>
            <w:tcBorders>
              <w:left w:val="single" w:color="auto" w:sz="4" w:space="0"/>
              <w:bottom w:val="single" w:color="auto" w:sz="4" w:space="0"/>
              <w:right w:val="single" w:color="auto" w:sz="4" w:space="0"/>
            </w:tcBorders>
            <w:noWrap w:val="0"/>
            <w:vAlign w:val="center"/>
          </w:tcPr>
          <w:p w14:paraId="2589B8E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DB78E53">
            <w:pPr>
              <w:ind w:firstLine="420"/>
              <w:rPr>
                <w:rFonts w:hint="eastAsia" w:ascii="宋体" w:hAnsi="宋体" w:cs="宋体"/>
                <w:color w:val="auto"/>
                <w:sz w:val="21"/>
                <w:szCs w:val="21"/>
              </w:rPr>
            </w:pPr>
            <w:r>
              <w:rPr>
                <w:rFonts w:hint="eastAsia" w:ascii="宋体" w:hAnsi="宋体" w:cs="宋体"/>
                <w:color w:val="auto"/>
                <w:sz w:val="21"/>
                <w:szCs w:val="21"/>
              </w:rPr>
              <w:t>应有防止钢丝绳脱槽的装置，且可靠有效。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E9367E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DC90FA">
            <w:pPr>
              <w:ind w:firstLine="422"/>
              <w:jc w:val="center"/>
              <w:rPr>
                <w:rFonts w:hint="eastAsia" w:ascii="宋体" w:hAnsi="宋体" w:cs="宋体"/>
                <w:b/>
                <w:bCs/>
                <w:snapToGrid w:val="0"/>
                <w:color w:val="auto"/>
                <w:sz w:val="21"/>
                <w:szCs w:val="21"/>
              </w:rPr>
            </w:pPr>
          </w:p>
        </w:tc>
      </w:tr>
      <w:tr w14:paraId="2DCE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2250870">
            <w:pPr>
              <w:ind w:firstLine="422"/>
              <w:jc w:val="center"/>
              <w:rPr>
                <w:rFonts w:ascii="宋体" w:hAnsi="宋体" w:cs="宋体"/>
                <w:b/>
                <w:bCs/>
                <w:color w:val="auto"/>
                <w:sz w:val="21"/>
                <w:szCs w:val="21"/>
              </w:rPr>
            </w:pPr>
            <w:r>
              <w:rPr>
                <w:rFonts w:hint="eastAsia" w:ascii="宋体" w:hAnsi="宋体" w:cs="宋体"/>
                <w:b/>
                <w:bCs/>
                <w:color w:val="auto"/>
                <w:sz w:val="21"/>
                <w:szCs w:val="21"/>
              </w:rPr>
              <w:t>23</w:t>
            </w:r>
          </w:p>
        </w:tc>
        <w:tc>
          <w:tcPr>
            <w:tcW w:w="854" w:type="dxa"/>
            <w:vMerge w:val="restart"/>
            <w:tcBorders>
              <w:top w:val="single" w:color="auto" w:sz="4" w:space="0"/>
              <w:left w:val="single" w:color="auto" w:sz="4" w:space="0"/>
              <w:right w:val="single" w:color="auto" w:sz="4" w:space="0"/>
            </w:tcBorders>
            <w:noWrap w:val="0"/>
            <w:vAlign w:val="center"/>
          </w:tcPr>
          <w:p w14:paraId="16F4B455">
            <w:pPr>
              <w:ind w:firstLine="420"/>
              <w:jc w:val="center"/>
              <w:rPr>
                <w:rFonts w:hint="eastAsia" w:ascii="宋体" w:hAnsi="宋体" w:cs="宋体"/>
                <w:color w:val="auto"/>
                <w:sz w:val="21"/>
                <w:szCs w:val="21"/>
              </w:rPr>
            </w:pPr>
            <w:r>
              <w:rPr>
                <w:rFonts w:hint="eastAsia" w:ascii="宋体" w:hAnsi="宋体" w:cs="宋体"/>
                <w:color w:val="auto"/>
                <w:sz w:val="21"/>
                <w:szCs w:val="21"/>
              </w:rPr>
              <w:t>8</w:t>
            </w:r>
          </w:p>
          <w:p w14:paraId="1F567CCF">
            <w:pPr>
              <w:ind w:firstLine="420"/>
              <w:jc w:val="center"/>
              <w:rPr>
                <w:rFonts w:hint="eastAsia" w:ascii="宋体" w:hAnsi="宋体" w:cs="宋体"/>
                <w:color w:val="auto"/>
                <w:sz w:val="21"/>
                <w:szCs w:val="21"/>
              </w:rPr>
            </w:pPr>
            <w:r>
              <w:rPr>
                <w:rFonts w:hint="eastAsia" w:ascii="宋体" w:hAnsi="宋体" w:cs="宋体"/>
                <w:color w:val="auto"/>
                <w:sz w:val="21"/>
                <w:szCs w:val="21"/>
              </w:rPr>
              <w:t>制</w:t>
            </w:r>
          </w:p>
          <w:p w14:paraId="45EE778B">
            <w:pPr>
              <w:ind w:firstLine="420"/>
              <w:jc w:val="center"/>
              <w:rPr>
                <w:rFonts w:hint="eastAsia" w:ascii="宋体" w:hAnsi="宋体" w:cs="宋体"/>
                <w:color w:val="auto"/>
                <w:sz w:val="21"/>
                <w:szCs w:val="21"/>
              </w:rPr>
            </w:pPr>
            <w:r>
              <w:rPr>
                <w:rFonts w:hint="eastAsia" w:ascii="宋体" w:hAnsi="宋体" w:cs="宋体"/>
                <w:color w:val="auto"/>
                <w:sz w:val="21"/>
                <w:szCs w:val="21"/>
              </w:rPr>
              <w:t>动</w:t>
            </w:r>
          </w:p>
          <w:p w14:paraId="51B2D38E">
            <w:pPr>
              <w:ind w:firstLine="420"/>
              <w:jc w:val="center"/>
              <w:rPr>
                <w:rFonts w:hint="eastAsia" w:ascii="宋体" w:hAnsi="宋体" w:cs="宋体"/>
                <w:color w:val="auto"/>
                <w:sz w:val="21"/>
                <w:szCs w:val="21"/>
              </w:rPr>
            </w:pPr>
            <w:r>
              <w:rPr>
                <w:rFonts w:hint="eastAsia" w:ascii="宋体" w:hAnsi="宋体" w:cs="宋体"/>
                <w:color w:val="auto"/>
                <w:sz w:val="21"/>
                <w:szCs w:val="21"/>
              </w:rPr>
              <w:t>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4A8A53D">
            <w:pPr>
              <w:ind w:firstLine="388"/>
              <w:rPr>
                <w:rFonts w:hint="eastAsia" w:ascii="宋体" w:hAnsi="宋体" w:cs="宋体"/>
                <w:color w:val="auto"/>
                <w:sz w:val="21"/>
                <w:szCs w:val="21"/>
              </w:rPr>
            </w:pPr>
            <w:r>
              <w:rPr>
                <w:rFonts w:hint="eastAsia" w:ascii="宋体" w:hAnsi="宋体" w:cs="宋体"/>
                <w:color w:val="auto"/>
                <w:spacing w:val="-8"/>
                <w:sz w:val="21"/>
                <w:szCs w:val="21"/>
              </w:rPr>
              <w:t>制动器的零部件不应有裂纹、过度磨损、塑性变形、缺件等缺陷。液压制动器不应漏油。制动片磨损达原厚度的50%或露出铆钉应报废。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270EC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CC0A5D">
            <w:pPr>
              <w:ind w:firstLine="422"/>
              <w:jc w:val="center"/>
              <w:rPr>
                <w:rFonts w:hint="eastAsia" w:ascii="宋体" w:hAnsi="宋体" w:cs="宋体"/>
                <w:b/>
                <w:bCs/>
                <w:snapToGrid w:val="0"/>
                <w:color w:val="auto"/>
                <w:sz w:val="21"/>
                <w:szCs w:val="21"/>
              </w:rPr>
            </w:pPr>
          </w:p>
        </w:tc>
      </w:tr>
      <w:tr w14:paraId="52E5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C88A14A">
            <w:pPr>
              <w:ind w:firstLine="422"/>
              <w:jc w:val="center"/>
              <w:rPr>
                <w:rFonts w:ascii="宋体" w:hAnsi="宋体" w:cs="宋体"/>
                <w:b/>
                <w:bCs/>
                <w:color w:val="auto"/>
                <w:sz w:val="21"/>
                <w:szCs w:val="21"/>
              </w:rPr>
            </w:pPr>
            <w:r>
              <w:rPr>
                <w:rFonts w:hint="eastAsia" w:ascii="宋体" w:hAnsi="宋体" w:cs="宋体"/>
                <w:b/>
                <w:bCs/>
                <w:color w:val="auto"/>
                <w:sz w:val="21"/>
                <w:szCs w:val="21"/>
              </w:rPr>
              <w:t>24</w:t>
            </w:r>
          </w:p>
        </w:tc>
        <w:tc>
          <w:tcPr>
            <w:tcW w:w="854" w:type="dxa"/>
            <w:vMerge w:val="continue"/>
            <w:tcBorders>
              <w:left w:val="single" w:color="auto" w:sz="4" w:space="0"/>
              <w:right w:val="single" w:color="auto" w:sz="4" w:space="0"/>
            </w:tcBorders>
            <w:noWrap w:val="0"/>
            <w:vAlign w:val="center"/>
          </w:tcPr>
          <w:p w14:paraId="5CF8237B">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36CA4F1">
            <w:pPr>
              <w:ind w:firstLine="388"/>
              <w:jc w:val="left"/>
              <w:rPr>
                <w:rFonts w:hint="eastAsia" w:ascii="宋体" w:hAnsi="宋体" w:cs="宋体"/>
                <w:color w:val="auto"/>
                <w:sz w:val="21"/>
                <w:szCs w:val="21"/>
              </w:rPr>
            </w:pPr>
            <w:r>
              <w:rPr>
                <w:rFonts w:hint="eastAsia" w:ascii="宋体" w:hAnsi="宋体" w:cs="宋体"/>
                <w:color w:val="auto"/>
                <w:spacing w:val="-8"/>
                <w:sz w:val="21"/>
                <w:szCs w:val="21"/>
              </w:rPr>
              <w:t>起重机每个机构都应装设制动器，起升机构的制动器应是常闭的。</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58690D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0B19A23">
            <w:pPr>
              <w:ind w:firstLine="422"/>
              <w:jc w:val="center"/>
              <w:rPr>
                <w:rFonts w:hint="eastAsia" w:ascii="宋体" w:hAnsi="宋体" w:cs="宋体"/>
                <w:b/>
                <w:bCs/>
                <w:snapToGrid w:val="0"/>
                <w:color w:val="auto"/>
                <w:sz w:val="21"/>
                <w:szCs w:val="21"/>
              </w:rPr>
            </w:pPr>
          </w:p>
        </w:tc>
      </w:tr>
      <w:tr w14:paraId="5A21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4850242">
            <w:pPr>
              <w:ind w:firstLine="422"/>
              <w:jc w:val="center"/>
              <w:rPr>
                <w:rFonts w:ascii="宋体" w:hAnsi="宋体" w:cs="宋体"/>
                <w:b/>
                <w:bCs/>
                <w:color w:val="auto"/>
                <w:sz w:val="21"/>
                <w:szCs w:val="21"/>
              </w:rPr>
            </w:pPr>
            <w:r>
              <w:rPr>
                <w:rFonts w:hint="eastAsia" w:ascii="宋体" w:hAnsi="宋体" w:cs="宋体"/>
                <w:b/>
                <w:bCs/>
                <w:color w:val="auto"/>
                <w:sz w:val="21"/>
                <w:szCs w:val="21"/>
              </w:rPr>
              <w:t>25</w:t>
            </w:r>
          </w:p>
        </w:tc>
        <w:tc>
          <w:tcPr>
            <w:tcW w:w="854" w:type="dxa"/>
            <w:vMerge w:val="continue"/>
            <w:tcBorders>
              <w:left w:val="single" w:color="auto" w:sz="4" w:space="0"/>
              <w:right w:val="single" w:color="auto" w:sz="4" w:space="0"/>
            </w:tcBorders>
            <w:noWrap w:val="0"/>
            <w:vAlign w:val="center"/>
          </w:tcPr>
          <w:p w14:paraId="47E6ABE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D49CF40">
            <w:pPr>
              <w:ind w:firstLine="420"/>
              <w:jc w:val="left"/>
              <w:rPr>
                <w:rFonts w:hint="eastAsia" w:ascii="宋体" w:hAnsi="宋体" w:cs="宋体"/>
                <w:color w:val="auto"/>
                <w:sz w:val="21"/>
                <w:szCs w:val="21"/>
              </w:rPr>
            </w:pPr>
            <w:r>
              <w:rPr>
                <w:rFonts w:hint="eastAsia" w:ascii="宋体" w:hAnsi="宋体" w:cs="宋体"/>
                <w:color w:val="auto"/>
                <w:sz w:val="21"/>
                <w:szCs w:val="21"/>
              </w:rPr>
              <w:t>制动轮与摩擦片之间应接触均匀，且不能有影响制动性能的缺陷或油污。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E8D0FC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64CA340">
            <w:pPr>
              <w:ind w:firstLine="422"/>
              <w:jc w:val="center"/>
              <w:rPr>
                <w:rFonts w:hint="eastAsia" w:ascii="宋体" w:hAnsi="宋体" w:cs="宋体"/>
                <w:b/>
                <w:bCs/>
                <w:snapToGrid w:val="0"/>
                <w:color w:val="auto"/>
                <w:sz w:val="21"/>
                <w:szCs w:val="21"/>
              </w:rPr>
            </w:pPr>
          </w:p>
        </w:tc>
      </w:tr>
      <w:tr w14:paraId="3DEC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B13C3DE">
            <w:pPr>
              <w:ind w:firstLine="422"/>
              <w:jc w:val="center"/>
              <w:rPr>
                <w:rFonts w:ascii="宋体" w:hAnsi="宋体" w:cs="宋体"/>
                <w:b/>
                <w:bCs/>
                <w:color w:val="auto"/>
                <w:sz w:val="21"/>
                <w:szCs w:val="21"/>
              </w:rPr>
            </w:pPr>
            <w:r>
              <w:rPr>
                <w:rFonts w:hint="eastAsia" w:ascii="宋体" w:hAnsi="宋体" w:cs="宋体"/>
                <w:b/>
                <w:bCs/>
                <w:color w:val="auto"/>
                <w:sz w:val="21"/>
                <w:szCs w:val="21"/>
              </w:rPr>
              <w:t>26</w:t>
            </w:r>
          </w:p>
        </w:tc>
        <w:tc>
          <w:tcPr>
            <w:tcW w:w="854" w:type="dxa"/>
            <w:vMerge w:val="continue"/>
            <w:tcBorders>
              <w:left w:val="single" w:color="auto" w:sz="4" w:space="0"/>
              <w:right w:val="single" w:color="auto" w:sz="4" w:space="0"/>
            </w:tcBorders>
            <w:noWrap w:val="0"/>
            <w:vAlign w:val="center"/>
          </w:tcPr>
          <w:p w14:paraId="3C441EC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2E5C19A">
            <w:pPr>
              <w:ind w:firstLine="420"/>
              <w:rPr>
                <w:rFonts w:hint="eastAsia" w:ascii="宋体" w:hAnsi="宋体" w:cs="宋体"/>
                <w:color w:val="auto"/>
                <w:sz w:val="21"/>
                <w:szCs w:val="21"/>
              </w:rPr>
            </w:pPr>
            <w:r>
              <w:rPr>
                <w:rFonts w:hint="eastAsia" w:ascii="宋体" w:hAnsi="宋体" w:cs="宋体"/>
                <w:color w:val="auto"/>
                <w:sz w:val="21"/>
                <w:szCs w:val="21"/>
              </w:rPr>
              <w:t>制动器调整适宜，制动平稳可靠。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1DBB2C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BA2DD44">
            <w:pPr>
              <w:ind w:firstLine="422"/>
              <w:jc w:val="center"/>
              <w:rPr>
                <w:rFonts w:hint="eastAsia" w:ascii="宋体" w:hAnsi="宋体" w:cs="宋体"/>
                <w:b/>
                <w:bCs/>
                <w:snapToGrid w:val="0"/>
                <w:color w:val="auto"/>
                <w:sz w:val="21"/>
                <w:szCs w:val="21"/>
              </w:rPr>
            </w:pPr>
          </w:p>
        </w:tc>
      </w:tr>
      <w:tr w14:paraId="4C3A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76BCEB4">
            <w:pPr>
              <w:ind w:firstLine="422"/>
              <w:jc w:val="center"/>
              <w:rPr>
                <w:rFonts w:ascii="宋体" w:hAnsi="宋体" w:cs="宋体"/>
                <w:b/>
                <w:bCs/>
                <w:color w:val="auto"/>
                <w:sz w:val="21"/>
                <w:szCs w:val="21"/>
              </w:rPr>
            </w:pPr>
            <w:r>
              <w:rPr>
                <w:rFonts w:hint="eastAsia" w:ascii="宋体" w:hAnsi="宋体" w:cs="宋体"/>
                <w:b/>
                <w:bCs/>
                <w:color w:val="auto"/>
                <w:sz w:val="21"/>
                <w:szCs w:val="21"/>
              </w:rPr>
              <w:t>27</w:t>
            </w:r>
          </w:p>
        </w:tc>
        <w:tc>
          <w:tcPr>
            <w:tcW w:w="854" w:type="dxa"/>
            <w:vMerge w:val="continue"/>
            <w:tcBorders>
              <w:left w:val="single" w:color="auto" w:sz="4" w:space="0"/>
              <w:bottom w:val="single" w:color="auto" w:sz="4" w:space="0"/>
              <w:right w:val="single" w:color="auto" w:sz="4" w:space="0"/>
            </w:tcBorders>
            <w:noWrap w:val="0"/>
            <w:vAlign w:val="center"/>
          </w:tcPr>
          <w:p w14:paraId="15683C5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9CF5DC7">
            <w:pPr>
              <w:ind w:firstLine="420"/>
              <w:rPr>
                <w:rFonts w:hint="eastAsia" w:ascii="宋体" w:hAnsi="宋体" w:cs="宋体"/>
                <w:color w:val="auto"/>
                <w:sz w:val="21"/>
                <w:szCs w:val="21"/>
              </w:rPr>
            </w:pPr>
            <w:r>
              <w:rPr>
                <w:rFonts w:hint="eastAsia" w:ascii="宋体" w:hAnsi="宋体" w:cs="宋体"/>
                <w:color w:val="auto"/>
                <w:sz w:val="21"/>
                <w:szCs w:val="21"/>
              </w:rPr>
              <w:t>制动轮应无裂纹（不包括制动轮表面淬硬层微裂纹），凹凸不平度不得大于1.5mm。不得有摩擦垫片固定铆钉引起的划痕。</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8B28CF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7F13A6">
            <w:pPr>
              <w:ind w:firstLine="422"/>
              <w:jc w:val="center"/>
              <w:rPr>
                <w:rFonts w:hint="eastAsia" w:ascii="宋体" w:hAnsi="宋体" w:cs="宋体"/>
                <w:b/>
                <w:bCs/>
                <w:snapToGrid w:val="0"/>
                <w:color w:val="auto"/>
                <w:sz w:val="21"/>
                <w:szCs w:val="21"/>
              </w:rPr>
            </w:pPr>
          </w:p>
        </w:tc>
      </w:tr>
      <w:tr w14:paraId="4C64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170B74A">
            <w:pPr>
              <w:ind w:firstLine="422"/>
              <w:jc w:val="center"/>
              <w:rPr>
                <w:rFonts w:ascii="宋体" w:hAnsi="宋体" w:cs="宋体"/>
                <w:b/>
                <w:bCs/>
                <w:color w:val="auto"/>
                <w:sz w:val="21"/>
                <w:szCs w:val="21"/>
              </w:rPr>
            </w:pPr>
            <w:r>
              <w:rPr>
                <w:rFonts w:hint="eastAsia" w:ascii="宋体" w:hAnsi="宋体" w:cs="宋体"/>
                <w:b/>
                <w:bCs/>
                <w:color w:val="auto"/>
                <w:sz w:val="21"/>
                <w:szCs w:val="21"/>
              </w:rPr>
              <w:t>28</w:t>
            </w:r>
          </w:p>
        </w:tc>
        <w:tc>
          <w:tcPr>
            <w:tcW w:w="854" w:type="dxa"/>
            <w:vMerge w:val="restart"/>
            <w:tcBorders>
              <w:top w:val="single" w:color="auto" w:sz="4" w:space="0"/>
              <w:left w:val="single" w:color="auto" w:sz="4" w:space="0"/>
              <w:right w:val="single" w:color="auto" w:sz="4" w:space="0"/>
            </w:tcBorders>
            <w:noWrap w:val="0"/>
            <w:vAlign w:val="center"/>
          </w:tcPr>
          <w:p w14:paraId="3BEF26EF">
            <w:pPr>
              <w:ind w:firstLine="420"/>
              <w:jc w:val="center"/>
              <w:rPr>
                <w:rFonts w:hint="eastAsia" w:ascii="宋体" w:hAnsi="宋体" w:cs="宋体"/>
                <w:color w:val="auto"/>
                <w:sz w:val="21"/>
                <w:szCs w:val="21"/>
              </w:rPr>
            </w:pPr>
            <w:r>
              <w:rPr>
                <w:rFonts w:hint="eastAsia" w:ascii="宋体" w:hAnsi="宋体" w:cs="宋体"/>
                <w:color w:val="auto"/>
                <w:sz w:val="21"/>
                <w:szCs w:val="21"/>
              </w:rPr>
              <w:t>9减速器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02F0F3A">
            <w:pPr>
              <w:ind w:firstLine="420"/>
              <w:rPr>
                <w:rFonts w:hint="eastAsia" w:ascii="宋体" w:hAnsi="宋体" w:cs="宋体"/>
                <w:color w:val="auto"/>
                <w:sz w:val="21"/>
                <w:szCs w:val="21"/>
              </w:rPr>
            </w:pPr>
            <w:r>
              <w:rPr>
                <w:rFonts w:hint="eastAsia" w:ascii="宋体" w:hAnsi="宋体" w:cs="宋体"/>
                <w:color w:val="auto"/>
                <w:sz w:val="21"/>
                <w:szCs w:val="21"/>
              </w:rPr>
              <w:t>地脚螺栓，壳体联接螺栓不得松动，螺栓不得缺损。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34D887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D3B956">
            <w:pPr>
              <w:ind w:firstLine="422"/>
              <w:jc w:val="center"/>
              <w:rPr>
                <w:rFonts w:hint="eastAsia" w:ascii="宋体" w:hAnsi="宋体" w:cs="宋体"/>
                <w:b/>
                <w:bCs/>
                <w:snapToGrid w:val="0"/>
                <w:color w:val="auto"/>
                <w:sz w:val="21"/>
                <w:szCs w:val="21"/>
              </w:rPr>
            </w:pPr>
          </w:p>
        </w:tc>
      </w:tr>
      <w:tr w14:paraId="32E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6C3359">
            <w:pPr>
              <w:ind w:firstLine="422"/>
              <w:jc w:val="center"/>
              <w:rPr>
                <w:rFonts w:ascii="宋体" w:hAnsi="宋体" w:cs="宋体"/>
                <w:b/>
                <w:bCs/>
                <w:color w:val="auto"/>
                <w:sz w:val="21"/>
                <w:szCs w:val="21"/>
              </w:rPr>
            </w:pPr>
            <w:r>
              <w:rPr>
                <w:rFonts w:hint="eastAsia" w:ascii="宋体" w:hAnsi="宋体" w:cs="宋体"/>
                <w:b/>
                <w:bCs/>
                <w:color w:val="auto"/>
                <w:sz w:val="21"/>
                <w:szCs w:val="21"/>
              </w:rPr>
              <w:t>29</w:t>
            </w:r>
          </w:p>
        </w:tc>
        <w:tc>
          <w:tcPr>
            <w:tcW w:w="854" w:type="dxa"/>
            <w:vMerge w:val="continue"/>
            <w:tcBorders>
              <w:left w:val="single" w:color="auto" w:sz="4" w:space="0"/>
              <w:bottom w:val="single" w:color="auto" w:sz="4" w:space="0"/>
              <w:right w:val="single" w:color="auto" w:sz="4" w:space="0"/>
            </w:tcBorders>
            <w:noWrap w:val="0"/>
            <w:vAlign w:val="center"/>
          </w:tcPr>
          <w:p w14:paraId="6702A82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3CA40C3">
            <w:pPr>
              <w:ind w:firstLine="372"/>
              <w:rPr>
                <w:rFonts w:hint="eastAsia" w:ascii="宋体" w:hAnsi="宋体" w:cs="宋体"/>
                <w:color w:val="auto"/>
                <w:sz w:val="21"/>
                <w:szCs w:val="21"/>
              </w:rPr>
            </w:pPr>
            <w:r>
              <w:rPr>
                <w:rFonts w:hint="eastAsia" w:ascii="宋体" w:hAnsi="宋体" w:cs="宋体"/>
                <w:color w:val="auto"/>
                <w:spacing w:val="-12"/>
                <w:sz w:val="21"/>
                <w:szCs w:val="21"/>
              </w:rPr>
              <w:t>工作时应无异常声响、振动、发热和漏油。</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6887D3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9ADC9C">
            <w:pPr>
              <w:ind w:firstLine="422"/>
              <w:jc w:val="center"/>
              <w:rPr>
                <w:rFonts w:hint="eastAsia" w:ascii="宋体" w:hAnsi="宋体" w:cs="宋体"/>
                <w:b/>
                <w:bCs/>
                <w:snapToGrid w:val="0"/>
                <w:color w:val="auto"/>
                <w:sz w:val="21"/>
                <w:szCs w:val="21"/>
              </w:rPr>
            </w:pPr>
          </w:p>
        </w:tc>
      </w:tr>
      <w:tr w14:paraId="7ADE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4F3C06B">
            <w:pPr>
              <w:ind w:firstLine="422"/>
              <w:jc w:val="center"/>
              <w:rPr>
                <w:rFonts w:ascii="宋体" w:hAnsi="宋体" w:cs="宋体"/>
                <w:b/>
                <w:bCs/>
                <w:color w:val="auto"/>
                <w:sz w:val="21"/>
                <w:szCs w:val="21"/>
              </w:rPr>
            </w:pPr>
            <w:r>
              <w:rPr>
                <w:rFonts w:hint="eastAsia" w:ascii="宋体" w:hAnsi="宋体" w:cs="宋体"/>
                <w:b/>
                <w:bCs/>
                <w:color w:val="auto"/>
                <w:sz w:val="21"/>
                <w:szCs w:val="21"/>
              </w:rPr>
              <w:t>30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85B6B96">
            <w:pPr>
              <w:ind w:firstLine="420"/>
              <w:jc w:val="center"/>
              <w:rPr>
                <w:rFonts w:ascii="宋体" w:hAnsi="宋体" w:cs="宋体"/>
                <w:color w:val="auto"/>
                <w:sz w:val="21"/>
                <w:szCs w:val="21"/>
              </w:rPr>
            </w:pPr>
            <w:r>
              <w:rPr>
                <w:rFonts w:hint="eastAsia" w:ascii="宋体" w:hAnsi="宋体" w:cs="宋体"/>
                <w:color w:val="auto"/>
                <w:sz w:val="21"/>
                <w:szCs w:val="21"/>
              </w:rPr>
              <w:t>10联轴器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ABF1DAE">
            <w:pPr>
              <w:ind w:firstLine="420"/>
              <w:rPr>
                <w:rFonts w:hint="eastAsia" w:ascii="宋体" w:hAnsi="宋体" w:cs="宋体"/>
                <w:color w:val="auto"/>
                <w:sz w:val="21"/>
                <w:szCs w:val="21"/>
              </w:rPr>
            </w:pPr>
            <w:r>
              <w:rPr>
                <w:rFonts w:hint="eastAsia" w:ascii="宋体" w:hAnsi="宋体" w:cs="宋体"/>
                <w:color w:val="auto"/>
                <w:sz w:val="21"/>
                <w:szCs w:val="21"/>
              </w:rPr>
              <w:t>零件无缺损，联接无松动，运转时无剧烈撞击声。</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8E4F9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EFEB0A">
            <w:pPr>
              <w:ind w:firstLine="422"/>
              <w:jc w:val="center"/>
              <w:rPr>
                <w:rFonts w:hint="eastAsia" w:ascii="宋体" w:hAnsi="宋体" w:cs="宋体"/>
                <w:b/>
                <w:bCs/>
                <w:snapToGrid w:val="0"/>
                <w:color w:val="auto"/>
                <w:sz w:val="21"/>
                <w:szCs w:val="21"/>
              </w:rPr>
            </w:pPr>
          </w:p>
        </w:tc>
      </w:tr>
      <w:tr w14:paraId="38CA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C8FC3D">
            <w:pPr>
              <w:ind w:firstLine="422"/>
              <w:jc w:val="center"/>
              <w:rPr>
                <w:rFonts w:ascii="宋体" w:hAnsi="宋体" w:cs="宋体"/>
                <w:b/>
                <w:bCs/>
                <w:color w:val="auto"/>
                <w:sz w:val="21"/>
                <w:szCs w:val="21"/>
              </w:rPr>
            </w:pPr>
            <w:r>
              <w:rPr>
                <w:rFonts w:hint="eastAsia" w:ascii="宋体" w:hAnsi="宋体" w:cs="宋体"/>
                <w:b/>
                <w:bCs/>
                <w:color w:val="auto"/>
                <w:sz w:val="21"/>
                <w:szCs w:val="21"/>
              </w:rPr>
              <w:t>31</w:t>
            </w:r>
          </w:p>
        </w:tc>
        <w:tc>
          <w:tcPr>
            <w:tcW w:w="854" w:type="dxa"/>
            <w:vMerge w:val="restart"/>
            <w:tcBorders>
              <w:top w:val="single" w:color="auto" w:sz="4" w:space="0"/>
              <w:left w:val="single" w:color="auto" w:sz="4" w:space="0"/>
              <w:right w:val="single" w:color="auto" w:sz="4" w:space="0"/>
            </w:tcBorders>
            <w:noWrap w:val="0"/>
            <w:vAlign w:val="center"/>
          </w:tcPr>
          <w:p w14:paraId="6648DBDB">
            <w:pPr>
              <w:ind w:firstLine="420"/>
              <w:jc w:val="center"/>
              <w:rPr>
                <w:rFonts w:ascii="宋体" w:hAnsi="宋体" w:cs="宋体"/>
                <w:color w:val="auto"/>
                <w:sz w:val="21"/>
                <w:szCs w:val="21"/>
              </w:rPr>
            </w:pPr>
            <w:r>
              <w:rPr>
                <w:rFonts w:hint="eastAsia" w:ascii="宋体" w:hAnsi="宋体" w:cs="宋体"/>
                <w:color w:val="auto"/>
                <w:sz w:val="21"/>
                <w:szCs w:val="21"/>
              </w:rPr>
              <w:t>11卷茼</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64958">
            <w:pPr>
              <w:ind w:firstLine="420"/>
              <w:rPr>
                <w:rFonts w:hint="eastAsia" w:ascii="宋体" w:hAnsi="宋体" w:cs="宋体"/>
                <w:color w:val="auto"/>
                <w:spacing w:val="-12"/>
                <w:sz w:val="21"/>
                <w:szCs w:val="21"/>
              </w:rPr>
            </w:pPr>
            <w:r>
              <w:rPr>
                <w:rFonts w:hint="eastAsia" w:ascii="宋体" w:hAnsi="宋体" w:cs="宋体"/>
                <w:color w:val="auto"/>
                <w:sz w:val="21"/>
                <w:szCs w:val="21"/>
              </w:rPr>
              <w:t>卷筒直径D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1</w:t>
            </w:r>
            <w:r>
              <w:rPr>
                <w:rFonts w:hint="eastAsia" w:ascii="宋体" w:hAnsi="宋体" w:cs="宋体"/>
                <w:color w:val="auto"/>
                <w:sz w:val="21"/>
                <w:szCs w:val="21"/>
              </w:rPr>
              <w:t>·d）的选取不应小于规定的数值。多层缠绕的卷筒，端部应有比最外层钢丝绳高出2.5倍钢丝绳直径的凸缘。卷筒上钢丝绳应排列有序，设有防钢丝绳脱槽装置。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006E2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909C33">
            <w:pPr>
              <w:ind w:firstLine="422"/>
              <w:jc w:val="center"/>
              <w:rPr>
                <w:rFonts w:hint="eastAsia" w:ascii="宋体" w:hAnsi="宋体" w:cs="宋体"/>
                <w:b/>
                <w:bCs/>
                <w:snapToGrid w:val="0"/>
                <w:color w:val="auto"/>
                <w:sz w:val="21"/>
                <w:szCs w:val="21"/>
              </w:rPr>
            </w:pPr>
          </w:p>
        </w:tc>
      </w:tr>
      <w:tr w14:paraId="2A16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EABF5C3">
            <w:pPr>
              <w:ind w:firstLine="422"/>
              <w:jc w:val="center"/>
              <w:rPr>
                <w:rFonts w:ascii="宋体" w:hAnsi="宋体" w:cs="宋体"/>
                <w:b/>
                <w:bCs/>
                <w:color w:val="auto"/>
                <w:sz w:val="21"/>
                <w:szCs w:val="21"/>
              </w:rPr>
            </w:pPr>
            <w:r>
              <w:rPr>
                <w:rFonts w:hint="eastAsia" w:ascii="宋体" w:hAnsi="宋体" w:cs="宋体"/>
                <w:b/>
                <w:bCs/>
                <w:color w:val="auto"/>
                <w:sz w:val="21"/>
                <w:szCs w:val="21"/>
              </w:rPr>
              <w:t>32</w:t>
            </w:r>
          </w:p>
        </w:tc>
        <w:tc>
          <w:tcPr>
            <w:tcW w:w="854" w:type="dxa"/>
            <w:vMerge w:val="continue"/>
            <w:tcBorders>
              <w:left w:val="single" w:color="auto" w:sz="4" w:space="0"/>
              <w:bottom w:val="single" w:color="auto" w:sz="4" w:space="0"/>
              <w:right w:val="single" w:color="auto" w:sz="4" w:space="0"/>
            </w:tcBorders>
            <w:noWrap w:val="0"/>
            <w:vAlign w:val="center"/>
          </w:tcPr>
          <w:p w14:paraId="6ABB441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A1A3E17">
            <w:pPr>
              <w:ind w:firstLine="420"/>
              <w:rPr>
                <w:rFonts w:hint="eastAsia" w:ascii="宋体" w:hAnsi="宋体" w:cs="宋体"/>
                <w:color w:val="auto"/>
                <w:sz w:val="21"/>
                <w:szCs w:val="21"/>
              </w:rPr>
            </w:pPr>
            <w:r>
              <w:rPr>
                <w:rFonts w:hint="eastAsia" w:ascii="宋体" w:hAnsi="宋体" w:cs="宋体"/>
                <w:color w:val="auto"/>
                <w:sz w:val="21"/>
                <w:szCs w:val="21"/>
              </w:rPr>
              <w:t>卷筒壁不应有裂纹，筒壁不应过度磨损。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A2C45E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3226029">
            <w:pPr>
              <w:ind w:firstLine="422"/>
              <w:jc w:val="center"/>
              <w:rPr>
                <w:rFonts w:hint="eastAsia" w:ascii="宋体" w:hAnsi="宋体" w:cs="宋体"/>
                <w:b/>
                <w:bCs/>
                <w:snapToGrid w:val="0"/>
                <w:color w:val="auto"/>
                <w:sz w:val="21"/>
                <w:szCs w:val="21"/>
              </w:rPr>
            </w:pPr>
          </w:p>
        </w:tc>
      </w:tr>
      <w:tr w14:paraId="396E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72666DA">
            <w:pPr>
              <w:ind w:firstLine="422"/>
              <w:jc w:val="center"/>
              <w:rPr>
                <w:rFonts w:ascii="宋体" w:hAnsi="宋体" w:cs="宋体"/>
                <w:b/>
                <w:bCs/>
                <w:color w:val="auto"/>
                <w:sz w:val="21"/>
                <w:szCs w:val="21"/>
              </w:rPr>
            </w:pPr>
            <w:r>
              <w:rPr>
                <w:rFonts w:hint="eastAsia" w:ascii="宋体" w:hAnsi="宋体" w:cs="宋体"/>
                <w:b/>
                <w:bCs/>
                <w:color w:val="auto"/>
                <w:sz w:val="21"/>
                <w:szCs w:val="21"/>
              </w:rPr>
              <w:t>33</w:t>
            </w:r>
          </w:p>
        </w:tc>
        <w:tc>
          <w:tcPr>
            <w:tcW w:w="854" w:type="dxa"/>
            <w:vMerge w:val="restart"/>
            <w:tcBorders>
              <w:top w:val="single" w:color="auto" w:sz="4" w:space="0"/>
              <w:left w:val="single" w:color="auto" w:sz="4" w:space="0"/>
              <w:right w:val="single" w:color="auto" w:sz="4" w:space="0"/>
            </w:tcBorders>
            <w:noWrap w:val="0"/>
            <w:vAlign w:val="center"/>
          </w:tcPr>
          <w:p w14:paraId="34B7C2AC">
            <w:pPr>
              <w:ind w:firstLine="420"/>
              <w:jc w:val="center"/>
              <w:rPr>
                <w:rFonts w:hint="eastAsia" w:ascii="宋体" w:hAnsi="宋体" w:cs="宋体"/>
                <w:color w:val="auto"/>
                <w:sz w:val="21"/>
                <w:szCs w:val="21"/>
              </w:rPr>
            </w:pPr>
            <w:r>
              <w:rPr>
                <w:rFonts w:hint="eastAsia" w:ascii="宋体" w:hAnsi="宋体" w:cs="宋体"/>
                <w:color w:val="auto"/>
                <w:sz w:val="21"/>
                <w:szCs w:val="21"/>
              </w:rPr>
              <w:t>12</w:t>
            </w:r>
          </w:p>
          <w:p w14:paraId="2808D3A2">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9FE9488">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66167F36">
            <w:pPr>
              <w:ind w:firstLine="420"/>
              <w:jc w:val="center"/>
              <w:rPr>
                <w:rFonts w:ascii="宋体" w:hAnsi="宋体" w:cs="宋体"/>
                <w:color w:val="auto"/>
                <w:sz w:val="21"/>
                <w:szCs w:val="21"/>
              </w:rPr>
            </w:pPr>
            <w:r>
              <w:rPr>
                <w:rFonts w:hint="eastAsia" w:ascii="宋体" w:hAnsi="宋体" w:cs="宋体"/>
                <w:color w:val="auto"/>
                <w:sz w:val="21"/>
                <w:szCs w:val="21"/>
              </w:rPr>
              <w:t>箱</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49A06EF">
            <w:pPr>
              <w:ind w:firstLine="420"/>
              <w:rPr>
                <w:rFonts w:hint="eastAsia" w:ascii="宋体" w:hAnsi="宋体" w:cs="宋体"/>
                <w:color w:val="auto"/>
                <w:spacing w:val="-12"/>
                <w:sz w:val="21"/>
                <w:szCs w:val="21"/>
              </w:rPr>
            </w:pPr>
            <w:r>
              <w:rPr>
                <w:rFonts w:hint="eastAsia" w:ascii="宋体" w:hAnsi="宋体" w:cs="宋体"/>
                <w:color w:val="auto"/>
                <w:sz w:val="21"/>
                <w:szCs w:val="21"/>
              </w:rPr>
              <w:t>柜体必须用螺栓与底座紧固，严禁焊接，柜前操作距离大于0.6m。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104AFF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877E58">
            <w:pPr>
              <w:ind w:firstLine="422"/>
              <w:jc w:val="center"/>
              <w:rPr>
                <w:rFonts w:hint="eastAsia" w:ascii="宋体" w:hAnsi="宋体" w:cs="宋体"/>
                <w:b/>
                <w:bCs/>
                <w:snapToGrid w:val="0"/>
                <w:color w:val="auto"/>
                <w:sz w:val="21"/>
                <w:szCs w:val="21"/>
              </w:rPr>
            </w:pPr>
          </w:p>
        </w:tc>
      </w:tr>
      <w:tr w14:paraId="63F1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3335F2B">
            <w:pPr>
              <w:ind w:firstLine="422"/>
              <w:jc w:val="center"/>
              <w:rPr>
                <w:rFonts w:ascii="宋体" w:hAnsi="宋体" w:cs="宋体"/>
                <w:b/>
                <w:bCs/>
                <w:color w:val="auto"/>
                <w:sz w:val="21"/>
                <w:szCs w:val="21"/>
              </w:rPr>
            </w:pPr>
            <w:r>
              <w:rPr>
                <w:rFonts w:hint="eastAsia" w:ascii="宋体" w:hAnsi="宋体" w:cs="宋体"/>
                <w:b/>
                <w:bCs/>
                <w:color w:val="auto"/>
                <w:sz w:val="21"/>
                <w:szCs w:val="21"/>
              </w:rPr>
              <w:t>34</w:t>
            </w:r>
          </w:p>
        </w:tc>
        <w:tc>
          <w:tcPr>
            <w:tcW w:w="854" w:type="dxa"/>
            <w:vMerge w:val="continue"/>
            <w:tcBorders>
              <w:left w:val="single" w:color="auto" w:sz="4" w:space="0"/>
              <w:bottom w:val="single" w:color="auto" w:sz="4" w:space="0"/>
              <w:right w:val="single" w:color="auto" w:sz="4" w:space="0"/>
            </w:tcBorders>
            <w:noWrap w:val="0"/>
            <w:vAlign w:val="center"/>
          </w:tcPr>
          <w:p w14:paraId="47F03DFE">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550C9B3">
            <w:pPr>
              <w:ind w:firstLine="404"/>
              <w:rPr>
                <w:rFonts w:hint="eastAsia" w:ascii="宋体" w:hAnsi="宋体" w:cs="宋体"/>
                <w:color w:val="auto"/>
                <w:spacing w:val="-12"/>
                <w:sz w:val="21"/>
                <w:szCs w:val="21"/>
              </w:rPr>
            </w:pPr>
            <w:r>
              <w:rPr>
                <w:rFonts w:hint="eastAsia" w:ascii="宋体" w:hAnsi="宋体" w:cs="宋体"/>
                <w:color w:val="auto"/>
                <w:spacing w:val="-4"/>
                <w:sz w:val="21"/>
                <w:szCs w:val="21"/>
              </w:rPr>
              <w:t>柜内一律采用铜质母线，接头压接牢固、可靠；所有紧固件均应采用铜质件或镀锌件。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AC9427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FA7BC2C">
            <w:pPr>
              <w:ind w:firstLine="422"/>
              <w:jc w:val="center"/>
              <w:rPr>
                <w:rFonts w:hint="eastAsia" w:ascii="宋体" w:hAnsi="宋体" w:cs="宋体"/>
                <w:b/>
                <w:bCs/>
                <w:snapToGrid w:val="0"/>
                <w:color w:val="auto"/>
                <w:sz w:val="21"/>
                <w:szCs w:val="21"/>
              </w:rPr>
            </w:pPr>
          </w:p>
        </w:tc>
      </w:tr>
      <w:tr w14:paraId="70B2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3461D84">
            <w:pPr>
              <w:ind w:firstLine="422"/>
              <w:jc w:val="center"/>
              <w:rPr>
                <w:rFonts w:ascii="宋体" w:hAnsi="宋体" w:cs="宋体"/>
                <w:b/>
                <w:bCs/>
                <w:color w:val="auto"/>
                <w:sz w:val="21"/>
                <w:szCs w:val="21"/>
              </w:rPr>
            </w:pPr>
            <w:r>
              <w:rPr>
                <w:rFonts w:hint="eastAsia" w:ascii="宋体" w:hAnsi="宋体" w:cs="宋体"/>
                <w:b/>
                <w:bCs/>
                <w:color w:val="auto"/>
                <w:sz w:val="21"/>
                <w:szCs w:val="21"/>
              </w:rPr>
              <w:t>35</w:t>
            </w:r>
          </w:p>
        </w:tc>
        <w:tc>
          <w:tcPr>
            <w:tcW w:w="854" w:type="dxa"/>
            <w:tcBorders>
              <w:left w:val="single" w:color="auto" w:sz="4" w:space="0"/>
              <w:bottom w:val="single" w:color="auto" w:sz="4" w:space="0"/>
              <w:right w:val="single" w:color="auto" w:sz="4" w:space="0"/>
            </w:tcBorders>
            <w:noWrap w:val="0"/>
            <w:vAlign w:val="center"/>
          </w:tcPr>
          <w:p w14:paraId="27A0E41A">
            <w:pPr>
              <w:ind w:firstLine="420"/>
              <w:jc w:val="center"/>
              <w:rPr>
                <w:rFonts w:ascii="宋体" w:hAnsi="宋体" w:cs="宋体"/>
                <w:color w:val="auto"/>
                <w:sz w:val="21"/>
                <w:szCs w:val="21"/>
              </w:rPr>
            </w:pPr>
            <w:r>
              <w:rPr>
                <w:rFonts w:hint="eastAsia" w:ascii="宋体" w:hAnsi="宋体" w:cs="宋体"/>
                <w:color w:val="auto"/>
                <w:sz w:val="21"/>
                <w:szCs w:val="21"/>
              </w:rPr>
              <w:t>13线路绝缘</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9E58E92">
            <w:pPr>
              <w:ind w:firstLine="420"/>
              <w:rPr>
                <w:rFonts w:hint="eastAsia" w:ascii="宋体" w:hAnsi="宋体" w:cs="宋体"/>
                <w:color w:val="auto"/>
                <w:spacing w:val="-4"/>
                <w:sz w:val="21"/>
                <w:szCs w:val="21"/>
              </w:rPr>
            </w:pPr>
            <w:r>
              <w:rPr>
                <w:rFonts w:hint="eastAsia" w:ascii="宋体" w:hAnsi="宋体" w:cs="宋体"/>
                <w:color w:val="auto"/>
                <w:sz w:val="21"/>
                <w:szCs w:val="21"/>
              </w:rPr>
              <w:t>额定电压不大于500V时，电气线路对地的绝缘电阻，一般环境中不低于0.8MΩ，潮湿环境中不低于0.4MΩ。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E7A8BA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3EA454">
            <w:pPr>
              <w:ind w:firstLine="422"/>
              <w:jc w:val="center"/>
              <w:rPr>
                <w:rFonts w:hint="eastAsia" w:ascii="宋体" w:hAnsi="宋体" w:cs="宋体"/>
                <w:b/>
                <w:bCs/>
                <w:snapToGrid w:val="0"/>
                <w:color w:val="auto"/>
                <w:sz w:val="21"/>
                <w:szCs w:val="21"/>
              </w:rPr>
            </w:pPr>
          </w:p>
        </w:tc>
      </w:tr>
      <w:tr w14:paraId="0888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C2E13B">
            <w:pPr>
              <w:ind w:firstLine="422"/>
              <w:jc w:val="center"/>
              <w:rPr>
                <w:rFonts w:ascii="宋体" w:hAnsi="宋体" w:cs="宋体"/>
                <w:b/>
                <w:bCs/>
                <w:color w:val="auto"/>
                <w:sz w:val="21"/>
                <w:szCs w:val="21"/>
              </w:rPr>
            </w:pPr>
            <w:r>
              <w:rPr>
                <w:rFonts w:hint="eastAsia" w:ascii="宋体" w:hAnsi="宋体" w:cs="宋体"/>
                <w:b/>
                <w:bCs/>
                <w:color w:val="auto"/>
                <w:sz w:val="21"/>
                <w:szCs w:val="21"/>
              </w:rPr>
              <w:t>36</w:t>
            </w:r>
          </w:p>
        </w:tc>
        <w:tc>
          <w:tcPr>
            <w:tcW w:w="854" w:type="dxa"/>
            <w:tcBorders>
              <w:left w:val="single" w:color="auto" w:sz="4" w:space="0"/>
              <w:bottom w:val="single" w:color="auto" w:sz="4" w:space="0"/>
              <w:right w:val="single" w:color="auto" w:sz="4" w:space="0"/>
            </w:tcBorders>
            <w:noWrap w:val="0"/>
            <w:vAlign w:val="center"/>
          </w:tcPr>
          <w:p w14:paraId="6ABFFA6E">
            <w:pPr>
              <w:ind w:firstLine="420"/>
              <w:jc w:val="center"/>
              <w:rPr>
                <w:rFonts w:hint="eastAsia" w:ascii="宋体" w:hAnsi="宋体" w:cs="宋体"/>
                <w:color w:val="auto"/>
                <w:sz w:val="21"/>
                <w:szCs w:val="21"/>
              </w:rPr>
            </w:pPr>
            <w:r>
              <w:rPr>
                <w:rFonts w:hint="eastAsia" w:ascii="宋体" w:hAnsi="宋体" w:cs="宋体"/>
                <w:color w:val="auto"/>
                <w:sz w:val="21"/>
                <w:szCs w:val="21"/>
              </w:rPr>
              <w:t>14</w:t>
            </w:r>
          </w:p>
          <w:p w14:paraId="37A4082A">
            <w:pPr>
              <w:ind w:firstLine="420"/>
              <w:jc w:val="center"/>
              <w:rPr>
                <w:rFonts w:hint="eastAsia" w:ascii="宋体" w:hAnsi="宋体" w:cs="宋体"/>
                <w:color w:val="auto"/>
                <w:sz w:val="21"/>
                <w:szCs w:val="21"/>
              </w:rPr>
            </w:pPr>
            <w:r>
              <w:rPr>
                <w:rFonts w:hint="eastAsia" w:ascii="宋体" w:hAnsi="宋体" w:cs="宋体"/>
                <w:color w:val="auto"/>
                <w:sz w:val="21"/>
                <w:szCs w:val="21"/>
              </w:rPr>
              <w:t>照</w:t>
            </w:r>
          </w:p>
          <w:p w14:paraId="03C8BA37">
            <w:pPr>
              <w:ind w:firstLine="420"/>
              <w:jc w:val="center"/>
              <w:rPr>
                <w:rFonts w:hint="eastAsia" w:ascii="宋体" w:hAnsi="宋体" w:cs="宋体"/>
                <w:color w:val="auto"/>
                <w:sz w:val="21"/>
                <w:szCs w:val="21"/>
              </w:rPr>
            </w:pPr>
            <w:r>
              <w:rPr>
                <w:rFonts w:hint="eastAsia" w:ascii="宋体" w:hAnsi="宋体" w:cs="宋体"/>
                <w:color w:val="auto"/>
                <w:sz w:val="21"/>
                <w:szCs w:val="21"/>
              </w:rPr>
              <w:t>明</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8394532">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的司机室应有合适的照明。照明应设专用电路，与动力电源分开设置，当动力电源切断时照明电源不能失电。起重机上宜设对作业面的照明，并应尽量考虑防震措施。固定式照明电源电压不得大于220V。无专用工作零线时，照明用220V交流电源应由隔离变压器获得，严禁采用起重机本体金属结构做照明电源回路。可移动式照明的电源电压不应超过36V，交流供电应使用安全隔离变压器，禁止用自藕变压器直接供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505F1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4977F4">
            <w:pPr>
              <w:ind w:firstLine="422"/>
              <w:jc w:val="center"/>
              <w:rPr>
                <w:rFonts w:hint="eastAsia" w:ascii="宋体" w:hAnsi="宋体" w:cs="宋体"/>
                <w:b/>
                <w:bCs/>
                <w:snapToGrid w:val="0"/>
                <w:color w:val="auto"/>
                <w:sz w:val="21"/>
                <w:szCs w:val="21"/>
              </w:rPr>
            </w:pPr>
          </w:p>
        </w:tc>
      </w:tr>
      <w:tr w14:paraId="4960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156AEF1">
            <w:pPr>
              <w:ind w:firstLine="422"/>
              <w:jc w:val="center"/>
              <w:rPr>
                <w:rFonts w:ascii="宋体" w:hAnsi="宋体" w:cs="宋体"/>
                <w:b/>
                <w:bCs/>
                <w:color w:val="auto"/>
                <w:sz w:val="21"/>
                <w:szCs w:val="21"/>
              </w:rPr>
            </w:pPr>
            <w:r>
              <w:rPr>
                <w:rFonts w:hint="eastAsia" w:ascii="宋体" w:hAnsi="宋体" w:cs="宋体"/>
                <w:b/>
                <w:bCs/>
                <w:color w:val="auto"/>
                <w:sz w:val="21"/>
                <w:szCs w:val="21"/>
              </w:rPr>
              <w:t>37</w:t>
            </w:r>
          </w:p>
        </w:tc>
        <w:tc>
          <w:tcPr>
            <w:tcW w:w="854" w:type="dxa"/>
            <w:vMerge w:val="restart"/>
            <w:tcBorders>
              <w:left w:val="single" w:color="auto" w:sz="4" w:space="0"/>
              <w:right w:val="single" w:color="auto" w:sz="4" w:space="0"/>
            </w:tcBorders>
            <w:noWrap w:val="0"/>
            <w:vAlign w:val="center"/>
          </w:tcPr>
          <w:p w14:paraId="17145DDA">
            <w:pPr>
              <w:ind w:firstLine="420"/>
              <w:jc w:val="center"/>
              <w:rPr>
                <w:rFonts w:hint="eastAsia" w:ascii="宋体" w:hAnsi="宋体" w:cs="宋体"/>
                <w:color w:val="auto"/>
                <w:sz w:val="21"/>
                <w:szCs w:val="21"/>
              </w:rPr>
            </w:pPr>
            <w:r>
              <w:rPr>
                <w:rFonts w:hint="eastAsia" w:ascii="宋体" w:hAnsi="宋体" w:cs="宋体"/>
                <w:color w:val="auto"/>
                <w:sz w:val="21"/>
                <w:szCs w:val="21"/>
              </w:rPr>
              <w:t>15</w:t>
            </w:r>
          </w:p>
          <w:p w14:paraId="06DE0626">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E838830">
            <w:pPr>
              <w:ind w:firstLine="420"/>
              <w:jc w:val="center"/>
              <w:rPr>
                <w:rFonts w:ascii="宋体" w:hAnsi="宋体" w:cs="宋体"/>
                <w:color w:val="auto"/>
                <w:sz w:val="21"/>
                <w:szCs w:val="21"/>
              </w:rPr>
            </w:pPr>
            <w:r>
              <w:rPr>
                <w:rFonts w:hint="eastAsia" w:ascii="宋体" w:hAnsi="宋体" w:cs="宋体"/>
                <w:color w:val="auto"/>
                <w:sz w:val="21"/>
                <w:szCs w:val="21"/>
              </w:rPr>
              <w:t>线</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7417EDB">
            <w:pPr>
              <w:ind w:firstLine="420"/>
              <w:rPr>
                <w:rFonts w:hint="eastAsia" w:ascii="宋体" w:hAnsi="宋体" w:cs="宋体"/>
                <w:color w:val="auto"/>
                <w:spacing w:val="-12"/>
                <w:sz w:val="21"/>
                <w:szCs w:val="21"/>
              </w:rPr>
            </w:pPr>
            <w:r>
              <w:rPr>
                <w:rFonts w:hint="eastAsia" w:ascii="宋体" w:hAnsi="宋体" w:cs="宋体"/>
                <w:color w:val="auto"/>
                <w:sz w:val="21"/>
                <w:szCs w:val="21"/>
              </w:rPr>
              <w:t>电线和电缆应采用铜芯多股线，在有机械损伤或油污侵蚀、化学腐蚀的场合，电线或电缆必须有防护措施或穿管保护，穿钢管应加保护电缆的护口。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316A88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CD4258E">
            <w:pPr>
              <w:ind w:firstLine="422"/>
              <w:jc w:val="center"/>
              <w:rPr>
                <w:rFonts w:hint="eastAsia" w:ascii="宋体" w:hAnsi="宋体" w:cs="宋体"/>
                <w:b/>
                <w:bCs/>
                <w:snapToGrid w:val="0"/>
                <w:color w:val="auto"/>
                <w:sz w:val="21"/>
                <w:szCs w:val="21"/>
              </w:rPr>
            </w:pPr>
          </w:p>
        </w:tc>
      </w:tr>
      <w:tr w14:paraId="6E9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4C49AA">
            <w:pPr>
              <w:ind w:firstLine="422"/>
              <w:jc w:val="center"/>
              <w:rPr>
                <w:rFonts w:ascii="宋体" w:hAnsi="宋体" w:cs="宋体"/>
                <w:b/>
                <w:bCs/>
                <w:color w:val="auto"/>
                <w:sz w:val="21"/>
                <w:szCs w:val="21"/>
              </w:rPr>
            </w:pPr>
            <w:r>
              <w:rPr>
                <w:rFonts w:hint="eastAsia" w:ascii="宋体" w:hAnsi="宋体" w:cs="宋体"/>
                <w:b/>
                <w:bCs/>
                <w:color w:val="auto"/>
                <w:sz w:val="21"/>
                <w:szCs w:val="21"/>
              </w:rPr>
              <w:t>38</w:t>
            </w:r>
          </w:p>
        </w:tc>
        <w:tc>
          <w:tcPr>
            <w:tcW w:w="854" w:type="dxa"/>
            <w:vMerge w:val="continue"/>
            <w:tcBorders>
              <w:left w:val="single" w:color="auto" w:sz="4" w:space="0"/>
              <w:right w:val="single" w:color="auto" w:sz="4" w:space="0"/>
            </w:tcBorders>
            <w:noWrap w:val="0"/>
            <w:vAlign w:val="center"/>
          </w:tcPr>
          <w:p w14:paraId="39293A2A">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1FA63C5">
            <w:pPr>
              <w:ind w:firstLine="420"/>
              <w:rPr>
                <w:rFonts w:hint="eastAsia" w:ascii="宋体" w:hAnsi="宋体" w:cs="宋体"/>
                <w:color w:val="auto"/>
                <w:spacing w:val="-12"/>
                <w:sz w:val="21"/>
                <w:szCs w:val="21"/>
              </w:rPr>
            </w:pPr>
            <w:r>
              <w:rPr>
                <w:rFonts w:hint="eastAsia" w:ascii="宋体" w:hAnsi="宋体" w:cs="宋体"/>
                <w:color w:val="auto"/>
                <w:sz w:val="21"/>
                <w:szCs w:val="21"/>
              </w:rPr>
              <w:t>各机构应分别布线，避免互相干扰，接线端口应分开连接。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2E2C04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4318D80">
            <w:pPr>
              <w:ind w:firstLine="422"/>
              <w:jc w:val="center"/>
              <w:rPr>
                <w:rFonts w:hint="eastAsia" w:ascii="宋体" w:hAnsi="宋体" w:cs="宋体"/>
                <w:b/>
                <w:bCs/>
                <w:snapToGrid w:val="0"/>
                <w:color w:val="auto"/>
                <w:sz w:val="21"/>
                <w:szCs w:val="21"/>
              </w:rPr>
            </w:pPr>
          </w:p>
        </w:tc>
      </w:tr>
      <w:tr w14:paraId="284B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A0DAD0A">
            <w:pPr>
              <w:ind w:firstLine="422"/>
              <w:jc w:val="center"/>
              <w:rPr>
                <w:rFonts w:ascii="宋体" w:hAnsi="宋体" w:cs="宋体"/>
                <w:b/>
                <w:bCs/>
                <w:color w:val="auto"/>
                <w:sz w:val="21"/>
                <w:szCs w:val="21"/>
              </w:rPr>
            </w:pPr>
            <w:r>
              <w:rPr>
                <w:rFonts w:hint="eastAsia" w:ascii="宋体" w:hAnsi="宋体" w:cs="宋体"/>
                <w:b/>
                <w:bCs/>
                <w:color w:val="auto"/>
                <w:sz w:val="21"/>
                <w:szCs w:val="21"/>
              </w:rPr>
              <w:t>39</w:t>
            </w:r>
          </w:p>
        </w:tc>
        <w:tc>
          <w:tcPr>
            <w:tcW w:w="854" w:type="dxa"/>
            <w:vMerge w:val="continue"/>
            <w:tcBorders>
              <w:left w:val="single" w:color="auto" w:sz="4" w:space="0"/>
              <w:bottom w:val="single" w:color="auto" w:sz="4" w:space="0"/>
              <w:right w:val="single" w:color="auto" w:sz="4" w:space="0"/>
            </w:tcBorders>
            <w:noWrap w:val="0"/>
            <w:vAlign w:val="center"/>
          </w:tcPr>
          <w:p w14:paraId="5B42500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E0FB3D9">
            <w:pPr>
              <w:ind w:firstLine="420"/>
              <w:rPr>
                <w:rFonts w:hint="eastAsia" w:ascii="宋体" w:hAnsi="宋体" w:cs="宋体"/>
                <w:color w:val="auto"/>
                <w:spacing w:val="-12"/>
                <w:sz w:val="21"/>
                <w:szCs w:val="21"/>
              </w:rPr>
            </w:pPr>
            <w:r>
              <w:rPr>
                <w:rFonts w:hint="eastAsia" w:ascii="宋体" w:hAnsi="宋体" w:cs="宋体"/>
                <w:color w:val="auto"/>
                <w:sz w:val="21"/>
                <w:szCs w:val="21"/>
              </w:rPr>
              <w:t>各机构电动机必须独立配线，不得用公共回路。</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B0EBB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4D9C70B">
            <w:pPr>
              <w:ind w:firstLine="422"/>
              <w:jc w:val="center"/>
              <w:rPr>
                <w:rFonts w:hint="eastAsia" w:ascii="宋体" w:hAnsi="宋体" w:cs="宋体"/>
                <w:b/>
                <w:bCs/>
                <w:snapToGrid w:val="0"/>
                <w:color w:val="auto"/>
                <w:sz w:val="21"/>
                <w:szCs w:val="21"/>
              </w:rPr>
            </w:pPr>
          </w:p>
        </w:tc>
      </w:tr>
      <w:tr w14:paraId="77CE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50FCB07">
            <w:pPr>
              <w:ind w:firstLine="422"/>
              <w:jc w:val="center"/>
              <w:rPr>
                <w:rFonts w:ascii="宋体" w:hAnsi="宋体" w:cs="宋体"/>
                <w:b/>
                <w:bCs/>
                <w:color w:val="auto"/>
                <w:sz w:val="21"/>
                <w:szCs w:val="21"/>
              </w:rPr>
            </w:pPr>
            <w:r>
              <w:rPr>
                <w:rFonts w:hint="eastAsia" w:ascii="宋体" w:hAnsi="宋体" w:cs="宋体"/>
                <w:b/>
                <w:bCs/>
                <w:color w:val="auto"/>
                <w:sz w:val="21"/>
                <w:szCs w:val="21"/>
              </w:rPr>
              <w:t>40</w:t>
            </w:r>
          </w:p>
        </w:tc>
        <w:tc>
          <w:tcPr>
            <w:tcW w:w="854" w:type="dxa"/>
            <w:vMerge w:val="restart"/>
            <w:tcBorders>
              <w:left w:val="single" w:color="auto" w:sz="4" w:space="0"/>
              <w:right w:val="single" w:color="auto" w:sz="4" w:space="0"/>
            </w:tcBorders>
            <w:noWrap w:val="0"/>
            <w:vAlign w:val="center"/>
          </w:tcPr>
          <w:p w14:paraId="2F98E63D">
            <w:pPr>
              <w:ind w:firstLine="420"/>
              <w:jc w:val="center"/>
              <w:rPr>
                <w:rFonts w:ascii="宋体" w:hAnsi="宋体" w:cs="宋体"/>
                <w:color w:val="auto"/>
                <w:sz w:val="21"/>
                <w:szCs w:val="21"/>
              </w:rPr>
            </w:pPr>
            <w:r>
              <w:rPr>
                <w:rFonts w:hint="eastAsia" w:ascii="宋体" w:hAnsi="宋体" w:cs="宋体"/>
                <w:color w:val="auto"/>
                <w:sz w:val="21"/>
                <w:szCs w:val="21"/>
              </w:rPr>
              <w:t>16接地和防雷</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03FFE25">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起重机所有的电气设备正常不带电的金属外壳必须可靠接地或接零；可开启的控制柜塔必须以软导线与接地金属构件可靠地连接。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F994CE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08D7C0">
            <w:pPr>
              <w:ind w:firstLine="422"/>
              <w:jc w:val="center"/>
              <w:rPr>
                <w:rFonts w:hint="eastAsia" w:ascii="宋体" w:hAnsi="宋体" w:cs="宋体"/>
                <w:b/>
                <w:bCs/>
                <w:snapToGrid w:val="0"/>
                <w:color w:val="auto"/>
                <w:sz w:val="21"/>
                <w:szCs w:val="21"/>
              </w:rPr>
            </w:pPr>
          </w:p>
        </w:tc>
      </w:tr>
      <w:tr w14:paraId="5205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2F1FEC8">
            <w:pPr>
              <w:ind w:firstLine="422"/>
              <w:jc w:val="center"/>
              <w:rPr>
                <w:rFonts w:ascii="宋体" w:hAnsi="宋体" w:cs="宋体"/>
                <w:b/>
                <w:bCs/>
                <w:color w:val="auto"/>
                <w:sz w:val="21"/>
                <w:szCs w:val="21"/>
              </w:rPr>
            </w:pPr>
            <w:r>
              <w:rPr>
                <w:rFonts w:hint="eastAsia" w:ascii="宋体" w:hAnsi="宋体" w:cs="宋体"/>
                <w:b/>
                <w:bCs/>
                <w:color w:val="auto"/>
                <w:sz w:val="21"/>
                <w:szCs w:val="21"/>
              </w:rPr>
              <w:t>41</w:t>
            </w:r>
          </w:p>
        </w:tc>
        <w:tc>
          <w:tcPr>
            <w:tcW w:w="854" w:type="dxa"/>
            <w:vMerge w:val="continue"/>
            <w:tcBorders>
              <w:left w:val="single" w:color="auto" w:sz="4" w:space="0"/>
              <w:right w:val="single" w:color="auto" w:sz="4" w:space="0"/>
            </w:tcBorders>
            <w:noWrap w:val="0"/>
            <w:vAlign w:val="center"/>
          </w:tcPr>
          <w:p w14:paraId="541598B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70CECA1">
            <w:pPr>
              <w:ind w:firstLine="420"/>
              <w:rPr>
                <w:rFonts w:hint="eastAsia" w:ascii="宋体" w:hAnsi="宋体" w:cs="宋体"/>
                <w:color w:val="auto"/>
                <w:spacing w:val="-4"/>
                <w:sz w:val="21"/>
                <w:szCs w:val="21"/>
              </w:rPr>
            </w:pPr>
            <w:r>
              <w:rPr>
                <w:rFonts w:hint="eastAsia" w:ascii="宋体" w:hAnsi="宋体" w:cs="宋体"/>
                <w:color w:val="auto"/>
                <w:sz w:val="21"/>
                <w:szCs w:val="21"/>
              </w:rPr>
              <w:t>具备整体金属结构的部分，其金属结构可用作接地干线；在金属结构非焊接处较多的部位，应设接地干线。</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C2A3A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4704A3">
            <w:pPr>
              <w:ind w:firstLine="422"/>
              <w:jc w:val="center"/>
              <w:rPr>
                <w:rFonts w:hint="eastAsia" w:ascii="宋体" w:hAnsi="宋体" w:cs="宋体"/>
                <w:b/>
                <w:bCs/>
                <w:snapToGrid w:val="0"/>
                <w:color w:val="auto"/>
                <w:sz w:val="21"/>
                <w:szCs w:val="21"/>
              </w:rPr>
            </w:pPr>
          </w:p>
        </w:tc>
      </w:tr>
      <w:tr w14:paraId="2898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05CCBDB">
            <w:pPr>
              <w:ind w:firstLine="422"/>
              <w:jc w:val="center"/>
              <w:rPr>
                <w:rFonts w:ascii="宋体" w:hAnsi="宋体" w:cs="宋体"/>
                <w:b/>
                <w:bCs/>
                <w:color w:val="auto"/>
                <w:sz w:val="21"/>
                <w:szCs w:val="21"/>
              </w:rPr>
            </w:pPr>
            <w:r>
              <w:rPr>
                <w:rFonts w:hint="eastAsia" w:ascii="宋体" w:hAnsi="宋体" w:cs="宋体"/>
                <w:b/>
                <w:bCs/>
                <w:color w:val="auto"/>
                <w:sz w:val="21"/>
                <w:szCs w:val="21"/>
              </w:rPr>
              <w:t>42</w:t>
            </w:r>
          </w:p>
        </w:tc>
        <w:tc>
          <w:tcPr>
            <w:tcW w:w="854" w:type="dxa"/>
            <w:vMerge w:val="continue"/>
            <w:tcBorders>
              <w:left w:val="single" w:color="auto" w:sz="4" w:space="0"/>
              <w:right w:val="single" w:color="auto" w:sz="4" w:space="0"/>
            </w:tcBorders>
            <w:noWrap w:val="0"/>
            <w:vAlign w:val="center"/>
          </w:tcPr>
          <w:p w14:paraId="2B52169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96352D1">
            <w:pPr>
              <w:ind w:firstLine="420"/>
              <w:rPr>
                <w:rFonts w:hint="eastAsia" w:ascii="宋体" w:hAnsi="宋体" w:cs="宋体"/>
                <w:color w:val="auto"/>
                <w:spacing w:val="-4"/>
                <w:sz w:val="21"/>
                <w:szCs w:val="21"/>
              </w:rPr>
            </w:pPr>
            <w:r>
              <w:rPr>
                <w:rFonts w:hint="eastAsia" w:ascii="宋体" w:hAnsi="宋体" w:cs="宋体"/>
                <w:color w:val="auto"/>
                <w:sz w:val="21"/>
                <w:szCs w:val="21"/>
              </w:rPr>
              <w:t>接地线与零线应分开。</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3B60CB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A063C92">
            <w:pPr>
              <w:ind w:firstLine="422"/>
              <w:jc w:val="center"/>
              <w:rPr>
                <w:rFonts w:hint="eastAsia" w:ascii="宋体" w:hAnsi="宋体" w:cs="宋体"/>
                <w:b/>
                <w:bCs/>
                <w:snapToGrid w:val="0"/>
                <w:color w:val="auto"/>
                <w:sz w:val="21"/>
                <w:szCs w:val="21"/>
              </w:rPr>
            </w:pPr>
          </w:p>
        </w:tc>
      </w:tr>
      <w:tr w14:paraId="281F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E63AA2">
            <w:pPr>
              <w:ind w:firstLine="422"/>
              <w:jc w:val="center"/>
              <w:rPr>
                <w:rFonts w:ascii="宋体" w:hAnsi="宋体" w:cs="宋体"/>
                <w:b/>
                <w:bCs/>
                <w:color w:val="auto"/>
                <w:sz w:val="21"/>
                <w:szCs w:val="21"/>
              </w:rPr>
            </w:pPr>
            <w:r>
              <w:rPr>
                <w:rFonts w:hint="eastAsia" w:ascii="宋体" w:hAnsi="宋体" w:cs="宋体"/>
                <w:b/>
                <w:bCs/>
                <w:color w:val="auto"/>
                <w:sz w:val="21"/>
                <w:szCs w:val="21"/>
              </w:rPr>
              <w:t>43</w:t>
            </w:r>
          </w:p>
        </w:tc>
        <w:tc>
          <w:tcPr>
            <w:tcW w:w="854" w:type="dxa"/>
            <w:vMerge w:val="continue"/>
            <w:tcBorders>
              <w:left w:val="single" w:color="auto" w:sz="4" w:space="0"/>
              <w:right w:val="single" w:color="auto" w:sz="4" w:space="0"/>
            </w:tcBorders>
            <w:noWrap w:val="0"/>
            <w:vAlign w:val="center"/>
          </w:tcPr>
          <w:p w14:paraId="6BF80A5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F9A761E">
            <w:pPr>
              <w:ind w:firstLine="420"/>
              <w:rPr>
                <w:rFonts w:hint="eastAsia" w:ascii="宋体" w:hAnsi="宋体" w:cs="宋体"/>
                <w:color w:val="auto"/>
                <w:spacing w:val="-4"/>
                <w:sz w:val="21"/>
                <w:szCs w:val="21"/>
              </w:rPr>
            </w:pPr>
            <w:r>
              <w:rPr>
                <w:rFonts w:hint="eastAsia" w:ascii="宋体" w:hAnsi="宋体" w:cs="宋体"/>
                <w:color w:val="auto"/>
                <w:sz w:val="21"/>
                <w:szCs w:val="21"/>
              </w:rPr>
              <w:t>接地电阻应小于4Ω，整机接地电阻应小于10Ω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D78D58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31DEC10">
            <w:pPr>
              <w:ind w:firstLine="422"/>
              <w:jc w:val="center"/>
              <w:rPr>
                <w:rFonts w:hint="eastAsia" w:ascii="宋体" w:hAnsi="宋体" w:cs="宋体"/>
                <w:b/>
                <w:bCs/>
                <w:snapToGrid w:val="0"/>
                <w:color w:val="auto"/>
                <w:sz w:val="21"/>
                <w:szCs w:val="21"/>
              </w:rPr>
            </w:pPr>
          </w:p>
        </w:tc>
      </w:tr>
      <w:tr w14:paraId="115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E2E5394">
            <w:pPr>
              <w:ind w:firstLine="422"/>
              <w:jc w:val="center"/>
              <w:rPr>
                <w:rFonts w:ascii="宋体" w:hAnsi="宋体" w:cs="宋体"/>
                <w:b/>
                <w:bCs/>
                <w:color w:val="auto"/>
                <w:sz w:val="21"/>
                <w:szCs w:val="21"/>
              </w:rPr>
            </w:pPr>
            <w:r>
              <w:rPr>
                <w:rFonts w:hint="eastAsia" w:ascii="宋体" w:hAnsi="宋体" w:cs="宋体"/>
                <w:b/>
                <w:bCs/>
                <w:color w:val="auto"/>
                <w:sz w:val="21"/>
                <w:szCs w:val="21"/>
              </w:rPr>
              <w:t>44</w:t>
            </w:r>
          </w:p>
        </w:tc>
        <w:tc>
          <w:tcPr>
            <w:tcW w:w="854" w:type="dxa"/>
            <w:vMerge w:val="restart"/>
            <w:tcBorders>
              <w:left w:val="single" w:color="auto" w:sz="4" w:space="0"/>
              <w:right w:val="single" w:color="auto" w:sz="4" w:space="0"/>
            </w:tcBorders>
            <w:noWrap w:val="0"/>
            <w:vAlign w:val="center"/>
          </w:tcPr>
          <w:p w14:paraId="4ECCF300">
            <w:pPr>
              <w:ind w:firstLine="420"/>
              <w:jc w:val="center"/>
              <w:rPr>
                <w:rFonts w:hint="eastAsia" w:ascii="宋体" w:hAnsi="宋体" w:cs="宋体"/>
                <w:color w:val="auto"/>
                <w:sz w:val="21"/>
                <w:szCs w:val="21"/>
              </w:rPr>
            </w:pPr>
            <w:r>
              <w:rPr>
                <w:rFonts w:hint="eastAsia" w:ascii="宋体" w:hAnsi="宋体" w:cs="宋体"/>
                <w:color w:val="auto"/>
                <w:sz w:val="21"/>
                <w:szCs w:val="21"/>
              </w:rPr>
              <w:t>17</w:t>
            </w:r>
          </w:p>
          <w:p w14:paraId="62F9369B">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499C8692">
            <w:pPr>
              <w:ind w:firstLine="420"/>
              <w:jc w:val="center"/>
              <w:rPr>
                <w:rFonts w:hint="eastAsia" w:ascii="宋体" w:hAnsi="宋体" w:cs="宋体"/>
                <w:color w:val="auto"/>
                <w:sz w:val="21"/>
                <w:szCs w:val="21"/>
              </w:rPr>
            </w:pPr>
            <w:r>
              <w:rPr>
                <w:rFonts w:hint="eastAsia" w:ascii="宋体" w:hAnsi="宋体" w:cs="宋体"/>
                <w:color w:val="auto"/>
                <w:sz w:val="21"/>
                <w:szCs w:val="21"/>
              </w:rPr>
              <w:t>气</w:t>
            </w:r>
          </w:p>
          <w:p w14:paraId="7DE37361">
            <w:pPr>
              <w:ind w:firstLine="420"/>
              <w:jc w:val="center"/>
              <w:rPr>
                <w:rFonts w:hint="eastAsia" w:ascii="宋体" w:hAnsi="宋体" w:cs="宋体"/>
                <w:color w:val="auto"/>
                <w:sz w:val="21"/>
                <w:szCs w:val="21"/>
              </w:rPr>
            </w:pPr>
            <w:r>
              <w:rPr>
                <w:rFonts w:hint="eastAsia" w:ascii="宋体" w:hAnsi="宋体" w:cs="宋体"/>
                <w:color w:val="auto"/>
                <w:sz w:val="21"/>
                <w:szCs w:val="21"/>
              </w:rPr>
              <w:t>保</w:t>
            </w:r>
          </w:p>
          <w:p w14:paraId="04DF3A63">
            <w:pPr>
              <w:ind w:firstLine="420"/>
              <w:jc w:val="center"/>
              <w:rPr>
                <w:rFonts w:ascii="宋体" w:hAnsi="宋体" w:cs="宋体"/>
                <w:color w:val="auto"/>
                <w:sz w:val="21"/>
                <w:szCs w:val="21"/>
              </w:rPr>
            </w:pPr>
            <w:r>
              <w:rPr>
                <w:rFonts w:hint="eastAsia" w:ascii="宋体" w:hAnsi="宋体" w:cs="宋体"/>
                <w:color w:val="auto"/>
                <w:sz w:val="21"/>
                <w:szCs w:val="21"/>
              </w:rPr>
              <w:t>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6FC2226">
            <w:pPr>
              <w:ind w:firstLine="420"/>
              <w:rPr>
                <w:rFonts w:ascii="宋体" w:hAnsi="宋体" w:cs="宋体"/>
                <w:color w:val="auto"/>
                <w:sz w:val="21"/>
                <w:szCs w:val="21"/>
              </w:rPr>
            </w:pPr>
            <w:r>
              <w:rPr>
                <w:rFonts w:hint="eastAsia" w:ascii="宋体" w:hAnsi="宋体" w:cs="宋体"/>
                <w:color w:val="auto"/>
                <w:sz w:val="21"/>
                <w:szCs w:val="21"/>
              </w:rPr>
              <w:t>总电源回路的短路保护</w:t>
            </w:r>
          </w:p>
          <w:p w14:paraId="30970755">
            <w:pPr>
              <w:ind w:firstLine="420"/>
              <w:rPr>
                <w:rFonts w:hint="eastAsia" w:ascii="宋体" w:hAnsi="宋体" w:cs="宋体"/>
                <w:color w:val="auto"/>
                <w:sz w:val="21"/>
                <w:szCs w:val="21"/>
              </w:rPr>
            </w:pPr>
            <w:r>
              <w:rPr>
                <w:rFonts w:hint="eastAsia" w:ascii="宋体" w:hAnsi="宋体" w:cs="宋体"/>
                <w:color w:val="auto"/>
                <w:sz w:val="21"/>
                <w:szCs w:val="21"/>
              </w:rPr>
              <w:t>起重机总电源回路至少应有一级短路保护。短路保护应由自动断路器或熔断器来实现。自动断路器每相均应有瞬时动作的过电流脱扣器，其整定值应随自动开关的型式而定。熔断器熔体的额定电流应按起重机尖峰电流的1/2～1/1.6选取。</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59ACC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5D67C7">
            <w:pPr>
              <w:ind w:firstLine="422"/>
              <w:jc w:val="center"/>
              <w:rPr>
                <w:rFonts w:hint="eastAsia" w:ascii="宋体" w:hAnsi="宋体" w:cs="宋体"/>
                <w:b/>
                <w:bCs/>
                <w:snapToGrid w:val="0"/>
                <w:color w:val="auto"/>
                <w:sz w:val="21"/>
                <w:szCs w:val="21"/>
              </w:rPr>
            </w:pPr>
          </w:p>
        </w:tc>
      </w:tr>
      <w:tr w14:paraId="451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29E50C8">
            <w:pPr>
              <w:ind w:firstLine="422"/>
              <w:jc w:val="left"/>
              <w:rPr>
                <w:rFonts w:ascii="宋体" w:hAnsi="宋体" w:cs="宋体"/>
                <w:b/>
                <w:bCs/>
                <w:color w:val="auto"/>
                <w:sz w:val="21"/>
                <w:szCs w:val="21"/>
              </w:rPr>
            </w:pPr>
            <w:r>
              <w:rPr>
                <w:rFonts w:ascii="宋体" w:hAnsi="宋体" w:cs="宋体"/>
                <w:b/>
                <w:bCs/>
                <w:color w:val="auto"/>
                <w:sz w:val="21"/>
                <w:szCs w:val="21"/>
              </w:rPr>
              <w:t>55</w:t>
            </w:r>
          </w:p>
        </w:tc>
        <w:tc>
          <w:tcPr>
            <w:tcW w:w="854" w:type="dxa"/>
            <w:vMerge w:val="continue"/>
            <w:tcBorders>
              <w:left w:val="single" w:color="auto" w:sz="4" w:space="0"/>
              <w:right w:val="single" w:color="auto" w:sz="4" w:space="0"/>
            </w:tcBorders>
            <w:noWrap w:val="0"/>
            <w:vAlign w:val="center"/>
          </w:tcPr>
          <w:p w14:paraId="64FE816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9378E7A">
            <w:pPr>
              <w:ind w:firstLine="420"/>
              <w:rPr>
                <w:rFonts w:hint="eastAsia" w:ascii="宋体" w:hAnsi="宋体" w:cs="宋体"/>
                <w:color w:val="auto"/>
                <w:sz w:val="21"/>
                <w:szCs w:val="21"/>
              </w:rPr>
            </w:pPr>
            <w:r>
              <w:rPr>
                <w:rFonts w:hint="eastAsia" w:ascii="宋体" w:hAnsi="宋体" w:cs="宋体"/>
                <w:color w:val="auto"/>
                <w:sz w:val="21"/>
                <w:szCs w:val="21"/>
              </w:rPr>
              <w:t>断错相保护；供电电源应设断错相保护装置。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F8094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7AF433">
            <w:pPr>
              <w:ind w:firstLine="422"/>
              <w:jc w:val="center"/>
              <w:rPr>
                <w:rFonts w:hint="eastAsia" w:ascii="宋体" w:hAnsi="宋体" w:cs="宋体"/>
                <w:b/>
                <w:bCs/>
                <w:snapToGrid w:val="0"/>
                <w:color w:val="auto"/>
                <w:sz w:val="21"/>
                <w:szCs w:val="21"/>
              </w:rPr>
            </w:pPr>
          </w:p>
        </w:tc>
      </w:tr>
      <w:tr w14:paraId="1AFF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5B9BBBD">
            <w:pPr>
              <w:ind w:firstLine="422"/>
              <w:jc w:val="center"/>
              <w:rPr>
                <w:rFonts w:ascii="宋体" w:hAnsi="宋体" w:cs="宋体"/>
                <w:b/>
                <w:bCs/>
                <w:color w:val="auto"/>
                <w:sz w:val="21"/>
                <w:szCs w:val="21"/>
              </w:rPr>
            </w:pPr>
            <w:r>
              <w:rPr>
                <w:rFonts w:hint="eastAsia" w:ascii="宋体" w:hAnsi="宋体" w:cs="宋体"/>
                <w:b/>
                <w:bCs/>
                <w:color w:val="auto"/>
                <w:sz w:val="21"/>
                <w:szCs w:val="21"/>
              </w:rPr>
              <w:t>46</w:t>
            </w:r>
          </w:p>
        </w:tc>
        <w:tc>
          <w:tcPr>
            <w:tcW w:w="854" w:type="dxa"/>
            <w:vMerge w:val="continue"/>
            <w:tcBorders>
              <w:left w:val="single" w:color="auto" w:sz="4" w:space="0"/>
              <w:right w:val="single" w:color="auto" w:sz="4" w:space="0"/>
            </w:tcBorders>
            <w:noWrap w:val="0"/>
            <w:vAlign w:val="center"/>
          </w:tcPr>
          <w:p w14:paraId="343067B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9FC9B64">
            <w:pPr>
              <w:ind w:firstLine="372"/>
              <w:rPr>
                <w:rFonts w:ascii="宋体" w:hAnsi="宋体" w:cs="宋体"/>
                <w:color w:val="auto"/>
                <w:spacing w:val="-12"/>
                <w:sz w:val="21"/>
                <w:szCs w:val="21"/>
              </w:rPr>
            </w:pPr>
            <w:r>
              <w:rPr>
                <w:rFonts w:hint="eastAsia" w:ascii="宋体" w:hAnsi="宋体" w:cs="宋体"/>
                <w:color w:val="auto"/>
                <w:spacing w:val="-12"/>
                <w:sz w:val="21"/>
                <w:szCs w:val="21"/>
              </w:rPr>
              <w:t>机构的过流保护</w:t>
            </w:r>
          </w:p>
          <w:p w14:paraId="646069E3">
            <w:pPr>
              <w:ind w:firstLine="420"/>
              <w:rPr>
                <w:rFonts w:ascii="宋体" w:hAnsi="宋体" w:cs="宋体"/>
                <w:color w:val="auto"/>
                <w:sz w:val="21"/>
                <w:szCs w:val="21"/>
              </w:rPr>
            </w:pPr>
            <w:r>
              <w:rPr>
                <w:rFonts w:hint="eastAsia" w:ascii="宋体" w:hAnsi="宋体" w:cs="宋体"/>
                <w:color w:val="auto"/>
                <w:sz w:val="21"/>
                <w:szCs w:val="21"/>
              </w:rPr>
              <w:t>起重机上的每个机构均应单独设置过流保护。交流绕线式异步电动机可以采用过电流继电器。笼型交流电动机可采用热继电器或带热脱扣器的自动断路器做过载保护。</w:t>
            </w:r>
          </w:p>
          <w:p w14:paraId="7D96541E">
            <w:pPr>
              <w:ind w:firstLine="420"/>
              <w:rPr>
                <w:rFonts w:hint="eastAsia" w:ascii="宋体" w:hAnsi="宋体" w:cs="宋体"/>
                <w:color w:val="auto"/>
                <w:spacing w:val="-12"/>
                <w:sz w:val="21"/>
                <w:szCs w:val="21"/>
              </w:rPr>
            </w:pPr>
            <w:r>
              <w:rPr>
                <w:rFonts w:hint="eastAsia" w:ascii="宋体" w:hAnsi="宋体" w:cs="宋体"/>
                <w:color w:val="auto"/>
                <w:sz w:val="21"/>
                <w:szCs w:val="21"/>
              </w:rPr>
              <w:t>采用过电流继电器保护绕线式异步电动机时，在两相中设置的过电流继电器的整定值应不大于电动机额定电流的2.5倍。在第三相中的总过电流继电器的整定值应不大于电动机额定电流的2.25倍加上其余各机构电动机额定电流之和。保护笼型交流电动机的热继电器整定值应不大于电动机额定电流的1.1倍。</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D3C9D0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9EF121">
            <w:pPr>
              <w:ind w:firstLine="422"/>
              <w:jc w:val="center"/>
              <w:rPr>
                <w:rFonts w:hint="eastAsia" w:ascii="宋体" w:hAnsi="宋体" w:cs="宋体"/>
                <w:b/>
                <w:bCs/>
                <w:snapToGrid w:val="0"/>
                <w:color w:val="auto"/>
                <w:sz w:val="21"/>
                <w:szCs w:val="21"/>
              </w:rPr>
            </w:pPr>
          </w:p>
        </w:tc>
      </w:tr>
      <w:tr w14:paraId="1326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5D0533C">
            <w:pPr>
              <w:ind w:firstLine="422"/>
              <w:jc w:val="center"/>
              <w:rPr>
                <w:rFonts w:ascii="宋体" w:hAnsi="宋体" w:cs="宋体"/>
                <w:b/>
                <w:bCs/>
                <w:color w:val="auto"/>
                <w:sz w:val="21"/>
                <w:szCs w:val="21"/>
              </w:rPr>
            </w:pPr>
            <w:r>
              <w:rPr>
                <w:rFonts w:hint="eastAsia" w:ascii="宋体" w:hAnsi="宋体" w:cs="宋体"/>
                <w:b/>
                <w:bCs/>
                <w:color w:val="auto"/>
                <w:sz w:val="21"/>
                <w:szCs w:val="21"/>
              </w:rPr>
              <w:t>47</w:t>
            </w:r>
          </w:p>
        </w:tc>
        <w:tc>
          <w:tcPr>
            <w:tcW w:w="854" w:type="dxa"/>
            <w:vMerge w:val="continue"/>
            <w:tcBorders>
              <w:left w:val="single" w:color="auto" w:sz="4" w:space="0"/>
              <w:right w:val="single" w:color="auto" w:sz="4" w:space="0"/>
            </w:tcBorders>
            <w:noWrap w:val="0"/>
            <w:vAlign w:val="center"/>
          </w:tcPr>
          <w:p w14:paraId="364FE25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0AB44A2">
            <w:pPr>
              <w:ind w:firstLine="420"/>
              <w:rPr>
                <w:rFonts w:ascii="宋体" w:hAnsi="宋体" w:cs="宋体"/>
                <w:color w:val="auto"/>
                <w:spacing w:val="-12"/>
                <w:sz w:val="21"/>
                <w:szCs w:val="21"/>
              </w:rPr>
            </w:pPr>
            <w:r>
              <w:rPr>
                <w:rFonts w:hint="eastAsia" w:ascii="宋体" w:hAnsi="宋体" w:cs="宋体"/>
                <w:color w:val="auto"/>
                <w:sz w:val="21"/>
                <w:szCs w:val="21"/>
              </w:rPr>
              <w:t>失压保护</w:t>
            </w:r>
          </w:p>
          <w:p w14:paraId="7D01302C">
            <w:pPr>
              <w:ind w:firstLine="420"/>
              <w:rPr>
                <w:rFonts w:hint="eastAsia" w:ascii="宋体" w:hAnsi="宋体" w:cs="宋体"/>
                <w:color w:val="auto"/>
                <w:spacing w:val="-12"/>
                <w:sz w:val="21"/>
                <w:szCs w:val="21"/>
              </w:rPr>
            </w:pPr>
            <w:r>
              <w:rPr>
                <w:rFonts w:hint="eastAsia" w:ascii="宋体" w:hAnsi="宋体" w:cs="宋体"/>
                <w:color w:val="auto"/>
                <w:sz w:val="21"/>
                <w:szCs w:val="21"/>
              </w:rPr>
              <w:t>起重机上总电源应有失压保护。当供电电源中断时，必须能够自动断开总电源回路，恢复供电时，不经手动操作，总电源回路不能自行接通。</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6950D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3E593F4">
            <w:pPr>
              <w:ind w:firstLine="422"/>
              <w:jc w:val="center"/>
              <w:rPr>
                <w:rFonts w:hint="eastAsia" w:ascii="宋体" w:hAnsi="宋体" w:cs="宋体"/>
                <w:b/>
                <w:bCs/>
                <w:snapToGrid w:val="0"/>
                <w:color w:val="auto"/>
                <w:sz w:val="21"/>
                <w:szCs w:val="21"/>
              </w:rPr>
            </w:pPr>
          </w:p>
        </w:tc>
      </w:tr>
      <w:tr w14:paraId="327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C8B4695">
            <w:pPr>
              <w:ind w:firstLine="422"/>
              <w:jc w:val="center"/>
              <w:rPr>
                <w:rFonts w:ascii="宋体" w:hAnsi="宋体" w:cs="宋体"/>
                <w:b/>
                <w:bCs/>
                <w:color w:val="auto"/>
                <w:sz w:val="21"/>
                <w:szCs w:val="21"/>
              </w:rPr>
            </w:pPr>
            <w:r>
              <w:rPr>
                <w:rFonts w:hint="eastAsia" w:ascii="宋体" w:hAnsi="宋体" w:cs="宋体"/>
                <w:b/>
                <w:bCs/>
                <w:color w:val="auto"/>
                <w:sz w:val="21"/>
                <w:szCs w:val="21"/>
              </w:rPr>
              <w:t>48</w:t>
            </w:r>
          </w:p>
        </w:tc>
        <w:tc>
          <w:tcPr>
            <w:tcW w:w="854" w:type="dxa"/>
            <w:vMerge w:val="continue"/>
            <w:tcBorders>
              <w:left w:val="single" w:color="auto" w:sz="4" w:space="0"/>
              <w:right w:val="single" w:color="auto" w:sz="4" w:space="0"/>
            </w:tcBorders>
            <w:noWrap w:val="0"/>
            <w:vAlign w:val="center"/>
          </w:tcPr>
          <w:p w14:paraId="0FCE9D6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4E9172F">
            <w:pPr>
              <w:ind w:firstLine="420"/>
              <w:rPr>
                <w:rFonts w:ascii="宋体" w:hAnsi="宋体" w:cs="宋体"/>
                <w:color w:val="auto"/>
                <w:sz w:val="21"/>
                <w:szCs w:val="21"/>
              </w:rPr>
            </w:pPr>
            <w:r>
              <w:rPr>
                <w:rFonts w:hint="eastAsia" w:ascii="宋体" w:hAnsi="宋体" w:cs="宋体"/>
                <w:color w:val="auto"/>
                <w:sz w:val="21"/>
                <w:szCs w:val="21"/>
              </w:rPr>
              <w:t>零位保护</w:t>
            </w:r>
          </w:p>
          <w:p w14:paraId="62EA5CC4">
            <w:pPr>
              <w:pStyle w:val="17"/>
              <w:ind w:firstLine="420"/>
              <w:rPr>
                <w:rFonts w:hint="eastAsia" w:hAnsi="宋体" w:cs="宋体"/>
                <w:color w:val="auto"/>
                <w:spacing w:val="-12"/>
                <w:sz w:val="21"/>
                <w:szCs w:val="21"/>
              </w:rPr>
            </w:pPr>
            <w:r>
              <w:rPr>
                <w:rFonts w:hint="eastAsia" w:hAnsi="宋体" w:cs="宋体"/>
                <w:color w:val="auto"/>
                <w:sz w:val="21"/>
                <w:szCs w:val="21"/>
              </w:rPr>
              <w:t>起重机必须设有零位保护（机构运行采用按钮控制的除外）。开始运转和失压后恢复供电时，必须先将控制器手柄置于零位后，该机构或所有机构的电动机才能启动。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2C6121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84A521">
            <w:pPr>
              <w:ind w:firstLine="422"/>
              <w:jc w:val="center"/>
              <w:rPr>
                <w:rFonts w:hint="eastAsia" w:ascii="宋体" w:hAnsi="宋体" w:cs="宋体"/>
                <w:b/>
                <w:bCs/>
                <w:snapToGrid w:val="0"/>
                <w:color w:val="auto"/>
                <w:sz w:val="21"/>
                <w:szCs w:val="21"/>
              </w:rPr>
            </w:pPr>
          </w:p>
        </w:tc>
      </w:tr>
      <w:tr w14:paraId="1DBD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607DDCD">
            <w:pPr>
              <w:ind w:firstLine="422"/>
              <w:jc w:val="center"/>
              <w:rPr>
                <w:rFonts w:ascii="宋体" w:hAnsi="宋体" w:cs="宋体"/>
                <w:b/>
                <w:bCs/>
                <w:color w:val="auto"/>
                <w:sz w:val="21"/>
                <w:szCs w:val="21"/>
              </w:rPr>
            </w:pPr>
            <w:r>
              <w:rPr>
                <w:rFonts w:hint="eastAsia" w:ascii="宋体" w:hAnsi="宋体" w:cs="宋体"/>
                <w:b/>
                <w:bCs/>
                <w:color w:val="auto"/>
                <w:sz w:val="21"/>
                <w:szCs w:val="21"/>
              </w:rPr>
              <w:t>49</w:t>
            </w:r>
          </w:p>
        </w:tc>
        <w:tc>
          <w:tcPr>
            <w:tcW w:w="854" w:type="dxa"/>
            <w:vMerge w:val="continue"/>
            <w:tcBorders>
              <w:left w:val="single" w:color="auto" w:sz="4" w:space="0"/>
              <w:right w:val="single" w:color="auto" w:sz="4" w:space="0"/>
            </w:tcBorders>
            <w:noWrap w:val="0"/>
            <w:vAlign w:val="center"/>
          </w:tcPr>
          <w:p w14:paraId="748DC5D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66BB8DA">
            <w:pPr>
              <w:ind w:firstLine="420"/>
              <w:rPr>
                <w:rFonts w:hint="eastAsia" w:ascii="宋体" w:hAnsi="宋体" w:cs="宋体"/>
                <w:color w:val="auto"/>
                <w:spacing w:val="-12"/>
                <w:sz w:val="21"/>
                <w:szCs w:val="21"/>
              </w:rPr>
            </w:pPr>
            <w:r>
              <w:rPr>
                <w:rFonts w:hint="eastAsia" w:ascii="宋体" w:hAnsi="宋体" w:cs="宋体"/>
                <w:color w:val="auto"/>
                <w:sz w:val="21"/>
                <w:szCs w:val="21"/>
              </w:rPr>
              <w:t>超速保护</w:t>
            </w:r>
            <w:r>
              <w:rPr>
                <w:rFonts w:hint="eastAsia" w:ascii="宋体" w:hAnsi="宋体" w:cs="宋体"/>
                <w:color w:val="auto"/>
                <w:spacing w:val="-12"/>
                <w:sz w:val="21"/>
                <w:szCs w:val="21"/>
              </w:rPr>
              <w:t>：</w:t>
            </w:r>
            <w:r>
              <w:rPr>
                <w:rFonts w:hint="eastAsia" w:ascii="宋体" w:hAnsi="宋体" w:cs="宋体"/>
                <w:color w:val="auto"/>
                <w:sz w:val="21"/>
                <w:szCs w:val="21"/>
              </w:rPr>
              <w:t>起升机构和变幅机构，采用可控硅定子调压、涡流制动器、能耗制动、可控硅供电、直流机组供电调速以及其他由于调速可能造成超速时，应有超速保护措施。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7A2950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C2CEFF7">
            <w:pPr>
              <w:ind w:firstLine="422"/>
              <w:jc w:val="center"/>
              <w:rPr>
                <w:rFonts w:hint="eastAsia" w:ascii="宋体" w:hAnsi="宋体" w:cs="宋体"/>
                <w:b/>
                <w:bCs/>
                <w:snapToGrid w:val="0"/>
                <w:color w:val="auto"/>
                <w:sz w:val="21"/>
                <w:szCs w:val="21"/>
              </w:rPr>
            </w:pPr>
          </w:p>
        </w:tc>
      </w:tr>
      <w:tr w14:paraId="081E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2ADF6A">
            <w:pPr>
              <w:ind w:firstLine="422"/>
              <w:jc w:val="center"/>
              <w:rPr>
                <w:rFonts w:ascii="宋体" w:hAnsi="宋体" w:cs="宋体"/>
                <w:b/>
                <w:bCs/>
                <w:color w:val="auto"/>
                <w:sz w:val="21"/>
                <w:szCs w:val="21"/>
              </w:rPr>
            </w:pPr>
            <w:r>
              <w:rPr>
                <w:rFonts w:hint="eastAsia" w:ascii="宋体" w:hAnsi="宋体" w:cs="宋体"/>
                <w:b/>
                <w:bCs/>
                <w:color w:val="auto"/>
                <w:sz w:val="21"/>
                <w:szCs w:val="21"/>
              </w:rPr>
              <w:t>50</w:t>
            </w:r>
          </w:p>
        </w:tc>
        <w:tc>
          <w:tcPr>
            <w:tcW w:w="854" w:type="dxa"/>
            <w:vMerge w:val="restart"/>
            <w:tcBorders>
              <w:left w:val="single" w:color="auto" w:sz="4" w:space="0"/>
              <w:right w:val="single" w:color="auto" w:sz="4" w:space="0"/>
            </w:tcBorders>
            <w:noWrap w:val="0"/>
            <w:vAlign w:val="center"/>
          </w:tcPr>
          <w:p w14:paraId="232E2563">
            <w:pPr>
              <w:ind w:firstLine="0" w:firstLineChars="0"/>
              <w:jc w:val="center"/>
              <w:rPr>
                <w:rFonts w:ascii="宋体" w:hAnsi="宋体" w:cs="宋体"/>
                <w:color w:val="auto"/>
                <w:sz w:val="21"/>
                <w:szCs w:val="21"/>
              </w:rPr>
            </w:pPr>
            <w:r>
              <w:rPr>
                <w:rFonts w:hint="eastAsia" w:ascii="宋体" w:hAnsi="宋体" w:cs="宋体"/>
                <w:color w:val="auto"/>
                <w:sz w:val="21"/>
                <w:szCs w:val="21"/>
              </w:rPr>
              <w:t>18</w:t>
            </w:r>
          </w:p>
          <w:p w14:paraId="36FA3E15">
            <w:pPr>
              <w:ind w:firstLine="0" w:firstLineChars="0"/>
              <w:jc w:val="center"/>
              <w:rPr>
                <w:rFonts w:ascii="宋体" w:hAnsi="宋体" w:cs="宋体"/>
                <w:color w:val="auto"/>
                <w:sz w:val="21"/>
                <w:szCs w:val="21"/>
              </w:rPr>
            </w:pPr>
            <w:r>
              <w:rPr>
                <w:rFonts w:hint="eastAsia" w:ascii="宋体" w:hAnsi="宋体" w:cs="宋体"/>
                <w:color w:val="auto"/>
                <w:sz w:val="21"/>
                <w:szCs w:val="21"/>
              </w:rPr>
              <w:t>控制器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E7FF98">
            <w:pPr>
              <w:ind w:firstLine="420"/>
              <w:rPr>
                <w:rFonts w:hint="eastAsia" w:ascii="宋体" w:hAnsi="宋体" w:cs="宋体"/>
                <w:color w:val="auto"/>
                <w:spacing w:val="-12"/>
                <w:sz w:val="21"/>
                <w:szCs w:val="21"/>
              </w:rPr>
            </w:pPr>
            <w:r>
              <w:rPr>
                <w:rFonts w:hint="eastAsia" w:ascii="宋体" w:hAnsi="宋体" w:cs="宋体"/>
                <w:color w:val="auto"/>
                <w:sz w:val="21"/>
                <w:szCs w:val="21"/>
              </w:rPr>
              <w:t>各种操纵手柄、开关及信号装置旁有指示标牌；操作手柄动作方向与机构动作方向一致；联动控制台应有零位自锁环节。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A74A1A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ADC67F8">
            <w:pPr>
              <w:ind w:firstLine="422"/>
              <w:jc w:val="center"/>
              <w:rPr>
                <w:rFonts w:hint="eastAsia" w:ascii="宋体" w:hAnsi="宋体" w:cs="宋体"/>
                <w:b/>
                <w:bCs/>
                <w:snapToGrid w:val="0"/>
                <w:color w:val="auto"/>
                <w:sz w:val="21"/>
                <w:szCs w:val="21"/>
              </w:rPr>
            </w:pPr>
          </w:p>
        </w:tc>
      </w:tr>
      <w:tr w14:paraId="3990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F7367EB">
            <w:pPr>
              <w:ind w:firstLine="422"/>
              <w:jc w:val="center"/>
              <w:rPr>
                <w:rFonts w:ascii="宋体" w:hAnsi="宋体" w:cs="宋体"/>
                <w:b/>
                <w:bCs/>
                <w:color w:val="auto"/>
                <w:sz w:val="21"/>
                <w:szCs w:val="21"/>
              </w:rPr>
            </w:pPr>
            <w:r>
              <w:rPr>
                <w:rFonts w:hint="eastAsia" w:ascii="宋体" w:hAnsi="宋体" w:cs="宋体"/>
                <w:b/>
                <w:bCs/>
                <w:color w:val="auto"/>
                <w:sz w:val="21"/>
                <w:szCs w:val="21"/>
              </w:rPr>
              <w:t>51</w:t>
            </w:r>
          </w:p>
        </w:tc>
        <w:tc>
          <w:tcPr>
            <w:tcW w:w="854" w:type="dxa"/>
            <w:vMerge w:val="continue"/>
            <w:tcBorders>
              <w:left w:val="single" w:color="auto" w:sz="4" w:space="0"/>
              <w:bottom w:val="single" w:color="auto" w:sz="4" w:space="0"/>
              <w:right w:val="single" w:color="auto" w:sz="4" w:space="0"/>
            </w:tcBorders>
            <w:noWrap w:val="0"/>
            <w:vAlign w:val="center"/>
          </w:tcPr>
          <w:p w14:paraId="680C690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C3567A2">
            <w:pPr>
              <w:ind w:firstLine="420"/>
              <w:rPr>
                <w:rFonts w:hint="eastAsia" w:ascii="宋体" w:hAnsi="宋体" w:cs="宋体"/>
                <w:color w:val="auto"/>
                <w:spacing w:val="-12"/>
                <w:sz w:val="21"/>
                <w:szCs w:val="21"/>
              </w:rPr>
            </w:pPr>
            <w:r>
              <w:rPr>
                <w:rFonts w:hint="eastAsia" w:ascii="宋体" w:hAnsi="宋体" w:cs="宋体"/>
                <w:color w:val="auto"/>
                <w:sz w:val="21"/>
                <w:szCs w:val="21"/>
              </w:rPr>
              <w:t>如采用可编程控制器、微型计算机控制的起重机的紧急保护功能与行程终端保护应由硬件完成。</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F603E9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7C1F02">
            <w:pPr>
              <w:ind w:firstLine="422"/>
              <w:jc w:val="center"/>
              <w:rPr>
                <w:rFonts w:hint="eastAsia" w:ascii="宋体" w:hAnsi="宋体" w:cs="宋体"/>
                <w:b/>
                <w:bCs/>
                <w:snapToGrid w:val="0"/>
                <w:color w:val="auto"/>
                <w:sz w:val="21"/>
                <w:szCs w:val="21"/>
              </w:rPr>
            </w:pPr>
          </w:p>
        </w:tc>
      </w:tr>
      <w:tr w14:paraId="3981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1587D5D">
            <w:pPr>
              <w:ind w:firstLine="422"/>
              <w:jc w:val="center"/>
              <w:rPr>
                <w:rFonts w:ascii="宋体" w:hAnsi="宋体" w:cs="宋体"/>
                <w:b/>
                <w:bCs/>
                <w:color w:val="auto"/>
                <w:sz w:val="21"/>
                <w:szCs w:val="21"/>
              </w:rPr>
            </w:pPr>
            <w:r>
              <w:rPr>
                <w:rFonts w:hint="eastAsia" w:ascii="宋体" w:hAnsi="宋体" w:cs="宋体"/>
                <w:b/>
                <w:bCs/>
                <w:color w:val="auto"/>
                <w:sz w:val="21"/>
                <w:szCs w:val="21"/>
              </w:rPr>
              <w:t>52</w:t>
            </w:r>
          </w:p>
        </w:tc>
        <w:tc>
          <w:tcPr>
            <w:tcW w:w="854" w:type="dxa"/>
            <w:vMerge w:val="restart"/>
            <w:tcBorders>
              <w:left w:val="single" w:color="auto" w:sz="4" w:space="0"/>
              <w:right w:val="single" w:color="auto" w:sz="4" w:space="0"/>
            </w:tcBorders>
            <w:noWrap w:val="0"/>
            <w:vAlign w:val="center"/>
          </w:tcPr>
          <w:p w14:paraId="02426A88">
            <w:pPr>
              <w:ind w:firstLine="420"/>
              <w:jc w:val="center"/>
              <w:rPr>
                <w:rFonts w:hint="eastAsia" w:ascii="宋体" w:hAnsi="宋体" w:cs="宋体"/>
                <w:color w:val="auto"/>
                <w:sz w:val="21"/>
                <w:szCs w:val="21"/>
              </w:rPr>
            </w:pPr>
            <w:r>
              <w:rPr>
                <w:rFonts w:hint="eastAsia" w:ascii="宋体" w:hAnsi="宋体" w:cs="宋体"/>
                <w:color w:val="auto"/>
                <w:sz w:val="21"/>
                <w:szCs w:val="21"/>
              </w:rPr>
              <w:t>19</w:t>
            </w:r>
          </w:p>
          <w:p w14:paraId="55430FAF">
            <w:pPr>
              <w:ind w:firstLine="420"/>
              <w:jc w:val="center"/>
              <w:rPr>
                <w:rFonts w:hint="eastAsia" w:ascii="宋体" w:hAnsi="宋体" w:cs="宋体"/>
                <w:color w:val="auto"/>
                <w:sz w:val="21"/>
                <w:szCs w:val="21"/>
              </w:rPr>
            </w:pPr>
            <w:r>
              <w:rPr>
                <w:rFonts w:hint="eastAsia" w:ascii="宋体" w:hAnsi="宋体" w:cs="宋体"/>
                <w:color w:val="auto"/>
                <w:sz w:val="21"/>
                <w:szCs w:val="21"/>
              </w:rPr>
              <w:t>安</w:t>
            </w:r>
          </w:p>
          <w:p w14:paraId="708CF733">
            <w:pPr>
              <w:ind w:firstLine="420"/>
              <w:jc w:val="center"/>
              <w:rPr>
                <w:rFonts w:hint="eastAsia" w:ascii="宋体" w:hAnsi="宋体" w:cs="宋体"/>
                <w:color w:val="auto"/>
                <w:sz w:val="21"/>
                <w:szCs w:val="21"/>
              </w:rPr>
            </w:pPr>
            <w:r>
              <w:rPr>
                <w:rFonts w:hint="eastAsia" w:ascii="宋体" w:hAnsi="宋体" w:cs="宋体"/>
                <w:color w:val="auto"/>
                <w:sz w:val="21"/>
                <w:szCs w:val="21"/>
              </w:rPr>
              <w:t>全</w:t>
            </w:r>
          </w:p>
          <w:p w14:paraId="56B5A537">
            <w:pPr>
              <w:ind w:firstLine="420"/>
              <w:jc w:val="center"/>
              <w:rPr>
                <w:rFonts w:hint="eastAsia" w:ascii="宋体" w:hAnsi="宋体" w:cs="宋体"/>
                <w:color w:val="auto"/>
                <w:sz w:val="21"/>
                <w:szCs w:val="21"/>
              </w:rPr>
            </w:pPr>
            <w:r>
              <w:rPr>
                <w:rFonts w:hint="eastAsia" w:ascii="宋体" w:hAnsi="宋体" w:cs="宋体"/>
                <w:color w:val="auto"/>
                <w:sz w:val="21"/>
                <w:szCs w:val="21"/>
              </w:rPr>
              <w:t>装</w:t>
            </w:r>
          </w:p>
          <w:p w14:paraId="307B1F6D">
            <w:pPr>
              <w:ind w:firstLine="420"/>
              <w:jc w:val="center"/>
              <w:rPr>
                <w:rFonts w:ascii="宋体" w:hAnsi="宋体" w:cs="宋体"/>
                <w:color w:val="auto"/>
                <w:sz w:val="21"/>
                <w:szCs w:val="21"/>
              </w:rPr>
            </w:pPr>
            <w:r>
              <w:rPr>
                <w:rFonts w:hint="eastAsia" w:ascii="宋体" w:hAnsi="宋体" w:cs="宋体"/>
                <w:color w:val="auto"/>
                <w:sz w:val="21"/>
                <w:szCs w:val="21"/>
              </w:rPr>
              <w:t>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2CD806">
            <w:pPr>
              <w:ind w:firstLine="420"/>
              <w:rPr>
                <w:rFonts w:ascii="宋体" w:hAnsi="宋体" w:cs="宋体"/>
                <w:color w:val="auto"/>
                <w:spacing w:val="-12"/>
                <w:sz w:val="21"/>
                <w:szCs w:val="21"/>
              </w:rPr>
            </w:pPr>
            <w:r>
              <w:rPr>
                <w:rFonts w:hint="eastAsia" w:ascii="宋体" w:hAnsi="宋体" w:cs="宋体"/>
                <w:color w:val="auto"/>
                <w:sz w:val="21"/>
                <w:szCs w:val="21"/>
              </w:rPr>
              <w:t>起重量限制器</w:t>
            </w:r>
          </w:p>
          <w:p w14:paraId="0B5E27AB">
            <w:pPr>
              <w:ind w:firstLine="420"/>
              <w:rPr>
                <w:rFonts w:hint="eastAsia" w:ascii="宋体" w:hAnsi="宋体" w:cs="宋体"/>
                <w:color w:val="auto"/>
                <w:spacing w:val="-12"/>
                <w:sz w:val="21"/>
                <w:szCs w:val="21"/>
              </w:rPr>
            </w:pPr>
            <w:r>
              <w:rPr>
                <w:rFonts w:hint="eastAsia" w:ascii="宋体" w:hAnsi="宋体" w:cs="宋体"/>
                <w:color w:val="auto"/>
                <w:sz w:val="21"/>
                <w:szCs w:val="21"/>
              </w:rPr>
              <w:t>起重机应安装起重量限制器，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w:t>
            </w:r>
            <w:r>
              <w:rPr>
                <w:rFonts w:hint="eastAsia" w:ascii="宋体" w:hAnsi="宋体" w:cs="宋体"/>
                <w:color w:val="auto"/>
                <w:spacing w:val="-2"/>
                <w:sz w:val="21"/>
                <w:szCs w:val="21"/>
              </w:rPr>
              <w:t>载荷</w:t>
            </w:r>
            <w:r>
              <w:rPr>
                <w:rFonts w:hint="eastAsia" w:ascii="宋体" w:hAnsi="宋体" w:cs="宋体"/>
                <w:color w:val="auto"/>
                <w:sz w:val="21"/>
                <w:szCs w:val="21"/>
              </w:rPr>
              <w:t>大于相应工况下额定值并小于额定值的110%时，应切断上升方向的电源，但机构可做下降方向的运动。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C573E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3D4AC5A">
            <w:pPr>
              <w:ind w:firstLine="422"/>
              <w:jc w:val="center"/>
              <w:rPr>
                <w:rFonts w:hint="eastAsia" w:ascii="宋体" w:hAnsi="宋体" w:cs="宋体"/>
                <w:b/>
                <w:bCs/>
                <w:snapToGrid w:val="0"/>
                <w:color w:val="auto"/>
                <w:sz w:val="21"/>
                <w:szCs w:val="21"/>
              </w:rPr>
            </w:pPr>
          </w:p>
        </w:tc>
      </w:tr>
      <w:tr w14:paraId="157E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5AD503">
            <w:pPr>
              <w:ind w:firstLine="422"/>
              <w:jc w:val="center"/>
              <w:rPr>
                <w:rFonts w:ascii="宋体" w:hAnsi="宋体" w:cs="宋体"/>
                <w:b/>
                <w:bCs/>
                <w:color w:val="auto"/>
                <w:sz w:val="21"/>
                <w:szCs w:val="21"/>
              </w:rPr>
            </w:pPr>
            <w:r>
              <w:rPr>
                <w:rFonts w:hint="eastAsia" w:ascii="宋体" w:hAnsi="宋体" w:cs="宋体"/>
                <w:b/>
                <w:bCs/>
                <w:color w:val="auto"/>
                <w:sz w:val="21"/>
                <w:szCs w:val="21"/>
              </w:rPr>
              <w:t>53</w:t>
            </w:r>
          </w:p>
        </w:tc>
        <w:tc>
          <w:tcPr>
            <w:tcW w:w="854" w:type="dxa"/>
            <w:vMerge w:val="continue"/>
            <w:tcBorders>
              <w:left w:val="single" w:color="auto" w:sz="4" w:space="0"/>
              <w:right w:val="single" w:color="auto" w:sz="4" w:space="0"/>
            </w:tcBorders>
            <w:noWrap w:val="0"/>
            <w:vAlign w:val="center"/>
          </w:tcPr>
          <w:p w14:paraId="2210368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BC674BC">
            <w:pPr>
              <w:ind w:firstLine="420"/>
              <w:jc w:val="left"/>
              <w:rPr>
                <w:rFonts w:ascii="宋体" w:hAnsi="宋体" w:cs="宋体"/>
                <w:color w:val="auto"/>
                <w:spacing w:val="-12"/>
                <w:sz w:val="21"/>
                <w:szCs w:val="21"/>
              </w:rPr>
            </w:pPr>
            <w:r>
              <w:rPr>
                <w:rFonts w:hint="eastAsia" w:ascii="宋体" w:hAnsi="宋体" w:cs="宋体"/>
                <w:color w:val="auto"/>
                <w:sz w:val="21"/>
                <w:szCs w:val="21"/>
              </w:rPr>
              <w:t>力矩限制器</w:t>
            </w:r>
          </w:p>
          <w:p w14:paraId="69F515F9">
            <w:pPr>
              <w:ind w:firstLine="420"/>
              <w:rPr>
                <w:rFonts w:hint="eastAsia" w:ascii="宋体" w:hAnsi="宋体" w:cs="宋体"/>
                <w:color w:val="auto"/>
                <w:spacing w:val="-12"/>
                <w:sz w:val="21"/>
                <w:szCs w:val="21"/>
              </w:rPr>
            </w:pPr>
            <w:r>
              <w:rPr>
                <w:rFonts w:hint="eastAsia" w:ascii="宋体" w:hAnsi="宋体" w:cs="宋体"/>
                <w:color w:val="auto"/>
                <w:sz w:val="21"/>
                <w:szCs w:val="21"/>
              </w:rPr>
              <w:t>具有两种额定载荷时必须安装起重力矩限制器。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当起重力矩大于相应工况下额定值并小于额定值的110%时，起重力矩限制器必须自动切断起升和幅度增大方向的电源，此时机构可作下降和减小幅度方向的运动。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0C2E0C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ED18AFC">
            <w:pPr>
              <w:ind w:firstLine="422"/>
              <w:jc w:val="center"/>
              <w:rPr>
                <w:rFonts w:hint="eastAsia" w:ascii="宋体" w:hAnsi="宋体" w:cs="宋体"/>
                <w:b/>
                <w:bCs/>
                <w:snapToGrid w:val="0"/>
                <w:color w:val="auto"/>
                <w:sz w:val="21"/>
                <w:szCs w:val="21"/>
              </w:rPr>
            </w:pPr>
          </w:p>
        </w:tc>
      </w:tr>
      <w:tr w14:paraId="5B7C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F1E0FB0">
            <w:pPr>
              <w:ind w:firstLine="422"/>
              <w:jc w:val="center"/>
              <w:rPr>
                <w:rFonts w:ascii="宋体" w:hAnsi="宋体" w:cs="宋体"/>
                <w:b/>
                <w:bCs/>
                <w:color w:val="auto"/>
                <w:sz w:val="21"/>
                <w:szCs w:val="21"/>
              </w:rPr>
            </w:pPr>
            <w:r>
              <w:rPr>
                <w:rFonts w:hint="eastAsia" w:ascii="宋体" w:hAnsi="宋体" w:cs="宋体"/>
                <w:b/>
                <w:bCs/>
                <w:color w:val="auto"/>
                <w:sz w:val="21"/>
                <w:szCs w:val="21"/>
              </w:rPr>
              <w:t>54</w:t>
            </w:r>
          </w:p>
        </w:tc>
        <w:tc>
          <w:tcPr>
            <w:tcW w:w="854" w:type="dxa"/>
            <w:vMerge w:val="continue"/>
            <w:tcBorders>
              <w:left w:val="single" w:color="auto" w:sz="4" w:space="0"/>
              <w:right w:val="single" w:color="auto" w:sz="4" w:space="0"/>
            </w:tcBorders>
            <w:noWrap w:val="0"/>
            <w:vAlign w:val="center"/>
          </w:tcPr>
          <w:p w14:paraId="45AB580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C19935">
            <w:pPr>
              <w:ind w:firstLine="420"/>
              <w:rPr>
                <w:rFonts w:hint="eastAsia" w:ascii="宋体" w:hAnsi="宋体" w:cs="宋体"/>
                <w:color w:val="auto"/>
                <w:sz w:val="21"/>
                <w:szCs w:val="21"/>
              </w:rPr>
            </w:pPr>
            <w:r>
              <w:rPr>
                <w:rFonts w:hint="eastAsia" w:ascii="宋体" w:hAnsi="宋体" w:cs="宋体"/>
                <w:color w:val="auto"/>
                <w:sz w:val="21"/>
                <w:szCs w:val="21"/>
              </w:rPr>
              <w:t>变幅限制器： 必须保证变幅小车行驶到最小幅度或最大幅度时，断开变幅机构的单向工作电源，以保证小车的安全运行</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CEB65B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1E91C0C">
            <w:pPr>
              <w:ind w:firstLine="422"/>
              <w:jc w:val="center"/>
              <w:rPr>
                <w:rFonts w:hint="eastAsia" w:ascii="宋体" w:hAnsi="宋体" w:cs="宋体"/>
                <w:b/>
                <w:bCs/>
                <w:snapToGrid w:val="0"/>
                <w:color w:val="auto"/>
                <w:sz w:val="21"/>
                <w:szCs w:val="21"/>
              </w:rPr>
            </w:pPr>
          </w:p>
        </w:tc>
      </w:tr>
      <w:tr w14:paraId="424D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9C11278">
            <w:pPr>
              <w:ind w:firstLine="422"/>
              <w:jc w:val="center"/>
              <w:rPr>
                <w:rFonts w:ascii="宋体" w:hAnsi="宋体" w:cs="宋体"/>
                <w:b/>
                <w:bCs/>
                <w:color w:val="auto"/>
                <w:sz w:val="21"/>
                <w:szCs w:val="21"/>
              </w:rPr>
            </w:pPr>
            <w:r>
              <w:rPr>
                <w:rFonts w:hint="eastAsia" w:ascii="宋体" w:hAnsi="宋体" w:cs="宋体"/>
                <w:b/>
                <w:bCs/>
                <w:color w:val="auto"/>
                <w:sz w:val="21"/>
                <w:szCs w:val="21"/>
              </w:rPr>
              <w:t>55</w:t>
            </w:r>
          </w:p>
        </w:tc>
        <w:tc>
          <w:tcPr>
            <w:tcW w:w="854" w:type="dxa"/>
            <w:vMerge w:val="continue"/>
            <w:tcBorders>
              <w:left w:val="single" w:color="auto" w:sz="4" w:space="0"/>
              <w:bottom w:val="single" w:color="auto" w:sz="4" w:space="0"/>
              <w:right w:val="single" w:color="auto" w:sz="4" w:space="0"/>
            </w:tcBorders>
            <w:noWrap w:val="0"/>
            <w:vAlign w:val="center"/>
          </w:tcPr>
          <w:p w14:paraId="065B51A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4845F40">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起升高度限制器：</w:t>
            </w:r>
            <w:r>
              <w:rPr>
                <w:rFonts w:hint="eastAsia" w:ascii="宋体" w:hAnsi="宋体" w:cs="宋体"/>
                <w:color w:val="auto"/>
                <w:sz w:val="21"/>
                <w:szCs w:val="21"/>
              </w:rPr>
              <w:t>必须保证起升机构起升到极限位置时，便托起杠杆。压下限位开关，切断电路停车，再合闸时，吊钩只能下降。防止吊钩冲顶。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919C29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5442A23">
            <w:pPr>
              <w:ind w:firstLine="422"/>
              <w:jc w:val="center"/>
              <w:rPr>
                <w:rFonts w:hint="eastAsia" w:ascii="宋体" w:hAnsi="宋体" w:cs="宋体"/>
                <w:b/>
                <w:bCs/>
                <w:snapToGrid w:val="0"/>
                <w:color w:val="auto"/>
                <w:sz w:val="21"/>
                <w:szCs w:val="21"/>
              </w:rPr>
            </w:pPr>
          </w:p>
        </w:tc>
      </w:tr>
      <w:tr w14:paraId="45E8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DA5977D">
            <w:pPr>
              <w:ind w:firstLine="422"/>
              <w:jc w:val="center"/>
              <w:rPr>
                <w:rFonts w:ascii="宋体" w:hAnsi="宋体" w:cs="宋体"/>
                <w:b/>
                <w:bCs/>
                <w:color w:val="auto"/>
                <w:sz w:val="21"/>
                <w:szCs w:val="21"/>
              </w:rPr>
            </w:pPr>
            <w:r>
              <w:rPr>
                <w:rFonts w:hint="eastAsia" w:ascii="宋体" w:hAnsi="宋体" w:cs="宋体"/>
                <w:b/>
                <w:bCs/>
                <w:color w:val="auto"/>
                <w:sz w:val="21"/>
                <w:szCs w:val="21"/>
              </w:rPr>
              <w:t>56</w:t>
            </w:r>
          </w:p>
        </w:tc>
        <w:tc>
          <w:tcPr>
            <w:tcW w:w="854" w:type="dxa"/>
            <w:tcBorders>
              <w:left w:val="single" w:color="auto" w:sz="4" w:space="0"/>
              <w:bottom w:val="single" w:color="auto" w:sz="4" w:space="0"/>
              <w:right w:val="single" w:color="auto" w:sz="4" w:space="0"/>
            </w:tcBorders>
            <w:noWrap w:val="0"/>
            <w:vAlign w:val="center"/>
          </w:tcPr>
          <w:p w14:paraId="12D87C3B">
            <w:pPr>
              <w:ind w:firstLine="420"/>
              <w:jc w:val="center"/>
              <w:rPr>
                <w:rFonts w:ascii="宋体" w:hAnsi="宋体" w:cs="宋体"/>
                <w:color w:val="auto"/>
                <w:sz w:val="21"/>
                <w:szCs w:val="21"/>
              </w:rPr>
            </w:pPr>
            <w:r>
              <w:rPr>
                <w:rFonts w:hint="eastAsia" w:ascii="宋体" w:hAnsi="宋体" w:cs="宋体"/>
                <w:color w:val="auto"/>
                <w:sz w:val="21"/>
                <w:szCs w:val="21"/>
              </w:rPr>
              <w:t>20防护装置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64505F0">
            <w:pPr>
              <w:ind w:firstLine="420"/>
              <w:rPr>
                <w:rFonts w:hint="eastAsia" w:ascii="宋体" w:hAnsi="宋体" w:cs="宋体"/>
                <w:color w:val="auto"/>
                <w:spacing w:val="-4"/>
                <w:sz w:val="21"/>
                <w:szCs w:val="21"/>
              </w:rPr>
            </w:pPr>
            <w:r>
              <w:rPr>
                <w:rFonts w:hint="eastAsia" w:ascii="宋体" w:hAnsi="宋体" w:cs="宋体"/>
                <w:color w:val="auto"/>
                <w:sz w:val="21"/>
                <w:szCs w:val="21"/>
              </w:rPr>
              <w:t>外露有伤人可能的零部件，如开式齿轮、联轴器、传动轴等应装设防护罩；露天工作的电气设备应有防雨罩。</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0CF02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63ACDD1">
            <w:pPr>
              <w:ind w:firstLine="422"/>
              <w:jc w:val="center"/>
              <w:rPr>
                <w:rFonts w:hint="eastAsia" w:ascii="宋体" w:hAnsi="宋体" w:cs="宋体"/>
                <w:b/>
                <w:bCs/>
                <w:snapToGrid w:val="0"/>
                <w:color w:val="auto"/>
                <w:sz w:val="21"/>
                <w:szCs w:val="21"/>
              </w:rPr>
            </w:pPr>
          </w:p>
        </w:tc>
      </w:tr>
      <w:tr w14:paraId="2071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189D53D">
            <w:pPr>
              <w:ind w:firstLine="422"/>
              <w:jc w:val="center"/>
              <w:rPr>
                <w:rFonts w:ascii="宋体" w:hAnsi="宋体" w:cs="宋体"/>
                <w:b/>
                <w:bCs/>
                <w:color w:val="auto"/>
                <w:sz w:val="21"/>
                <w:szCs w:val="21"/>
              </w:rPr>
            </w:pPr>
            <w:r>
              <w:rPr>
                <w:rFonts w:hint="eastAsia" w:ascii="宋体" w:hAnsi="宋体" w:cs="宋体"/>
                <w:b/>
                <w:bCs/>
                <w:color w:val="auto"/>
                <w:sz w:val="21"/>
                <w:szCs w:val="21"/>
              </w:rPr>
              <w:t>57</w:t>
            </w:r>
          </w:p>
        </w:tc>
        <w:tc>
          <w:tcPr>
            <w:tcW w:w="854" w:type="dxa"/>
            <w:vMerge w:val="restart"/>
            <w:tcBorders>
              <w:left w:val="single" w:color="auto" w:sz="4" w:space="0"/>
              <w:right w:val="single" w:color="auto" w:sz="4" w:space="0"/>
            </w:tcBorders>
            <w:noWrap w:val="0"/>
            <w:vAlign w:val="center"/>
          </w:tcPr>
          <w:p w14:paraId="3EC0250B">
            <w:pPr>
              <w:ind w:firstLine="420"/>
              <w:jc w:val="center"/>
              <w:rPr>
                <w:rFonts w:hint="eastAsia" w:ascii="宋体" w:hAnsi="宋体" w:cs="宋体"/>
                <w:color w:val="auto"/>
                <w:sz w:val="21"/>
                <w:szCs w:val="21"/>
              </w:rPr>
            </w:pPr>
            <w:r>
              <w:rPr>
                <w:rFonts w:hint="eastAsia" w:ascii="宋体" w:hAnsi="宋体" w:cs="宋体"/>
                <w:color w:val="auto"/>
                <w:sz w:val="21"/>
                <w:szCs w:val="21"/>
              </w:rPr>
              <w:t>21</w:t>
            </w:r>
          </w:p>
          <w:p w14:paraId="11DBDAE5">
            <w:pPr>
              <w:ind w:firstLine="420"/>
              <w:jc w:val="center"/>
              <w:rPr>
                <w:rFonts w:hint="eastAsia" w:ascii="宋体" w:hAnsi="宋体" w:cs="宋体"/>
                <w:color w:val="auto"/>
                <w:sz w:val="21"/>
                <w:szCs w:val="21"/>
              </w:rPr>
            </w:pPr>
            <w:r>
              <w:rPr>
                <w:rFonts w:hint="eastAsia" w:ascii="宋体" w:hAnsi="宋体" w:cs="宋体"/>
                <w:color w:val="auto"/>
                <w:sz w:val="21"/>
                <w:szCs w:val="21"/>
              </w:rPr>
              <w:t>试</w:t>
            </w:r>
          </w:p>
          <w:p w14:paraId="671F0988">
            <w:pPr>
              <w:ind w:firstLine="420"/>
              <w:jc w:val="center"/>
              <w:rPr>
                <w:rFonts w:ascii="宋体" w:hAnsi="宋体" w:cs="宋体"/>
                <w:color w:val="auto"/>
                <w:sz w:val="21"/>
                <w:szCs w:val="21"/>
              </w:rPr>
            </w:pPr>
            <w:r>
              <w:rPr>
                <w:rFonts w:hint="eastAsia" w:ascii="宋体" w:hAnsi="宋体" w:cs="宋体"/>
                <w:color w:val="auto"/>
                <w:sz w:val="21"/>
                <w:szCs w:val="21"/>
              </w:rPr>
              <w:t>验</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DC08672">
            <w:pPr>
              <w:ind w:firstLine="420"/>
              <w:rPr>
                <w:rFonts w:hint="eastAsia" w:ascii="宋体" w:hAnsi="宋体" w:cs="宋体"/>
                <w:color w:val="auto"/>
                <w:sz w:val="21"/>
                <w:szCs w:val="21"/>
              </w:rPr>
            </w:pPr>
            <w:r>
              <w:rPr>
                <w:rFonts w:hint="eastAsia" w:ascii="宋体" w:hAnsi="宋体" w:cs="宋体"/>
                <w:color w:val="auto"/>
                <w:sz w:val="21"/>
                <w:szCs w:val="21"/>
              </w:rPr>
              <w:t>空载试验：空载时各机构、运动构件、电气控制系统及取物装置在规定工作范围内正常动作，电缆收放正常，台车运行无啃轨。</w:t>
            </w:r>
          </w:p>
          <w:p w14:paraId="1A8F5C33">
            <w:pPr>
              <w:ind w:firstLine="404"/>
              <w:rPr>
                <w:rFonts w:hint="eastAsia" w:ascii="宋体" w:hAnsi="宋体" w:cs="宋体"/>
                <w:color w:val="auto"/>
                <w:spacing w:val="-4"/>
                <w:sz w:val="21"/>
                <w:szCs w:val="21"/>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83A8AC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B022EF">
            <w:pPr>
              <w:ind w:firstLine="422"/>
              <w:jc w:val="center"/>
              <w:rPr>
                <w:rFonts w:hint="eastAsia" w:ascii="宋体" w:hAnsi="宋体" w:cs="宋体"/>
                <w:b/>
                <w:bCs/>
                <w:snapToGrid w:val="0"/>
                <w:color w:val="auto"/>
                <w:sz w:val="21"/>
                <w:szCs w:val="21"/>
              </w:rPr>
            </w:pPr>
          </w:p>
        </w:tc>
      </w:tr>
      <w:tr w14:paraId="3640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D7D68C3">
            <w:pPr>
              <w:ind w:firstLine="422"/>
              <w:jc w:val="center"/>
              <w:rPr>
                <w:rFonts w:ascii="宋体" w:hAnsi="宋体" w:cs="宋体"/>
                <w:b/>
                <w:bCs/>
                <w:color w:val="auto"/>
                <w:sz w:val="21"/>
                <w:szCs w:val="21"/>
              </w:rPr>
            </w:pPr>
            <w:r>
              <w:rPr>
                <w:rFonts w:hint="eastAsia" w:ascii="宋体" w:hAnsi="宋体" w:cs="宋体"/>
                <w:b/>
                <w:bCs/>
                <w:color w:val="auto"/>
                <w:sz w:val="21"/>
                <w:szCs w:val="21"/>
              </w:rPr>
              <w:t>5</w:t>
            </w:r>
            <w:r>
              <w:rPr>
                <w:rFonts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2A7E344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AF7B86B">
            <w:pPr>
              <w:ind w:firstLine="420"/>
              <w:rPr>
                <w:rFonts w:hint="eastAsia" w:ascii="宋体" w:hAnsi="宋体" w:cs="宋体"/>
                <w:color w:val="auto"/>
                <w:sz w:val="21"/>
                <w:szCs w:val="21"/>
              </w:rPr>
            </w:pPr>
            <w:r>
              <w:rPr>
                <w:rFonts w:hint="eastAsia" w:ascii="宋体" w:hAnsi="宋体" w:cs="宋体"/>
                <w:color w:val="auto"/>
                <w:sz w:val="21"/>
                <w:szCs w:val="21"/>
              </w:rPr>
              <w:t>额定载荷试验：起吊额定载荷按相应工况试验，各机构工作正常，无异常响声；各部件完好无损，连接无松动，结构件无裂纹、永久变形、表面油漆打皱，焊缝无明显裂纹，电气元件完好。塔窗关闭，在司机齐耳高水平距离100mm处测量，噪声不大于80dB(A)。</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6D3005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DA3D275">
            <w:pPr>
              <w:ind w:firstLine="422"/>
              <w:jc w:val="center"/>
              <w:rPr>
                <w:rFonts w:hint="eastAsia" w:ascii="宋体" w:hAnsi="宋体" w:cs="宋体"/>
                <w:b/>
                <w:bCs/>
                <w:snapToGrid w:val="0"/>
                <w:color w:val="auto"/>
                <w:sz w:val="21"/>
                <w:szCs w:val="21"/>
              </w:rPr>
            </w:pPr>
          </w:p>
        </w:tc>
      </w:tr>
      <w:tr w14:paraId="4536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858985C">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451C730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869E04">
            <w:pPr>
              <w:ind w:firstLine="420"/>
              <w:rPr>
                <w:rFonts w:hint="eastAsia" w:ascii="宋体" w:hAnsi="宋体" w:cs="宋体"/>
                <w:color w:val="auto"/>
                <w:spacing w:val="-4"/>
                <w:sz w:val="21"/>
                <w:szCs w:val="21"/>
              </w:rPr>
            </w:pPr>
            <w:r>
              <w:rPr>
                <w:rFonts w:hint="eastAsia" w:ascii="宋体" w:hAnsi="宋体" w:cs="宋体"/>
                <w:color w:val="auto"/>
                <w:sz w:val="21"/>
                <w:szCs w:val="21"/>
              </w:rPr>
              <w:t>动载试验：起吊1.1倍额定载荷（对试验载荷与试验工况有特殊要求的按设计规定），各机构的制动器可靠有效，空中起升时无反向动作及下滑现象，各机构工作正常无异常声响，各机构与结构无损坏及塑性变形，连接无松动，固定结合面无渗油，运动结合面无滴油，电气元件完好。整机稳定性符合要求,无运行台车脱离轨道面“跷腿”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A1A66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E691FD">
            <w:pPr>
              <w:ind w:firstLine="422"/>
              <w:jc w:val="center"/>
              <w:rPr>
                <w:rFonts w:hint="eastAsia" w:ascii="宋体" w:hAnsi="宋体" w:cs="宋体"/>
                <w:b/>
                <w:bCs/>
                <w:snapToGrid w:val="0"/>
                <w:color w:val="auto"/>
                <w:sz w:val="21"/>
                <w:szCs w:val="21"/>
              </w:rPr>
            </w:pPr>
          </w:p>
        </w:tc>
      </w:tr>
      <w:tr w14:paraId="6B9F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04E0739">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0</w:t>
            </w:r>
          </w:p>
        </w:tc>
        <w:tc>
          <w:tcPr>
            <w:tcW w:w="854" w:type="dxa"/>
            <w:vMerge w:val="continue"/>
            <w:tcBorders>
              <w:left w:val="single" w:color="auto" w:sz="4" w:space="0"/>
              <w:bottom w:val="single" w:color="auto" w:sz="4" w:space="0"/>
              <w:right w:val="single" w:color="auto" w:sz="4" w:space="0"/>
            </w:tcBorders>
            <w:noWrap w:val="0"/>
            <w:vAlign w:val="center"/>
          </w:tcPr>
          <w:p w14:paraId="297BFA5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CFD30C1">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静载试验：</w:t>
            </w:r>
            <w:r>
              <w:rPr>
                <w:rFonts w:hint="eastAsia" w:ascii="宋体" w:hAnsi="宋体" w:cs="宋体"/>
                <w:color w:val="auto"/>
                <w:sz w:val="21"/>
                <w:szCs w:val="21"/>
              </w:rPr>
              <w:t>均匀无冲击加载至1.25倍额定载荷（对试验载荷与试验工况有特殊要求的按设计规定），使载荷悬空离地100～200mm停留10min，各机构与结构无裂纹、永久变形、油漆打皱、连接无松动，结合面不得渗油，整机稳定性符合要求，无运行台车脱离轨道面“跷腿”等异常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B53D35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EB7B763">
            <w:pPr>
              <w:ind w:firstLine="422"/>
              <w:jc w:val="center"/>
              <w:rPr>
                <w:rFonts w:hint="eastAsia" w:ascii="宋体" w:hAnsi="宋体" w:cs="宋体"/>
                <w:b/>
                <w:bCs/>
                <w:snapToGrid w:val="0"/>
                <w:color w:val="auto"/>
                <w:sz w:val="21"/>
                <w:szCs w:val="21"/>
              </w:rPr>
            </w:pPr>
          </w:p>
        </w:tc>
      </w:tr>
      <w:tr w14:paraId="4A24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76EF0707">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租赁单位意见：</w:t>
            </w:r>
          </w:p>
          <w:p w14:paraId="31AA14EB">
            <w:pPr>
              <w:widowControl/>
              <w:ind w:firstLine="420"/>
              <w:jc w:val="left"/>
              <w:textAlignment w:val="center"/>
              <w:rPr>
                <w:rFonts w:ascii="宋体" w:hAnsi="宋体" w:cs="宋体"/>
                <w:color w:val="auto"/>
                <w:kern w:val="0"/>
                <w:sz w:val="21"/>
                <w:szCs w:val="21"/>
                <w:lang w:bidi="ar"/>
              </w:rPr>
            </w:pPr>
          </w:p>
          <w:p w14:paraId="6FCAF502">
            <w:pPr>
              <w:widowControl/>
              <w:ind w:firstLine="420"/>
              <w:jc w:val="left"/>
              <w:textAlignment w:val="center"/>
              <w:rPr>
                <w:rFonts w:ascii="宋体" w:hAnsi="宋体" w:cs="宋体"/>
                <w:color w:val="auto"/>
                <w:kern w:val="0"/>
                <w:sz w:val="21"/>
                <w:szCs w:val="21"/>
                <w:lang w:bidi="ar"/>
              </w:rPr>
            </w:pPr>
          </w:p>
          <w:p w14:paraId="3C7C175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租赁负责人（签字）：                      （盖章）</w:t>
            </w:r>
          </w:p>
          <w:p w14:paraId="437F15CF">
            <w:pPr>
              <w:widowControl/>
              <w:ind w:firstLine="420"/>
              <w:jc w:val="left"/>
              <w:textAlignment w:val="center"/>
              <w:rPr>
                <w:rFonts w:ascii="宋体" w:hAnsi="宋体" w:cs="宋体"/>
                <w:color w:val="auto"/>
                <w:kern w:val="0"/>
                <w:sz w:val="21"/>
                <w:szCs w:val="21"/>
                <w:lang w:bidi="ar"/>
              </w:rPr>
            </w:pPr>
          </w:p>
          <w:p w14:paraId="69B68779">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6A4798FF">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使用单位意见：</w:t>
            </w:r>
          </w:p>
          <w:p w14:paraId="2DD0831A">
            <w:pPr>
              <w:widowControl/>
              <w:ind w:firstLine="420"/>
              <w:jc w:val="left"/>
              <w:textAlignment w:val="center"/>
              <w:rPr>
                <w:rFonts w:ascii="宋体" w:hAnsi="宋体" w:cs="宋体"/>
                <w:color w:val="auto"/>
                <w:kern w:val="0"/>
                <w:sz w:val="21"/>
                <w:szCs w:val="21"/>
                <w:lang w:bidi="ar"/>
              </w:rPr>
            </w:pPr>
          </w:p>
          <w:p w14:paraId="150150A9">
            <w:pPr>
              <w:widowControl/>
              <w:ind w:firstLine="420"/>
              <w:jc w:val="left"/>
              <w:textAlignment w:val="center"/>
              <w:rPr>
                <w:rFonts w:ascii="宋体" w:hAnsi="宋体" w:cs="宋体"/>
                <w:color w:val="auto"/>
                <w:kern w:val="0"/>
                <w:sz w:val="21"/>
                <w:szCs w:val="21"/>
                <w:lang w:bidi="ar"/>
              </w:rPr>
            </w:pPr>
          </w:p>
          <w:p w14:paraId="6B8E6AA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项目技术负责人或机械员（签字）            （盖章）</w:t>
            </w:r>
          </w:p>
          <w:p w14:paraId="416175B6">
            <w:pPr>
              <w:widowControl/>
              <w:ind w:firstLine="420"/>
              <w:jc w:val="left"/>
              <w:textAlignment w:val="center"/>
              <w:rPr>
                <w:rFonts w:ascii="宋体" w:hAnsi="宋体" w:cs="宋体"/>
                <w:color w:val="auto"/>
                <w:kern w:val="0"/>
                <w:sz w:val="21"/>
                <w:szCs w:val="21"/>
                <w:lang w:bidi="ar"/>
              </w:rPr>
            </w:pPr>
          </w:p>
          <w:p w14:paraId="6A4A86E3">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r w14:paraId="63E4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5CA7B820">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安装单位意见：</w:t>
            </w:r>
          </w:p>
          <w:p w14:paraId="28BA03E7">
            <w:pPr>
              <w:widowControl/>
              <w:ind w:firstLine="0" w:firstLineChars="0"/>
              <w:jc w:val="left"/>
              <w:textAlignment w:val="center"/>
              <w:rPr>
                <w:rFonts w:hint="eastAsia" w:ascii="宋体" w:hAnsi="宋体" w:cs="宋体"/>
                <w:color w:val="auto"/>
                <w:kern w:val="0"/>
                <w:sz w:val="21"/>
                <w:szCs w:val="21"/>
                <w:lang w:bidi="ar"/>
              </w:rPr>
            </w:pPr>
          </w:p>
          <w:p w14:paraId="2CF46038">
            <w:pPr>
              <w:widowControl/>
              <w:ind w:firstLine="420"/>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 技术负责人（或受委托负责人）（签字）      （盖章）</w:t>
            </w:r>
          </w:p>
          <w:p w14:paraId="3BD2C160">
            <w:pPr>
              <w:widowControl/>
              <w:ind w:firstLine="420"/>
              <w:textAlignment w:val="center"/>
              <w:rPr>
                <w:rFonts w:ascii="宋体" w:hAnsi="宋体" w:cs="宋体"/>
                <w:color w:val="auto"/>
                <w:kern w:val="0"/>
                <w:sz w:val="21"/>
                <w:szCs w:val="21"/>
                <w:lang w:bidi="ar"/>
              </w:rPr>
            </w:pPr>
          </w:p>
          <w:p w14:paraId="4CD2EF9F">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3DC7F946">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监理单位意见：</w:t>
            </w:r>
          </w:p>
          <w:p w14:paraId="461D6B93">
            <w:pPr>
              <w:widowControl/>
              <w:ind w:firstLine="0" w:firstLineChars="0"/>
              <w:jc w:val="left"/>
              <w:textAlignment w:val="center"/>
              <w:rPr>
                <w:rFonts w:hint="eastAsia" w:ascii="宋体" w:hAnsi="宋体" w:cs="宋体"/>
                <w:color w:val="auto"/>
                <w:kern w:val="0"/>
                <w:sz w:val="21"/>
                <w:szCs w:val="21"/>
                <w:lang w:bidi="ar"/>
              </w:rPr>
            </w:pPr>
          </w:p>
          <w:p w14:paraId="393AC8D6">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总监或专业监理工程师（签字）：             （盖章）</w:t>
            </w:r>
          </w:p>
          <w:p w14:paraId="47D3B7FC">
            <w:pPr>
              <w:widowControl/>
              <w:ind w:firstLine="420"/>
              <w:jc w:val="left"/>
              <w:textAlignment w:val="center"/>
              <w:rPr>
                <w:rFonts w:ascii="宋体" w:hAnsi="宋体" w:cs="宋体"/>
                <w:color w:val="auto"/>
                <w:kern w:val="0"/>
                <w:sz w:val="21"/>
                <w:szCs w:val="21"/>
                <w:lang w:bidi="ar"/>
              </w:rPr>
            </w:pPr>
          </w:p>
          <w:p w14:paraId="7FBF780F">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bl>
    <w:p w14:paraId="580B032F">
      <w:pPr>
        <w:ind w:firstLine="480"/>
        <w:rPr>
          <w:color w:val="auto"/>
        </w:rPr>
      </w:pPr>
    </w:p>
    <w:p w14:paraId="62B24DD8">
      <w:pPr>
        <w:pStyle w:val="38"/>
        <w:rPr>
          <w:color w:val="auto"/>
        </w:rPr>
      </w:pPr>
    </w:p>
    <w:p w14:paraId="3F1ECB5E">
      <w:pPr>
        <w:pStyle w:val="38"/>
        <w:rPr>
          <w:color w:val="auto"/>
        </w:rPr>
      </w:pPr>
    </w:p>
    <w:p w14:paraId="034B132C">
      <w:pPr>
        <w:pStyle w:val="2"/>
        <w:numPr>
          <w:ilvl w:val="0"/>
          <w:numId w:val="0"/>
        </w:numPr>
        <w:ind w:leftChars="0"/>
        <w:jc w:val="center"/>
        <w:outlineLvl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54E380C">
      <w:pPr>
        <w:pStyle w:val="2"/>
        <w:numPr>
          <w:ilvl w:val="0"/>
          <w:numId w:val="0"/>
        </w:numPr>
        <w:ind w:leftChars="0"/>
        <w:jc w:val="center"/>
        <w:outlineLvl w:val="0"/>
        <w:rPr>
          <w:color w:val="auto"/>
        </w:rPr>
      </w:pPr>
      <w:bookmarkStart w:id="262" w:name="_Toc27113"/>
      <w:r>
        <w:rPr>
          <w:rFonts w:hint="eastAsia"/>
          <w:color w:val="auto"/>
          <w:lang w:val="en-US" w:eastAsia="zh-CN"/>
        </w:rPr>
        <w:t>9</w:t>
      </w:r>
      <w:r>
        <w:rPr>
          <w:rFonts w:hint="eastAsia"/>
          <w:color w:val="auto"/>
        </w:rPr>
        <w:t>应急处置</w:t>
      </w:r>
      <w:r>
        <w:rPr>
          <w:rFonts w:hint="eastAsia"/>
          <w:color w:val="auto"/>
          <w:lang w:eastAsia="zh-CN"/>
        </w:rPr>
        <w:t>措施</w:t>
      </w:r>
      <w:bookmarkEnd w:id="223"/>
      <w:bookmarkEnd w:id="224"/>
      <w:bookmarkEnd w:id="262"/>
    </w:p>
    <w:p w14:paraId="30CD1569">
      <w:pPr>
        <w:pStyle w:val="3"/>
        <w:numPr>
          <w:ilvl w:val="0"/>
          <w:numId w:val="0"/>
        </w:numPr>
        <w:outlineLvl w:val="1"/>
        <w:rPr>
          <w:rFonts w:hint="eastAsia"/>
          <w:color w:val="auto"/>
        </w:rPr>
      </w:pPr>
      <w:bookmarkStart w:id="263" w:name="_Toc32162"/>
      <w:bookmarkStart w:id="264" w:name="_Toc23826"/>
      <w:bookmarkStart w:id="265" w:name="_Toc10409838"/>
      <w:bookmarkStart w:id="266" w:name="_Toc4766"/>
      <w:r>
        <w:rPr>
          <w:rFonts w:hint="eastAsia"/>
          <w:color w:val="auto"/>
          <w:lang w:val="en-US" w:eastAsia="zh-CN"/>
        </w:rPr>
        <w:t xml:space="preserve">9.1 </w:t>
      </w:r>
      <w:r>
        <w:rPr>
          <w:rFonts w:hint="eastAsia"/>
          <w:color w:val="auto"/>
        </w:rPr>
        <w:t>危险源辨识</w:t>
      </w:r>
      <w:bookmarkEnd w:id="263"/>
      <w:bookmarkEnd w:id="264"/>
      <w:bookmarkEnd w:id="265"/>
      <w:bookmarkEnd w:id="266"/>
    </w:p>
    <w:p w14:paraId="7B182A13">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2"/>
        <w:rPr>
          <w:rFonts w:hint="eastAsia" w:ascii="宋体" w:hAnsi="宋体" w:eastAsia="宋体" w:cs="宋体"/>
          <w:b/>
          <w:color w:val="auto"/>
          <w:szCs w:val="21"/>
          <w:lang w:val="en-US" w:eastAsia="zh-CN"/>
        </w:rPr>
      </w:pPr>
      <w:r>
        <w:rPr>
          <w:rFonts w:hint="eastAsia" w:ascii="宋体" w:hAnsi="宋体" w:eastAsia="宋体" w:cs="宋体"/>
          <w:b/>
          <w:bCs/>
          <w:color w:val="auto"/>
          <w:kern w:val="2"/>
          <w:sz w:val="24"/>
          <w:szCs w:val="24"/>
          <w:lang w:val="en-US" w:eastAsia="zh-CN" w:bidi="ar-SA"/>
        </w:rPr>
        <w:t>9.1.1危险因素辨识</w:t>
      </w:r>
      <w:r>
        <w:rPr>
          <w:rFonts w:hint="eastAsia" w:ascii="宋体" w:hAnsi="宋体" w:eastAsia="宋体" w:cs="宋体"/>
          <w:b/>
          <w:color w:val="auto"/>
          <w:szCs w:val="21"/>
          <w:lang w:val="en-US" w:eastAsia="zh-CN"/>
        </w:rPr>
        <w:t>及评价</w:t>
      </w:r>
    </w:p>
    <w:p w14:paraId="12BDA55C">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表9.1-1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5E51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noWrap w:val="0"/>
            <w:vAlign w:val="center"/>
          </w:tcPr>
          <w:p w14:paraId="01FA1B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110B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71982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noWrap w:val="0"/>
            <w:vAlign w:val="center"/>
          </w:tcPr>
          <w:p w14:paraId="4D312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noWrap w:val="0"/>
            <w:vAlign w:val="center"/>
          </w:tcPr>
          <w:p w14:paraId="0D24A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55E8D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noWrap w:val="0"/>
            <w:vAlign w:val="center"/>
          </w:tcPr>
          <w:p w14:paraId="4F18D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noWrap w:val="0"/>
            <w:vAlign w:val="center"/>
          </w:tcPr>
          <w:p w14:paraId="6599F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3B540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noWrap w:val="0"/>
            <w:vAlign w:val="center"/>
          </w:tcPr>
          <w:p w14:paraId="22E90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8D80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7A5A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4021C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E94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75AB0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C05C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E1DF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noWrap w:val="0"/>
            <w:vAlign w:val="center"/>
          </w:tcPr>
          <w:p w14:paraId="00C0D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25FE8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noWrap w:val="0"/>
            <w:vAlign w:val="center"/>
          </w:tcPr>
          <w:p w14:paraId="120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632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noWrap w:val="0"/>
            <w:vAlign w:val="center"/>
          </w:tcPr>
          <w:p w14:paraId="659D2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92B8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C63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92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F4C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03687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8AB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2DC0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A736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noWrap w:val="0"/>
            <w:vAlign w:val="center"/>
          </w:tcPr>
          <w:p w14:paraId="50D93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6DF0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noWrap w:val="0"/>
            <w:vAlign w:val="center"/>
          </w:tcPr>
          <w:p w14:paraId="774227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7E4B0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416F4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E8E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noWrap w:val="0"/>
            <w:vAlign w:val="center"/>
          </w:tcPr>
          <w:p w14:paraId="17E2D4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B106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08E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C6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2E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FD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8B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C6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346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18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AE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CD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52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C5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6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8AC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D50B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F6F6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D5D6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129B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EED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C3B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75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85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99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3C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F00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AED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EA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AF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66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00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07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A2BA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D4A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E5DF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706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69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0DC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21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90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7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7C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4C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25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33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3B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74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86B1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C8D6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868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FC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DF7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29C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3F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A4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92E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BB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7B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ED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75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46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91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8E5F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E7D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5B7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22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01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80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1C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CB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91A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CF9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9C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75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A0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B32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38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4203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DE3D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11B0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FB4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760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071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B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49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EC9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62E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1F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D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31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CC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78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78D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980C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F5C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1A4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55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63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A9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FD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22C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212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C1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77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0C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3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95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14B6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389D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0330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8D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FFF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7A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2D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ED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4E9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96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BF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6C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06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6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55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1D5A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2550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B11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983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D9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689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5B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87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DA2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B48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96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93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52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0B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54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AD0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D7F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1DBD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E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7E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6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B8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20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19B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F6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45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5D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3D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3D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01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6833C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664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2D13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D2A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0D6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02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4A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04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DB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FC5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AD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53F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92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96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F4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C661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A75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D05B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FB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62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D13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B7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87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96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F9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79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7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8E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7F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85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003E5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66D4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7EFD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2F1C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672B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9DE4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02B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13C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759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82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2C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F65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2C6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63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A3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68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CE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DB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7C8C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443F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F5C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20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EE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71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08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2E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95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E8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F9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B0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D4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9E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BF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7C39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49A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5334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CBE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B2B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4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2F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6D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73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41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C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2A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91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24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7B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E8F5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63D0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03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0A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B2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CC8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75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75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B20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55D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4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8B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7B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99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D7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EC43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AC3F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4E6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42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1DC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A5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F8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DE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2A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10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E3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E3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9D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5C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C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28C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F59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8F05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66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8A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B1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F1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03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3E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E26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34A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BC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B0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5E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9AF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D387C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A38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A52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6CA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21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4B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76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D7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533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167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F0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58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07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24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9F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C18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D4A5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8F97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B4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08E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32E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0A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F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709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B11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99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D7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F9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6F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46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899CA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190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8A9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DB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16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DB4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2D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FD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AD4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A4E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EE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EC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8A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4D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37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5D9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ABE2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548B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3A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E9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203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F0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ED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E5A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66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05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9B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45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F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D7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5F0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C65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9AF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E00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70C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341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74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D7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27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15C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27E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E3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66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A0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28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8A1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BD9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7FCA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377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43E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61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88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51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EC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E5D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6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09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5A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D8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7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961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E7A1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C514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5BD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D1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23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44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FC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E1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D8E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49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F3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30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1A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A4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45CF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99D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960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00C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FE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622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24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0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48B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89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32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47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19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59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34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0571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467A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48C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E4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83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74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010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CD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42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F8B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DE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AF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13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EC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EB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6B3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514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7DA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59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03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0C1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D8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07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99D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04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F8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45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20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BC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5F5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DD8B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9737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35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AE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D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3A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01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244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E44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5E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23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52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6C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F9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A620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537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1FA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7BD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230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87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9C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B8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4B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3C5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5E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57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65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AC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0C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13BF8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B20B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9C97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1EF8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D946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78FE4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383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E6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B2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0B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AD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0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A4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E9A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7B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29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46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EC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7C4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DA39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8C97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E6C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60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93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87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6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DC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D4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78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DC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4C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A5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75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9E9D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8FED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CBE8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E4E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A91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8EB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33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83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1C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57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46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83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DB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29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75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0780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0B32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B01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51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683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46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B3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D8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3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FB1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33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CC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8C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36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A3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CDA4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2384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0B4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74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2E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F67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73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5B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0DC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F9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A5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D1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7D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61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6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77FC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2430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7A7B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B9F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552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C6C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60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31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E3F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5E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CE3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0A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1D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FB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61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68E7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93E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BA2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3D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9C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1FC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91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0B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5F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DA9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B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8EF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F1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17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65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BE0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DC29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3880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8B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02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95A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04A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95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78D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F5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99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04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C3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87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18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692B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B06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4E1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8E2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1F5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B2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21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53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D14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C9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A23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42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26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F2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91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8FE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DD5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871D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C67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F5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611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E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88A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44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C89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1F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5FD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ED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52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44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2B28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DF27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B9FE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89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33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52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8E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C0E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25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4C1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6B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2C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1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9F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29A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7D7F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0135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22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39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3F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9C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A2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1D7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E81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58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79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02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48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75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973F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1E5A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B25E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E75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78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8B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C2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1F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538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D4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84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6D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70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B4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F7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96F8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5843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C43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EB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C7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025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EE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7C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DD2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570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9E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1B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02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87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37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89101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D75D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6A8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C15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166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46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AF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A5B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2E4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78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29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A3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B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60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F4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1006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EFB5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EB38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1E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A7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E6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E3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26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2F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0F4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29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65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80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A6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D1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80C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637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01F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D1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E9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4A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B0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9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D0C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F2F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2F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3BA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A4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BE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53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5CC9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501F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85C5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51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D9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1D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3CF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91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C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59F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D7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21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E0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BA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B0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268F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5F89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AD0A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D2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72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83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6D1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F7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ECE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DC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7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8F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44C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A1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C4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97DB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C5CB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67D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2D2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CA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CF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8F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1E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95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A00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69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D1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51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8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4A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03DA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1F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2C1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AC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E68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71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363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62C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9E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E7E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5B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8D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ED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B8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2A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4B77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B40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08F3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BE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1F0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E5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42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0A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1F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D3F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93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9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68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85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9C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A10E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6C3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319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B27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58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985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E9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51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9CC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9F0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C0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A9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AC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E3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79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5990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A69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3212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DF3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4E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21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E2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0CC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6E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C9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10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70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1DA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10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6D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F434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31BE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69B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718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C99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88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3A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DE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D05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33D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B7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5B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C5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00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C90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8714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2A4B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C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818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21A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433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D5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83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3BF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7C7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7E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D9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D2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DB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DA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CCDA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17B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2B14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58D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606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C70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63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53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3B8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79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0A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1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0F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8D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16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D191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33BF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05A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2D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329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04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23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B2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52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E69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C6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7D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74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2E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74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12AE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60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F1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2F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53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73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B7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31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82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AF1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EB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70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D6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B1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1F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49B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39502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7B97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36A2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421B6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27E8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2BF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1B2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BB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16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DD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4E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73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01C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D0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6F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3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61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686A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F972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0C6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DF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58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C44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6F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5E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92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741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CE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BB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E8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F1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E0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2DF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919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56FD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FF1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C0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B3D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01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4A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2E7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B6B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2E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2C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57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0E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78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6FA1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23F6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747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54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10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1B4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1D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87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4B3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066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14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E8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06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55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1D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A9E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0C31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7B0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84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2D1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71D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40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E3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58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98B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5F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50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DF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4A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F6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EE66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CB54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D77A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68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911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2D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97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E2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C38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472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F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2F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3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416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54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E941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4C8F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A9C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A0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D33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56D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46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1B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CF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5EA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2E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71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7A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24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548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6A68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4B6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091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FDA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10C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85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A4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FF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450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11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AC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E8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E1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17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3F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D43A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7C3F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5901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E8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2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E03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19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A7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FB8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73E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67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51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05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E4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11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6FF0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F9E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DE4A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800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5A0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54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4D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32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341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D44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8B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B3C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3E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ED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2B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DAC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278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7CD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65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94F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8A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782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3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6A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62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14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42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E0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236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17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685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AA00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0095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4CE7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0BAF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EDB5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95F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15C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89E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DD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2AE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790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D5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0F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B2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AE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31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A724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3751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3D2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FF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611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7F3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DB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50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6AD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10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7E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51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E1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0A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EE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E207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6A5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61F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60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E1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B92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D8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D2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82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108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93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5C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F9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33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ED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A0CC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0A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9D1D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784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32C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735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F7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6E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C0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D96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45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98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D7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47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18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D7B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F46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C8E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7C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0E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0B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57F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16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A47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51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FA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41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A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D1D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6A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4F2B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621C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958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2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4D1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85A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51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8D3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064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761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36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28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42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1C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2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A39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29C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232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69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F01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5B6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E3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31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5B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E7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1E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BE9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0C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D0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3B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6DB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33D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6C1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777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AB5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6C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F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AC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BB7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FF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A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B2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9A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52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6D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5A92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04F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92F1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0ED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4E6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8B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13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19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C4A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C3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F9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8B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96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46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676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070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941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58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EA8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41E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98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D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06B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A5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6A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9F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3F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10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CA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D75F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C64F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E175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B2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41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B1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F9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6B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E5E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4DC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E7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215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20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6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962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C6C3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8CAF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9E8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ED9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CC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8AB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2E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D1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6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7E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3F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5D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AE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86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C5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42F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3203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611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E1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CD0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EA9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84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8A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346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0A8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758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1B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6A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C5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FE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3375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D4B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1E23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296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CA9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21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4EE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18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274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9E4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82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B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09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20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00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FBE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23DF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78B2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96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BB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3C1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CB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8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8EC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8A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39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14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2B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F5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90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1445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610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3CE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6BB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0F2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A0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D3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1D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A63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0EE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58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03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A12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7E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BE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345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0B8A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F1F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46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C2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C4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90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5E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CA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A31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C8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0E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D5E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1C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65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483B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B9E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22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0B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695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4A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17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15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1A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1F1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DF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ED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28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9B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A2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C5D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98FE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481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E4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03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B6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9A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27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571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A8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6D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78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FF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87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85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372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FAF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DFCA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811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A64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D09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EC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81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C5C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7EA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3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D5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1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84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F2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96FE1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7006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4D7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95F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19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9E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16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5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F9A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83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18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D9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6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8E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98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82F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A8F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6029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D5C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2D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9C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FD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46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A8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28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86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60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F5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A6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F2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4F6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D536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19760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41EC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F06F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013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EAA5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55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6B6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9C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E0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7D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3F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72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23A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D19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0C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59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E19D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D58E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32A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74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179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A6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45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B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B6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0A8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02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7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35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B6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80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A51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95F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D4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942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04A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B007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80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32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AE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E8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F6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B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0A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B2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8C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634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6C2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E208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597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6F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92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2E9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B9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282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90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D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23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BF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F2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1FDC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D347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D01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1D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7DC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85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87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A6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542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53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E3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B1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53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4B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A0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5D79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66A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6AA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92A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DE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76F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C9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1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1C9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7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19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96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3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88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87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B523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75F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20D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EF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7F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2E3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0B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95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47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76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9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82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A9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E0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CF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8576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D697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7BC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BF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6A1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73F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0C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30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92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95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C1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0CA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A1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C5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1E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8E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2FF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7AA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A43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51A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930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45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C3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DF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C53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C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78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87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8C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53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631A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A2D8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503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E6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C4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74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44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B3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35B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29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89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FB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26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BA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2B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FD03E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57A0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59CD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31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77B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3B2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F3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91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7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A2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75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61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1C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85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A0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08EE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0C27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86E2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26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7B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6DB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DC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26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EC8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0AA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AD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6A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26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18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C6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548A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AB8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E15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869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8E9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D9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C9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D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22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DF2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08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F2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EB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A1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D6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6456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983B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A3C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11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62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A7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7C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1D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89F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512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11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66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E8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1D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420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3AA1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8B20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9E75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AE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2F7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64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77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29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6B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07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82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5D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11E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73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D19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BACD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517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0AE9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E613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C52A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DF10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75E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814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95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79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96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41B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64B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D9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50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58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49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4F1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11EF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418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15F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95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E94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D38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56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D3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D7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8FC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605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93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2A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73A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F00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18AF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985C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0035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FA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82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2E2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08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D9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917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418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69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4A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DE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16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2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F570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42F6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AA37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5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B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F3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AF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D1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FF1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8A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2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87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94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88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CD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B51C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AC0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8EF2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973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10F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07A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DA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DE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7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C39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72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69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66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C1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12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E473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D834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58F2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253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636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A34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61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09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5C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F9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EC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E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6C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B5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5C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AABB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EF23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5FD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11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0A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56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03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7E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429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99F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A3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CE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51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CF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E7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9526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DE6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B12C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7E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D3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08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F7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DC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50B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1EB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E0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35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6F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EE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A4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BD7E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39D9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29CE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1C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D6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33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1C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0B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E8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6F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69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8A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13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A8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D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296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2C0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AAB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08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D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69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98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67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51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B4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68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20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D8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EE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AB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5FB6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F0EF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B51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A6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3D0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AD4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00F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49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333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6E5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BB4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DB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BB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F5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57B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2C0B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D539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7B2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C6F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49E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DC5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E4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BA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B20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C3B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BD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B8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31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419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A4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D0B4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AD2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B808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D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EED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1D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E4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5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3B3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52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FE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45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F9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5E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EE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D06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2379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FC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D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D2D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E94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3C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AF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B88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8DF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1F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B5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82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0A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2E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2D7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419E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D55C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F6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A26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C09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EBB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20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FC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27A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59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21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A6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8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79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EB8A8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02FA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B48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AB5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7DA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56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617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078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4F4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17A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A54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11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9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42E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C1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C0B7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203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0783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2C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2D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998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11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FE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3D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DA3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F0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56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BC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96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24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5432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CCED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A01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BE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057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9BD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EA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95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F6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87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58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4C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B7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23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92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324E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59F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5297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8E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5DE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9DC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4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F0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7E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23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24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7F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B8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FB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F4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B70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5A5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1ADF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CE2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C5E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8AC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5D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29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39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16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83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4C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50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39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6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87A2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DA4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46D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44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3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876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F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7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3B7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881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D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9B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F9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A7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C59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F395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492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898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88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BB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BD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41F8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6C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59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09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48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A3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F3A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AC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9E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E4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FDD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101CF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0E09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4CD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C87B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21023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C67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E6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1A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2B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77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B2C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247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50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19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45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6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A0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A60A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5B7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F92B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501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962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C13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D6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BE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EB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18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AA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33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C7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21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ED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5FB8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A5A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86D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47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3B6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8DD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299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8A3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ECD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E6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57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55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710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C6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18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9E4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DB7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5B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6F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650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4DE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14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22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69E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FF9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83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B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9D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15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03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5946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7D5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0B1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ADA2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67E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775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EA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B9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A0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F45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DB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FA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CB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7F6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8B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9D2F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BA9A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1AF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9E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3C4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F96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70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7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B2E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3E7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D76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90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17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F7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D7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CB57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F7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D4B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91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E33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6E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7F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3E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935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533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D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E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2F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29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C4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05631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5D1E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80A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16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26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3E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49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D8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D1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486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C4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51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2E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84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80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4D63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CD5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E97B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A5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B11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386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04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E4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BEE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833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03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AF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A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68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9A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3A3A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11D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3EB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700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F10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476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90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FE4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779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9A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21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F4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3E0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AB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B8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4FE5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934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AAF2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D01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629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7ED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1EC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4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25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5B1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F0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FC7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E8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40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4E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C7C3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BDBA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818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85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1BE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883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C2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05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A65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B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7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1E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A3D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60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4C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AE27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0C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49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CD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5A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40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FA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02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22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54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D0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F8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43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66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2F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5FF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63DB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8C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63A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CA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22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4D6B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BF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7C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80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A0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3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AF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99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95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8D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B296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9264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9E09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9A99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CB6F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EED5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1B9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FC9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D5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E6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6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7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9C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95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19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6B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0C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25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264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4326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F4BD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15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9A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A9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48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3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7A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629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8A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82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62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B5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B5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DB0EC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D21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677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F63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4D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2E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A0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0B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39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9A6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6C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59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AE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A8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6D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283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2FC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8A5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F81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F9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E7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9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187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A02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6A2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08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D3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D0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A2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81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8D9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CCC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9BD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74E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AC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B16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26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BD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20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68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D47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1B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11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AB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AF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4007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B45D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433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04A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49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93B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85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C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E87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11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8B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34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9A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54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C5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AE7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02D4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CD8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2F4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81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160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B8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042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E59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35F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1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58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B5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CE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74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C521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16E0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17E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31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A37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6D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DF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18F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80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052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D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ED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3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03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56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400C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54C1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3039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FFD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A9A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3A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7C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26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93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B2B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B4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33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C4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AE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44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EFDE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1B9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DC1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E09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8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298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81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21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041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A58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07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C1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36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D9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70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4A23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9AD6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E7C7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6B095C3F">
      <w:pPr>
        <w:ind w:firstLine="480"/>
        <w:rPr>
          <w:rFonts w:hint="eastAsia" w:ascii="宋体" w:hAnsi="宋体"/>
          <w:b/>
          <w:color w:val="auto"/>
          <w:sz w:val="24"/>
        </w:rPr>
      </w:pPr>
    </w:p>
    <w:p w14:paraId="7EE4E42B">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5183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EFEED2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6352F90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7B49AF2A">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03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D86439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356408A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5AA536F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E94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F5FE0B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7968FD2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37B976D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5DE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26F9650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3BC82B2D">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79751E5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5FC5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439C523A">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047ED43C">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24766366">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4C6A34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color w:val="auto"/>
          <w:sz w:val="24"/>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4540D662">
      <w:pPr>
        <w:bidi w:val="0"/>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9.1.2针对较大风险和重大分险编制施工安全风险控制措施</w:t>
      </w:r>
    </w:p>
    <w:p w14:paraId="174C70D9">
      <w:pPr>
        <w:ind w:firstLine="480"/>
        <w:jc w:val="center"/>
        <w:rPr>
          <w:rFonts w:hint="eastAsia" w:ascii="宋体" w:hAnsi="宋体" w:eastAsia="宋体" w:cs="宋体"/>
          <w:b/>
          <w:color w:val="auto"/>
          <w:sz w:val="24"/>
          <w:lang w:val="en-US" w:eastAsia="zh-CN"/>
        </w:rPr>
      </w:pPr>
    </w:p>
    <w:p w14:paraId="3154B3E4">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表9.1-3</w:t>
      </w:r>
      <w:r>
        <w:rPr>
          <w:rFonts w:hint="eastAsia" w:ascii="宋体" w:hAnsi="宋体" w:eastAsia="宋体" w:cs="宋体"/>
          <w:b/>
          <w:color w:val="auto"/>
          <w:sz w:val="24"/>
        </w:rPr>
        <w:t>塔吊作业活动安全风险控制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6"/>
        <w:gridCol w:w="876"/>
        <w:gridCol w:w="5798"/>
        <w:gridCol w:w="1181"/>
        <w:gridCol w:w="2541"/>
        <w:gridCol w:w="1609"/>
        <w:gridCol w:w="1017"/>
      </w:tblGrid>
      <w:tr w14:paraId="3446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69D0470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F822572">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4200D53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4863B669">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34B3677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6255F6F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031328C9">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A6D13B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5CDAB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139B400B">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5DE3520A">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2D5F21F0">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370A61F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4BE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1F0F0BB">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5D616725">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0ACB219A">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0D166FBB">
            <w:pPr>
              <w:spacing w:line="240" w:lineRule="auto"/>
              <w:ind w:firstLine="0" w:firstLineChars="0"/>
              <w:jc w:val="center"/>
              <w:rPr>
                <w:rFonts w:hint="eastAsia" w:ascii="宋体" w:hAnsi="宋体" w:eastAsia="宋体" w:cs="宋体"/>
                <w:i w:val="0"/>
                <w:iCs w:val="0"/>
                <w:color w:val="auto"/>
                <w:sz w:val="18"/>
                <w:szCs w:val="18"/>
                <w:u w:val="none"/>
              </w:rPr>
            </w:pPr>
          </w:p>
        </w:tc>
      </w:tr>
      <w:tr w14:paraId="6CAE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8C81CA9">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3DCD43F7">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125C1F4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867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C6997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4388C191">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35F9C37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5B615F7">
            <w:pPr>
              <w:spacing w:line="240" w:lineRule="auto"/>
              <w:ind w:firstLine="0" w:firstLineChars="0"/>
              <w:jc w:val="center"/>
              <w:rPr>
                <w:rFonts w:hint="eastAsia" w:ascii="宋体" w:hAnsi="宋体" w:eastAsia="宋体" w:cs="宋体"/>
                <w:i w:val="0"/>
                <w:iCs w:val="0"/>
                <w:color w:val="auto"/>
                <w:sz w:val="18"/>
                <w:szCs w:val="18"/>
                <w:u w:val="none"/>
              </w:rPr>
            </w:pPr>
          </w:p>
        </w:tc>
      </w:tr>
      <w:tr w14:paraId="5107F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5D03EAF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D161C7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5E12FF0C">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8A195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00EF41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22FBCF4">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C8C519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FD955BA">
            <w:pPr>
              <w:spacing w:line="240" w:lineRule="auto"/>
              <w:ind w:firstLine="0" w:firstLineChars="0"/>
              <w:jc w:val="center"/>
              <w:rPr>
                <w:rFonts w:hint="eastAsia" w:ascii="宋体" w:hAnsi="宋体" w:eastAsia="宋体" w:cs="宋体"/>
                <w:i w:val="0"/>
                <w:iCs w:val="0"/>
                <w:color w:val="auto"/>
                <w:sz w:val="18"/>
                <w:szCs w:val="18"/>
                <w:u w:val="none"/>
              </w:rPr>
            </w:pPr>
          </w:p>
        </w:tc>
      </w:tr>
      <w:tr w14:paraId="4A52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04E8A1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6C3F76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00A3195A">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A53F4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820E2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7BBFD7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7347BEE">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4FB352FC">
            <w:pPr>
              <w:spacing w:line="240" w:lineRule="auto"/>
              <w:ind w:firstLine="0" w:firstLineChars="0"/>
              <w:jc w:val="center"/>
              <w:rPr>
                <w:rFonts w:hint="eastAsia" w:ascii="宋体" w:hAnsi="宋体" w:eastAsia="宋体" w:cs="宋体"/>
                <w:i w:val="0"/>
                <w:iCs w:val="0"/>
                <w:color w:val="auto"/>
                <w:sz w:val="18"/>
                <w:szCs w:val="18"/>
                <w:u w:val="none"/>
              </w:rPr>
            </w:pPr>
          </w:p>
        </w:tc>
      </w:tr>
      <w:tr w14:paraId="6DB8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91DF8B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53C8A1B0">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A7F44B3">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57E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936190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FF31C0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208C63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A3F3F57">
            <w:pPr>
              <w:spacing w:line="240" w:lineRule="auto"/>
              <w:ind w:firstLine="0" w:firstLineChars="0"/>
              <w:jc w:val="center"/>
              <w:rPr>
                <w:rFonts w:hint="eastAsia" w:ascii="宋体" w:hAnsi="宋体" w:eastAsia="宋体" w:cs="宋体"/>
                <w:i w:val="0"/>
                <w:iCs w:val="0"/>
                <w:color w:val="auto"/>
                <w:sz w:val="18"/>
                <w:szCs w:val="18"/>
                <w:u w:val="none"/>
              </w:rPr>
            </w:pPr>
          </w:p>
        </w:tc>
      </w:tr>
      <w:tr w14:paraId="6237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41F01F8">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22DA68B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D22A2BB">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05F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B2C908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D152EE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2137469">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8C26190">
            <w:pPr>
              <w:spacing w:line="240" w:lineRule="auto"/>
              <w:ind w:firstLine="0" w:firstLineChars="0"/>
              <w:jc w:val="center"/>
              <w:rPr>
                <w:rFonts w:hint="eastAsia" w:ascii="宋体" w:hAnsi="宋体" w:eastAsia="宋体" w:cs="宋体"/>
                <w:i w:val="0"/>
                <w:iCs w:val="0"/>
                <w:color w:val="auto"/>
                <w:sz w:val="18"/>
                <w:szCs w:val="18"/>
                <w:u w:val="none"/>
              </w:rPr>
            </w:pPr>
          </w:p>
        </w:tc>
      </w:tr>
      <w:tr w14:paraId="3261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3CA94EB2">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00E7D9F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7CC11FF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6349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9BCB60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5ADFA0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2F666B4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15884AE">
            <w:pPr>
              <w:spacing w:line="240" w:lineRule="auto"/>
              <w:ind w:firstLine="0" w:firstLineChars="0"/>
              <w:jc w:val="center"/>
              <w:rPr>
                <w:rFonts w:hint="eastAsia" w:ascii="宋体" w:hAnsi="宋体" w:eastAsia="宋体" w:cs="宋体"/>
                <w:i w:val="0"/>
                <w:iCs w:val="0"/>
                <w:color w:val="auto"/>
                <w:sz w:val="18"/>
                <w:szCs w:val="18"/>
                <w:u w:val="none"/>
              </w:rPr>
            </w:pPr>
          </w:p>
        </w:tc>
      </w:tr>
      <w:tr w14:paraId="2B84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B3AA8D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B6B4BFE">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9A8E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9102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AE16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9A24DA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9BB27F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743530B">
            <w:pPr>
              <w:spacing w:line="240" w:lineRule="auto"/>
              <w:ind w:firstLine="0" w:firstLineChars="0"/>
              <w:jc w:val="center"/>
              <w:rPr>
                <w:rFonts w:hint="eastAsia" w:ascii="宋体" w:hAnsi="宋体" w:eastAsia="宋体" w:cs="宋体"/>
                <w:i w:val="0"/>
                <w:iCs w:val="0"/>
                <w:color w:val="auto"/>
                <w:sz w:val="18"/>
                <w:szCs w:val="18"/>
                <w:u w:val="none"/>
              </w:rPr>
            </w:pPr>
          </w:p>
        </w:tc>
      </w:tr>
      <w:tr w14:paraId="63564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7E41AFF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57B7F75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5DE7340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75ABC4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7E50850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AE6C20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ECEA1E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2032CC02">
            <w:pPr>
              <w:spacing w:line="240" w:lineRule="auto"/>
              <w:ind w:firstLine="0" w:firstLineChars="0"/>
              <w:jc w:val="center"/>
              <w:rPr>
                <w:rFonts w:hint="eastAsia" w:ascii="宋体" w:hAnsi="宋体" w:eastAsia="宋体" w:cs="宋体"/>
                <w:i w:val="0"/>
                <w:iCs w:val="0"/>
                <w:color w:val="auto"/>
                <w:sz w:val="18"/>
                <w:szCs w:val="18"/>
                <w:u w:val="none"/>
              </w:rPr>
            </w:pPr>
          </w:p>
        </w:tc>
      </w:tr>
      <w:tr w14:paraId="5A81F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0A5BFC08">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56BA8A7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3FAF95D7">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24AE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7B5D5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D00076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38728C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269415B">
            <w:pPr>
              <w:spacing w:line="240" w:lineRule="auto"/>
              <w:ind w:firstLine="0" w:firstLineChars="0"/>
              <w:jc w:val="center"/>
              <w:rPr>
                <w:rFonts w:hint="eastAsia" w:ascii="宋体" w:hAnsi="宋体" w:eastAsia="宋体" w:cs="宋体"/>
                <w:i w:val="0"/>
                <w:iCs w:val="0"/>
                <w:color w:val="auto"/>
                <w:sz w:val="18"/>
                <w:szCs w:val="18"/>
                <w:u w:val="none"/>
              </w:rPr>
            </w:pPr>
          </w:p>
        </w:tc>
      </w:tr>
      <w:tr w14:paraId="2C6E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9E52FB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54DC57A">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C0E0A96">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A2FC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22131E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CA69D29">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895C5B8">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DBC519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074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0F2B48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19CC11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3A88EBA">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D9A0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7DFCC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43ED4A31">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426E0606">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39159CE">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2F8C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63746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262C4A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BB8569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3822E3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1DB4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E260C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C44124D">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1318C038">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9985E0F">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0140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9F95A64">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BA7472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D0323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5D54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6379E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9DA1E66">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6645AD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2DEBB5">
            <w:pPr>
              <w:spacing w:line="240" w:lineRule="auto"/>
              <w:ind w:firstLine="0" w:firstLineChars="0"/>
              <w:jc w:val="center"/>
              <w:rPr>
                <w:rFonts w:hint="eastAsia" w:ascii="宋体" w:hAnsi="宋体" w:eastAsia="宋体" w:cs="宋体"/>
                <w:i w:val="0"/>
                <w:iCs w:val="0"/>
                <w:color w:val="auto"/>
                <w:sz w:val="18"/>
                <w:szCs w:val="18"/>
                <w:u w:val="none"/>
              </w:rPr>
            </w:pPr>
          </w:p>
        </w:tc>
      </w:tr>
      <w:tr w14:paraId="142CC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05A698E">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4BD29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1EE8E4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CEC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5DFED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4887D9A0">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718BE63">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EAC8A81">
            <w:pPr>
              <w:spacing w:line="240" w:lineRule="auto"/>
              <w:ind w:firstLine="0" w:firstLineChars="0"/>
              <w:jc w:val="center"/>
              <w:rPr>
                <w:rFonts w:hint="eastAsia" w:ascii="宋体" w:hAnsi="宋体" w:eastAsia="宋体" w:cs="宋体"/>
                <w:i w:val="0"/>
                <w:iCs w:val="0"/>
                <w:color w:val="auto"/>
                <w:sz w:val="18"/>
                <w:szCs w:val="18"/>
                <w:u w:val="none"/>
              </w:rPr>
            </w:pPr>
          </w:p>
        </w:tc>
      </w:tr>
      <w:tr w14:paraId="21439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F46CA2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77BE14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2DF9B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E8C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B5BCE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4A6C53E2">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403B5F1">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24B0C73">
            <w:pPr>
              <w:spacing w:line="240" w:lineRule="auto"/>
              <w:ind w:firstLine="0" w:firstLineChars="0"/>
              <w:jc w:val="center"/>
              <w:rPr>
                <w:rFonts w:hint="eastAsia" w:ascii="宋体" w:hAnsi="宋体" w:eastAsia="宋体" w:cs="宋体"/>
                <w:i w:val="0"/>
                <w:iCs w:val="0"/>
                <w:color w:val="auto"/>
                <w:sz w:val="18"/>
                <w:szCs w:val="18"/>
                <w:u w:val="none"/>
              </w:rPr>
            </w:pPr>
          </w:p>
        </w:tc>
      </w:tr>
    </w:tbl>
    <w:p w14:paraId="25843949">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7F53EA28">
      <w:pPr>
        <w:ind w:firstLine="480"/>
        <w:rPr>
          <w:rFonts w:hint="eastAsia" w:ascii="宋体" w:hAnsi="宋体"/>
          <w:b/>
          <w:color w:val="auto"/>
          <w:sz w:val="24"/>
        </w:rPr>
      </w:pPr>
    </w:p>
    <w:p w14:paraId="360EEA0F">
      <w:pPr>
        <w:pStyle w:val="25"/>
        <w:tabs>
          <w:tab w:val="left" w:pos="360"/>
          <w:tab w:val="left" w:pos="964"/>
        </w:tabs>
        <w:rPr>
          <w:rFonts w:hint="eastAsia"/>
          <w:color w:val="auto"/>
          <w:lang w:val="en-US" w:eastAsia="zh-CN"/>
        </w:rPr>
      </w:pPr>
    </w:p>
    <w:p w14:paraId="1F8754DB">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A51454A">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267" w:name="_Toc10409839"/>
      <w:bookmarkStart w:id="268" w:name="_Toc18053"/>
      <w:bookmarkStart w:id="269" w:name="_Toc31355"/>
      <w:bookmarkStart w:id="270" w:name="_Toc13034"/>
      <w:bookmarkStart w:id="271" w:name="_Toc4194"/>
      <w:bookmarkStart w:id="272" w:name="_Toc23818"/>
      <w:r>
        <w:rPr>
          <w:rFonts w:hint="eastAsia"/>
          <w:color w:val="auto"/>
          <w:lang w:val="en-US" w:eastAsia="zh-CN"/>
        </w:rPr>
        <w:t>9.2</w:t>
      </w:r>
      <w:r>
        <w:rPr>
          <w:rFonts w:hint="eastAsia"/>
          <w:color w:val="auto"/>
        </w:rPr>
        <w:t>组织</w:t>
      </w:r>
      <w:r>
        <w:rPr>
          <w:rFonts w:hint="eastAsia"/>
          <w:color w:val="auto"/>
          <w:lang w:val="en-US" w:eastAsia="zh-CN"/>
        </w:rPr>
        <w:t>机</w:t>
      </w:r>
      <w:r>
        <w:rPr>
          <w:rFonts w:hint="eastAsia"/>
          <w:color w:val="auto"/>
        </w:rPr>
        <w:t>构及职责</w:t>
      </w:r>
      <w:bookmarkEnd w:id="267"/>
      <w:bookmarkEnd w:id="268"/>
      <w:bookmarkEnd w:id="269"/>
      <w:bookmarkEnd w:id="270"/>
      <w:bookmarkEnd w:id="271"/>
      <w:bookmarkEnd w:id="272"/>
    </w:p>
    <w:p w14:paraId="51285A23">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273" w:name="_Toc530055718"/>
      <w:r>
        <w:rPr>
          <w:rFonts w:hint="eastAsia" w:eastAsia="等线" w:cs="等线"/>
          <w:b/>
          <w:color w:val="auto"/>
          <w:sz w:val="28"/>
          <w:szCs w:val="28"/>
          <w:lang w:val="en-US" w:eastAsia="zh-CN"/>
        </w:rPr>
        <w:t>9</w:t>
      </w:r>
      <w:r>
        <w:rPr>
          <w:rFonts w:hint="eastAsia" w:ascii="等线" w:hAnsi="等线" w:eastAsia="等线" w:cs="等线"/>
          <w:b/>
          <w:color w:val="auto"/>
          <w:sz w:val="28"/>
          <w:szCs w:val="28"/>
          <w:lang w:val="en-US" w:eastAsia="zh-CN"/>
        </w:rPr>
        <w:t>.</w:t>
      </w:r>
      <w:r>
        <w:rPr>
          <w:rFonts w:hint="eastAsia" w:eastAsia="等线" w:cs="等线"/>
          <w:b/>
          <w:color w:val="auto"/>
          <w:sz w:val="28"/>
          <w:szCs w:val="28"/>
          <w:lang w:val="en-US" w:eastAsia="zh-CN"/>
        </w:rPr>
        <w:t>2.</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273"/>
    </w:p>
    <w:p w14:paraId="6ECE9050">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57D34210">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066D5A85">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360EB7A6">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74" w:name="_Toc530055719"/>
      <w:r>
        <w:rPr>
          <w:rFonts w:hint="eastAsia" w:eastAsia="等线" w:cs="等线"/>
          <w:b/>
          <w:color w:val="auto"/>
          <w:sz w:val="28"/>
          <w:szCs w:val="28"/>
          <w:lang w:val="en-US" w:eastAsia="zh-CN"/>
        </w:rPr>
        <w:t>9.2.2职责</w:t>
      </w:r>
      <w:bookmarkEnd w:id="274"/>
    </w:p>
    <w:p w14:paraId="653FAF1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194890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6F4475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38E00A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132F1E3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19D56E2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58426F8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36F1991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75" w:name="_Toc530055720"/>
      <w:r>
        <w:rPr>
          <w:rFonts w:hint="eastAsia" w:eastAsia="等线" w:cs="等线"/>
          <w:b/>
          <w:color w:val="auto"/>
          <w:sz w:val="28"/>
          <w:szCs w:val="28"/>
          <w:lang w:val="en-US" w:eastAsia="zh-CN"/>
        </w:rPr>
        <w:t>9.2.3领导小组人员分工</w:t>
      </w:r>
      <w:bookmarkEnd w:id="275"/>
    </w:p>
    <w:p w14:paraId="271B2F0B">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9DB534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5B34BB5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3F799ED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0D9D06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04BB1E9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70A571A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E346C97">
      <w:pPr>
        <w:pStyle w:val="3"/>
        <w:numPr>
          <w:ilvl w:val="0"/>
          <w:numId w:val="0"/>
        </w:numPr>
        <w:outlineLvl w:val="1"/>
        <w:rPr>
          <w:color w:val="auto"/>
        </w:rPr>
      </w:pPr>
      <w:bookmarkStart w:id="276" w:name="_Toc14880"/>
      <w:bookmarkStart w:id="277" w:name="_Toc15798"/>
      <w:bookmarkStart w:id="278" w:name="_Toc10789"/>
      <w:bookmarkStart w:id="279" w:name="_Toc28776"/>
      <w:bookmarkStart w:id="280" w:name="_Toc8092"/>
      <w:bookmarkStart w:id="281" w:name="_Toc10409840"/>
      <w:r>
        <w:rPr>
          <w:rFonts w:hint="eastAsia"/>
          <w:color w:val="auto"/>
          <w:lang w:val="en-US" w:eastAsia="zh-CN"/>
        </w:rPr>
        <w:t>9.3</w:t>
      </w:r>
      <w:r>
        <w:rPr>
          <w:rFonts w:hint="eastAsia"/>
          <w:color w:val="auto"/>
        </w:rPr>
        <w:t>预防与预警</w:t>
      </w:r>
      <w:bookmarkEnd w:id="276"/>
      <w:bookmarkEnd w:id="277"/>
      <w:bookmarkEnd w:id="278"/>
      <w:bookmarkEnd w:id="279"/>
      <w:bookmarkEnd w:id="280"/>
      <w:bookmarkEnd w:id="281"/>
    </w:p>
    <w:p w14:paraId="0D65A9AA">
      <w:pPr>
        <w:spacing w:line="360" w:lineRule="auto"/>
        <w:ind w:firstLine="480"/>
        <w:rPr>
          <w:rFonts w:hint="eastAsia" w:ascii="宋体" w:hAnsi="宋体" w:eastAsia="宋体" w:cs="宋体"/>
          <w:color w:val="auto"/>
          <w:kern w:val="2"/>
          <w:sz w:val="24"/>
          <w:szCs w:val="24"/>
        </w:rPr>
      </w:pPr>
      <w:bookmarkStart w:id="282"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A3EF18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17B9C55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6D34796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6B85F4F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21FCAC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020E07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6DC351A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44BF7A8C">
      <w:pPr>
        <w:pStyle w:val="3"/>
        <w:numPr>
          <w:ilvl w:val="0"/>
          <w:numId w:val="0"/>
        </w:numPr>
        <w:outlineLvl w:val="1"/>
        <w:rPr>
          <w:rFonts w:hint="eastAsia" w:eastAsia="宋体"/>
          <w:color w:val="auto"/>
          <w:lang w:val="en-US" w:eastAsia="zh-CN"/>
        </w:rPr>
      </w:pPr>
      <w:bookmarkStart w:id="283" w:name="_Toc21539"/>
      <w:bookmarkStart w:id="284" w:name="_Toc10032"/>
      <w:bookmarkStart w:id="285" w:name="_Toc26929"/>
      <w:bookmarkStart w:id="286" w:name="_Toc23106"/>
      <w:r>
        <w:rPr>
          <w:rFonts w:hint="eastAsia" w:eastAsia="宋体"/>
          <w:color w:val="auto"/>
          <w:lang w:val="en-US" w:eastAsia="zh-CN"/>
        </w:rPr>
        <w:t>9.4应急响应</w:t>
      </w:r>
      <w:bookmarkEnd w:id="282"/>
      <w:bookmarkEnd w:id="283"/>
      <w:r>
        <w:rPr>
          <w:rFonts w:hint="eastAsia" w:eastAsia="宋体"/>
          <w:color w:val="auto"/>
          <w:lang w:val="en-US" w:eastAsia="zh-CN"/>
        </w:rPr>
        <w:t>程序</w:t>
      </w:r>
      <w:bookmarkEnd w:id="284"/>
      <w:bookmarkEnd w:id="285"/>
      <w:bookmarkEnd w:id="286"/>
    </w:p>
    <w:p w14:paraId="4749DE6F">
      <w:pPr>
        <w:pStyle w:val="48"/>
        <w:numPr>
          <w:ilvl w:val="0"/>
          <w:numId w:val="13"/>
        </w:numPr>
        <w:spacing w:line="360" w:lineRule="auto"/>
        <w:ind w:firstLineChars="0"/>
        <w:outlineLvl w:val="9"/>
        <w:rPr>
          <w:rFonts w:hint="eastAsia" w:ascii="宋体" w:hAnsi="宋体" w:eastAsia="宋体" w:cs="宋体"/>
          <w:color w:val="auto"/>
          <w:sz w:val="24"/>
          <w:szCs w:val="24"/>
        </w:rPr>
      </w:pPr>
      <w:bookmarkStart w:id="287" w:name="_Toc2877"/>
      <w:r>
        <w:rPr>
          <w:rFonts w:hint="eastAsia" w:ascii="宋体" w:hAnsi="宋体" w:eastAsia="宋体" w:cs="宋体"/>
          <w:color w:val="auto"/>
          <w:sz w:val="24"/>
          <w:szCs w:val="24"/>
        </w:rPr>
        <w:t>响应分级</w:t>
      </w:r>
      <w:bookmarkEnd w:id="287"/>
    </w:p>
    <w:p w14:paraId="3C482D69">
      <w:pPr>
        <w:pStyle w:val="51"/>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-1 响应等级</w:t>
      </w:r>
    </w:p>
    <w:tbl>
      <w:tblPr>
        <w:tblStyle w:val="2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048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noWrap w:val="0"/>
            <w:vAlign w:val="center"/>
          </w:tcPr>
          <w:p w14:paraId="3D6A0D26">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02781A1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noWrap w:val="0"/>
            <w:vAlign w:val="center"/>
          </w:tcPr>
          <w:p w14:paraId="45FF9B3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noWrap w:val="0"/>
            <w:vAlign w:val="center"/>
          </w:tcPr>
          <w:p w14:paraId="40A5A0C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noWrap w:val="0"/>
            <w:vAlign w:val="center"/>
          </w:tcPr>
          <w:p w14:paraId="5C3FF83D">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noWrap w:val="0"/>
            <w:vAlign w:val="center"/>
          </w:tcPr>
          <w:p w14:paraId="2D2BC1F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4A59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noWrap w:val="0"/>
            <w:vAlign w:val="center"/>
          </w:tcPr>
          <w:p w14:paraId="4593E2E2">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noWrap w:val="0"/>
            <w:vAlign w:val="center"/>
          </w:tcPr>
          <w:p w14:paraId="7C2B96E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noWrap w:val="0"/>
            <w:vAlign w:val="center"/>
          </w:tcPr>
          <w:p w14:paraId="1D25F6C3">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noWrap w:val="0"/>
            <w:vAlign w:val="center"/>
          </w:tcPr>
          <w:p w14:paraId="06FA5C0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noWrap w:val="0"/>
            <w:vAlign w:val="center"/>
          </w:tcPr>
          <w:p w14:paraId="4C926B9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noWrap w:val="0"/>
            <w:vAlign w:val="center"/>
          </w:tcPr>
          <w:p w14:paraId="62060C5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noWrap w:val="0"/>
            <w:vAlign w:val="center"/>
          </w:tcPr>
          <w:p w14:paraId="1047B54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36C9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165C8DC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noWrap w:val="0"/>
            <w:vAlign w:val="center"/>
          </w:tcPr>
          <w:p w14:paraId="05B7B36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noWrap w:val="0"/>
            <w:vAlign w:val="center"/>
          </w:tcPr>
          <w:p w14:paraId="61BBFCB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noWrap w:val="0"/>
            <w:vAlign w:val="center"/>
          </w:tcPr>
          <w:p w14:paraId="68CB1167">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noWrap w:val="0"/>
            <w:vAlign w:val="center"/>
          </w:tcPr>
          <w:p w14:paraId="36686AAD">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noWrap w:val="0"/>
            <w:vAlign w:val="center"/>
          </w:tcPr>
          <w:p w14:paraId="215016D8">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noWrap w:val="0"/>
            <w:vAlign w:val="center"/>
          </w:tcPr>
          <w:p w14:paraId="0587ECD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5C14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6638284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noWrap w:val="0"/>
            <w:vAlign w:val="center"/>
          </w:tcPr>
          <w:p w14:paraId="68BDF3F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noWrap w:val="0"/>
            <w:vAlign w:val="center"/>
          </w:tcPr>
          <w:p w14:paraId="0B03CB7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noWrap w:val="0"/>
            <w:vAlign w:val="center"/>
          </w:tcPr>
          <w:p w14:paraId="30DBB4CC">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noWrap w:val="0"/>
            <w:vAlign w:val="center"/>
          </w:tcPr>
          <w:p w14:paraId="46E8583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noWrap w:val="0"/>
            <w:vAlign w:val="center"/>
          </w:tcPr>
          <w:p w14:paraId="5526434C">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noWrap w:val="0"/>
            <w:vAlign w:val="center"/>
          </w:tcPr>
          <w:p w14:paraId="7165E531">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4DF4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2282B2B1">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noWrap w:val="0"/>
            <w:vAlign w:val="center"/>
          </w:tcPr>
          <w:p w14:paraId="2C6167D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noWrap w:val="0"/>
            <w:vAlign w:val="center"/>
          </w:tcPr>
          <w:p w14:paraId="57F249E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noWrap w:val="0"/>
            <w:vAlign w:val="center"/>
          </w:tcPr>
          <w:p w14:paraId="6B443C8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noWrap w:val="0"/>
            <w:vAlign w:val="center"/>
          </w:tcPr>
          <w:p w14:paraId="3E8F55E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noWrap w:val="0"/>
            <w:vAlign w:val="center"/>
          </w:tcPr>
          <w:p w14:paraId="5B9E8AE8">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noWrap w:val="0"/>
            <w:vAlign w:val="center"/>
          </w:tcPr>
          <w:p w14:paraId="08C69696">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3EE894AC">
      <w:pPr>
        <w:pStyle w:val="48"/>
        <w:numPr>
          <w:ilvl w:val="0"/>
          <w:numId w:val="13"/>
        </w:numPr>
        <w:spacing w:line="360" w:lineRule="auto"/>
        <w:ind w:firstLineChars="0"/>
        <w:outlineLvl w:val="9"/>
        <w:rPr>
          <w:rFonts w:hint="eastAsia" w:ascii="宋体" w:hAnsi="宋体" w:eastAsia="宋体" w:cs="宋体"/>
          <w:color w:val="auto"/>
          <w:sz w:val="24"/>
          <w:szCs w:val="24"/>
        </w:rPr>
      </w:pPr>
      <w:bookmarkStart w:id="288" w:name="_Toc422"/>
      <w:r>
        <w:rPr>
          <w:rFonts w:hint="eastAsia" w:ascii="宋体" w:hAnsi="宋体" w:eastAsia="宋体" w:cs="宋体"/>
          <w:color w:val="auto"/>
          <w:sz w:val="24"/>
          <w:szCs w:val="24"/>
        </w:rPr>
        <w:t>事故发生后的内部报告程序</w:t>
      </w:r>
      <w:bookmarkEnd w:id="288"/>
    </w:p>
    <w:p w14:paraId="15397AAE">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34D682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15240" b="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35"/>
                    <a:stretch>
                      <a:fillRect/>
                    </a:stretch>
                  </pic:blipFill>
                  <pic:spPr>
                    <a:xfrm>
                      <a:off x="0" y="0"/>
                      <a:ext cx="5433060" cy="723900"/>
                    </a:xfrm>
                    <a:prstGeom prst="rect">
                      <a:avLst/>
                    </a:prstGeom>
                    <a:noFill/>
                    <a:ln>
                      <a:noFill/>
                    </a:ln>
                  </pic:spPr>
                </pic:pic>
              </a:graphicData>
            </a:graphic>
          </wp:inline>
        </w:drawing>
      </w:r>
    </w:p>
    <w:p w14:paraId="08750DF8">
      <w:pPr>
        <w:pStyle w:val="51"/>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48EB9137">
      <w:pPr>
        <w:pStyle w:val="48"/>
        <w:numPr>
          <w:ilvl w:val="0"/>
          <w:numId w:val="13"/>
        </w:numPr>
        <w:spacing w:line="360" w:lineRule="auto"/>
        <w:ind w:firstLineChars="0"/>
        <w:outlineLvl w:val="9"/>
        <w:rPr>
          <w:rFonts w:hint="eastAsia" w:ascii="宋体" w:hAnsi="宋体" w:eastAsia="宋体" w:cs="宋体"/>
          <w:color w:val="auto"/>
          <w:sz w:val="24"/>
          <w:szCs w:val="24"/>
        </w:rPr>
      </w:pPr>
      <w:bookmarkStart w:id="289" w:name="_Toc3451"/>
      <w:r>
        <w:rPr>
          <w:rFonts w:hint="eastAsia" w:ascii="宋体" w:hAnsi="宋体" w:eastAsia="宋体" w:cs="宋体"/>
          <w:color w:val="auto"/>
          <w:sz w:val="24"/>
          <w:szCs w:val="24"/>
        </w:rPr>
        <w:t>响应程序</w:t>
      </w:r>
      <w:bookmarkEnd w:id="289"/>
    </w:p>
    <w:p w14:paraId="4A0BD20E">
      <w:pPr>
        <w:pStyle w:val="48"/>
        <w:numPr>
          <w:ilvl w:val="0"/>
          <w:numId w:val="14"/>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1236C20B">
      <w:pPr>
        <w:pStyle w:val="48"/>
        <w:numPr>
          <w:ilvl w:val="0"/>
          <w:numId w:val="14"/>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10BB388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6111FDF4">
      <w:pPr>
        <w:pStyle w:val="48"/>
        <w:numPr>
          <w:ilvl w:val="0"/>
          <w:numId w:val="14"/>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173B273E">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27A69616">
      <w:pPr>
        <w:pStyle w:val="48"/>
        <w:numPr>
          <w:ilvl w:val="0"/>
          <w:numId w:val="14"/>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1C1CD26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297265DA">
      <w:pPr>
        <w:pStyle w:val="48"/>
        <w:numPr>
          <w:ilvl w:val="0"/>
          <w:numId w:val="14"/>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EFACFCA">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2852CEC7">
      <w:pPr>
        <w:pStyle w:val="48"/>
        <w:numPr>
          <w:ilvl w:val="0"/>
          <w:numId w:val="13"/>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4B16133C">
      <w:pPr>
        <w:pStyle w:val="48"/>
        <w:numPr>
          <w:ilvl w:val="0"/>
          <w:numId w:val="1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6B112C74">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0F41A9A6">
      <w:pPr>
        <w:pStyle w:val="48"/>
        <w:numPr>
          <w:ilvl w:val="0"/>
          <w:numId w:val="1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1E8773D0">
      <w:pPr>
        <w:pStyle w:val="48"/>
        <w:numPr>
          <w:ilvl w:val="0"/>
          <w:numId w:val="1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0CEECF5E">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3B4EFF28">
      <w:pPr>
        <w:pStyle w:val="48"/>
        <w:numPr>
          <w:ilvl w:val="0"/>
          <w:numId w:val="13"/>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7982199E">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6E08CE0">
      <w:pPr>
        <w:pStyle w:val="48"/>
        <w:numPr>
          <w:ilvl w:val="0"/>
          <w:numId w:val="13"/>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CE5C15B">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120C87C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2FB99FE6">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7097C4B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292B6FF6">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363BFCB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76D9377C">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290" w:name="_Toc27986"/>
      <w:bookmarkStart w:id="291" w:name="_Toc17732"/>
      <w:bookmarkStart w:id="292" w:name="_Toc10409842"/>
      <w:bookmarkStart w:id="293" w:name="_Toc24033"/>
      <w:bookmarkStart w:id="294" w:name="_Toc1484"/>
      <w:bookmarkStart w:id="295" w:name="_Toc16079"/>
      <w:r>
        <w:rPr>
          <w:rFonts w:hint="eastAsia" w:ascii="等线" w:hAnsi="等线" w:eastAsia="等线" w:cs="等线"/>
          <w:color w:val="auto"/>
          <w:sz w:val="28"/>
          <w:szCs w:val="28"/>
          <w:lang w:val="en-US" w:eastAsia="zh-CN"/>
        </w:rPr>
        <w:t xml:space="preserve">9.5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290"/>
      <w:bookmarkEnd w:id="291"/>
      <w:bookmarkEnd w:id="292"/>
      <w:bookmarkEnd w:id="293"/>
      <w:bookmarkEnd w:id="294"/>
      <w:bookmarkEnd w:id="295"/>
    </w:p>
    <w:p w14:paraId="7F190FC0">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296" w:name="_Toc530055723"/>
      <w:r>
        <w:rPr>
          <w:rFonts w:hint="eastAsia" w:eastAsia="等线" w:cs="等线"/>
          <w:b/>
          <w:color w:val="auto"/>
          <w:sz w:val="28"/>
          <w:szCs w:val="28"/>
          <w:lang w:val="en-US" w:eastAsia="zh-CN"/>
        </w:rPr>
        <w:t>9.5.1</w:t>
      </w:r>
      <w:r>
        <w:rPr>
          <w:rFonts w:hint="eastAsia" w:ascii="宋体" w:hAnsi="宋体" w:eastAsia="宋体" w:cs="宋体"/>
          <w:b/>
          <w:color w:val="auto"/>
          <w:sz w:val="28"/>
          <w:szCs w:val="28"/>
        </w:rPr>
        <w:t>高空坠落应急处置措施</w:t>
      </w:r>
      <w:bookmarkEnd w:id="296"/>
    </w:p>
    <w:p w14:paraId="2133179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50C2173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2130AB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31E8956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5F2298B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06A750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60CEB80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7BCC960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1143322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806BE8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297" w:name="_Toc530055724"/>
      <w:r>
        <w:rPr>
          <w:rFonts w:hint="eastAsia" w:eastAsia="等线" w:cs="等线"/>
          <w:b/>
          <w:color w:val="auto"/>
          <w:sz w:val="28"/>
          <w:szCs w:val="28"/>
          <w:lang w:val="en-US" w:eastAsia="zh-CN"/>
        </w:rPr>
        <w:t>9.5.</w:t>
      </w:r>
      <w:r>
        <w:rPr>
          <w:rFonts w:hint="eastAsia" w:ascii="等线" w:hAnsi="等线" w:eastAsia="等线" w:cs="等线"/>
          <w:b/>
          <w:color w:val="auto"/>
          <w:sz w:val="28"/>
          <w:szCs w:val="28"/>
        </w:rPr>
        <w:t>2</w:t>
      </w:r>
      <w:r>
        <w:rPr>
          <w:rFonts w:hint="eastAsia" w:ascii="宋体" w:hAnsi="宋体" w:eastAsia="宋体" w:cs="宋体"/>
          <w:b/>
          <w:color w:val="auto"/>
          <w:sz w:val="28"/>
          <w:szCs w:val="28"/>
        </w:rPr>
        <w:t>物体打击应急处置措施</w:t>
      </w:r>
      <w:bookmarkEnd w:id="297"/>
    </w:p>
    <w:p w14:paraId="0F77D9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102FC5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697DF5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B15017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78F01CB">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298" w:name="_Toc530055725"/>
      <w:r>
        <w:rPr>
          <w:rFonts w:hint="eastAsia" w:eastAsia="等线" w:cs="等线"/>
          <w:b/>
          <w:color w:val="auto"/>
          <w:sz w:val="28"/>
          <w:szCs w:val="28"/>
          <w:lang w:val="en-US" w:eastAsia="zh-CN"/>
        </w:rPr>
        <w:t>9.5.</w:t>
      </w:r>
      <w:r>
        <w:rPr>
          <w:rFonts w:hint="eastAsia" w:ascii="等线" w:hAnsi="等线" w:eastAsia="等线" w:cs="等线"/>
          <w:b/>
          <w:color w:val="auto"/>
          <w:sz w:val="28"/>
          <w:szCs w:val="28"/>
        </w:rPr>
        <w:t>3</w:t>
      </w:r>
      <w:r>
        <w:rPr>
          <w:rFonts w:hint="eastAsia" w:ascii="宋体" w:hAnsi="宋体" w:eastAsia="宋体" w:cs="宋体"/>
          <w:b/>
          <w:color w:val="auto"/>
          <w:sz w:val="28"/>
          <w:szCs w:val="28"/>
        </w:rPr>
        <w:t>机械伤害应急处置措施</w:t>
      </w:r>
      <w:bookmarkEnd w:id="298"/>
      <w:r>
        <w:rPr>
          <w:rFonts w:hint="eastAsia" w:ascii="宋体" w:hAnsi="宋体" w:eastAsia="宋体" w:cs="宋体"/>
          <w:b/>
          <w:color w:val="auto"/>
          <w:sz w:val="28"/>
          <w:szCs w:val="28"/>
        </w:rPr>
        <w:t xml:space="preserve"> </w:t>
      </w:r>
    </w:p>
    <w:p w14:paraId="322D0F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301450F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1AF5E3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EDC3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65DC5A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2B0F364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19E75A4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711B28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148B147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48F1559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13E2898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5291124B">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47F19AF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0684174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1FB6293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7CFE15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5928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172904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4E8B8A8">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702102C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72AB19F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19EC8369">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299" w:name="_Toc530055726"/>
      <w:r>
        <w:rPr>
          <w:rFonts w:hint="eastAsia" w:eastAsia="等线" w:cs="等线"/>
          <w:b/>
          <w:color w:val="auto"/>
          <w:sz w:val="28"/>
          <w:szCs w:val="28"/>
          <w:lang w:val="en-US" w:eastAsia="zh-CN"/>
        </w:rPr>
        <w:t>9.5.</w:t>
      </w:r>
      <w:r>
        <w:rPr>
          <w:rFonts w:hint="eastAsia" w:ascii="等线" w:hAnsi="等线" w:eastAsia="等线" w:cs="等线"/>
          <w:b/>
          <w:color w:val="auto"/>
          <w:sz w:val="28"/>
          <w:szCs w:val="28"/>
        </w:rPr>
        <w:t>4</w:t>
      </w:r>
      <w:r>
        <w:rPr>
          <w:rFonts w:hint="eastAsia" w:ascii="宋体" w:hAnsi="宋体" w:eastAsia="宋体" w:cs="宋体"/>
          <w:b/>
          <w:color w:val="auto"/>
          <w:sz w:val="28"/>
          <w:szCs w:val="28"/>
        </w:rPr>
        <w:t>触电应急处置措施</w:t>
      </w:r>
      <w:bookmarkEnd w:id="299"/>
      <w:r>
        <w:rPr>
          <w:rFonts w:hint="eastAsia" w:ascii="宋体" w:hAnsi="宋体" w:eastAsia="宋体" w:cs="宋体"/>
          <w:b/>
          <w:color w:val="auto"/>
          <w:sz w:val="24"/>
          <w:szCs w:val="24"/>
        </w:rPr>
        <w:t xml:space="preserve"> </w:t>
      </w:r>
    </w:p>
    <w:p w14:paraId="009682D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6DD832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1CC7A5B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4FD7F5F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7F403DD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4A52CE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78008C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6D4B1F3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24FDBB0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1AB337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7A18F7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40F0487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30B4F6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4642C0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0CD925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575358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C241BA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126CF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BDF676A">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00" w:name="_Toc530055727"/>
      <w:r>
        <w:rPr>
          <w:rFonts w:hint="eastAsia" w:eastAsia="等线" w:cs="等线"/>
          <w:b/>
          <w:color w:val="auto"/>
          <w:sz w:val="28"/>
          <w:szCs w:val="28"/>
          <w:lang w:val="en-US" w:eastAsia="zh-CN"/>
        </w:rPr>
        <w:t>9.5.</w:t>
      </w:r>
      <w:r>
        <w:rPr>
          <w:rFonts w:hint="eastAsia" w:ascii="等线" w:hAnsi="等线" w:eastAsia="等线" w:cs="等线"/>
          <w:b/>
          <w:color w:val="auto"/>
          <w:sz w:val="28"/>
          <w:szCs w:val="28"/>
        </w:rPr>
        <w:t>5</w:t>
      </w:r>
      <w:r>
        <w:rPr>
          <w:rFonts w:hint="eastAsia" w:ascii="宋体" w:hAnsi="宋体" w:eastAsia="宋体" w:cs="宋体"/>
          <w:b/>
          <w:color w:val="auto"/>
          <w:sz w:val="28"/>
          <w:szCs w:val="28"/>
        </w:rPr>
        <w:t>落水人员应急处置措施</w:t>
      </w:r>
      <w:bookmarkEnd w:id="300"/>
    </w:p>
    <w:p w14:paraId="488E56DE">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679006B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5137FFCE">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7FA0AD09">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1A2D5C1">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7781BD09">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33505D2">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66B7008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3606B04B">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301" w:name="_Toc18811"/>
      <w:bookmarkStart w:id="302" w:name="_Toc10887"/>
      <w:bookmarkStart w:id="303" w:name="_Toc23368"/>
      <w:bookmarkStart w:id="304" w:name="_Toc6056"/>
      <w:bookmarkStart w:id="305" w:name="_Toc11464"/>
      <w:bookmarkStart w:id="306" w:name="_Toc20264"/>
      <w:bookmarkStart w:id="307" w:name="_Toc7406"/>
      <w:bookmarkStart w:id="308" w:name="_Toc10409843"/>
      <w:r>
        <w:rPr>
          <w:rFonts w:hint="eastAsia" w:ascii="等线" w:hAnsi="等线" w:eastAsia="等线" w:cs="等线"/>
          <w:color w:val="auto"/>
          <w:sz w:val="28"/>
          <w:szCs w:val="28"/>
          <w:lang w:val="en-US" w:eastAsia="zh-CN"/>
        </w:rPr>
        <w:t xml:space="preserve">9.6 </w:t>
      </w:r>
      <w:bookmarkStart w:id="309" w:name="_Toc4613"/>
      <w:r>
        <w:rPr>
          <w:rFonts w:hint="eastAsia"/>
          <w:color w:val="auto"/>
        </w:rPr>
        <w:t>施工现场的急救步骤</w:t>
      </w:r>
      <w:bookmarkEnd w:id="301"/>
      <w:bookmarkEnd w:id="302"/>
      <w:bookmarkEnd w:id="303"/>
      <w:bookmarkEnd w:id="304"/>
      <w:bookmarkEnd w:id="309"/>
    </w:p>
    <w:p w14:paraId="3F94BE20">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310" w:name="_Toc18994"/>
      <w:bookmarkStart w:id="311" w:name="_Toc528765883"/>
      <w:r>
        <w:rPr>
          <w:rFonts w:hint="eastAsia" w:ascii="宋体" w:hAnsi="宋体" w:eastAsia="宋体" w:cs="宋体"/>
          <w:b/>
          <w:color w:val="auto"/>
          <w:sz w:val="28"/>
          <w:szCs w:val="28"/>
          <w:lang w:val="en-US" w:eastAsia="zh-CN"/>
        </w:rPr>
        <w:t>9.6.1</w:t>
      </w:r>
      <w:r>
        <w:rPr>
          <w:rFonts w:hint="eastAsia" w:ascii="宋体" w:hAnsi="宋体" w:eastAsia="宋体" w:cs="宋体"/>
          <w:b/>
          <w:color w:val="auto"/>
          <w:sz w:val="28"/>
          <w:szCs w:val="28"/>
        </w:rPr>
        <w:t>电话报警</w:t>
      </w:r>
      <w:bookmarkEnd w:id="310"/>
      <w:bookmarkEnd w:id="311"/>
    </w:p>
    <w:p w14:paraId="0353E554">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5C9089FE">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6374B03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5EA3BC44">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25B62083">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B2189F8">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0A53E8DC">
      <w:pPr>
        <w:widowControl/>
        <w:jc w:val="center"/>
        <w:rPr>
          <w:rFonts w:hint="eastAsia" w:ascii="宋体" w:hAnsi="宋体" w:eastAsia="宋体" w:cs="宋体"/>
          <w:color w:val="auto"/>
          <w:kern w:val="0"/>
          <w:sz w:val="24"/>
          <w:lang w:eastAsia="zh-CN"/>
        </w:rPr>
      </w:pPr>
    </w:p>
    <w:p w14:paraId="64A9F074">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312" w:name="_Toc12893"/>
      <w:bookmarkStart w:id="313" w:name="_Toc528765884"/>
      <w:r>
        <w:rPr>
          <w:rFonts w:hint="eastAsia" w:ascii="宋体" w:hAnsi="宋体" w:eastAsia="宋体" w:cs="宋体"/>
          <w:b/>
          <w:color w:val="auto"/>
          <w:sz w:val="28"/>
          <w:szCs w:val="28"/>
          <w:lang w:val="en-US" w:eastAsia="zh-CN"/>
        </w:rPr>
        <w:t>9.6.2现场疏导、自救</w:t>
      </w:r>
      <w:bookmarkEnd w:id="312"/>
      <w:bookmarkEnd w:id="313"/>
    </w:p>
    <w:p w14:paraId="605BFD65">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6547E296">
      <w:pPr>
        <w:pStyle w:val="3"/>
        <w:numPr>
          <w:ilvl w:val="0"/>
          <w:numId w:val="0"/>
        </w:numPr>
        <w:outlineLvl w:val="1"/>
        <w:rPr>
          <w:color w:val="auto"/>
        </w:rPr>
      </w:pPr>
      <w:bookmarkStart w:id="314" w:name="_Toc28634"/>
      <w:r>
        <w:rPr>
          <w:rFonts w:hint="eastAsia"/>
          <w:color w:val="auto"/>
          <w:lang w:val="en-US" w:eastAsia="zh-CN"/>
        </w:rPr>
        <w:t xml:space="preserve">9.7 </w:t>
      </w:r>
      <w:r>
        <w:rPr>
          <w:rFonts w:hint="eastAsia"/>
          <w:color w:val="auto"/>
        </w:rPr>
        <w:t>应急保障</w:t>
      </w:r>
      <w:bookmarkEnd w:id="305"/>
      <w:bookmarkEnd w:id="306"/>
      <w:bookmarkEnd w:id="307"/>
      <w:bookmarkEnd w:id="308"/>
      <w:bookmarkEnd w:id="314"/>
    </w:p>
    <w:p w14:paraId="6271AE1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5E75BAB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68F239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76450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62FD58DD">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714017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4244A7F9">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78B6005C">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793AA63F">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0668C8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17C3326F">
      <w:pPr>
        <w:numPr>
          <w:ilvl w:val="0"/>
          <w:numId w:val="11"/>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5034D7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6D0D1C3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EEBC81E">
      <w:pPr>
        <w:pStyle w:val="11"/>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322F6AAC">
        <w:tblPrEx>
          <w:tblCellMar>
            <w:top w:w="0" w:type="dxa"/>
            <w:left w:w="108" w:type="dxa"/>
            <w:bottom w:w="0" w:type="dxa"/>
            <w:right w:w="108" w:type="dxa"/>
          </w:tblCellMar>
        </w:tblPrEx>
        <w:trPr>
          <w:trHeight w:val="397" w:hRule="atLeast"/>
          <w:tblHeader/>
          <w:jc w:val="center"/>
        </w:trPr>
        <w:tc>
          <w:tcPr>
            <w:tcW w:w="425" w:type="pct"/>
            <w:noWrap w:val="0"/>
            <w:vAlign w:val="center"/>
          </w:tcPr>
          <w:p w14:paraId="64DB24C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noWrap w:val="0"/>
            <w:vAlign w:val="center"/>
          </w:tcPr>
          <w:p w14:paraId="68B83B7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noWrap w:val="0"/>
            <w:vAlign w:val="center"/>
          </w:tcPr>
          <w:p w14:paraId="69FDAFE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noWrap w:val="0"/>
            <w:vAlign w:val="center"/>
          </w:tcPr>
          <w:p w14:paraId="57005CF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noWrap w:val="0"/>
            <w:vAlign w:val="center"/>
          </w:tcPr>
          <w:p w14:paraId="360A9B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noWrap w:val="0"/>
            <w:vAlign w:val="center"/>
          </w:tcPr>
          <w:p w14:paraId="1879E9E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noWrap w:val="0"/>
            <w:vAlign w:val="center"/>
          </w:tcPr>
          <w:p w14:paraId="5B7CB22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noWrap w:val="0"/>
            <w:vAlign w:val="center"/>
          </w:tcPr>
          <w:p w14:paraId="1DC8D0D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4F32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27E179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noWrap w:val="0"/>
            <w:vAlign w:val="center"/>
          </w:tcPr>
          <w:p w14:paraId="5428137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noWrap w:val="0"/>
            <w:vAlign w:val="center"/>
          </w:tcPr>
          <w:p w14:paraId="4B0D77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noWrap w:val="0"/>
            <w:vAlign w:val="center"/>
          </w:tcPr>
          <w:p w14:paraId="6DAE055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204BEE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03947DE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A129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126565D">
            <w:pPr>
              <w:pStyle w:val="41"/>
              <w:rPr>
                <w:rFonts w:hint="eastAsia" w:ascii="宋体" w:hAnsi="宋体" w:eastAsia="宋体" w:cs="宋体"/>
                <w:b w:val="0"/>
                <w:bCs w:val="0"/>
                <w:color w:val="auto"/>
                <w:sz w:val="21"/>
                <w:szCs w:val="21"/>
              </w:rPr>
            </w:pPr>
          </w:p>
        </w:tc>
      </w:tr>
      <w:tr w14:paraId="62CB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315FF9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noWrap w:val="0"/>
            <w:vAlign w:val="center"/>
          </w:tcPr>
          <w:p w14:paraId="66448BDA">
            <w:pPr>
              <w:pStyle w:val="41"/>
              <w:rPr>
                <w:rFonts w:hint="eastAsia" w:ascii="宋体" w:hAnsi="宋体" w:eastAsia="宋体" w:cs="宋体"/>
                <w:b w:val="0"/>
                <w:bCs w:val="0"/>
                <w:color w:val="auto"/>
                <w:sz w:val="21"/>
                <w:szCs w:val="21"/>
              </w:rPr>
            </w:pPr>
          </w:p>
        </w:tc>
        <w:tc>
          <w:tcPr>
            <w:tcW w:w="1196" w:type="pct"/>
            <w:noWrap w:val="0"/>
            <w:vAlign w:val="center"/>
          </w:tcPr>
          <w:p w14:paraId="1116F9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noWrap w:val="0"/>
            <w:vAlign w:val="center"/>
          </w:tcPr>
          <w:p w14:paraId="7158F3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noWrap w:val="0"/>
            <w:vAlign w:val="center"/>
          </w:tcPr>
          <w:p w14:paraId="2A93FF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077D24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1CCD1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478B2BD2">
            <w:pPr>
              <w:pStyle w:val="41"/>
              <w:rPr>
                <w:rFonts w:hint="eastAsia" w:ascii="宋体" w:hAnsi="宋体" w:eastAsia="宋体" w:cs="宋体"/>
                <w:b w:val="0"/>
                <w:bCs w:val="0"/>
                <w:color w:val="auto"/>
                <w:sz w:val="21"/>
                <w:szCs w:val="21"/>
              </w:rPr>
            </w:pPr>
          </w:p>
        </w:tc>
      </w:tr>
      <w:tr w14:paraId="295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24E8001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noWrap w:val="0"/>
            <w:vAlign w:val="center"/>
          </w:tcPr>
          <w:p w14:paraId="076F4620">
            <w:pPr>
              <w:pStyle w:val="41"/>
              <w:rPr>
                <w:rFonts w:hint="eastAsia" w:ascii="宋体" w:hAnsi="宋体" w:eastAsia="宋体" w:cs="宋体"/>
                <w:b w:val="0"/>
                <w:bCs w:val="0"/>
                <w:color w:val="auto"/>
                <w:sz w:val="21"/>
                <w:szCs w:val="21"/>
              </w:rPr>
            </w:pPr>
          </w:p>
        </w:tc>
        <w:tc>
          <w:tcPr>
            <w:tcW w:w="1196" w:type="pct"/>
            <w:noWrap w:val="0"/>
            <w:vAlign w:val="center"/>
          </w:tcPr>
          <w:p w14:paraId="155F2A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noWrap w:val="0"/>
            <w:vAlign w:val="center"/>
          </w:tcPr>
          <w:p w14:paraId="342440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noWrap w:val="0"/>
            <w:vAlign w:val="center"/>
          </w:tcPr>
          <w:p w14:paraId="42A122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0669DE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9C035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DED6323">
            <w:pPr>
              <w:pStyle w:val="41"/>
              <w:rPr>
                <w:rFonts w:hint="eastAsia" w:ascii="宋体" w:hAnsi="宋体" w:eastAsia="宋体" w:cs="宋体"/>
                <w:b w:val="0"/>
                <w:bCs w:val="0"/>
                <w:color w:val="auto"/>
                <w:sz w:val="21"/>
                <w:szCs w:val="21"/>
              </w:rPr>
            </w:pPr>
          </w:p>
        </w:tc>
      </w:tr>
      <w:tr w14:paraId="0E3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52425D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noWrap w:val="0"/>
            <w:vAlign w:val="center"/>
          </w:tcPr>
          <w:p w14:paraId="72616EF0">
            <w:pPr>
              <w:pStyle w:val="41"/>
              <w:rPr>
                <w:rFonts w:hint="eastAsia" w:ascii="宋体" w:hAnsi="宋体" w:eastAsia="宋体" w:cs="宋体"/>
                <w:b w:val="0"/>
                <w:bCs w:val="0"/>
                <w:color w:val="auto"/>
                <w:sz w:val="21"/>
                <w:szCs w:val="21"/>
              </w:rPr>
            </w:pPr>
          </w:p>
        </w:tc>
        <w:tc>
          <w:tcPr>
            <w:tcW w:w="1196" w:type="pct"/>
            <w:noWrap w:val="0"/>
            <w:vAlign w:val="center"/>
          </w:tcPr>
          <w:p w14:paraId="2CC057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noWrap w:val="0"/>
            <w:vAlign w:val="center"/>
          </w:tcPr>
          <w:p w14:paraId="68D34A8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noWrap w:val="0"/>
            <w:vAlign w:val="center"/>
          </w:tcPr>
          <w:p w14:paraId="37F415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noWrap w:val="0"/>
            <w:vAlign w:val="center"/>
          </w:tcPr>
          <w:p w14:paraId="1330989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6CD0097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F40DC97">
            <w:pPr>
              <w:pStyle w:val="41"/>
              <w:rPr>
                <w:rFonts w:hint="eastAsia" w:ascii="宋体" w:hAnsi="宋体" w:eastAsia="宋体" w:cs="宋体"/>
                <w:b w:val="0"/>
                <w:bCs w:val="0"/>
                <w:color w:val="auto"/>
                <w:sz w:val="21"/>
                <w:szCs w:val="21"/>
              </w:rPr>
            </w:pPr>
          </w:p>
        </w:tc>
      </w:tr>
      <w:tr w14:paraId="667F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F5F226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noWrap w:val="0"/>
            <w:vAlign w:val="center"/>
          </w:tcPr>
          <w:p w14:paraId="2E8BB888">
            <w:pPr>
              <w:pStyle w:val="41"/>
              <w:rPr>
                <w:rFonts w:hint="eastAsia" w:ascii="宋体" w:hAnsi="宋体" w:eastAsia="宋体" w:cs="宋体"/>
                <w:b w:val="0"/>
                <w:bCs w:val="0"/>
                <w:color w:val="auto"/>
                <w:sz w:val="21"/>
                <w:szCs w:val="21"/>
              </w:rPr>
            </w:pPr>
          </w:p>
        </w:tc>
        <w:tc>
          <w:tcPr>
            <w:tcW w:w="1196" w:type="pct"/>
            <w:noWrap w:val="0"/>
            <w:vAlign w:val="center"/>
          </w:tcPr>
          <w:p w14:paraId="2C00ED9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noWrap w:val="0"/>
            <w:vAlign w:val="center"/>
          </w:tcPr>
          <w:p w14:paraId="0281E3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noWrap w:val="0"/>
            <w:vAlign w:val="center"/>
          </w:tcPr>
          <w:p w14:paraId="7C73542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12566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41F29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2063649">
            <w:pPr>
              <w:pStyle w:val="41"/>
              <w:rPr>
                <w:rFonts w:hint="eastAsia" w:ascii="宋体" w:hAnsi="宋体" w:eastAsia="宋体" w:cs="宋体"/>
                <w:b w:val="0"/>
                <w:bCs w:val="0"/>
                <w:color w:val="auto"/>
                <w:sz w:val="21"/>
                <w:szCs w:val="21"/>
              </w:rPr>
            </w:pPr>
          </w:p>
        </w:tc>
      </w:tr>
      <w:tr w14:paraId="240B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8F67B0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noWrap w:val="0"/>
            <w:vAlign w:val="center"/>
          </w:tcPr>
          <w:p w14:paraId="4D725CD4">
            <w:pPr>
              <w:pStyle w:val="41"/>
              <w:rPr>
                <w:rFonts w:hint="eastAsia" w:ascii="宋体" w:hAnsi="宋体" w:eastAsia="宋体" w:cs="宋体"/>
                <w:b w:val="0"/>
                <w:bCs w:val="0"/>
                <w:color w:val="auto"/>
                <w:sz w:val="21"/>
                <w:szCs w:val="21"/>
              </w:rPr>
            </w:pPr>
          </w:p>
        </w:tc>
        <w:tc>
          <w:tcPr>
            <w:tcW w:w="1196" w:type="pct"/>
            <w:noWrap w:val="0"/>
            <w:vAlign w:val="center"/>
          </w:tcPr>
          <w:p w14:paraId="237AB67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noWrap w:val="0"/>
            <w:vAlign w:val="center"/>
          </w:tcPr>
          <w:p w14:paraId="725D868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noWrap w:val="0"/>
            <w:vAlign w:val="center"/>
          </w:tcPr>
          <w:p w14:paraId="6B32D9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noWrap w:val="0"/>
            <w:vAlign w:val="center"/>
          </w:tcPr>
          <w:p w14:paraId="18ABF03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CF50D5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8DB9762">
            <w:pPr>
              <w:pStyle w:val="41"/>
              <w:rPr>
                <w:rFonts w:hint="eastAsia" w:ascii="宋体" w:hAnsi="宋体" w:eastAsia="宋体" w:cs="宋体"/>
                <w:b w:val="0"/>
                <w:bCs w:val="0"/>
                <w:color w:val="auto"/>
                <w:sz w:val="21"/>
                <w:szCs w:val="21"/>
              </w:rPr>
            </w:pPr>
          </w:p>
        </w:tc>
      </w:tr>
      <w:tr w14:paraId="3C4D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62430D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noWrap w:val="0"/>
            <w:vAlign w:val="center"/>
          </w:tcPr>
          <w:p w14:paraId="640D1A8B">
            <w:pPr>
              <w:pStyle w:val="41"/>
              <w:rPr>
                <w:rFonts w:hint="eastAsia" w:ascii="宋体" w:hAnsi="宋体" w:eastAsia="宋体" w:cs="宋体"/>
                <w:b w:val="0"/>
                <w:bCs w:val="0"/>
                <w:color w:val="auto"/>
                <w:sz w:val="21"/>
                <w:szCs w:val="21"/>
              </w:rPr>
            </w:pPr>
          </w:p>
        </w:tc>
        <w:tc>
          <w:tcPr>
            <w:tcW w:w="1196" w:type="pct"/>
            <w:noWrap w:val="0"/>
            <w:vAlign w:val="center"/>
          </w:tcPr>
          <w:p w14:paraId="3A3116A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noWrap w:val="0"/>
            <w:vAlign w:val="center"/>
          </w:tcPr>
          <w:p w14:paraId="5712E217">
            <w:pPr>
              <w:pStyle w:val="41"/>
              <w:rPr>
                <w:rFonts w:hint="eastAsia" w:ascii="宋体" w:hAnsi="宋体" w:eastAsia="宋体" w:cs="宋体"/>
                <w:b w:val="0"/>
                <w:bCs w:val="0"/>
                <w:color w:val="auto"/>
                <w:sz w:val="21"/>
                <w:szCs w:val="21"/>
              </w:rPr>
            </w:pPr>
          </w:p>
        </w:tc>
        <w:tc>
          <w:tcPr>
            <w:tcW w:w="427" w:type="pct"/>
            <w:noWrap w:val="0"/>
            <w:vAlign w:val="center"/>
          </w:tcPr>
          <w:p w14:paraId="144963A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noWrap w:val="0"/>
            <w:vAlign w:val="center"/>
          </w:tcPr>
          <w:p w14:paraId="27159FB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F729B5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78699681">
            <w:pPr>
              <w:pStyle w:val="41"/>
              <w:rPr>
                <w:rFonts w:hint="eastAsia" w:ascii="宋体" w:hAnsi="宋体" w:eastAsia="宋体" w:cs="宋体"/>
                <w:b w:val="0"/>
                <w:bCs w:val="0"/>
                <w:color w:val="auto"/>
                <w:sz w:val="21"/>
                <w:szCs w:val="21"/>
              </w:rPr>
            </w:pPr>
          </w:p>
        </w:tc>
      </w:tr>
      <w:tr w14:paraId="3337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1388B49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noWrap w:val="0"/>
            <w:vAlign w:val="center"/>
          </w:tcPr>
          <w:p w14:paraId="14977C2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noWrap w:val="0"/>
            <w:vAlign w:val="center"/>
          </w:tcPr>
          <w:p w14:paraId="6741BA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noWrap w:val="0"/>
            <w:vAlign w:val="center"/>
          </w:tcPr>
          <w:p w14:paraId="3BD8F0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3A45968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299838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6A5682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C033B09">
            <w:pPr>
              <w:pStyle w:val="41"/>
              <w:rPr>
                <w:rFonts w:hint="eastAsia" w:ascii="宋体" w:hAnsi="宋体" w:eastAsia="宋体" w:cs="宋体"/>
                <w:b w:val="0"/>
                <w:bCs w:val="0"/>
                <w:color w:val="auto"/>
                <w:sz w:val="21"/>
                <w:szCs w:val="21"/>
              </w:rPr>
            </w:pPr>
          </w:p>
        </w:tc>
      </w:tr>
      <w:tr w14:paraId="6C8E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260B18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noWrap w:val="0"/>
            <w:vAlign w:val="center"/>
          </w:tcPr>
          <w:p w14:paraId="78B4B9F9">
            <w:pPr>
              <w:pStyle w:val="41"/>
              <w:rPr>
                <w:rFonts w:hint="eastAsia" w:ascii="宋体" w:hAnsi="宋体" w:eastAsia="宋体" w:cs="宋体"/>
                <w:b w:val="0"/>
                <w:bCs w:val="0"/>
                <w:color w:val="auto"/>
                <w:sz w:val="21"/>
                <w:szCs w:val="21"/>
              </w:rPr>
            </w:pPr>
          </w:p>
        </w:tc>
        <w:tc>
          <w:tcPr>
            <w:tcW w:w="1196" w:type="pct"/>
            <w:noWrap w:val="0"/>
            <w:vAlign w:val="center"/>
          </w:tcPr>
          <w:p w14:paraId="17EAF15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noWrap w:val="0"/>
            <w:vAlign w:val="center"/>
          </w:tcPr>
          <w:p w14:paraId="455C32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noWrap w:val="0"/>
            <w:vAlign w:val="center"/>
          </w:tcPr>
          <w:p w14:paraId="0F1EAB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noWrap w:val="0"/>
            <w:vAlign w:val="center"/>
          </w:tcPr>
          <w:p w14:paraId="32B7A81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36D51D7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950F305">
            <w:pPr>
              <w:pStyle w:val="41"/>
              <w:rPr>
                <w:rFonts w:hint="eastAsia" w:ascii="宋体" w:hAnsi="宋体" w:eastAsia="宋体" w:cs="宋体"/>
                <w:b w:val="0"/>
                <w:bCs w:val="0"/>
                <w:color w:val="auto"/>
                <w:sz w:val="21"/>
                <w:szCs w:val="21"/>
              </w:rPr>
            </w:pPr>
          </w:p>
        </w:tc>
      </w:tr>
      <w:tr w14:paraId="4674A81C">
        <w:tblPrEx>
          <w:tblCellMar>
            <w:top w:w="0" w:type="dxa"/>
            <w:left w:w="108" w:type="dxa"/>
            <w:bottom w:w="0" w:type="dxa"/>
            <w:right w:w="108" w:type="dxa"/>
          </w:tblCellMar>
        </w:tblPrEx>
        <w:trPr>
          <w:trHeight w:val="397" w:hRule="atLeast"/>
          <w:jc w:val="center"/>
        </w:trPr>
        <w:tc>
          <w:tcPr>
            <w:tcW w:w="425" w:type="pct"/>
            <w:noWrap w:val="0"/>
            <w:vAlign w:val="center"/>
          </w:tcPr>
          <w:p w14:paraId="481C6E3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noWrap w:val="0"/>
            <w:vAlign w:val="center"/>
          </w:tcPr>
          <w:p w14:paraId="0E9CAC9B">
            <w:pPr>
              <w:pStyle w:val="41"/>
              <w:rPr>
                <w:rFonts w:hint="eastAsia" w:ascii="宋体" w:hAnsi="宋体" w:eastAsia="宋体" w:cs="宋体"/>
                <w:b w:val="0"/>
                <w:bCs w:val="0"/>
                <w:color w:val="auto"/>
                <w:sz w:val="21"/>
                <w:szCs w:val="21"/>
              </w:rPr>
            </w:pPr>
          </w:p>
        </w:tc>
        <w:tc>
          <w:tcPr>
            <w:tcW w:w="1196" w:type="pct"/>
            <w:noWrap w:val="0"/>
            <w:vAlign w:val="center"/>
          </w:tcPr>
          <w:p w14:paraId="5D2F96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noWrap w:val="0"/>
            <w:vAlign w:val="center"/>
          </w:tcPr>
          <w:p w14:paraId="4466E9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noWrap w:val="0"/>
            <w:vAlign w:val="center"/>
          </w:tcPr>
          <w:p w14:paraId="7A96373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4E447AA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BB1C5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665D8481">
            <w:pPr>
              <w:pStyle w:val="41"/>
              <w:rPr>
                <w:rFonts w:hint="eastAsia" w:ascii="宋体" w:hAnsi="宋体" w:eastAsia="宋体" w:cs="宋体"/>
                <w:b w:val="0"/>
                <w:bCs w:val="0"/>
                <w:color w:val="auto"/>
                <w:sz w:val="21"/>
                <w:szCs w:val="21"/>
              </w:rPr>
            </w:pPr>
          </w:p>
        </w:tc>
      </w:tr>
      <w:tr w14:paraId="240F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1E89189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noWrap w:val="0"/>
            <w:vAlign w:val="center"/>
          </w:tcPr>
          <w:p w14:paraId="540FC1F3">
            <w:pPr>
              <w:pStyle w:val="41"/>
              <w:rPr>
                <w:rFonts w:hint="eastAsia" w:ascii="宋体" w:hAnsi="宋体" w:eastAsia="宋体" w:cs="宋体"/>
                <w:b w:val="0"/>
                <w:bCs w:val="0"/>
                <w:color w:val="auto"/>
                <w:sz w:val="21"/>
                <w:szCs w:val="21"/>
              </w:rPr>
            </w:pPr>
          </w:p>
        </w:tc>
        <w:tc>
          <w:tcPr>
            <w:tcW w:w="1196" w:type="pct"/>
            <w:noWrap w:val="0"/>
            <w:vAlign w:val="center"/>
          </w:tcPr>
          <w:p w14:paraId="201B603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noWrap w:val="0"/>
            <w:vAlign w:val="center"/>
          </w:tcPr>
          <w:p w14:paraId="710D40C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noWrap w:val="0"/>
            <w:vAlign w:val="center"/>
          </w:tcPr>
          <w:p w14:paraId="7E557D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9E07CB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718D6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7258477A">
            <w:pPr>
              <w:pStyle w:val="41"/>
              <w:rPr>
                <w:rFonts w:hint="eastAsia" w:ascii="宋体" w:hAnsi="宋体" w:eastAsia="宋体" w:cs="宋体"/>
                <w:b w:val="0"/>
                <w:bCs w:val="0"/>
                <w:color w:val="auto"/>
                <w:sz w:val="21"/>
                <w:szCs w:val="21"/>
              </w:rPr>
            </w:pPr>
          </w:p>
        </w:tc>
      </w:tr>
      <w:tr w14:paraId="0ECE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7C75A8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noWrap w:val="0"/>
            <w:vAlign w:val="center"/>
          </w:tcPr>
          <w:p w14:paraId="5AA5D1BA">
            <w:pPr>
              <w:pStyle w:val="41"/>
              <w:rPr>
                <w:rFonts w:hint="eastAsia" w:ascii="宋体" w:hAnsi="宋体" w:eastAsia="宋体" w:cs="宋体"/>
                <w:b w:val="0"/>
                <w:bCs w:val="0"/>
                <w:color w:val="auto"/>
                <w:sz w:val="21"/>
                <w:szCs w:val="21"/>
              </w:rPr>
            </w:pPr>
          </w:p>
        </w:tc>
        <w:tc>
          <w:tcPr>
            <w:tcW w:w="1196" w:type="pct"/>
            <w:noWrap w:val="0"/>
            <w:vAlign w:val="center"/>
          </w:tcPr>
          <w:p w14:paraId="22AAD7F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noWrap w:val="0"/>
            <w:vAlign w:val="center"/>
          </w:tcPr>
          <w:p w14:paraId="07AD654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0BF5D52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526C0B9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1EBBA9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C0D8B81">
            <w:pPr>
              <w:pStyle w:val="41"/>
              <w:rPr>
                <w:rFonts w:hint="eastAsia" w:ascii="宋体" w:hAnsi="宋体" w:eastAsia="宋体" w:cs="宋体"/>
                <w:b w:val="0"/>
                <w:bCs w:val="0"/>
                <w:color w:val="auto"/>
                <w:sz w:val="21"/>
                <w:szCs w:val="21"/>
              </w:rPr>
            </w:pPr>
          </w:p>
        </w:tc>
      </w:tr>
      <w:tr w14:paraId="203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6E3E03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noWrap w:val="0"/>
            <w:vAlign w:val="center"/>
          </w:tcPr>
          <w:p w14:paraId="69FD8BFD">
            <w:pPr>
              <w:pStyle w:val="41"/>
              <w:rPr>
                <w:rFonts w:hint="eastAsia" w:ascii="宋体" w:hAnsi="宋体" w:eastAsia="宋体" w:cs="宋体"/>
                <w:b w:val="0"/>
                <w:bCs w:val="0"/>
                <w:color w:val="auto"/>
                <w:sz w:val="21"/>
                <w:szCs w:val="21"/>
              </w:rPr>
            </w:pPr>
          </w:p>
        </w:tc>
        <w:tc>
          <w:tcPr>
            <w:tcW w:w="1196" w:type="pct"/>
            <w:noWrap w:val="0"/>
            <w:vAlign w:val="center"/>
          </w:tcPr>
          <w:p w14:paraId="0928D25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noWrap w:val="0"/>
            <w:vAlign w:val="center"/>
          </w:tcPr>
          <w:p w14:paraId="140B11C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54F112E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7710D49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9F6778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2185BDEE">
            <w:pPr>
              <w:pStyle w:val="41"/>
              <w:rPr>
                <w:rFonts w:hint="eastAsia" w:ascii="宋体" w:hAnsi="宋体" w:eastAsia="宋体" w:cs="宋体"/>
                <w:b w:val="0"/>
                <w:bCs w:val="0"/>
                <w:color w:val="auto"/>
                <w:sz w:val="21"/>
                <w:szCs w:val="21"/>
              </w:rPr>
            </w:pPr>
          </w:p>
        </w:tc>
      </w:tr>
      <w:tr w14:paraId="4C2E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D7DEB4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noWrap w:val="0"/>
            <w:vAlign w:val="center"/>
          </w:tcPr>
          <w:p w14:paraId="01D3A761">
            <w:pPr>
              <w:pStyle w:val="41"/>
              <w:rPr>
                <w:rFonts w:hint="eastAsia" w:ascii="宋体" w:hAnsi="宋体" w:eastAsia="宋体" w:cs="宋体"/>
                <w:b w:val="0"/>
                <w:bCs w:val="0"/>
                <w:color w:val="auto"/>
                <w:sz w:val="21"/>
                <w:szCs w:val="21"/>
              </w:rPr>
            </w:pPr>
          </w:p>
        </w:tc>
        <w:tc>
          <w:tcPr>
            <w:tcW w:w="1196" w:type="pct"/>
            <w:noWrap w:val="0"/>
            <w:vAlign w:val="center"/>
          </w:tcPr>
          <w:p w14:paraId="3D17F7A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noWrap w:val="0"/>
            <w:vAlign w:val="center"/>
          </w:tcPr>
          <w:p w14:paraId="57BAC42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noWrap w:val="0"/>
            <w:vAlign w:val="center"/>
          </w:tcPr>
          <w:p w14:paraId="78034BA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noWrap w:val="0"/>
            <w:vAlign w:val="center"/>
          </w:tcPr>
          <w:p w14:paraId="3A25823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BBC52F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255C3E9">
            <w:pPr>
              <w:pStyle w:val="41"/>
              <w:rPr>
                <w:rFonts w:hint="eastAsia" w:ascii="宋体" w:hAnsi="宋体" w:eastAsia="宋体" w:cs="宋体"/>
                <w:b w:val="0"/>
                <w:bCs w:val="0"/>
                <w:color w:val="auto"/>
                <w:sz w:val="21"/>
                <w:szCs w:val="21"/>
              </w:rPr>
            </w:pPr>
          </w:p>
        </w:tc>
      </w:tr>
      <w:tr w14:paraId="3B0E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A9DC05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noWrap w:val="0"/>
            <w:vAlign w:val="center"/>
          </w:tcPr>
          <w:p w14:paraId="13295390">
            <w:pPr>
              <w:pStyle w:val="41"/>
              <w:rPr>
                <w:rFonts w:hint="eastAsia" w:ascii="宋体" w:hAnsi="宋体" w:eastAsia="宋体" w:cs="宋体"/>
                <w:b w:val="0"/>
                <w:bCs w:val="0"/>
                <w:color w:val="auto"/>
                <w:sz w:val="21"/>
                <w:szCs w:val="21"/>
              </w:rPr>
            </w:pPr>
          </w:p>
        </w:tc>
        <w:tc>
          <w:tcPr>
            <w:tcW w:w="1196" w:type="pct"/>
            <w:noWrap w:val="0"/>
            <w:vAlign w:val="center"/>
          </w:tcPr>
          <w:p w14:paraId="5248307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noWrap w:val="0"/>
            <w:vAlign w:val="center"/>
          </w:tcPr>
          <w:p w14:paraId="3650D8A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7E5CBA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noWrap w:val="0"/>
            <w:vAlign w:val="center"/>
          </w:tcPr>
          <w:p w14:paraId="09FC3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7149A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263AB1A">
            <w:pPr>
              <w:pStyle w:val="41"/>
              <w:rPr>
                <w:rFonts w:hint="eastAsia" w:ascii="宋体" w:hAnsi="宋体" w:eastAsia="宋体" w:cs="宋体"/>
                <w:b w:val="0"/>
                <w:bCs w:val="0"/>
                <w:color w:val="auto"/>
                <w:sz w:val="21"/>
                <w:szCs w:val="21"/>
              </w:rPr>
            </w:pPr>
          </w:p>
        </w:tc>
      </w:tr>
      <w:tr w14:paraId="7AAB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899EB5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noWrap w:val="0"/>
            <w:vAlign w:val="center"/>
          </w:tcPr>
          <w:p w14:paraId="60745F5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noWrap w:val="0"/>
            <w:vAlign w:val="center"/>
          </w:tcPr>
          <w:p w14:paraId="65F284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noWrap w:val="0"/>
            <w:vAlign w:val="center"/>
          </w:tcPr>
          <w:p w14:paraId="7B356FF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05BF65B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46BD1F8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7A60711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6C2F9D38">
            <w:pPr>
              <w:pStyle w:val="41"/>
              <w:rPr>
                <w:rFonts w:hint="eastAsia" w:ascii="宋体" w:hAnsi="宋体" w:eastAsia="宋体" w:cs="宋体"/>
                <w:b w:val="0"/>
                <w:bCs w:val="0"/>
                <w:color w:val="auto"/>
                <w:sz w:val="21"/>
                <w:szCs w:val="21"/>
              </w:rPr>
            </w:pPr>
          </w:p>
        </w:tc>
      </w:tr>
      <w:tr w14:paraId="657E00E5">
        <w:tblPrEx>
          <w:tblCellMar>
            <w:top w:w="0" w:type="dxa"/>
            <w:left w:w="108" w:type="dxa"/>
            <w:bottom w:w="0" w:type="dxa"/>
            <w:right w:w="108" w:type="dxa"/>
          </w:tblCellMar>
        </w:tblPrEx>
        <w:trPr>
          <w:trHeight w:val="397" w:hRule="atLeast"/>
          <w:jc w:val="center"/>
        </w:trPr>
        <w:tc>
          <w:tcPr>
            <w:tcW w:w="425" w:type="pct"/>
            <w:noWrap w:val="0"/>
            <w:vAlign w:val="center"/>
          </w:tcPr>
          <w:p w14:paraId="4D6E21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noWrap w:val="0"/>
            <w:vAlign w:val="center"/>
          </w:tcPr>
          <w:p w14:paraId="64468BC5">
            <w:pPr>
              <w:pStyle w:val="41"/>
              <w:rPr>
                <w:rFonts w:hint="eastAsia" w:ascii="宋体" w:hAnsi="宋体" w:eastAsia="宋体" w:cs="宋体"/>
                <w:b w:val="0"/>
                <w:bCs w:val="0"/>
                <w:color w:val="auto"/>
                <w:sz w:val="21"/>
                <w:szCs w:val="21"/>
              </w:rPr>
            </w:pPr>
          </w:p>
        </w:tc>
        <w:tc>
          <w:tcPr>
            <w:tcW w:w="1196" w:type="pct"/>
            <w:noWrap w:val="0"/>
            <w:vAlign w:val="center"/>
          </w:tcPr>
          <w:p w14:paraId="298276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noWrap w:val="0"/>
            <w:vAlign w:val="center"/>
          </w:tcPr>
          <w:p w14:paraId="722961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89993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0AC441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7BA3D28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5E86DD4">
            <w:pPr>
              <w:pStyle w:val="41"/>
              <w:rPr>
                <w:rFonts w:hint="eastAsia" w:ascii="宋体" w:hAnsi="宋体" w:eastAsia="宋体" w:cs="宋体"/>
                <w:b w:val="0"/>
                <w:bCs w:val="0"/>
                <w:color w:val="auto"/>
                <w:sz w:val="21"/>
                <w:szCs w:val="21"/>
              </w:rPr>
            </w:pPr>
          </w:p>
        </w:tc>
      </w:tr>
      <w:tr w14:paraId="4AFE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2FAE9E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noWrap w:val="0"/>
            <w:vAlign w:val="center"/>
          </w:tcPr>
          <w:p w14:paraId="2F0057B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noWrap w:val="0"/>
            <w:vAlign w:val="center"/>
          </w:tcPr>
          <w:p w14:paraId="28BC2CB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noWrap w:val="0"/>
            <w:vAlign w:val="center"/>
          </w:tcPr>
          <w:p w14:paraId="45EB324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noWrap w:val="0"/>
            <w:vAlign w:val="center"/>
          </w:tcPr>
          <w:p w14:paraId="682CF9E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13A6414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4AAC21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6E816E3">
            <w:pPr>
              <w:pStyle w:val="41"/>
              <w:rPr>
                <w:rFonts w:hint="eastAsia" w:ascii="宋体" w:hAnsi="宋体" w:eastAsia="宋体" w:cs="宋体"/>
                <w:b w:val="0"/>
                <w:bCs w:val="0"/>
                <w:color w:val="auto"/>
                <w:sz w:val="21"/>
                <w:szCs w:val="21"/>
              </w:rPr>
            </w:pPr>
          </w:p>
        </w:tc>
      </w:tr>
      <w:tr w14:paraId="713A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4D638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noWrap w:val="0"/>
            <w:vAlign w:val="center"/>
          </w:tcPr>
          <w:p w14:paraId="66CD1C12">
            <w:pPr>
              <w:pStyle w:val="41"/>
              <w:rPr>
                <w:rFonts w:hint="eastAsia" w:ascii="宋体" w:hAnsi="宋体" w:eastAsia="宋体" w:cs="宋体"/>
                <w:b w:val="0"/>
                <w:bCs w:val="0"/>
                <w:color w:val="auto"/>
                <w:sz w:val="21"/>
                <w:szCs w:val="21"/>
              </w:rPr>
            </w:pPr>
          </w:p>
        </w:tc>
        <w:tc>
          <w:tcPr>
            <w:tcW w:w="1196" w:type="pct"/>
            <w:noWrap w:val="0"/>
            <w:vAlign w:val="center"/>
          </w:tcPr>
          <w:p w14:paraId="6DCB703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noWrap w:val="0"/>
            <w:vAlign w:val="center"/>
          </w:tcPr>
          <w:p w14:paraId="29835C1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noWrap w:val="0"/>
            <w:vAlign w:val="center"/>
          </w:tcPr>
          <w:p w14:paraId="6CDFAE9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noWrap w:val="0"/>
            <w:vAlign w:val="center"/>
          </w:tcPr>
          <w:p w14:paraId="782E25D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581DBF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24278493">
            <w:pPr>
              <w:pStyle w:val="41"/>
              <w:rPr>
                <w:rFonts w:hint="eastAsia" w:ascii="宋体" w:hAnsi="宋体" w:eastAsia="宋体" w:cs="宋体"/>
                <w:b w:val="0"/>
                <w:bCs w:val="0"/>
                <w:color w:val="auto"/>
                <w:sz w:val="21"/>
                <w:szCs w:val="21"/>
              </w:rPr>
            </w:pPr>
          </w:p>
        </w:tc>
      </w:tr>
      <w:tr w14:paraId="68CC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62763E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noWrap w:val="0"/>
            <w:vAlign w:val="center"/>
          </w:tcPr>
          <w:p w14:paraId="591AB5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noWrap w:val="0"/>
            <w:vAlign w:val="center"/>
          </w:tcPr>
          <w:p w14:paraId="79FF5A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noWrap w:val="0"/>
            <w:vAlign w:val="center"/>
          </w:tcPr>
          <w:p w14:paraId="176586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noWrap w:val="0"/>
            <w:vAlign w:val="center"/>
          </w:tcPr>
          <w:p w14:paraId="6F5AB21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7F507E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558A004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CF9885C">
            <w:pPr>
              <w:pStyle w:val="41"/>
              <w:rPr>
                <w:rFonts w:hint="eastAsia" w:ascii="宋体" w:hAnsi="宋体" w:eastAsia="宋体" w:cs="宋体"/>
                <w:b w:val="0"/>
                <w:bCs w:val="0"/>
                <w:color w:val="auto"/>
                <w:sz w:val="21"/>
                <w:szCs w:val="21"/>
              </w:rPr>
            </w:pPr>
          </w:p>
        </w:tc>
      </w:tr>
      <w:tr w14:paraId="18AB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BFFF52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noWrap w:val="0"/>
            <w:vAlign w:val="center"/>
          </w:tcPr>
          <w:p w14:paraId="779910AD">
            <w:pPr>
              <w:pStyle w:val="41"/>
              <w:rPr>
                <w:rFonts w:hint="eastAsia" w:ascii="宋体" w:hAnsi="宋体" w:eastAsia="宋体" w:cs="宋体"/>
                <w:b w:val="0"/>
                <w:bCs w:val="0"/>
                <w:color w:val="auto"/>
                <w:sz w:val="21"/>
                <w:szCs w:val="21"/>
              </w:rPr>
            </w:pPr>
          </w:p>
        </w:tc>
        <w:tc>
          <w:tcPr>
            <w:tcW w:w="1196" w:type="pct"/>
            <w:noWrap w:val="0"/>
            <w:vAlign w:val="center"/>
          </w:tcPr>
          <w:p w14:paraId="5AD988E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noWrap w:val="0"/>
            <w:vAlign w:val="center"/>
          </w:tcPr>
          <w:p w14:paraId="0C37341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noWrap w:val="0"/>
            <w:vAlign w:val="center"/>
          </w:tcPr>
          <w:p w14:paraId="5079F0E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3DBF903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21903DD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0601FAF">
            <w:pPr>
              <w:pStyle w:val="41"/>
              <w:rPr>
                <w:rFonts w:hint="eastAsia" w:ascii="宋体" w:hAnsi="宋体" w:eastAsia="宋体" w:cs="宋体"/>
                <w:b w:val="0"/>
                <w:bCs w:val="0"/>
                <w:color w:val="auto"/>
                <w:sz w:val="21"/>
                <w:szCs w:val="21"/>
              </w:rPr>
            </w:pPr>
          </w:p>
        </w:tc>
      </w:tr>
      <w:tr w14:paraId="2D22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158208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noWrap w:val="0"/>
            <w:vAlign w:val="center"/>
          </w:tcPr>
          <w:p w14:paraId="6760BB0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noWrap w:val="0"/>
            <w:vAlign w:val="center"/>
          </w:tcPr>
          <w:p w14:paraId="10E66EA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noWrap w:val="0"/>
            <w:vAlign w:val="center"/>
          </w:tcPr>
          <w:p w14:paraId="3C8063B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304091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1CE3F6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43024EC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A8B3BB2">
            <w:pPr>
              <w:pStyle w:val="41"/>
              <w:rPr>
                <w:rFonts w:hint="eastAsia" w:ascii="宋体" w:hAnsi="宋体" w:eastAsia="宋体" w:cs="宋体"/>
                <w:b w:val="0"/>
                <w:bCs w:val="0"/>
                <w:color w:val="auto"/>
                <w:sz w:val="21"/>
                <w:szCs w:val="21"/>
              </w:rPr>
            </w:pPr>
          </w:p>
        </w:tc>
      </w:tr>
      <w:tr w14:paraId="4BAE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E7ABB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noWrap w:val="0"/>
            <w:vAlign w:val="center"/>
          </w:tcPr>
          <w:p w14:paraId="53679628">
            <w:pPr>
              <w:pStyle w:val="41"/>
              <w:rPr>
                <w:rFonts w:hint="eastAsia" w:ascii="宋体" w:hAnsi="宋体" w:eastAsia="宋体" w:cs="宋体"/>
                <w:b w:val="0"/>
                <w:bCs w:val="0"/>
                <w:color w:val="auto"/>
                <w:sz w:val="21"/>
                <w:szCs w:val="21"/>
              </w:rPr>
            </w:pPr>
          </w:p>
        </w:tc>
        <w:tc>
          <w:tcPr>
            <w:tcW w:w="1196" w:type="pct"/>
            <w:noWrap w:val="0"/>
            <w:vAlign w:val="center"/>
          </w:tcPr>
          <w:p w14:paraId="7305A2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noWrap w:val="0"/>
            <w:vAlign w:val="center"/>
          </w:tcPr>
          <w:p w14:paraId="19D35D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370A64D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5D2C835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36B90C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3D7C478">
            <w:pPr>
              <w:pStyle w:val="41"/>
              <w:rPr>
                <w:rFonts w:hint="eastAsia" w:ascii="宋体" w:hAnsi="宋体" w:eastAsia="宋体" w:cs="宋体"/>
                <w:b w:val="0"/>
                <w:bCs w:val="0"/>
                <w:color w:val="auto"/>
                <w:sz w:val="21"/>
                <w:szCs w:val="21"/>
              </w:rPr>
            </w:pPr>
          </w:p>
        </w:tc>
      </w:tr>
    </w:tbl>
    <w:p w14:paraId="5DAD8E9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073D7A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106749FF">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36D29C63">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6DA12FE">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069D5423">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6361554">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78BD0D00">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25"/>
    <w:bookmarkEnd w:id="226"/>
    <w:bookmarkEnd w:id="227"/>
    <w:p w14:paraId="61D67698">
      <w:pPr>
        <w:ind w:firstLine="480"/>
        <w:rPr>
          <w:color w:val="auto"/>
        </w:rPr>
      </w:pPr>
    </w:p>
    <w:p w14:paraId="64050120">
      <w:pPr>
        <w:ind w:firstLine="480"/>
        <w:rPr>
          <w:color w:val="auto"/>
        </w:rPr>
      </w:pPr>
    </w:p>
    <w:p w14:paraId="54416D9F">
      <w:pPr>
        <w:widowControl/>
        <w:ind w:firstLine="0" w:firstLineChars="0"/>
        <w:jc w:val="left"/>
        <w:rPr>
          <w:rFonts w:cs="Times New Roman"/>
          <w:b/>
          <w:bCs/>
          <w:color w:val="auto"/>
          <w:sz w:val="32"/>
          <w:szCs w:val="32"/>
        </w:rPr>
      </w:pPr>
      <w:r>
        <w:rPr>
          <w:color w:val="auto"/>
        </w:rPr>
        <w:br w:type="page"/>
      </w:r>
    </w:p>
    <w:p w14:paraId="6A430452">
      <w:pPr>
        <w:pStyle w:val="2"/>
        <w:numPr>
          <w:ilvl w:val="0"/>
          <w:numId w:val="0"/>
        </w:numPr>
        <w:spacing w:before="156" w:after="156"/>
        <w:ind w:leftChars="0"/>
        <w:jc w:val="center"/>
        <w:rPr>
          <w:color w:val="auto"/>
        </w:rPr>
      </w:pPr>
      <w:bookmarkStart w:id="315" w:name="_Toc13614"/>
      <w:bookmarkStart w:id="316" w:name="_Toc7269"/>
      <w:bookmarkStart w:id="317" w:name="_Toc40778460"/>
      <w:bookmarkStart w:id="318" w:name="_Toc27911"/>
      <w:r>
        <w:rPr>
          <w:rFonts w:hint="eastAsia"/>
          <w:color w:val="auto"/>
          <w:lang w:val="en-US" w:eastAsia="zh-CN"/>
        </w:rPr>
        <w:t>10</w:t>
      </w:r>
      <w:r>
        <w:rPr>
          <w:rFonts w:hint="eastAsia"/>
          <w:color w:val="auto"/>
        </w:rPr>
        <w:t>绿色及文明施工</w:t>
      </w:r>
      <w:bookmarkEnd w:id="315"/>
      <w:bookmarkEnd w:id="316"/>
    </w:p>
    <w:p w14:paraId="782DAAF7">
      <w:pPr>
        <w:pStyle w:val="3"/>
        <w:numPr>
          <w:ilvl w:val="1"/>
          <w:numId w:val="0"/>
        </w:numPr>
        <w:spacing w:before="156" w:after="156"/>
        <w:rPr>
          <w:color w:val="auto"/>
        </w:rPr>
      </w:pPr>
      <w:bookmarkStart w:id="319" w:name="_Toc28274"/>
      <w:bookmarkStart w:id="320" w:name="_Toc65792319"/>
      <w:bookmarkStart w:id="321" w:name="_Toc15038"/>
      <w:bookmarkStart w:id="322" w:name="_Toc17602"/>
      <w:bookmarkStart w:id="323" w:name="_Toc7184"/>
      <w:r>
        <w:rPr>
          <w:rFonts w:hint="eastAsia"/>
          <w:color w:val="auto"/>
        </w:rPr>
        <w:t>10.1</w:t>
      </w:r>
      <w:r>
        <w:rPr>
          <w:color w:val="auto"/>
        </w:rPr>
        <w:t>绿色及文明施工组织机构</w:t>
      </w:r>
      <w:bookmarkEnd w:id="319"/>
      <w:bookmarkEnd w:id="320"/>
      <w:bookmarkEnd w:id="321"/>
      <w:bookmarkEnd w:id="322"/>
      <w:bookmarkEnd w:id="323"/>
    </w:p>
    <w:p w14:paraId="6038A2C6">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136963DD">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0F17D35F">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10D2729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611D52C5">
      <w:pPr>
        <w:pStyle w:val="3"/>
        <w:numPr>
          <w:ilvl w:val="1"/>
          <w:numId w:val="0"/>
        </w:numPr>
        <w:spacing w:before="156" w:after="156"/>
        <w:rPr>
          <w:color w:val="auto"/>
        </w:rPr>
      </w:pPr>
      <w:bookmarkStart w:id="324" w:name="_Toc13914"/>
      <w:bookmarkStart w:id="325" w:name="_Toc24349"/>
      <w:bookmarkStart w:id="326" w:name="_Toc9765"/>
      <w:bookmarkStart w:id="327" w:name="_Toc65792320"/>
      <w:bookmarkStart w:id="328" w:name="_Toc493"/>
      <w:r>
        <w:rPr>
          <w:rFonts w:hint="eastAsia"/>
          <w:color w:val="auto"/>
        </w:rPr>
        <w:t>10.2</w:t>
      </w:r>
      <w:r>
        <w:rPr>
          <w:color w:val="auto"/>
        </w:rPr>
        <w:t>绿色及文明施工保证体系</w:t>
      </w:r>
      <w:bookmarkEnd w:id="324"/>
      <w:bookmarkEnd w:id="325"/>
      <w:bookmarkEnd w:id="326"/>
      <w:bookmarkEnd w:id="327"/>
      <w:bookmarkEnd w:id="328"/>
    </w:p>
    <w:p w14:paraId="5553E5AF">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1BAFF92">
      <w:pPr>
        <w:pStyle w:val="40"/>
        <w:rPr>
          <w:rFonts w:eastAsia="仿宋"/>
          <w:color w:val="auto"/>
        </w:rPr>
      </w:pPr>
      <w:r>
        <w:rPr>
          <w:rFonts w:eastAsia="仿宋"/>
          <w:color w:val="auto"/>
        </w:rPr>
        <w:object>
          <v:shape id="_x0000_i1025" o:spt="75" type="#_x0000_t75" style="height:312.4pt;width:384.1pt;" o:ole="t" filled="f" o:preferrelative="t" stroked="f" coordsize="21600,21600">
            <v:path/>
            <v:fill on="f" focussize="0,0"/>
            <v:stroke on="f"/>
            <v:imagedata r:id="rId37" o:title=""/>
            <o:lock v:ext="edit" aspectratio="t"/>
            <w10:wrap type="none"/>
            <w10:anchorlock/>
          </v:shape>
          <o:OLEObject Type="Embed" ProgID="Visio.Drawing.15" ShapeID="_x0000_i1025" DrawAspect="Content" ObjectID="_1468075725" r:id="rId36">
            <o:LockedField>false</o:LockedField>
          </o:OLEObject>
        </w:object>
      </w:r>
    </w:p>
    <w:p w14:paraId="46BE0AEC">
      <w:pPr>
        <w:pStyle w:val="40"/>
        <w:rPr>
          <w:color w:val="auto"/>
        </w:rPr>
      </w:pPr>
      <w:bookmarkStart w:id="329"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10.2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329"/>
      <w:r>
        <w:rPr>
          <w:color w:val="auto"/>
        </w:rPr>
        <w:t xml:space="preserve"> </w:t>
      </w:r>
      <w:r>
        <w:rPr>
          <w:rFonts w:hint="eastAsia"/>
          <w:color w:val="auto"/>
        </w:rPr>
        <w:t>文明施工及环境保护保证体系</w:t>
      </w:r>
    </w:p>
    <w:p w14:paraId="4F181353">
      <w:pPr>
        <w:pStyle w:val="3"/>
        <w:numPr>
          <w:ilvl w:val="1"/>
          <w:numId w:val="0"/>
        </w:numPr>
        <w:spacing w:before="156" w:after="156"/>
        <w:rPr>
          <w:color w:val="auto"/>
        </w:rPr>
      </w:pPr>
      <w:bookmarkStart w:id="330" w:name="_Toc14438"/>
      <w:bookmarkStart w:id="331" w:name="_Toc65792321"/>
      <w:bookmarkStart w:id="332" w:name="_Toc6656"/>
      <w:bookmarkStart w:id="333" w:name="_Toc21347"/>
      <w:bookmarkStart w:id="334" w:name="_Toc12111"/>
      <w:r>
        <w:rPr>
          <w:rFonts w:hint="eastAsia"/>
          <w:color w:val="auto"/>
        </w:rPr>
        <w:t>10.3</w:t>
      </w:r>
      <w:r>
        <w:rPr>
          <w:color w:val="auto"/>
        </w:rPr>
        <w:t>绿色施工保证措施</w:t>
      </w:r>
      <w:bookmarkEnd w:id="330"/>
      <w:bookmarkEnd w:id="331"/>
      <w:bookmarkEnd w:id="332"/>
      <w:bookmarkEnd w:id="333"/>
      <w:bookmarkEnd w:id="334"/>
    </w:p>
    <w:p w14:paraId="6CF086AA">
      <w:pPr>
        <w:pStyle w:val="4"/>
        <w:numPr>
          <w:ilvl w:val="2"/>
          <w:numId w:val="0"/>
        </w:numPr>
        <w:spacing w:before="156" w:after="156"/>
        <w:rPr>
          <w:color w:val="auto"/>
        </w:rPr>
      </w:pPr>
      <w:bookmarkStart w:id="335" w:name="_Toc3840"/>
      <w:r>
        <w:rPr>
          <w:rFonts w:hint="eastAsia"/>
          <w:color w:val="auto"/>
        </w:rPr>
        <w:t xml:space="preserve">10.3.1 </w:t>
      </w:r>
      <w:r>
        <w:rPr>
          <w:color w:val="auto"/>
        </w:rPr>
        <w:t>固体废弃物污染防治措施</w:t>
      </w:r>
      <w:bookmarkEnd w:id="335"/>
    </w:p>
    <w:p w14:paraId="29CB16F4">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A2FA8E1">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340367E0">
      <w:pPr>
        <w:ind w:firstLine="480"/>
        <w:rPr>
          <w:color w:val="auto"/>
        </w:rPr>
      </w:pPr>
      <w:r>
        <w:rPr>
          <w:rFonts w:hint="eastAsia"/>
          <w:color w:val="auto"/>
        </w:rPr>
        <w:t>（</w:t>
      </w:r>
      <w:r>
        <w:rPr>
          <w:color w:val="auto"/>
        </w:rPr>
        <w:t>3）施工现场设置垃圾桶收集各种垃圾，集中运至指定回收点进行处理。</w:t>
      </w:r>
    </w:p>
    <w:p w14:paraId="46C4DF79">
      <w:pPr>
        <w:ind w:firstLine="480"/>
        <w:rPr>
          <w:color w:val="auto"/>
        </w:rPr>
      </w:pPr>
      <w:r>
        <w:rPr>
          <w:rFonts w:hint="eastAsia"/>
          <w:color w:val="auto"/>
        </w:rPr>
        <w:t>（</w:t>
      </w:r>
      <w:r>
        <w:rPr>
          <w:color w:val="auto"/>
        </w:rPr>
        <w:t>4）施工现场运送各种材料、预拌混凝土、垃圾等应采取遮盖或防护措施，防止溢撒。</w:t>
      </w:r>
    </w:p>
    <w:p w14:paraId="15B9766A">
      <w:pPr>
        <w:pStyle w:val="4"/>
        <w:numPr>
          <w:ilvl w:val="2"/>
          <w:numId w:val="0"/>
        </w:numPr>
        <w:spacing w:before="156" w:after="156"/>
        <w:rPr>
          <w:color w:val="auto"/>
        </w:rPr>
      </w:pPr>
      <w:bookmarkStart w:id="336" w:name="_Toc9838"/>
      <w:r>
        <w:rPr>
          <w:rFonts w:hint="eastAsia"/>
          <w:color w:val="auto"/>
        </w:rPr>
        <w:t>10.3.2</w:t>
      </w:r>
      <w:r>
        <w:rPr>
          <w:color w:val="auto"/>
        </w:rPr>
        <w:t>水污染与水土流失防治措施</w:t>
      </w:r>
      <w:bookmarkEnd w:id="336"/>
    </w:p>
    <w:p w14:paraId="7F1EDA49">
      <w:pPr>
        <w:ind w:firstLine="480"/>
        <w:rPr>
          <w:color w:val="auto"/>
        </w:rPr>
      </w:pPr>
      <w:r>
        <w:rPr>
          <w:rFonts w:hint="eastAsia"/>
          <w:color w:val="auto"/>
        </w:rPr>
        <w:t>（</w:t>
      </w:r>
      <w:r>
        <w:rPr>
          <w:color w:val="auto"/>
        </w:rPr>
        <w:t>1）修筑施工便道，开挖基坑时，保护好周围环境，减少对附近植被生态的破坏。</w:t>
      </w:r>
    </w:p>
    <w:p w14:paraId="7836AF42">
      <w:pPr>
        <w:ind w:firstLine="480"/>
        <w:rPr>
          <w:color w:val="auto"/>
        </w:rPr>
      </w:pPr>
      <w:r>
        <w:rPr>
          <w:rFonts w:hint="eastAsia"/>
          <w:color w:val="auto"/>
        </w:rPr>
        <w:t>（</w:t>
      </w:r>
      <w:r>
        <w:rPr>
          <w:color w:val="auto"/>
        </w:rPr>
        <w:t>2）施工人员生活区尽量远离长江，不向水库排放生活废物和生活污水。</w:t>
      </w:r>
    </w:p>
    <w:p w14:paraId="7E865AC7">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160EB599">
      <w:pPr>
        <w:ind w:firstLine="480"/>
        <w:rPr>
          <w:color w:val="auto"/>
        </w:rPr>
      </w:pPr>
      <w:r>
        <w:rPr>
          <w:rFonts w:hint="eastAsia"/>
          <w:color w:val="auto"/>
        </w:rPr>
        <w:t>（</w:t>
      </w:r>
      <w:r>
        <w:rPr>
          <w:color w:val="auto"/>
        </w:rPr>
        <w:t>4）对钢管桩表面泥土以及铁锈进行清理，避免污染水体。</w:t>
      </w:r>
    </w:p>
    <w:p w14:paraId="61C9898D">
      <w:pPr>
        <w:pStyle w:val="4"/>
        <w:numPr>
          <w:ilvl w:val="2"/>
          <w:numId w:val="0"/>
        </w:numPr>
        <w:spacing w:before="156" w:after="156"/>
        <w:rPr>
          <w:color w:val="auto"/>
        </w:rPr>
      </w:pPr>
      <w:bookmarkStart w:id="337" w:name="_Toc14868"/>
      <w:r>
        <w:rPr>
          <w:rFonts w:hint="eastAsia"/>
          <w:color w:val="auto"/>
        </w:rPr>
        <w:t>10.3.3</w:t>
      </w:r>
      <w:r>
        <w:rPr>
          <w:color w:val="auto"/>
        </w:rPr>
        <w:t>噪声污染防治措施</w:t>
      </w:r>
      <w:bookmarkEnd w:id="337"/>
    </w:p>
    <w:p w14:paraId="26D4A9E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4E440AB3">
      <w:pPr>
        <w:ind w:firstLine="480"/>
        <w:rPr>
          <w:color w:val="auto"/>
        </w:rPr>
      </w:pPr>
      <w:r>
        <w:rPr>
          <w:rFonts w:hint="eastAsia"/>
          <w:color w:val="auto"/>
        </w:rPr>
        <w:t>（</w:t>
      </w:r>
      <w:r>
        <w:rPr>
          <w:color w:val="auto"/>
        </w:rPr>
        <w:t>2）施工期间，注意控制施工车辆鸣笛，经过居民区的重型运输或施工机械，注意限速。</w:t>
      </w:r>
    </w:p>
    <w:p w14:paraId="24B058F8">
      <w:pPr>
        <w:ind w:firstLine="480"/>
        <w:rPr>
          <w:color w:val="auto"/>
        </w:rPr>
      </w:pPr>
      <w:r>
        <w:rPr>
          <w:rFonts w:hint="eastAsia"/>
          <w:color w:val="auto"/>
        </w:rPr>
        <w:t>（</w:t>
      </w:r>
      <w:r>
        <w:rPr>
          <w:color w:val="auto"/>
        </w:rPr>
        <w:t>3）合理安排施工活动，减少施工噪声影响时间，避免高噪声施工机械在同一区域内使用。</w:t>
      </w:r>
    </w:p>
    <w:p w14:paraId="7C77D23C">
      <w:pPr>
        <w:ind w:firstLine="480"/>
        <w:rPr>
          <w:color w:val="auto"/>
        </w:rPr>
      </w:pPr>
      <w:r>
        <w:rPr>
          <w:rFonts w:hint="eastAsia"/>
          <w:color w:val="auto"/>
        </w:rPr>
        <w:t>（</w:t>
      </w:r>
      <w:r>
        <w:rPr>
          <w:color w:val="auto"/>
        </w:rPr>
        <w:t>4）高噪声施工机械运行时尽量避开居民休息时间，晚上不进行钢管桩沉桩作业。</w:t>
      </w:r>
    </w:p>
    <w:p w14:paraId="22C4D989">
      <w:pPr>
        <w:pStyle w:val="4"/>
        <w:numPr>
          <w:ilvl w:val="2"/>
          <w:numId w:val="0"/>
        </w:numPr>
        <w:spacing w:before="156" w:after="156"/>
        <w:rPr>
          <w:color w:val="auto"/>
        </w:rPr>
      </w:pPr>
      <w:bookmarkStart w:id="338" w:name="_Toc14599"/>
      <w:r>
        <w:rPr>
          <w:rFonts w:hint="eastAsia"/>
          <w:color w:val="auto"/>
        </w:rPr>
        <w:t>10.3.4</w:t>
      </w:r>
      <w:r>
        <w:rPr>
          <w:color w:val="auto"/>
        </w:rPr>
        <w:t>大气污染防治措施</w:t>
      </w:r>
      <w:bookmarkEnd w:id="338"/>
    </w:p>
    <w:p w14:paraId="1624B2B6">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6A1A367B">
      <w:pPr>
        <w:ind w:firstLine="480"/>
        <w:rPr>
          <w:color w:val="auto"/>
        </w:rPr>
      </w:pPr>
      <w:r>
        <w:rPr>
          <w:rFonts w:hint="eastAsia"/>
          <w:color w:val="auto"/>
        </w:rPr>
        <w:t>（</w:t>
      </w:r>
      <w:r>
        <w:rPr>
          <w:color w:val="auto"/>
        </w:rPr>
        <w:t>2）在运输物料时用蓬布覆盖严密，并装量适中，不得超限运输；对散装材料采用密闭运输、存放。</w:t>
      </w:r>
    </w:p>
    <w:p w14:paraId="16BD1274">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293F2C81">
      <w:pPr>
        <w:ind w:firstLine="480"/>
        <w:rPr>
          <w:color w:val="auto"/>
        </w:rPr>
      </w:pPr>
      <w:r>
        <w:rPr>
          <w:rFonts w:hint="eastAsia"/>
          <w:color w:val="auto"/>
        </w:rPr>
        <w:t>（</w:t>
      </w:r>
      <w:r>
        <w:rPr>
          <w:color w:val="auto"/>
        </w:rPr>
        <w:t>4）不得焚烧油毡、橡胶、塑料以及其他产生有毒有害烟尘和气体的物质。</w:t>
      </w:r>
    </w:p>
    <w:p w14:paraId="788B0CA0">
      <w:pPr>
        <w:pStyle w:val="4"/>
        <w:numPr>
          <w:ilvl w:val="2"/>
          <w:numId w:val="0"/>
        </w:numPr>
        <w:spacing w:before="156" w:after="156"/>
        <w:rPr>
          <w:color w:val="auto"/>
        </w:rPr>
      </w:pPr>
      <w:bookmarkStart w:id="339" w:name="_Toc30571"/>
      <w:r>
        <w:rPr>
          <w:rFonts w:hint="eastAsia"/>
          <w:color w:val="auto"/>
        </w:rPr>
        <w:t>10.3.5</w:t>
      </w:r>
      <w:r>
        <w:rPr>
          <w:color w:val="auto"/>
        </w:rPr>
        <w:t>节能减排措施</w:t>
      </w:r>
      <w:bookmarkEnd w:id="339"/>
    </w:p>
    <w:p w14:paraId="614DE821">
      <w:pPr>
        <w:ind w:firstLine="480"/>
        <w:rPr>
          <w:color w:val="auto"/>
        </w:rPr>
      </w:pPr>
      <w:r>
        <w:rPr>
          <w:rFonts w:hint="eastAsia"/>
          <w:color w:val="auto"/>
        </w:rPr>
        <w:t>（</w:t>
      </w:r>
      <w:r>
        <w:rPr>
          <w:color w:val="auto"/>
        </w:rPr>
        <w:t>1）优先使用国家、行业推荐的节能、高效、环保的施工设备和机具。</w:t>
      </w:r>
    </w:p>
    <w:p w14:paraId="6407055F">
      <w:pPr>
        <w:ind w:firstLine="480"/>
        <w:rPr>
          <w:color w:val="auto"/>
        </w:rPr>
      </w:pPr>
      <w:r>
        <w:rPr>
          <w:rFonts w:hint="eastAsia"/>
          <w:color w:val="auto"/>
        </w:rPr>
        <w:t>（</w:t>
      </w:r>
      <w:r>
        <w:rPr>
          <w:color w:val="auto"/>
        </w:rPr>
        <w:t>2）节约用水、用电，施工用水优先采用天然水，施工用电优先选择接入电网。</w:t>
      </w:r>
    </w:p>
    <w:p w14:paraId="2B4803F3">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1E6D8137">
      <w:pPr>
        <w:ind w:firstLine="480"/>
        <w:rPr>
          <w:color w:val="auto"/>
        </w:rPr>
      </w:pPr>
      <w:r>
        <w:rPr>
          <w:rFonts w:hint="eastAsia"/>
          <w:color w:val="auto"/>
        </w:rPr>
        <w:t>（</w:t>
      </w:r>
      <w:r>
        <w:rPr>
          <w:color w:val="auto"/>
        </w:rPr>
        <w:t>4）合理安排工序，提高各种机械的使用率和满载率，降低设备的单位耗能。</w:t>
      </w:r>
    </w:p>
    <w:p w14:paraId="63B0784B">
      <w:pPr>
        <w:pStyle w:val="3"/>
        <w:numPr>
          <w:ilvl w:val="1"/>
          <w:numId w:val="0"/>
        </w:numPr>
        <w:spacing w:before="156" w:after="156"/>
        <w:rPr>
          <w:color w:val="auto"/>
        </w:rPr>
      </w:pPr>
      <w:bookmarkStart w:id="340" w:name="_Toc25689"/>
      <w:bookmarkStart w:id="341" w:name="_Toc65792322"/>
      <w:bookmarkStart w:id="342" w:name="_Toc4017"/>
      <w:bookmarkStart w:id="343" w:name="_Toc24000"/>
      <w:bookmarkStart w:id="344" w:name="_Toc16042"/>
      <w:r>
        <w:rPr>
          <w:rFonts w:hint="eastAsia"/>
          <w:color w:val="auto"/>
        </w:rPr>
        <w:t>10.4</w:t>
      </w:r>
      <w:r>
        <w:rPr>
          <w:color w:val="auto"/>
        </w:rPr>
        <w:t>文明施工保证措施</w:t>
      </w:r>
      <w:bookmarkEnd w:id="340"/>
      <w:bookmarkEnd w:id="341"/>
      <w:bookmarkEnd w:id="342"/>
      <w:bookmarkEnd w:id="343"/>
      <w:bookmarkEnd w:id="344"/>
    </w:p>
    <w:p w14:paraId="7F1B5468">
      <w:pPr>
        <w:ind w:firstLine="480"/>
        <w:rPr>
          <w:color w:val="auto"/>
        </w:rPr>
      </w:pPr>
      <w:r>
        <w:rPr>
          <w:rFonts w:hint="eastAsia"/>
          <w:color w:val="auto"/>
        </w:rPr>
        <w:t>（</w:t>
      </w:r>
      <w:r>
        <w:rPr>
          <w:color w:val="auto"/>
        </w:rPr>
        <w:t>1）施工现场设置围挡，实行封闭管理，施工人员进入施工现场应佩戴工作卡。</w:t>
      </w:r>
    </w:p>
    <w:p w14:paraId="189CDAA6">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3EB67EB2">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07BAE3F2">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48B88141">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1473EE6A">
      <w:pPr>
        <w:ind w:firstLine="480"/>
        <w:rPr>
          <w:color w:val="auto"/>
        </w:rPr>
      </w:pPr>
      <w:r>
        <w:rPr>
          <w:rFonts w:hint="eastAsia"/>
          <w:color w:val="auto"/>
        </w:rPr>
        <w:t>（</w:t>
      </w:r>
      <w:r>
        <w:rPr>
          <w:color w:val="auto"/>
        </w:rPr>
        <w:t>6）严禁酒后上岗作业，严禁打架斗殴，严禁在施工现场嬉戏逗闹等不文明行为。</w:t>
      </w:r>
    </w:p>
    <w:p w14:paraId="7E875E1A">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75B337BB">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3BC7FC4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60D590F9">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1A7FB84E">
      <w:pPr>
        <w:ind w:firstLine="480"/>
        <w:rPr>
          <w:rFonts w:hint="eastAsia"/>
          <w:color w:val="auto"/>
        </w:rPr>
      </w:pPr>
      <w:r>
        <w:rPr>
          <w:color w:val="auto"/>
        </w:rPr>
        <w:br w:type="page"/>
      </w:r>
    </w:p>
    <w:p w14:paraId="770E1D09">
      <w:pPr>
        <w:pStyle w:val="2"/>
        <w:numPr>
          <w:ilvl w:val="0"/>
          <w:numId w:val="0"/>
        </w:numPr>
        <w:spacing w:before="156" w:after="156"/>
        <w:ind w:leftChars="0"/>
        <w:jc w:val="both"/>
        <w:rPr>
          <w:color w:val="auto"/>
        </w:rPr>
      </w:pPr>
      <w:bookmarkStart w:id="345" w:name="_Toc27746"/>
      <w:bookmarkStart w:id="346" w:name="_Toc31997"/>
      <w:r>
        <w:rPr>
          <w:rFonts w:hint="eastAsia"/>
          <w:color w:val="auto"/>
          <w:lang w:val="en-US" w:eastAsia="zh-CN"/>
        </w:rPr>
        <w:t>11</w:t>
      </w:r>
      <w:r>
        <w:rPr>
          <w:rFonts w:hint="eastAsia"/>
          <w:color w:val="auto"/>
        </w:rPr>
        <w:t>计算书及相关施工图纸</w:t>
      </w:r>
      <w:bookmarkEnd w:id="317"/>
      <w:bookmarkEnd w:id="318"/>
      <w:bookmarkEnd w:id="345"/>
      <w:bookmarkEnd w:id="346"/>
    </w:p>
    <w:p w14:paraId="0C78F22D">
      <w:pPr>
        <w:pStyle w:val="4"/>
        <w:numPr>
          <w:ilvl w:val="2"/>
          <w:numId w:val="0"/>
        </w:numPr>
        <w:spacing w:before="0" w:after="0" w:line="360" w:lineRule="auto"/>
        <w:ind w:leftChars="0"/>
        <w:outlineLvl w:val="1"/>
        <w:rPr>
          <w:rFonts w:hint="eastAsia" w:ascii="Times New Roman" w:hAnsi="Times New Roman"/>
          <w:color w:val="auto"/>
          <w:sz w:val="24"/>
          <w:szCs w:val="24"/>
        </w:rPr>
      </w:pPr>
      <w:bookmarkStart w:id="347" w:name="_Toc16756"/>
      <w:bookmarkStart w:id="348" w:name="_Toc32006"/>
      <w:bookmarkStart w:id="349" w:name="_Toc795"/>
      <w:r>
        <w:rPr>
          <w:rFonts w:hint="default"/>
          <w:color w:val="auto"/>
          <w:sz w:val="24"/>
          <w:szCs w:val="24"/>
          <w:lang w:val="en-US" w:eastAsia="zh-CN"/>
        </w:rPr>
        <w:t>11.</w:t>
      </w:r>
      <w:r>
        <w:rPr>
          <w:rFonts w:hint="eastAsia"/>
          <w:color w:val="auto"/>
          <w:sz w:val="24"/>
          <w:szCs w:val="24"/>
          <w:lang w:val="en-US" w:eastAsia="zh-CN"/>
        </w:rPr>
        <w:t>1</w:t>
      </w:r>
      <w:r>
        <w:rPr>
          <w:rFonts w:hint="eastAsia" w:ascii="Times New Roman" w:hAnsi="Times New Roman"/>
          <w:color w:val="auto"/>
          <w:sz w:val="24"/>
          <w:szCs w:val="24"/>
        </w:rPr>
        <w:t>吊索具选型计算</w:t>
      </w:r>
      <w:bookmarkEnd w:id="347"/>
      <w:bookmarkEnd w:id="348"/>
      <w:bookmarkEnd w:id="349"/>
    </w:p>
    <w:p w14:paraId="2FADF354">
      <w:pPr>
        <w:pStyle w:val="4"/>
        <w:numPr>
          <w:ilvl w:val="2"/>
          <w:numId w:val="0"/>
        </w:numPr>
        <w:spacing w:before="156" w:after="156"/>
        <w:rPr>
          <w:rFonts w:hint="eastAsia" w:ascii="Times New Roman" w:hAnsi="Times New Roman"/>
          <w:color w:val="auto"/>
          <w:sz w:val="24"/>
          <w:szCs w:val="24"/>
        </w:rPr>
      </w:pPr>
      <w:bookmarkStart w:id="350" w:name="_Toc16842"/>
      <w:r>
        <w:rPr>
          <w:rFonts w:hint="eastAsia"/>
          <w:color w:val="auto"/>
          <w:lang w:val="en-US" w:eastAsia="zh-CN"/>
        </w:rPr>
        <w:t>11.1.1钢丝绳选型依据</w:t>
      </w:r>
      <w:bookmarkEnd w:id="350"/>
    </w:p>
    <w:p w14:paraId="5F057E04">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2277E8E4">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D0460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d>
            <m:dPr>
              <m:ctrlPr>
                <w:rPr>
                  <w:rFonts w:hint="default" w:ascii="Cambria Math" w:hAnsi="Cambria Math"/>
                </w:rPr>
              </m:ctrlPr>
            </m:dPr>
            <m:e>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e>
          </m:d>
        </m:oMath>
      </m:oMathPara>
    </w:p>
    <w:p w14:paraId="0B31DB6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6FAE0237">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597E760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624B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400622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BA1E5F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noWrap w:val="0"/>
            <w:vAlign w:val="top"/>
          </w:tcPr>
          <w:p w14:paraId="632A914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EA5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5EF1D11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1DB3FD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noWrap w:val="0"/>
            <w:vAlign w:val="top"/>
          </w:tcPr>
          <w:p w14:paraId="0B99F59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3A30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025B60B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CEB1A8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noWrap w:val="0"/>
            <w:vAlign w:val="top"/>
          </w:tcPr>
          <w:p w14:paraId="5DC264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7E0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51EED66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76F153A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noWrap w:val="0"/>
            <w:vAlign w:val="top"/>
          </w:tcPr>
          <w:p w14:paraId="1E101B2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1A67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75F3C91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4D0FA5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noWrap w:val="0"/>
            <w:vAlign w:val="top"/>
          </w:tcPr>
          <w:p w14:paraId="16031DB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4736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77BAB66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5209334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noWrap w:val="0"/>
            <w:vAlign w:val="top"/>
          </w:tcPr>
          <w:p w14:paraId="4EA0F9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29A30F32">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0EDC90EC">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p>
            <m:sSupPr>
              <m:ctrlPr>
                <w:rPr>
                  <w:rFonts w:hint="default" w:ascii="Cambria Math" w:hAnsi="Cambria Math"/>
                </w:rPr>
              </m:ctrlPr>
            </m:sSupPr>
            <m:e>
              <m:r>
                <m:rPr>
                  <m:nor/>
                  <m:sty m:val="p"/>
                </m:rPr>
                <w:rPr>
                  <w:b w:val="0"/>
                  <w:i w:val="0"/>
                </w:rPr>
                <m:t>D</m:t>
              </m:r>
              <m:ctrlPr>
                <w:rPr>
                  <w:rFonts w:hint="default" w:ascii="Cambria Math" w:hAnsi="Cambria Math"/>
                </w:rPr>
              </m:ctrlPr>
            </m:e>
            <m:sup>
              <m:r>
                <m:rPr>
                  <m:nor/>
                  <m:sty m:val="p"/>
                </m:rPr>
                <w:rPr>
                  <w:b w:val="0"/>
                  <w:i w:val="0"/>
                </w:rPr>
                <m:t>2</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÷1000</m:t>
          </m:r>
        </m:oMath>
      </m:oMathPara>
    </w:p>
    <w:p w14:paraId="5E89DACD">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ED0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652019D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48E3DC7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noWrap w:val="0"/>
            <w:vAlign w:val="top"/>
          </w:tcPr>
          <w:p w14:paraId="766C3D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E7E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2B0B096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33FA80B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noWrap w:val="0"/>
            <w:vAlign w:val="top"/>
          </w:tcPr>
          <w:p w14:paraId="451BD6B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1BB4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144D75D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70DF630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noWrap w:val="0"/>
            <w:vAlign w:val="top"/>
          </w:tcPr>
          <w:p w14:paraId="60338D0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6D91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72F02B1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5F628D2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noWrap w:val="0"/>
            <w:vAlign w:val="top"/>
          </w:tcPr>
          <w:p w14:paraId="26DA83D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1B407346">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塔机平衡臂</w:t>
      </w:r>
      <w:r>
        <w:rPr>
          <w:rFonts w:hint="eastAsia" w:ascii="Times New Roman" w:hAnsi="Times New Roman" w:eastAsia="宋体" w:cs="Times New Roman"/>
        </w:rPr>
        <w:t>，</w:t>
      </w:r>
      <w:r>
        <w:rPr>
          <w:rFonts w:hint="eastAsia" w:cs="Times New Roman"/>
          <w:lang w:val="en-US" w:eastAsia="zh-CN"/>
        </w:rPr>
        <w:t>平衡臂</w:t>
      </w:r>
      <w:r>
        <w:rPr>
          <w:rFonts w:hint="eastAsia" w:ascii="Times New Roman" w:hAnsi="Times New Roman" w:eastAsia="宋体" w:cs="Times New Roman"/>
        </w:rPr>
        <w:t>起重量约</w:t>
      </w:r>
      <w:r>
        <w:rPr>
          <w:rFonts w:hint="eastAsia" w:cs="Times New Roman"/>
          <w:lang w:val="en-US" w:eastAsia="zh-CN"/>
        </w:rPr>
        <w:t>3.55t</w:t>
      </w:r>
      <w:r>
        <w:rPr>
          <w:rFonts w:hint="eastAsia" w:ascii="Times New Roman" w:hAnsi="Times New Roman" w:eastAsia="宋体" w:cs="Times New Roman"/>
        </w:rPr>
        <w:t>，钢丝绳与</w:t>
      </w:r>
      <w:r>
        <w:rPr>
          <w:rFonts w:hint="eastAsia" w:cs="Times New Roman"/>
          <w:lang w:val="en-US" w:eastAsia="zh-CN"/>
        </w:rPr>
        <w:t>爬升架</w:t>
      </w:r>
      <w:r>
        <w:rPr>
          <w:rFonts w:hint="eastAsia" w:ascii="Times New Roman" w:hAnsi="Times New Roman" w:eastAsia="宋体" w:cs="Times New Roman"/>
        </w:rPr>
        <w:t>60°夹角，以</w:t>
      </w:r>
      <w:r>
        <w:rPr>
          <w:rFonts w:hint="eastAsia" w:cs="Times New Roman"/>
          <w:lang w:val="en-US" w:eastAsia="zh-CN"/>
        </w:rPr>
        <w:t>平衡臂</w:t>
      </w:r>
      <w:r>
        <w:rPr>
          <w:rFonts w:hint="eastAsia" w:ascii="Times New Roman" w:hAnsi="Times New Roman" w:eastAsia="宋体" w:cs="Times New Roman"/>
        </w:rPr>
        <w:t>顶部四个销轴孔作为吊装孔，钢丝绳采用压制接头。</w:t>
      </w:r>
    </w:p>
    <w:p w14:paraId="213862E2">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3D18D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f>
            <m:fPr>
              <m:ctrlPr>
                <w:rPr>
                  <w:rFonts w:hint="default" w:ascii="Cambria Math" w:hAnsi="Cambria Math"/>
                </w:rPr>
              </m:ctrlPr>
            </m:fPr>
            <m:num>
              <m:r>
                <m:rPr>
                  <m:nor/>
                  <m:sty m:val="p"/>
                </m:rPr>
                <w:rPr>
                  <w:b w:val="0"/>
                  <w:i w:val="0"/>
                </w:rPr>
                <m:t>WLL×</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ctrlPr>
                <w:rPr>
                  <w:rFonts w:hint="default" w:ascii="Cambria Math" w:hAnsi="Cambria Math"/>
                </w:rPr>
              </m:ctrlPr>
            </m:den>
          </m:f>
          <m:r>
            <m:rPr>
              <m:nor/>
              <m:sty m:val="p"/>
            </m:rPr>
            <w:rPr>
              <w:b w:val="0"/>
              <w:i w:val="0"/>
            </w:rPr>
            <m:t>=</m:t>
          </m:r>
          <m:f>
            <m:fPr>
              <m:ctrlPr>
                <w:rPr>
                  <w:rFonts w:hint="default" w:ascii="Cambria Math" w:hAnsi="Cambria Math"/>
                </w:rPr>
              </m:ctrlPr>
            </m:fPr>
            <m:num>
              <m:r>
                <m:rPr>
                  <m:nor/>
                  <m:sty m:val="p"/>
                </m:rPr>
                <w:rPr>
                  <w:rFonts w:hint="default" w:ascii="Cambria Math" w:hAnsi="Cambria Math"/>
                  <w:b w:val="0"/>
                  <w:i w:val="0"/>
                  <w:lang w:val="en-US" w:eastAsia="zh-CN"/>
                </w:rPr>
                <m:t>4.05</m:t>
              </m:r>
              <m:r>
                <m:rPr>
                  <m:nor/>
                  <m:sty m:val="p"/>
                </m:rPr>
                <w:rPr>
                  <w:b w:val="0"/>
                  <w:i w:val="0"/>
                </w:rPr>
                <m:t>×9.80665×6</m:t>
              </m:r>
              <m:ctrlPr>
                <w:rPr>
                  <w:rFonts w:hint="default" w:ascii="Cambria Math" w:hAnsi="Cambria Math"/>
                </w:rPr>
              </m:ctrlPr>
            </m:num>
            <m:den>
              <m:r>
                <m:rPr>
                  <m:nor/>
                  <m:sty m:val="p"/>
                </m:rPr>
                <w:rPr>
                  <w:b w:val="0"/>
                  <w:i w:val="0"/>
                </w:rPr>
                <m:t>0.9×2.1</m:t>
              </m:r>
              <m:ctrlPr>
                <w:rPr>
                  <w:rFonts w:hint="default" w:ascii="Cambria Math" w:hAnsi="Cambria Math"/>
                </w:rPr>
              </m:ctrlPr>
            </m:den>
          </m:f>
          <m:r>
            <m:rPr>
              <m:nor/>
              <m:sty m:val="p"/>
            </m:rPr>
            <w:rPr>
              <w:b w:val="0"/>
              <w:i w:val="0"/>
            </w:rPr>
            <m:t>=</m:t>
          </m:r>
          <m:r>
            <m:rPr>
              <m:nor/>
              <m:sty m:val="p"/>
            </m:rPr>
            <w:rPr>
              <w:rFonts w:hint="default"/>
              <w:b w:val="0"/>
              <w:i w:val="0"/>
              <w:lang w:val="en-US" w:eastAsia="zh-CN"/>
            </w:rPr>
            <m:t>110.52</m:t>
          </m:r>
          <m:r>
            <m:rPr>
              <m:nor/>
              <m:sty m:val="p"/>
            </m:rPr>
            <w:rPr>
              <w:b w:val="0"/>
              <w:i w:val="0"/>
            </w:rPr>
            <m:t>N</m:t>
          </m:r>
        </m:oMath>
      </m:oMathPara>
    </w:p>
    <w:p w14:paraId="4BBE8E8D">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7F9838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num>
                <m:den>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den>
              </m:f>
              <m:ctrlPr>
                <w:rPr>
                  <w:rFonts w:hint="default" w:ascii="Cambria Math" w:hAnsi="Cambria Math"/>
                </w:rPr>
              </m:ctrlPr>
            </m:e>
          </m:rad>
          <m:r>
            <m:rPr>
              <m:nor/>
              <m:sty m:val="p"/>
            </m:rPr>
            <w:rPr>
              <w:b w:val="0"/>
              <w:i w:val="0"/>
            </w:rPr>
            <m:t>=</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r>
                    <m:rPr>
                      <m:nor/>
                      <m:sty m:val="p"/>
                    </m:rPr>
                    <w:rPr>
                      <w:rFonts w:hint="default" w:ascii="Cambria Math" w:hAnsi="Cambria Math"/>
                      <w:b w:val="0"/>
                      <w:i w:val="0"/>
                      <w:lang w:val="en-US" w:eastAsia="zh-CN"/>
                    </w:rPr>
                    <m:t>126.09</m:t>
                  </m:r>
                  <m:ctrlPr>
                    <w:rPr>
                      <w:rFonts w:hint="default"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hint="default" w:ascii="Cambria Math" w:hAnsi="Cambria Math"/>
                    </w:rPr>
                  </m:ctrlPr>
                </m:den>
              </m:f>
              <m:ctrlPr>
                <w:rPr>
                  <w:rFonts w:hint="default" w:ascii="Cambria Math" w:hAnsi="Cambria Math"/>
                </w:rPr>
              </m:ctrlPr>
            </m:e>
          </m:rad>
          <m:r>
            <m:rPr>
              <m:nor/>
              <m:sty m:val="p"/>
            </m:rPr>
            <w:rPr>
              <w:b w:val="0"/>
              <w:i w:val="0"/>
            </w:rPr>
            <m:t>=</m:t>
          </m:r>
          <m:r>
            <m:rPr>
              <m:nor/>
              <m:sty m:val="p"/>
            </m:rPr>
            <w:rPr>
              <w:rFonts w:hint="default"/>
              <w:b w:val="0"/>
              <w:i w:val="0"/>
              <w:lang w:val="en-US" w:eastAsia="zh-CN"/>
            </w:rPr>
            <m:t>13.38</m:t>
          </m:r>
          <m:r>
            <m:rPr>
              <m:nor/>
              <m:sty m:val="p"/>
            </m:rPr>
            <w:rPr>
              <w:b w:val="0"/>
              <w:i w:val="0"/>
            </w:rPr>
            <m:t>mm</m:t>
          </m:r>
        </m:oMath>
      </m:oMathPara>
    </w:p>
    <w:p w14:paraId="47C985D4">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φ14</w:t>
      </w:r>
      <w:r>
        <w:rPr>
          <w:rFonts w:hint="eastAsia" w:ascii="Times New Roman" w:hAnsi="Times New Roman" w:eastAsia="宋体" w:cs="Times New Roman"/>
        </w:rPr>
        <w:t>mm钢丝绳可满足要求。</w:t>
      </w:r>
    </w:p>
    <w:p w14:paraId="4DC9FDC9">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平衡重A</w:t>
      </w:r>
      <w:r>
        <w:rPr>
          <w:rFonts w:hint="eastAsia" w:cs="Times New Roman"/>
          <w:lang w:eastAsia="zh-CN"/>
        </w:rPr>
        <w:t>，</w:t>
      </w:r>
      <w:r>
        <w:rPr>
          <w:rFonts w:hint="eastAsia" w:cs="Times New Roman"/>
          <w:lang w:val="en-US" w:eastAsia="zh-CN"/>
        </w:rPr>
        <w:t>平衡重A</w:t>
      </w:r>
      <w:r>
        <w:rPr>
          <w:rFonts w:hint="eastAsia" w:ascii="Times New Roman" w:hAnsi="Times New Roman" w:eastAsia="宋体" w:cs="Times New Roman"/>
        </w:rPr>
        <w:t>最大重量约</w:t>
      </w:r>
      <w:r>
        <w:rPr>
          <w:rFonts w:hint="eastAsia" w:cs="Times New Roman"/>
          <w:lang w:val="en-US" w:eastAsia="zh-CN"/>
        </w:rPr>
        <w:t>2.65</w:t>
      </w:r>
      <w:r>
        <w:rPr>
          <w:rFonts w:hint="eastAsia" w:ascii="Times New Roman" w:hAnsi="Times New Roman" w:eastAsia="宋体" w:cs="Times New Roman"/>
        </w:rPr>
        <w:t>t，钢丝绳与</w:t>
      </w:r>
      <w:r>
        <w:rPr>
          <w:rFonts w:hint="eastAsia" w:cs="Times New Roman"/>
          <w:lang w:val="en-US" w:eastAsia="zh-CN"/>
        </w:rPr>
        <w:t>平衡重</w:t>
      </w:r>
      <w:r>
        <w:rPr>
          <w:rFonts w:hint="eastAsia" w:ascii="Times New Roman" w:hAnsi="Times New Roman" w:eastAsia="宋体" w:cs="Times New Roman"/>
        </w:rPr>
        <w:t>成60°夹角，</w:t>
      </w:r>
      <w:r>
        <w:rPr>
          <w:rFonts w:hint="eastAsia"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775EF4AC">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683C99B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f>
            <m:fPr>
              <m:ctrlPr>
                <w:rPr>
                  <w:rFonts w:hint="default" w:ascii="Cambria Math" w:hAnsi="Cambria Math"/>
                </w:rPr>
              </m:ctrlPr>
            </m:fPr>
            <m:num>
              <m:r>
                <m:rPr>
                  <m:nor/>
                  <m:sty m:val="p"/>
                </m:rPr>
                <w:rPr>
                  <w:b w:val="0"/>
                  <w:i w:val="0"/>
                </w:rPr>
                <m:t>WLL×</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ctrlPr>
                <w:rPr>
                  <w:rFonts w:hint="default" w:ascii="Cambria Math" w:hAnsi="Cambria Math"/>
                </w:rPr>
              </m:ctrlPr>
            </m:den>
          </m:f>
          <m:r>
            <m:rPr>
              <m:nor/>
              <m:sty m:val="p"/>
            </m:rPr>
            <w:rPr>
              <w:b w:val="0"/>
              <w:i w:val="0"/>
            </w:rPr>
            <m:t>=</m:t>
          </m:r>
          <m:f>
            <m:fPr>
              <m:ctrlPr>
                <w:rPr>
                  <w:rFonts w:hint="default" w:ascii="Cambria Math" w:hAnsi="Cambria Math"/>
                </w:rPr>
              </m:ctrlPr>
            </m:fPr>
            <m:num>
              <m:r>
                <m:rPr>
                  <m:nor/>
                  <m:sty m:val="p"/>
                </m:rPr>
                <w:rPr>
                  <w:rFonts w:hint="default" w:ascii="Cambria Math" w:hAnsi="Cambria Math"/>
                  <w:b w:val="0"/>
                  <w:i w:val="0"/>
                  <w:lang w:val="en-US" w:eastAsia="zh-CN"/>
                </w:rPr>
                <m:t>3.782</m:t>
              </m:r>
              <m:r>
                <m:rPr>
                  <m:nor/>
                  <m:sty m:val="p"/>
                </m:rPr>
                <w:rPr>
                  <w:b w:val="0"/>
                  <w:i w:val="0"/>
                </w:rPr>
                <m:t>×9.80665×6</m:t>
              </m:r>
              <m:ctrlPr>
                <w:rPr>
                  <w:rFonts w:hint="default" w:ascii="Cambria Math" w:hAnsi="Cambria Math"/>
                </w:rPr>
              </m:ctrlPr>
            </m:num>
            <m:den>
              <m:r>
                <m:rPr>
                  <m:nor/>
                  <m:sty m:val="p"/>
                </m:rPr>
                <w:rPr>
                  <w:b w:val="0"/>
                  <w:i w:val="0"/>
                </w:rPr>
                <m:t>0.9×1.4</m:t>
              </m:r>
              <m:ctrlPr>
                <w:rPr>
                  <w:rFonts w:hint="default" w:ascii="Cambria Math" w:hAnsi="Cambria Math"/>
                </w:rPr>
              </m:ctrlPr>
            </m:den>
          </m:f>
          <m:r>
            <m:rPr>
              <m:nor/>
              <m:sty m:val="p"/>
            </m:rPr>
            <w:rPr>
              <w:b w:val="0"/>
              <w:i w:val="0"/>
            </w:rPr>
            <m:t>=</m:t>
          </m:r>
          <m:r>
            <m:rPr>
              <m:nor/>
              <m:sty m:val="p"/>
            </m:rPr>
            <w:rPr>
              <w:rFonts w:hint="default"/>
              <w:b w:val="0"/>
              <w:i w:val="0"/>
              <w:lang w:val="en-US" w:eastAsia="zh-CN"/>
            </w:rPr>
            <m:t>123.76</m:t>
          </m:r>
          <m:r>
            <m:rPr>
              <m:nor/>
              <m:sty m:val="p"/>
            </m:rPr>
            <w:rPr>
              <w:b w:val="0"/>
              <w:i w:val="0"/>
            </w:rPr>
            <m:t>kN</m:t>
          </m:r>
        </m:oMath>
      </m:oMathPara>
    </w:p>
    <w:p w14:paraId="2352A8E5">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275D87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num>
                <m:den>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den>
              </m:f>
              <m:ctrlPr>
                <w:rPr>
                  <w:rFonts w:hint="default" w:ascii="Cambria Math" w:hAnsi="Cambria Math"/>
                </w:rPr>
              </m:ctrlPr>
            </m:e>
          </m:rad>
          <m:r>
            <m:rPr>
              <m:nor/>
              <m:sty m:val="p"/>
            </m:rPr>
            <w:rPr>
              <w:b w:val="0"/>
              <w:i w:val="0"/>
            </w:rPr>
            <m:t>=</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r>
                    <m:rPr>
                      <m:nor/>
                      <m:sty m:val="p"/>
                    </m:rPr>
                    <w:rPr>
                      <w:rFonts w:hint="default" w:ascii="Cambria Math" w:hAnsi="Cambria Math"/>
                      <w:b w:val="0"/>
                      <w:i w:val="0"/>
                      <w:lang w:val="en-US" w:eastAsia="zh-CN"/>
                    </w:rPr>
                    <m:t>176.62</m:t>
                  </m:r>
                  <m:ctrlPr>
                    <w:rPr>
                      <w:rFonts w:hint="default"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hint="default" w:ascii="Cambria Math" w:hAnsi="Cambria Math"/>
                    </w:rPr>
                  </m:ctrlPr>
                </m:den>
              </m:f>
              <m:ctrlPr>
                <w:rPr>
                  <w:rFonts w:hint="default" w:ascii="Cambria Math" w:hAnsi="Cambria Math"/>
                </w:rPr>
              </m:ctrlPr>
            </m:e>
          </m:rad>
          <m:r>
            <m:rPr>
              <m:nor/>
              <m:sty m:val="p"/>
            </m:rPr>
            <w:rPr>
              <w:b w:val="0"/>
              <w:i w:val="0"/>
            </w:rPr>
            <m:t>=</m:t>
          </m:r>
          <m:r>
            <m:rPr>
              <m:nor/>
              <m:sty m:val="p"/>
            </m:rPr>
            <w:rPr>
              <w:rFonts w:hint="default"/>
              <w:b w:val="0"/>
              <w:i w:val="0"/>
              <w:lang w:val="en-US" w:eastAsia="zh-CN"/>
            </w:rPr>
            <m:t>14.17</m:t>
          </m:r>
          <m:r>
            <m:rPr>
              <m:nor/>
              <m:sty m:val="p"/>
            </m:rPr>
            <w:rPr>
              <w:b w:val="0"/>
              <w:i w:val="0"/>
            </w:rPr>
            <m:t>mm</m:t>
          </m:r>
        </m:oMath>
      </m:oMathPara>
    </w:p>
    <w:p w14:paraId="4D730EA7">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775D438E">
      <w:pPr>
        <w:pStyle w:val="4"/>
        <w:numPr>
          <w:ilvl w:val="2"/>
          <w:numId w:val="0"/>
        </w:numPr>
        <w:spacing w:before="156" w:after="156"/>
        <w:rPr>
          <w:rFonts w:hint="eastAsia"/>
          <w:color w:val="auto"/>
          <w:lang w:val="en-US" w:eastAsia="zh-CN"/>
        </w:rPr>
      </w:pPr>
      <w:bookmarkStart w:id="351" w:name="_Toc132535969"/>
      <w:r>
        <w:rPr>
          <w:rFonts w:hint="eastAsia"/>
          <w:color w:val="auto"/>
          <w:lang w:val="en-US" w:eastAsia="zh-CN"/>
        </w:rPr>
        <w:t>11.1.2卸扣选型</w:t>
      </w:r>
      <w:bookmarkEnd w:id="351"/>
    </w:p>
    <w:p w14:paraId="65B395BF">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4357297">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w:t>
      </w:r>
      <w:r>
        <w:rPr>
          <w:rFonts w:hint="eastAsia" w:eastAsia="黑体" w:cs="Times New Roman"/>
          <w:kern w:val="2"/>
          <w:sz w:val="21"/>
          <w:lang w:val="en-US" w:eastAsia="zh-CN" w:bidi="ar-SA"/>
        </w:rPr>
        <w:t>1</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1</w:t>
      </w:r>
      <w:r>
        <w:rPr>
          <w:rFonts w:hint="eastAsia" w:ascii="Times New Roman" w:hAnsi="Times New Roman" w:eastAsia="黑体" w:cs="Times New Roman"/>
          <w:kern w:val="2"/>
          <w:sz w:val="21"/>
          <w:lang w:val="en-US" w:eastAsia="zh-CN" w:bidi="ar-SA"/>
        </w:rPr>
        <w:t>.2</w:t>
      </w:r>
      <w:r>
        <w:rPr>
          <w:rFonts w:hint="eastAsia" w:eastAsia="黑体" w:cs="Times New Roman"/>
          <w:kern w:val="2"/>
          <w:sz w:val="21"/>
          <w:lang w:val="en-US" w:eastAsia="zh-CN" w:bidi="ar-SA"/>
        </w:rPr>
        <w:t xml:space="preserve">  </w:t>
      </w:r>
      <w:r>
        <w:rPr>
          <w:rFonts w:hint="eastAsia" w:ascii="Times New Roman" w:hAnsi="Times New Roman" w:eastAsia="黑体" w:cs="Times New Roman"/>
          <w:kern w:val="2"/>
          <w:sz w:val="21"/>
          <w:lang w:val="en-US" w:eastAsia="zh-CN" w:bidi="ar-SA"/>
        </w:rPr>
        <w:t>D形卸扣尺寸</w:t>
      </w:r>
    </w:p>
    <w:tbl>
      <w:tblPr>
        <w:tblStyle w:val="8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5"/>
        <w:gridCol w:w="1108"/>
        <w:gridCol w:w="1108"/>
        <w:gridCol w:w="986"/>
        <w:gridCol w:w="932"/>
        <w:gridCol w:w="1182"/>
        <w:gridCol w:w="931"/>
        <w:gridCol w:w="1014"/>
      </w:tblGrid>
      <w:tr w14:paraId="53172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5" w:type="pct"/>
            <w:gridSpan w:val="3"/>
            <w:shd w:val="clear" w:color="auto" w:fill="4472C4"/>
            <w:noWrap w:val="0"/>
            <w:vAlign w:val="center"/>
          </w:tcPr>
          <w:p w14:paraId="0A13D9AC">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noWrap w:val="0"/>
            <w:vAlign w:val="center"/>
          </w:tcPr>
          <w:p w14:paraId="5C2BB93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7A6F3E71">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7" w:type="pct"/>
            <w:vMerge w:val="restart"/>
            <w:shd w:val="clear" w:color="auto" w:fill="4472C4"/>
            <w:noWrap w:val="0"/>
            <w:vAlign w:val="center"/>
          </w:tcPr>
          <w:p w14:paraId="376D96E6">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1FC9E4A6">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706" w:type="pct"/>
            <w:vMerge w:val="restart"/>
            <w:shd w:val="clear" w:color="auto" w:fill="4472C4"/>
            <w:noWrap w:val="0"/>
            <w:vAlign w:val="center"/>
          </w:tcPr>
          <w:p w14:paraId="73320BAC">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610E59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noWrap w:val="0"/>
            <w:vAlign w:val="center"/>
          </w:tcPr>
          <w:p w14:paraId="6A1A867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1ADC5F9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noWrap w:val="0"/>
            <w:vAlign w:val="center"/>
          </w:tcPr>
          <w:p w14:paraId="27BE48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794F355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0C490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4472C4"/>
            <w:noWrap w:val="0"/>
            <w:vAlign w:val="center"/>
          </w:tcPr>
          <w:p w14:paraId="396AC914">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noWrap w:val="0"/>
            <w:vAlign w:val="center"/>
          </w:tcPr>
          <w:p w14:paraId="7EBBAC3B">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noWrap w:val="0"/>
            <w:vAlign w:val="center"/>
          </w:tcPr>
          <w:p w14:paraId="040658D1">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noWrap w:val="0"/>
            <w:vAlign w:val="center"/>
          </w:tcPr>
          <w:p w14:paraId="16E1F68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7" w:type="pct"/>
            <w:vMerge w:val="continue"/>
            <w:shd w:val="clear" w:color="auto" w:fill="auto"/>
            <w:noWrap w:val="0"/>
            <w:vAlign w:val="center"/>
          </w:tcPr>
          <w:p w14:paraId="0D20E30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706" w:type="pct"/>
            <w:vMerge w:val="continue"/>
            <w:shd w:val="clear" w:color="auto" w:fill="auto"/>
            <w:noWrap w:val="0"/>
            <w:vAlign w:val="center"/>
          </w:tcPr>
          <w:p w14:paraId="021626B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noWrap w:val="0"/>
            <w:vAlign w:val="center"/>
          </w:tcPr>
          <w:p w14:paraId="37674CC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noWrap w:val="0"/>
            <w:vAlign w:val="center"/>
          </w:tcPr>
          <w:p w14:paraId="06FEB4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EF3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5" w:type="pct"/>
            <w:gridSpan w:val="3"/>
            <w:shd w:val="clear" w:color="auto" w:fill="auto"/>
            <w:noWrap w:val="0"/>
            <w:vAlign w:val="center"/>
          </w:tcPr>
          <w:p w14:paraId="18FDE5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noWrap w:val="0"/>
            <w:vAlign w:val="center"/>
          </w:tcPr>
          <w:p w14:paraId="6321357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73408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3A181D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noWrap w:val="0"/>
            <w:vAlign w:val="center"/>
          </w:tcPr>
          <w:p w14:paraId="578F49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noWrap w:val="0"/>
            <w:vAlign w:val="center"/>
          </w:tcPr>
          <w:p w14:paraId="172B5B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noWrap w:val="0"/>
            <w:vAlign w:val="center"/>
          </w:tcPr>
          <w:p w14:paraId="6637AC9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57" w:type="pct"/>
            <w:shd w:val="clear" w:color="auto" w:fill="auto"/>
            <w:noWrap w:val="0"/>
            <w:vAlign w:val="center"/>
          </w:tcPr>
          <w:p w14:paraId="76BDCB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706" w:type="pct"/>
            <w:shd w:val="clear" w:color="auto" w:fill="auto"/>
            <w:noWrap w:val="0"/>
            <w:vAlign w:val="center"/>
          </w:tcPr>
          <w:p w14:paraId="0E0F0A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noWrap w:val="0"/>
            <w:vAlign w:val="center"/>
          </w:tcPr>
          <w:p w14:paraId="71804B5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noWrap w:val="0"/>
            <w:vAlign w:val="center"/>
          </w:tcPr>
          <w:p w14:paraId="3043B3B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6567D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2C23CEF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noWrap w:val="0"/>
            <w:vAlign w:val="center"/>
          </w:tcPr>
          <w:p w14:paraId="07F45F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noWrap w:val="0"/>
            <w:vAlign w:val="center"/>
          </w:tcPr>
          <w:p w14:paraId="0C0899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noWrap w:val="0"/>
            <w:vAlign w:val="center"/>
          </w:tcPr>
          <w:p w14:paraId="408223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57" w:type="pct"/>
            <w:shd w:val="clear" w:color="auto" w:fill="auto"/>
            <w:noWrap w:val="0"/>
            <w:vAlign w:val="center"/>
          </w:tcPr>
          <w:p w14:paraId="606544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706" w:type="pct"/>
            <w:shd w:val="clear" w:color="auto" w:fill="auto"/>
            <w:noWrap w:val="0"/>
            <w:vAlign w:val="center"/>
          </w:tcPr>
          <w:p w14:paraId="6CAB4E1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noWrap w:val="0"/>
            <w:vAlign w:val="center"/>
          </w:tcPr>
          <w:p w14:paraId="3FBE318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noWrap w:val="0"/>
            <w:vAlign w:val="center"/>
          </w:tcPr>
          <w:p w14:paraId="7B6F73B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0B27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7838232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noWrap w:val="0"/>
            <w:vAlign w:val="center"/>
          </w:tcPr>
          <w:p w14:paraId="384EDA5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noWrap w:val="0"/>
            <w:vAlign w:val="center"/>
          </w:tcPr>
          <w:p w14:paraId="1749549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noWrap w:val="0"/>
            <w:vAlign w:val="center"/>
          </w:tcPr>
          <w:p w14:paraId="214A032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57" w:type="pct"/>
            <w:shd w:val="clear" w:color="auto" w:fill="auto"/>
            <w:noWrap w:val="0"/>
            <w:vAlign w:val="center"/>
          </w:tcPr>
          <w:p w14:paraId="3188C7D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706" w:type="pct"/>
            <w:shd w:val="clear" w:color="auto" w:fill="auto"/>
            <w:noWrap w:val="0"/>
            <w:vAlign w:val="center"/>
          </w:tcPr>
          <w:p w14:paraId="2E41EB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noWrap w:val="0"/>
            <w:vAlign w:val="center"/>
          </w:tcPr>
          <w:p w14:paraId="5FF638F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noWrap w:val="0"/>
            <w:vAlign w:val="center"/>
          </w:tcPr>
          <w:p w14:paraId="0FDD6B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2EA12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1D5223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noWrap w:val="0"/>
            <w:vAlign w:val="center"/>
          </w:tcPr>
          <w:p w14:paraId="259CEE6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noWrap w:val="0"/>
            <w:vAlign w:val="center"/>
          </w:tcPr>
          <w:p w14:paraId="390D2BB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noWrap w:val="0"/>
            <w:vAlign w:val="center"/>
          </w:tcPr>
          <w:p w14:paraId="46BC2A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57" w:type="pct"/>
            <w:shd w:val="clear" w:color="auto" w:fill="auto"/>
            <w:noWrap w:val="0"/>
            <w:vAlign w:val="center"/>
          </w:tcPr>
          <w:p w14:paraId="44B862F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706" w:type="pct"/>
            <w:shd w:val="clear" w:color="auto" w:fill="auto"/>
            <w:noWrap w:val="0"/>
            <w:vAlign w:val="center"/>
          </w:tcPr>
          <w:p w14:paraId="3576F9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noWrap w:val="0"/>
            <w:vAlign w:val="center"/>
          </w:tcPr>
          <w:p w14:paraId="034FAD5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noWrap w:val="0"/>
            <w:vAlign w:val="center"/>
          </w:tcPr>
          <w:p w14:paraId="10C8520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7990C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0BA412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noWrap w:val="0"/>
            <w:vAlign w:val="center"/>
          </w:tcPr>
          <w:p w14:paraId="11ECC0A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noWrap w:val="0"/>
            <w:vAlign w:val="center"/>
          </w:tcPr>
          <w:p w14:paraId="139505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noWrap w:val="0"/>
            <w:vAlign w:val="center"/>
          </w:tcPr>
          <w:p w14:paraId="00CBC28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57" w:type="pct"/>
            <w:shd w:val="clear" w:color="auto" w:fill="auto"/>
            <w:noWrap w:val="0"/>
            <w:vAlign w:val="center"/>
          </w:tcPr>
          <w:p w14:paraId="10FEC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706" w:type="pct"/>
            <w:shd w:val="clear" w:color="auto" w:fill="auto"/>
            <w:noWrap w:val="0"/>
            <w:vAlign w:val="center"/>
          </w:tcPr>
          <w:p w14:paraId="6E0CD1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noWrap w:val="0"/>
            <w:vAlign w:val="center"/>
          </w:tcPr>
          <w:p w14:paraId="41279B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noWrap w:val="0"/>
            <w:vAlign w:val="center"/>
          </w:tcPr>
          <w:p w14:paraId="5771AD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0C7FA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6E5A7A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noWrap w:val="0"/>
            <w:vAlign w:val="center"/>
          </w:tcPr>
          <w:p w14:paraId="4B20D66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noWrap w:val="0"/>
            <w:vAlign w:val="center"/>
          </w:tcPr>
          <w:p w14:paraId="0AA167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noWrap w:val="0"/>
            <w:vAlign w:val="center"/>
          </w:tcPr>
          <w:p w14:paraId="1D748CB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57" w:type="pct"/>
            <w:shd w:val="clear" w:color="auto" w:fill="auto"/>
            <w:noWrap w:val="0"/>
            <w:vAlign w:val="center"/>
          </w:tcPr>
          <w:p w14:paraId="280E41C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706" w:type="pct"/>
            <w:shd w:val="clear" w:color="auto" w:fill="auto"/>
            <w:noWrap w:val="0"/>
            <w:vAlign w:val="center"/>
          </w:tcPr>
          <w:p w14:paraId="3F9BE70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noWrap w:val="0"/>
            <w:vAlign w:val="center"/>
          </w:tcPr>
          <w:p w14:paraId="386C45D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noWrap w:val="0"/>
            <w:vAlign w:val="center"/>
          </w:tcPr>
          <w:p w14:paraId="4E5C3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29239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05A6825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noWrap w:val="0"/>
            <w:vAlign w:val="center"/>
          </w:tcPr>
          <w:p w14:paraId="0D51BC4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noWrap w:val="0"/>
            <w:vAlign w:val="center"/>
          </w:tcPr>
          <w:p w14:paraId="0CDCD5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noWrap w:val="0"/>
            <w:vAlign w:val="center"/>
          </w:tcPr>
          <w:p w14:paraId="43BB3E1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57" w:type="pct"/>
            <w:shd w:val="clear" w:color="auto" w:fill="auto"/>
            <w:noWrap w:val="0"/>
            <w:vAlign w:val="center"/>
          </w:tcPr>
          <w:p w14:paraId="029B5D9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706" w:type="pct"/>
            <w:shd w:val="clear" w:color="auto" w:fill="auto"/>
            <w:noWrap w:val="0"/>
            <w:vAlign w:val="center"/>
          </w:tcPr>
          <w:p w14:paraId="4C6AA5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noWrap w:val="0"/>
            <w:vAlign w:val="center"/>
          </w:tcPr>
          <w:p w14:paraId="6670F5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noWrap w:val="0"/>
            <w:vAlign w:val="center"/>
          </w:tcPr>
          <w:p w14:paraId="4AF2774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4B465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3F59E6A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noWrap w:val="0"/>
            <w:vAlign w:val="center"/>
          </w:tcPr>
          <w:p w14:paraId="2C33A06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noWrap w:val="0"/>
            <w:vAlign w:val="center"/>
          </w:tcPr>
          <w:p w14:paraId="4030049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noWrap w:val="0"/>
            <w:vAlign w:val="center"/>
          </w:tcPr>
          <w:p w14:paraId="4D3501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57" w:type="pct"/>
            <w:shd w:val="clear" w:color="auto" w:fill="auto"/>
            <w:noWrap w:val="0"/>
            <w:vAlign w:val="center"/>
          </w:tcPr>
          <w:p w14:paraId="32D1E7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706" w:type="pct"/>
            <w:shd w:val="clear" w:color="auto" w:fill="auto"/>
            <w:noWrap w:val="0"/>
            <w:vAlign w:val="center"/>
          </w:tcPr>
          <w:p w14:paraId="151D68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noWrap w:val="0"/>
            <w:vAlign w:val="center"/>
          </w:tcPr>
          <w:p w14:paraId="5C04FE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noWrap w:val="0"/>
            <w:vAlign w:val="center"/>
          </w:tcPr>
          <w:p w14:paraId="2806E1C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299C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570BE9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noWrap w:val="0"/>
            <w:vAlign w:val="center"/>
          </w:tcPr>
          <w:p w14:paraId="21F41E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noWrap w:val="0"/>
            <w:vAlign w:val="center"/>
          </w:tcPr>
          <w:p w14:paraId="43765A0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noWrap w:val="0"/>
            <w:vAlign w:val="center"/>
          </w:tcPr>
          <w:p w14:paraId="26944F4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57" w:type="pct"/>
            <w:shd w:val="clear" w:color="auto" w:fill="auto"/>
            <w:noWrap w:val="0"/>
            <w:vAlign w:val="center"/>
          </w:tcPr>
          <w:p w14:paraId="3299D6F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706" w:type="pct"/>
            <w:shd w:val="clear" w:color="auto" w:fill="auto"/>
            <w:noWrap w:val="0"/>
            <w:vAlign w:val="center"/>
          </w:tcPr>
          <w:p w14:paraId="41C40C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noWrap w:val="0"/>
            <w:vAlign w:val="center"/>
          </w:tcPr>
          <w:p w14:paraId="1656ABE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noWrap w:val="0"/>
            <w:vAlign w:val="center"/>
          </w:tcPr>
          <w:p w14:paraId="16BEF2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6C494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1D854E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noWrap w:val="0"/>
            <w:vAlign w:val="center"/>
          </w:tcPr>
          <w:p w14:paraId="32A6152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noWrap w:val="0"/>
            <w:vAlign w:val="center"/>
          </w:tcPr>
          <w:p w14:paraId="115C15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noWrap w:val="0"/>
            <w:vAlign w:val="center"/>
          </w:tcPr>
          <w:p w14:paraId="7CFDA93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57" w:type="pct"/>
            <w:shd w:val="clear" w:color="auto" w:fill="auto"/>
            <w:noWrap w:val="0"/>
            <w:vAlign w:val="center"/>
          </w:tcPr>
          <w:p w14:paraId="2BA916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706" w:type="pct"/>
            <w:shd w:val="clear" w:color="auto" w:fill="auto"/>
            <w:noWrap w:val="0"/>
            <w:vAlign w:val="center"/>
          </w:tcPr>
          <w:p w14:paraId="63CF507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noWrap w:val="0"/>
            <w:vAlign w:val="center"/>
          </w:tcPr>
          <w:p w14:paraId="1A5F01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noWrap w:val="0"/>
            <w:vAlign w:val="center"/>
          </w:tcPr>
          <w:p w14:paraId="69D9FC0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76F0D415">
      <w:pPr>
        <w:ind w:firstLine="480"/>
        <w:rPr>
          <w:rFonts w:ascii="Times New Roman" w:hAnsi="Times New Roman" w:eastAsia="宋体" w:cs="Times New Roman"/>
        </w:rPr>
      </w:pPr>
      <w:r>
        <w:rPr>
          <w:rFonts w:hint="eastAsia" w:ascii="Times New Roman" w:hAnsi="Times New Roman" w:eastAsia="宋体" w:cs="Times New Roman"/>
        </w:rPr>
        <w:t>四点吊的塔吊主要部件为</w:t>
      </w:r>
      <w:r>
        <w:rPr>
          <w:rFonts w:hint="eastAsia" w:cs="Times New Roman"/>
          <w:lang w:val="en-US" w:eastAsia="zh-CN"/>
        </w:rPr>
        <w:t>平衡臂，平衡臂</w:t>
      </w:r>
      <w:r>
        <w:rPr>
          <w:rFonts w:hint="eastAsia" w:ascii="Times New Roman" w:hAnsi="Times New Roman" w:eastAsia="宋体" w:cs="Times New Roman"/>
        </w:rPr>
        <w:t>最大重量约</w:t>
      </w:r>
      <w:r>
        <w:rPr>
          <w:rFonts w:hint="eastAsia" w:cs="Times New Roman"/>
          <w:lang w:val="en-US" w:eastAsia="zh-CN"/>
        </w:rPr>
        <w:t>3.55</w:t>
      </w:r>
      <w:r>
        <w:rPr>
          <w:rFonts w:hint="eastAsia" w:ascii="Times New Roman" w:hAnsi="Times New Roman" w:eastAsia="宋体" w:cs="Times New Roman"/>
        </w:rPr>
        <w:t>t，钢丝绳连接卸扣工作荷载：</w:t>
      </w:r>
    </w:p>
    <w:p w14:paraId="0D3D2855">
      <w:pPr>
        <w:ind w:firstLine="480"/>
        <w:rPr>
          <w:rFonts w:ascii="Times New Roman" w:hAnsi="Times New Roman" w:eastAsia="宋体" w:cs="Times New Roman"/>
        </w:rPr>
      </w:pPr>
      <m:oMath>
        <m:r>
          <m:rPr>
            <m:nor/>
            <m:sty m:val="p"/>
          </m:rPr>
          <w:rPr>
            <w:b w:val="0"/>
            <w:i w:val="0"/>
          </w:rPr>
          <m:t>WL</m:t>
        </m:r>
        <m:sSub>
          <m:sSubPr>
            <m:ctrlPr>
              <w:rPr>
                <w:rFonts w:hint="default" w:ascii="Cambria Math" w:hAnsi="Cambria Math"/>
                <w:i/>
              </w:rPr>
            </m:ctrlPr>
          </m:sSubPr>
          <m:e>
            <m:r>
              <m:rPr>
                <m:nor/>
                <m:sty m:val="p"/>
              </m:rPr>
              <w:rPr>
                <w:b w:val="0"/>
                <w:i w:val="0"/>
              </w:rPr>
              <m:t>L</m:t>
            </m:r>
            <m:ctrlPr>
              <w:rPr>
                <w:rFonts w:hint="default" w:ascii="Cambria Math" w:hAnsi="Cambria Math"/>
                <w:i/>
              </w:rPr>
            </m:ctrlPr>
          </m:e>
          <m:sub>
            <m:r>
              <m:rPr>
                <m:nor/>
                <m:sty m:val="p"/>
              </m:rPr>
              <w:rPr>
                <w:b w:val="0"/>
                <w:i w:val="0"/>
              </w:rPr>
              <m:t>0</m:t>
            </m:r>
            <m:ctrlPr>
              <w:rPr>
                <w:rFonts w:hint="default" w:ascii="Cambria Math" w:hAnsi="Cambria Math"/>
                <w:i/>
              </w:rPr>
            </m:ctrlPr>
          </m:sub>
        </m:sSub>
        <m:r>
          <m:rPr>
            <m:nor/>
            <m:sty m:val="p"/>
          </m:rPr>
          <w:rPr>
            <w:b w:val="0"/>
            <w:i w:val="0"/>
          </w:rPr>
          <m:t>=</m:t>
        </m:r>
        <m:f>
          <m:fPr>
            <m:ctrlPr>
              <w:rPr>
                <w:rFonts w:hint="default" w:ascii="Cambria Math" w:hAnsi="Cambria Math"/>
                <w:i/>
              </w:rPr>
            </m:ctrlPr>
          </m:fPr>
          <m:num>
            <m:r>
              <m:rPr/>
              <w:rPr>
                <w:rFonts w:hint="default" w:ascii="Cambria Math" w:hAnsi="Cambria Math"/>
                <w:lang w:val="en-US" w:eastAsia="zh-CN"/>
              </w:rPr>
              <m:t>110.52</m:t>
            </m:r>
            <m:ctrlPr>
              <w:rPr>
                <w:rFonts w:hint="default" w:ascii="Cambria Math" w:hAnsi="Cambria Math"/>
                <w:i/>
              </w:rPr>
            </m:ctrlPr>
          </m:num>
          <m:den>
            <m:r>
              <m:rPr>
                <m:nor/>
                <m:sty m:val="p"/>
              </m:rPr>
              <w:rPr>
                <w:b w:val="0"/>
                <w:i w:val="0"/>
              </w:rPr>
              <m:t>6</m:t>
            </m:r>
            <m:ctrlPr>
              <w:rPr>
                <w:rFonts w:hint="default" w:ascii="Cambria Math" w:hAnsi="Cambria Math"/>
                <w:i/>
              </w:rPr>
            </m:ctrlPr>
          </m:den>
        </m:f>
        <m:r>
          <m:rPr>
            <m:nor/>
            <m:sty m:val="p"/>
          </m:rPr>
          <w:rPr>
            <w:b w:val="0"/>
            <w:i w:val="0"/>
          </w:rPr>
          <m:t>=</m:t>
        </m:r>
        <m:r>
          <m:rPr>
            <m:nor/>
            <m:sty m:val="p"/>
          </m:rPr>
          <w:rPr>
            <w:rFonts w:hint="default"/>
            <w:b w:val="0"/>
            <w:i w:val="0"/>
            <w:lang w:val="en-US" w:eastAsia="zh-CN"/>
          </w:rPr>
          <m:t>18.42</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192ADA73">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为平衡重A</w:t>
      </w:r>
      <w:r>
        <w:rPr>
          <w:rFonts w:hint="eastAsia" w:cs="Times New Roman"/>
          <w:highlight w:val="none"/>
          <w:lang w:eastAsia="zh-CN"/>
        </w:rPr>
        <w:t>，</w:t>
      </w:r>
      <w:r>
        <w:rPr>
          <w:rFonts w:hint="eastAsia" w:cs="Times New Roman"/>
          <w:lang w:val="en-US" w:eastAsia="zh-CN"/>
        </w:rPr>
        <w:t>平衡重A</w:t>
      </w:r>
      <w:r>
        <w:rPr>
          <w:rFonts w:hint="eastAsia" w:ascii="Times New Roman" w:hAnsi="Times New Roman" w:eastAsia="宋体" w:cs="Times New Roman"/>
          <w:highlight w:val="none"/>
        </w:rPr>
        <w:t>最</w:t>
      </w:r>
      <w:r>
        <w:rPr>
          <w:rFonts w:hint="eastAsia" w:ascii="Times New Roman" w:hAnsi="Times New Roman" w:eastAsia="宋体" w:cs="Times New Roman"/>
        </w:rPr>
        <w:t>大重量约</w:t>
      </w:r>
      <w:r>
        <w:rPr>
          <w:rFonts w:hint="eastAsia" w:cs="Times New Roman"/>
          <w:lang w:val="en-US" w:eastAsia="zh-CN"/>
        </w:rPr>
        <w:t>2.65t</w:t>
      </w:r>
      <w:r>
        <w:rPr>
          <w:rFonts w:hint="eastAsia" w:ascii="Times New Roman" w:hAnsi="Times New Roman" w:eastAsia="宋体" w:cs="Times New Roman"/>
        </w:rPr>
        <w:t>，钢丝绳连接卸扣工作荷载：</w:t>
      </w:r>
    </w:p>
    <w:p w14:paraId="2237B56D">
      <w:pPr>
        <w:ind w:firstLine="480"/>
        <w:rPr>
          <w:rFonts w:ascii="Times New Roman" w:hAnsi="Times New Roman" w:eastAsia="宋体" w:cs="Times New Roman"/>
        </w:rPr>
      </w:pPr>
      <m:oMath>
        <m:r>
          <m:rPr>
            <m:nor/>
            <m:sty m:val="p"/>
          </m:rPr>
          <w:rPr>
            <w:rFonts w:hint="default" w:ascii="Cambria Math" w:cs="Times New Roman"/>
            <w:b w:val="0"/>
            <w:i w:val="0"/>
          </w:rPr>
          <m:t>WL</m:t>
        </m:r>
        <m:sSub>
          <m:sSubPr>
            <m:ctrlPr>
              <w:rPr>
                <w:rFonts w:hint="default" w:ascii="Cambria Math" w:hAnsi="Cambria Math" w:cs="Times New Roman"/>
                <w:i/>
              </w:rPr>
            </m:ctrlPr>
          </m:sSubPr>
          <m:e>
            <m:r>
              <m:rPr>
                <m:nor/>
                <m:sty m:val="p"/>
              </m:rPr>
              <w:rPr>
                <w:rFonts w:hint="default" w:ascii="Cambria Math" w:cs="Times New Roman"/>
                <w:b w:val="0"/>
                <w:i w:val="0"/>
              </w:rPr>
              <m:t>L</m:t>
            </m:r>
            <m:ctrlPr>
              <w:rPr>
                <w:rFonts w:hint="default" w:ascii="Cambria Math" w:hAnsi="Cambria Math" w:cs="Times New Roman"/>
                <w:i/>
              </w:rPr>
            </m:ctrlPr>
          </m:e>
          <m:sub>
            <m:r>
              <m:rPr>
                <m:nor/>
                <m:sty m:val="p"/>
              </m:rPr>
              <w:rPr>
                <w:rFonts w:hint="default" w:ascii="Cambria Math" w:cs="Times New Roman"/>
                <w:b w:val="0"/>
                <w:i w:val="0"/>
              </w:rPr>
              <m:t>0</m:t>
            </m:r>
            <m:ctrlPr>
              <w:rPr>
                <w:rFonts w:hint="default" w:ascii="Cambria Math" w:hAnsi="Cambria Math" w:cs="Times New Roman"/>
                <w:i/>
              </w:rPr>
            </m:ctrlPr>
          </m:sub>
        </m:sSub>
        <m:r>
          <m:rPr>
            <m:nor/>
            <m:sty m:val="p"/>
          </m:rPr>
          <w:rPr>
            <w:rFonts w:hint="default" w:ascii="Cambria Math" w:cs="Times New Roman"/>
            <w:b w:val="0"/>
            <w:i w:val="0"/>
          </w:rPr>
          <m:t>=</m:t>
        </m:r>
        <m:f>
          <m:fPr>
            <m:ctrlPr>
              <w:rPr>
                <w:rFonts w:hint="default" w:ascii="Cambria Math" w:hAnsi="Cambria Math" w:cs="Times New Roman"/>
                <w:i/>
              </w:rPr>
            </m:ctrlPr>
          </m:fPr>
          <m:num>
            <m:r>
              <m:rPr/>
              <w:rPr>
                <w:rFonts w:hint="default" w:ascii="Cambria Math" w:hAnsi="Cambria Math" w:cs="Times New Roman"/>
                <w:lang w:val="en-US" w:eastAsia="zh-CN"/>
              </w:rPr>
              <m:t>123.76</m:t>
            </m:r>
            <m:ctrlPr>
              <w:rPr>
                <w:rFonts w:hint="default" w:ascii="Cambria Math" w:hAnsi="Cambria Math" w:cs="Times New Roman"/>
                <w:i/>
              </w:rPr>
            </m:ctrlPr>
          </m:num>
          <m:den>
            <m:r>
              <m:rPr>
                <m:nor/>
                <m:sty m:val="p"/>
              </m:rPr>
              <w:rPr>
                <w:rFonts w:hint="default" w:ascii="Cambria Math" w:cs="Times New Roman"/>
                <w:b w:val="0"/>
                <w:i w:val="0"/>
              </w:rPr>
              <m:t>6</m:t>
            </m:r>
            <m:ctrlPr>
              <w:rPr>
                <w:rFonts w:hint="default" w:ascii="Cambria Math" w:hAnsi="Cambria Math" w:cs="Times New Roman"/>
                <w:i/>
              </w:rPr>
            </m:ctrlPr>
          </m:den>
        </m:f>
        <m:r>
          <m:rPr>
            <m:nor/>
            <m:sty m:val="p"/>
          </m:rPr>
          <w:rPr>
            <w:rFonts w:hint="default" w:ascii="Cambria Math" w:cs="Times New Roman"/>
            <w:b w:val="0"/>
            <w:i w:val="0"/>
          </w:rPr>
          <m:t>=</m:t>
        </m:r>
        <m:r>
          <m:rPr>
            <m:nor/>
            <m:sty m:val="p"/>
          </m:rPr>
          <w:rPr>
            <w:rFonts w:hint="default" w:ascii="Cambria Math" w:cs="Times New Roman"/>
            <w:b w:val="0"/>
            <w:i w:val="0"/>
            <w:lang w:val="en-US" w:eastAsia="zh-CN"/>
          </w:rPr>
          <m:t>20.63</m:t>
        </m:r>
        <m:r>
          <m:rPr>
            <m:nor/>
            <m:sty m:val="p"/>
          </m:rPr>
          <w:rPr>
            <w:rFonts w:hint="default"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6BBD5484">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5210F435">
      <w:pPr>
        <w:pStyle w:val="13"/>
        <w:keepNext/>
        <w:keepLines w:val="0"/>
        <w:pageBreakBefore w:val="0"/>
        <w:widowControl w:val="0"/>
        <w:kinsoku/>
        <w:wordWrap/>
        <w:overflowPunct/>
        <w:topLinePunct w:val="0"/>
        <w:autoSpaceDE/>
        <w:autoSpaceDN/>
        <w:bidi w:val="0"/>
        <w:jc w:val="center"/>
        <w:textAlignment w:val="auto"/>
        <w:rPr>
          <w:color w:val="auto"/>
        </w:rPr>
      </w:pPr>
      <w:r>
        <w:rPr>
          <w:color w:val="auto"/>
        </w:rPr>
        <w:t xml:space="preserve">表 </w:t>
      </w:r>
      <w:r>
        <w:rPr>
          <w:rFonts w:hint="eastAsia"/>
          <w:color w:val="auto"/>
          <w:lang w:val="en-US" w:eastAsia="zh-CN"/>
        </w:rPr>
        <w:t>11.1.2-2</w:t>
      </w:r>
      <w:r>
        <w:rPr>
          <w:color w:val="auto"/>
        </w:rPr>
        <w:t>钢丝绳选型表</w:t>
      </w:r>
    </w:p>
    <w:tbl>
      <w:tblPr>
        <w:tblStyle w:val="27"/>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C04E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noWrap w:val="0"/>
            <w:vAlign w:val="center"/>
          </w:tcPr>
          <w:p w14:paraId="41E5010D">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序号</w:t>
            </w:r>
          </w:p>
        </w:tc>
        <w:tc>
          <w:tcPr>
            <w:tcW w:w="1559" w:type="dxa"/>
            <w:noWrap w:val="0"/>
            <w:vAlign w:val="center"/>
          </w:tcPr>
          <w:p w14:paraId="63532EFD">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设备名称</w:t>
            </w:r>
          </w:p>
        </w:tc>
        <w:tc>
          <w:tcPr>
            <w:tcW w:w="2835" w:type="dxa"/>
            <w:noWrap w:val="0"/>
            <w:vAlign w:val="center"/>
          </w:tcPr>
          <w:p w14:paraId="1526A8C3">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规格型号</w:t>
            </w:r>
          </w:p>
        </w:tc>
        <w:tc>
          <w:tcPr>
            <w:tcW w:w="567" w:type="dxa"/>
            <w:noWrap w:val="0"/>
            <w:vAlign w:val="center"/>
          </w:tcPr>
          <w:p w14:paraId="58C9EE0B">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单位</w:t>
            </w:r>
          </w:p>
        </w:tc>
        <w:tc>
          <w:tcPr>
            <w:tcW w:w="567" w:type="dxa"/>
            <w:noWrap w:val="0"/>
            <w:vAlign w:val="center"/>
          </w:tcPr>
          <w:p w14:paraId="7C64D0A5">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数量</w:t>
            </w:r>
          </w:p>
        </w:tc>
      </w:tr>
      <w:tr w14:paraId="46996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087374C2">
            <w:pPr>
              <w:pStyle w:val="88"/>
              <w:keepNext/>
              <w:keepLines w:val="0"/>
              <w:pageBreakBefore w:val="0"/>
              <w:widowControl w:val="0"/>
              <w:kinsoku/>
              <w:wordWrap/>
              <w:overflowPunct/>
              <w:topLinePunct w:val="0"/>
              <w:autoSpaceDE/>
              <w:autoSpaceDN/>
              <w:bidi w:val="0"/>
              <w:textAlignment w:val="auto"/>
              <w:rPr>
                <w:rFonts w:hint="default" w:eastAsia="宋体"/>
                <w:color w:val="auto"/>
                <w:lang w:val="en-US" w:eastAsia="zh-CN"/>
              </w:rPr>
            </w:pPr>
            <w:r>
              <w:rPr>
                <w:rFonts w:hint="eastAsia"/>
                <w:color w:val="auto"/>
                <w:lang w:val="en-US" w:eastAsia="zh-CN"/>
              </w:rPr>
              <w:t>1</w:t>
            </w:r>
          </w:p>
        </w:tc>
        <w:tc>
          <w:tcPr>
            <w:tcW w:w="1559" w:type="dxa"/>
            <w:noWrap w:val="0"/>
            <w:vAlign w:val="center"/>
          </w:tcPr>
          <w:p w14:paraId="019F02E2">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noWrap w:val="0"/>
            <w:vAlign w:val="center"/>
          </w:tcPr>
          <w:p w14:paraId="21132887">
            <w:pPr>
              <w:pStyle w:val="88"/>
              <w:keepNext/>
              <w:keepLines w:val="0"/>
              <w:pageBreakBefore w:val="0"/>
              <w:widowControl w:val="0"/>
              <w:kinsoku/>
              <w:wordWrap/>
              <w:overflowPunct/>
              <w:topLinePunct w:val="0"/>
              <w:autoSpaceDE/>
              <w:autoSpaceDN/>
              <w:bidi w:val="0"/>
              <w:textAlignment w:val="auto"/>
              <w:rPr>
                <w:color w:val="auto"/>
                <w:highlight w:val="none"/>
              </w:rPr>
            </w:pPr>
            <w:r>
              <w:rPr>
                <w:rFonts w:hint="eastAsia" w:cs="Times New Roman"/>
                <w:b w:val="0"/>
                <w:bCs w:val="0"/>
                <w:highlight w:val="none"/>
                <w:lang w:val="en-US" w:eastAsia="zh-CN"/>
              </w:rPr>
              <w:t>14</w:t>
            </w:r>
            <w:r>
              <w:rPr>
                <w:rFonts w:cs="Times New Roman"/>
                <w:b w:val="0"/>
                <w:bCs w:val="0"/>
                <w:highlight w:val="none"/>
              </w:rPr>
              <w:t>mm</w:t>
            </w:r>
            <w:r>
              <w:rPr>
                <w:rFonts w:hint="eastAsia" w:eastAsia="仿宋" w:cs="Times New Roman"/>
                <w:b w:val="0"/>
                <w:bCs w:val="0"/>
                <w:highlight w:val="none"/>
                <w:lang w:eastAsia="zh-CN"/>
              </w:rPr>
              <w:t>6×19W+IWR</w:t>
            </w:r>
            <w:r>
              <w:rPr>
                <w:rFonts w:eastAsia="仿宋" w:cs="Times New Roman"/>
                <w:b w:val="0"/>
                <w:bCs w:val="0"/>
                <w:highlight w:val="none"/>
              </w:rPr>
              <w:t>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noWrap w:val="0"/>
            <w:vAlign w:val="center"/>
          </w:tcPr>
          <w:p w14:paraId="106A995E">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noWrap w:val="0"/>
            <w:vAlign w:val="center"/>
          </w:tcPr>
          <w:p w14:paraId="3174E63D">
            <w:pPr>
              <w:pStyle w:val="88"/>
              <w:keepNext/>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color w:val="auto"/>
                <w:lang w:val="en-US" w:eastAsia="zh-CN"/>
              </w:rPr>
              <w:t>4</w:t>
            </w:r>
          </w:p>
        </w:tc>
      </w:tr>
      <w:tr w14:paraId="28974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4A5FD775">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c>
          <w:tcPr>
            <w:tcW w:w="1559" w:type="dxa"/>
            <w:noWrap w:val="0"/>
            <w:vAlign w:val="center"/>
          </w:tcPr>
          <w:p w14:paraId="5627DFBF">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noWrap w:val="0"/>
            <w:vAlign w:val="center"/>
          </w:tcPr>
          <w:p w14:paraId="40B1D14C">
            <w:pPr>
              <w:pStyle w:val="88"/>
              <w:keepNext/>
              <w:keepLines w:val="0"/>
              <w:pageBreakBefore w:val="0"/>
              <w:widowControl w:val="0"/>
              <w:kinsoku/>
              <w:wordWrap/>
              <w:overflowPunct/>
              <w:topLinePunct w:val="0"/>
              <w:autoSpaceDE/>
              <w:autoSpaceDN/>
              <w:bidi w:val="0"/>
              <w:textAlignment w:val="auto"/>
              <w:rPr>
                <w:color w:val="auto"/>
                <w:highlight w:val="none"/>
              </w:rPr>
            </w:pPr>
            <w:r>
              <w:rPr>
                <w:rFonts w:hint="eastAsia" w:cs="Times New Roman"/>
                <w:b w:val="0"/>
                <w:bCs w:val="0"/>
                <w:highlight w:val="none"/>
                <w:lang w:val="en-US" w:eastAsia="zh-CN"/>
              </w:rPr>
              <w:t>16</w:t>
            </w:r>
            <w:r>
              <w:rPr>
                <w:rFonts w:cs="Times New Roman"/>
                <w:b w:val="0"/>
                <w:bCs w:val="0"/>
                <w:highlight w:val="none"/>
              </w:rPr>
              <w:t>mm</w:t>
            </w:r>
            <w:r>
              <w:rPr>
                <w:rFonts w:hint="eastAsia" w:eastAsia="仿宋" w:cs="Times New Roman"/>
                <w:b w:val="0"/>
                <w:bCs w:val="0"/>
                <w:highlight w:val="none"/>
                <w:lang w:eastAsia="zh-CN"/>
              </w:rPr>
              <w:t>6×19W+IWR</w:t>
            </w:r>
            <w:r>
              <w:rPr>
                <w:rFonts w:eastAsia="仿宋" w:cs="Times New Roman"/>
                <w:b w:val="0"/>
                <w:bCs w:val="0"/>
                <w:highlight w:val="none"/>
              </w:rPr>
              <w:t>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noWrap w:val="0"/>
            <w:vAlign w:val="center"/>
          </w:tcPr>
          <w:p w14:paraId="70960CB8">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noWrap w:val="0"/>
            <w:vAlign w:val="center"/>
          </w:tcPr>
          <w:p w14:paraId="0CA55EAF">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r>
      <w:tr w14:paraId="3D00A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55527BCD">
            <w:pPr>
              <w:pStyle w:val="88"/>
              <w:rPr>
                <w:rFonts w:hint="eastAsia" w:eastAsia="宋体"/>
                <w:color w:val="auto"/>
                <w:lang w:val="en-US" w:eastAsia="zh-CN"/>
              </w:rPr>
            </w:pPr>
            <w:r>
              <w:rPr>
                <w:rFonts w:hint="eastAsia"/>
                <w:color w:val="auto"/>
                <w:lang w:val="en-US" w:eastAsia="zh-CN"/>
              </w:rPr>
              <w:t>3</w:t>
            </w:r>
          </w:p>
        </w:tc>
        <w:tc>
          <w:tcPr>
            <w:tcW w:w="1559" w:type="dxa"/>
            <w:noWrap w:val="0"/>
            <w:vAlign w:val="center"/>
          </w:tcPr>
          <w:p w14:paraId="2944CF9E">
            <w:pPr>
              <w:pStyle w:val="88"/>
              <w:rPr>
                <w:color w:val="auto"/>
              </w:rPr>
            </w:pPr>
            <w:r>
              <w:rPr>
                <w:color w:val="auto"/>
              </w:rPr>
              <w:t>卸扣</w:t>
            </w:r>
          </w:p>
        </w:tc>
        <w:tc>
          <w:tcPr>
            <w:tcW w:w="2835" w:type="dxa"/>
            <w:noWrap w:val="0"/>
            <w:vAlign w:val="center"/>
          </w:tcPr>
          <w:p w14:paraId="7BBB3014">
            <w:pPr>
              <w:pStyle w:val="88"/>
              <w:rPr>
                <w:rFonts w:hint="eastAsia" w:eastAsia="宋体"/>
                <w:color w:val="auto"/>
                <w:lang w:val="en-US" w:eastAsia="zh-CN"/>
              </w:rPr>
            </w:pPr>
            <w:r>
              <w:t>GB/T 25854-6-DW</w:t>
            </w:r>
            <w:r>
              <w:rPr>
                <w:rFonts w:hint="eastAsia"/>
                <w:lang w:val="en-US" w:eastAsia="zh-CN"/>
              </w:rPr>
              <w:t>5</w:t>
            </w:r>
          </w:p>
        </w:tc>
        <w:tc>
          <w:tcPr>
            <w:tcW w:w="567" w:type="dxa"/>
            <w:noWrap w:val="0"/>
            <w:vAlign w:val="center"/>
          </w:tcPr>
          <w:p w14:paraId="0C3355E4">
            <w:pPr>
              <w:pStyle w:val="88"/>
              <w:rPr>
                <w:color w:val="auto"/>
              </w:rPr>
            </w:pPr>
            <w:r>
              <w:rPr>
                <w:color w:val="auto"/>
              </w:rPr>
              <w:t>个</w:t>
            </w:r>
          </w:p>
        </w:tc>
        <w:tc>
          <w:tcPr>
            <w:tcW w:w="567" w:type="dxa"/>
            <w:noWrap w:val="0"/>
            <w:vAlign w:val="center"/>
          </w:tcPr>
          <w:p w14:paraId="1352192A">
            <w:pPr>
              <w:pStyle w:val="88"/>
              <w:rPr>
                <w:color w:val="auto"/>
              </w:rPr>
            </w:pPr>
            <w:r>
              <w:rPr>
                <w:color w:val="auto"/>
              </w:rPr>
              <w:t>4</w:t>
            </w:r>
          </w:p>
        </w:tc>
      </w:tr>
    </w:tbl>
    <w:p w14:paraId="2D0DEF96">
      <w:pPr>
        <w:pStyle w:val="4"/>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52" w:name="_Toc30435"/>
      <w:r>
        <w:rPr>
          <w:rFonts w:hint="eastAsia" w:ascii="Times New Roman" w:hAnsi="Times New Roman" w:eastAsia="宋体" w:cs="Times New Roman"/>
          <w:color w:val="auto"/>
          <w:sz w:val="24"/>
          <w:szCs w:val="24"/>
          <w:lang w:val="en-US" w:eastAsia="zh-CN"/>
        </w:rPr>
        <w:t>11.</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塔</w:t>
      </w:r>
      <w:r>
        <w:rPr>
          <w:rFonts w:hint="eastAsia" w:cs="Times New Roman"/>
          <w:color w:val="auto"/>
          <w:sz w:val="24"/>
          <w:szCs w:val="24"/>
          <w:lang w:val="en-US" w:eastAsia="zh-CN"/>
        </w:rPr>
        <w:t>机</w:t>
      </w:r>
      <w:r>
        <w:rPr>
          <w:rFonts w:hint="eastAsia" w:ascii="Times New Roman" w:hAnsi="Times New Roman" w:eastAsia="宋体" w:cs="Times New Roman"/>
          <w:color w:val="auto"/>
          <w:sz w:val="24"/>
          <w:szCs w:val="24"/>
          <w:lang w:val="en-US" w:eastAsia="zh-CN"/>
        </w:rPr>
        <w:t>施工平面布置示意图</w:t>
      </w:r>
      <w:bookmarkEnd w:id="352"/>
    </w:p>
    <w:p w14:paraId="24998594">
      <w:pPr>
        <w:pStyle w:val="10"/>
        <w:keepNext w:val="0"/>
        <w:keepLines w:val="0"/>
        <w:pageBreakBefore w:val="0"/>
        <w:widowControl w:val="0"/>
        <w:kinsoku/>
        <w:wordWrap/>
        <w:overflowPunct/>
        <w:topLinePunct w:val="0"/>
        <w:autoSpaceDE/>
        <w:autoSpaceDN/>
        <w:bidi w:val="0"/>
        <w:adjustRightInd/>
        <w:snapToGrid/>
        <w:ind w:left="119" w:firstLine="0" w:firstLineChars="0"/>
        <w:jc w:val="both"/>
        <w:textAlignment w:val="auto"/>
        <w:rPr>
          <w:rFonts w:hint="eastAsia" w:eastAsia="仿宋"/>
          <w:lang w:eastAsia="zh-CN"/>
        </w:rPr>
      </w:pPr>
      <w:r>
        <w:drawing>
          <wp:inline distT="0" distB="0" distL="114300" distR="114300">
            <wp:extent cx="5694045" cy="4220210"/>
            <wp:effectExtent l="0" t="0" r="190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694045" cy="4220210"/>
                    </a:xfrm>
                    <a:prstGeom prst="rect">
                      <a:avLst/>
                    </a:prstGeom>
                    <a:noFill/>
                    <a:ln>
                      <a:noFill/>
                    </a:ln>
                  </pic:spPr>
                </pic:pic>
              </a:graphicData>
            </a:graphic>
          </wp:inline>
        </w:drawing>
      </w:r>
    </w:p>
    <w:p w14:paraId="70D6FD60">
      <w:pPr>
        <w:pStyle w:val="10"/>
        <w:jc w:val="center"/>
        <w:rPr>
          <w:rFonts w:hint="eastAsia"/>
          <w:b/>
          <w:bCs/>
          <w:sz w:val="32"/>
          <w:szCs w:val="40"/>
          <w:lang w:val="en-US" w:eastAsia="zh-CN"/>
        </w:rPr>
      </w:pPr>
      <w:r>
        <w:rPr>
          <w:rFonts w:hint="eastAsia" w:ascii="宋体" w:hAnsi="宋体" w:eastAsia="宋体" w:cs="宋体"/>
          <w:b/>
          <w:bCs/>
          <w:color w:val="auto"/>
          <w:sz w:val="21"/>
          <w:szCs w:val="21"/>
          <w:lang w:val="en-US" w:eastAsia="zh-CN"/>
        </w:rPr>
        <w:t>图11.2-1 塔吊施工平面布置图</w:t>
      </w: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34298">
    <w:pPr>
      <w:pStyle w:val="18"/>
      <w:ind w:firstLine="360"/>
      <w:jc w:val="center"/>
    </w:pPr>
  </w:p>
  <w:p w14:paraId="7AB12030">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041C">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C46D">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E3F5B">
    <w:pPr>
      <w:pStyle w:val="18"/>
      <w:ind w:firstLine="360"/>
      <w:jc w:val="center"/>
    </w:pPr>
  </w:p>
  <w:p w14:paraId="0D164326">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F50A">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83AAF8">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sX/g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ehgXbOv&#10;+weYRMvCRm8tj2miVN4uDwHSJsWjQL0q6FQ8YBZTzy57E4f9z3OKevy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esX/g5AgAAcwQAAA4AAAAAAAAAAQAgAAAAHwEAAGRycy9lMm9Eb2Mu&#10;eG1sUEsFBgAAAAAGAAYAWQEAAMoFAAAAAA==&#10;">
              <v:fill on="f" focussize="0,0"/>
              <v:stroke on="f" weight="0.5pt"/>
              <v:imagedata o:title=""/>
              <o:lock v:ext="edit" aspectratio="f"/>
              <v:textbox inset="0mm,0mm,0mm,0mm" style="mso-fit-shape-to-text:t;">
                <w:txbxContent>
                  <w:p w14:paraId="6183AAF8">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115</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8CAB1">
    <w:pPr>
      <w:pStyle w:val="18"/>
      <w:ind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C50647">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 xml:space="preserve">115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b8FA6AgAAcw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V2zw9uHgALnWMFWkezjCRUl96tEK3&#10;7c48t6Y8gqYz/ax4y9cNStkwH+6Zw3CgfKxPuMOnkgYpzdmipDbu67/uYzx6Bi8lLYatoBq7RYn8&#10;oNFLAIbBcIOxHQy9V7cG0zvGWlqeTDxwQQ5m5Yz6gp1axhxwMc2RqaBhMG9DP/DYSS6WyxS0t67Z&#10;1f0DTKJlYaMfLI9polTeLvcB0ibFo0C9KuhUPGAWU8/OexOH/c9zinr6r1g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BW/BQOgIAAHMEAAAOAAAAAAAAAAEAIAAAAB8BAABkcnMvZTJvRG9j&#10;LnhtbFBLBQYAAAAABgAGAFkBAADLBQAAAAA=&#10;">
              <v:fill on="f" focussize="0,0"/>
              <v:stroke on="f" weight="0.5pt"/>
              <v:imagedata o:title=""/>
              <o:lock v:ext="edit" aspectratio="f"/>
              <v:textbox inset="0mm,0mm,0mm,0mm" style="mso-fit-shape-to-text:t;">
                <w:txbxContent>
                  <w:p w14:paraId="43C50647">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 xml:space="preserve">115 </w:t>
                    </w:r>
                    <w:r>
                      <w:t>页</w:t>
                    </w:r>
                  </w:p>
                </w:txbxContent>
              </v:textbox>
            </v:shape>
          </w:pict>
        </mc:Fallback>
      </mc:AlternateContent>
    </w:r>
  </w:p>
  <w:p w14:paraId="509BCE34">
    <w:pPr>
      <w:pStyle w:val="11"/>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6F56">
    <w:pPr>
      <w:pStyle w:val="18"/>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BB25E62">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115</w:t>
                          </w:r>
                          <w:r>
                            <w:t xml:space="preserve"> 页</w:t>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NJQHQzmAQAAygMA&#10;AA4AAAAAAAAAAQAgAAAAHgEAAGRycy9lMm9Eb2MueG1sUEsFBgAAAAAGAAYAWQEAAHYFAAAAAA==&#10;">
              <v:fill on="f" focussize="0,0"/>
              <v:stroke on="f"/>
              <v:imagedata o:title=""/>
              <o:lock v:ext="edit" aspectratio="f"/>
              <v:textbox inset="0mm,0mm,0mm,0mm" style="mso-fit-shape-to-text:t;">
                <w:txbxContent>
                  <w:p w14:paraId="5BB25E62">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115</w:t>
                    </w:r>
                    <w:r>
                      <w:t xml:space="preserve"> 页</w:t>
                    </w:r>
                  </w:p>
                </w:txbxContent>
              </v:textbox>
            </v:shape>
          </w:pict>
        </mc:Fallback>
      </mc:AlternateContent>
    </w:r>
  </w:p>
  <w:p w14:paraId="79176E32">
    <w:pPr>
      <w:pStyle w:val="1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DE39B">
    <w:pPr>
      <w:pStyle w:val="18"/>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posOffset>1972945</wp:posOffset>
              </wp:positionH>
              <wp:positionV relativeFrom="paragraph">
                <wp:posOffset>0</wp:posOffset>
              </wp:positionV>
              <wp:extent cx="1828800" cy="1828800"/>
              <wp:effectExtent l="0" t="0" r="0" b="0"/>
              <wp:wrapNone/>
              <wp:docPr id="92"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A947CF">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5" o:spid="_x0000_s1026" o:spt="202" type="#_x0000_t202" style="position:absolute;left:0pt;margin-left:155.35pt;margin-top:0pt;height:144pt;width:144pt;mso-position-horizontal-relative:margin;mso-wrap-style:none;z-index:251666432;mso-width-relative:page;mso-height-relative:page;" filled="f" stroked="f" coordsize="21600,21600" o:gfxdata="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Fzt3VAAAACAEAAA8AAAAAAAAAAQAgAAAAIgAAAGRycy9kb3du&#10;cmV2LnhtbFBLAQIUABQAAAAIAIdO4kDiGx+qOwIAAHEEAAAOAAAAAAAAAAEAIAAAACQBAABkcnMv&#10;ZTJvRG9jLnhtbFBLBQYAAAAABgAGAFkBAADRBQAAAAA=&#10;">
              <v:fill on="f" focussize="0,0"/>
              <v:stroke on="f" weight="0.5pt"/>
              <v:imagedata o:title=""/>
              <o:lock v:ext="edit" aspectratio="f"/>
              <v:textbox inset="0mm,0mm,0mm,0mm" style="mso-fit-shape-to-text:t;">
                <w:txbxContent>
                  <w:p w14:paraId="5FA947CF">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115</w:t>
                    </w:r>
                    <w:r>
                      <w:t xml:space="preserve"> 页</w:t>
                    </w:r>
                  </w:p>
                </w:txbxContent>
              </v:textbox>
            </v:shape>
          </w:pict>
        </mc:Fallback>
      </mc:AlternateContent>
    </w:r>
  </w:p>
  <w:p w14:paraId="3558B35E">
    <w:pPr>
      <w:pStyle w:val="1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56F0B">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248C">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100D9">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292D4">
    <w:pPr>
      <w:pStyle w:val="19"/>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38BBE">
    <w:pPr>
      <w:pStyle w:val="11"/>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7" name="文本框 85"/>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25C710DD">
                          <w:pPr>
                            <w:spacing w:line="321" w:lineRule="exact"/>
                            <w:ind w:left="20" w:firstLine="560"/>
                            <w:jc w:val="left"/>
                            <w:rPr>
                              <w:sz w:val="28"/>
                            </w:rPr>
                          </w:pPr>
                        </w:p>
                      </w:txbxContent>
                    </wps:txbx>
                    <wps:bodyPr vert="horz" wrap="square" lIns="0" tIns="0" rIns="0" bIns="0" anchor="t" anchorCtr="0" upright="1"/>
                  </wps:wsp>
                </a:graphicData>
              </a:graphic>
            </wp:anchor>
          </w:drawing>
        </mc:Choice>
        <mc:Fallback>
          <w:pict>
            <v:shape id="文本框 85" o:spid="_x0000_s1026" o:spt="202" type="#_x0000_t202" style="position:absolute;left:0pt;margin-left:259.55pt;margin-top:36.95pt;height:16.05pt;width:170.5pt;mso-position-horizontal-relative:page;mso-position-vertical-relative:page;z-index:-251657216;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zKVrNgAAAAKAQAA&#10;DwAAAAAAAAABACAAAAAiAAAAZHJzL2Rvd25yZXYueG1sUEsBAhQAFAAAAAgAh07iQJhegEfgAQAA&#10;tQMAAA4AAAAAAAAAAQAgAAAAJwEAAGRycy9lMm9Eb2MueG1sUEsFBgAAAAAGAAYAWQEAAHkFAAAA&#10;AA==&#10;">
              <v:fill on="f" focussize="0,0"/>
              <v:stroke on="f"/>
              <v:imagedata o:title=""/>
              <o:lock v:ext="edit" aspectratio="f"/>
              <v:textbox inset="0mm,0mm,0mm,0mm">
                <w:txbxContent>
                  <w:p w14:paraId="25C710DD">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9" name="文本框 87"/>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2A636BCD">
                          <w:pPr>
                            <w:spacing w:line="251" w:lineRule="exact"/>
                            <w:ind w:firstLine="420"/>
                            <w:jc w:val="left"/>
                            <w:rPr>
                              <w:sz w:val="21"/>
                            </w:rPr>
                          </w:pPr>
                        </w:p>
                      </w:txbxContent>
                    </wps:txbx>
                    <wps:bodyPr vert="horz" wrap="square" lIns="0" tIns="0" rIns="0" bIns="0" anchor="t" anchorCtr="0" upright="1"/>
                  </wps:wsp>
                </a:graphicData>
              </a:graphic>
            </wp:anchor>
          </w:drawing>
        </mc:Choice>
        <mc:Fallback>
          <w:pict>
            <v:shape id="文本框 87"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nIOq2AAAAAsBAAAP&#10;AAAAAAAAAAEAIAAAACIAAABkcnMvZG93bnJldi54bWxQSwECFAAUAAAACACHTuJAhTs6a98BAAC0&#10;AwAADgAAAAAAAAABACAAAAAnAQAAZHJzL2Uyb0RvYy54bWxQSwUGAAAAAAYABgBZAQAAeAUAAAAA&#10;">
              <v:fill on="f" focussize="0,0"/>
              <v:stroke on="f"/>
              <v:imagedata o:title=""/>
              <o:lock v:ext="edit" aspectratio="f"/>
              <v:textbox inset="0mm,0mm,0mm,0mm">
                <w:txbxContent>
                  <w:p w14:paraId="2A636BCD">
                    <w:pPr>
                      <w:spacing w:line="251" w:lineRule="exact"/>
                      <w:ind w:firstLine="420"/>
                      <w:jc w:val="left"/>
                      <w:rPr>
                        <w:sz w:val="21"/>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9ADB9">
    <w:pPr>
      <w:pStyle w:val="19"/>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35A0">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8"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126F5B43">
                          <w:pPr>
                            <w:spacing w:line="321" w:lineRule="exact"/>
                            <w:ind w:left="20" w:firstLine="560"/>
                            <w:jc w:val="left"/>
                            <w:rPr>
                              <w:sz w:val="28"/>
                            </w:rPr>
                          </w:pPr>
                        </w:p>
                      </w:txbxContent>
                    </wps:txbx>
                    <wps:bodyPr vert="horz" wrap="square" lIns="0" tIns="0" rIns="0" bIns="0" anchor="t" anchorCtr="0" upright="1"/>
                  </wps:wsp>
                </a:graphicData>
              </a:graphic>
            </wp:anchor>
          </w:drawing>
        </mc:Choice>
        <mc:Fallback>
          <w:pict>
            <v:shape id="文本框 84"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MpWs2AAAAAoBAAAP&#10;AAAAAAAAAAEAIAAAACIAAABkcnMvZG93bnJldi54bWxQSwECFAAUAAAACACHTuJA9/C0aN8BAAC1&#10;AwAADgAAAAAAAAABACAAAAAnAQAAZHJzL2Uyb0RvYy54bWxQSwUGAAAAAAYABgBZAQAAeAUAAAAA&#10;">
              <v:fill on="f" focussize="0,0"/>
              <v:stroke on="f"/>
              <v:imagedata o:title=""/>
              <o:lock v:ext="edit" aspectratio="f"/>
              <v:textbox inset="0mm,0mm,0mm,0mm">
                <w:txbxContent>
                  <w:p w14:paraId="126F5B43">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90"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6104F2D9">
                          <w:pPr>
                            <w:spacing w:line="251" w:lineRule="exact"/>
                            <w:ind w:firstLine="420"/>
                            <w:jc w:val="left"/>
                            <w:rPr>
                              <w:sz w:val="21"/>
                            </w:rPr>
                          </w:pPr>
                        </w:p>
                      </w:txbxContent>
                    </wps:txbx>
                    <wps:bodyPr vert="horz" wrap="square" lIns="0" tIns="0" rIns="0" bIns="0" anchor="t" anchorCtr="0" upright="1"/>
                  </wps:wsp>
                </a:graphicData>
              </a:graphic>
            </wp:anchor>
          </w:drawing>
        </mc:Choice>
        <mc:Fallback>
          <w:pict>
            <v:shape id="文本框 86" o:spid="_x0000_s1026" o:spt="202" type="#_x0000_t202" style="position:absolute;left:0pt;margin-left:449.3pt;margin-top:39.95pt;height:12.6pt;width:60.15pt;mso-position-horizontal-relative:page;mso-position-vertical-relative:page;z-index:-251654144;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nIOq2AAAAAsBAAAP&#10;AAAAAAAAAAEAIAAAACIAAABkcnMvZG93bnJldi54bWxQSwECFAAUAAAACACHTuJACjuOBd8BAAC0&#10;AwAADgAAAAAAAAABACAAAAAnAQAAZHJzL2Uyb0RvYy54bWxQSwUGAAAAAAYABgBZAQAAeAUAAAAA&#10;">
              <v:fill on="f" focussize="0,0"/>
              <v:stroke on="f"/>
              <v:imagedata o:title=""/>
              <o:lock v:ext="edit" aspectratio="f"/>
              <v:textbox inset="0mm,0mm,0mm,0mm">
                <w:txbxContent>
                  <w:p w14:paraId="6104F2D9">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F2403FB"/>
    <w:multiLevelType w:val="singleLevel"/>
    <w:tmpl w:val="DF2403FB"/>
    <w:lvl w:ilvl="0" w:tentative="0">
      <w:start w:val="1"/>
      <w:numFmt w:val="decimal"/>
      <w:suff w:val="nothing"/>
      <w:lvlText w:val="%1）"/>
      <w:lvlJc w:val="left"/>
    </w:lvl>
  </w:abstractNum>
  <w:abstractNum w:abstractNumId="3">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7110110"/>
    <w:multiLevelType w:val="singleLevel"/>
    <w:tmpl w:val="17110110"/>
    <w:lvl w:ilvl="0" w:tentative="0">
      <w:start w:val="1"/>
      <w:numFmt w:val="decimal"/>
      <w:suff w:val="nothing"/>
      <w:lvlText w:val="（%1）"/>
      <w:lvlJc w:val="left"/>
      <w:pPr>
        <w:ind w:left="240"/>
      </w:pPr>
    </w:lvl>
  </w:abstractNum>
  <w:abstractNum w:abstractNumId="6">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A37CE0D"/>
    <w:multiLevelType w:val="singleLevel"/>
    <w:tmpl w:val="2A37CE0D"/>
    <w:lvl w:ilvl="0" w:tentative="0">
      <w:start w:val="1"/>
      <w:numFmt w:val="decimal"/>
      <w:suff w:val="nothing"/>
      <w:lvlText w:val="（%1）"/>
      <w:lvlJc w:val="left"/>
      <w:pPr>
        <w:ind w:left="240"/>
      </w:pPr>
    </w:lvl>
  </w:abstractNum>
  <w:abstractNum w:abstractNumId="8">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30288AD0"/>
    <w:multiLevelType w:val="singleLevel"/>
    <w:tmpl w:val="30288AD0"/>
    <w:lvl w:ilvl="0" w:tentative="0">
      <w:start w:val="1"/>
      <w:numFmt w:val="decimal"/>
      <w:suff w:val="nothing"/>
      <w:lvlText w:val="（%1）"/>
      <w:lvlJc w:val="left"/>
    </w:lvl>
  </w:abstractNum>
  <w:abstractNum w:abstractNumId="10">
    <w:nsid w:val="3DC7CD6B"/>
    <w:multiLevelType w:val="multilevel"/>
    <w:tmpl w:val="3DC7CD6B"/>
    <w:lvl w:ilvl="0" w:tentative="0">
      <w:start w:val="1"/>
      <w:numFmt w:val="decimal"/>
      <w:pStyle w:val="2"/>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3"/>
      <w:suff w:val="space"/>
      <w:lvlText w:val="%1.%2 "/>
      <w:lvlJc w:val="left"/>
      <w:pPr>
        <w:ind w:left="480" w:firstLine="0"/>
      </w:pPr>
      <w:rPr>
        <w:rFonts w:hint="default" w:ascii="宋体" w:hAnsi="宋体" w:eastAsia="宋体" w:cs="宋体"/>
        <w:b/>
        <w:sz w:val="28"/>
      </w:rPr>
    </w:lvl>
    <w:lvl w:ilvl="2" w:tentative="0">
      <w:start w:val="1"/>
      <w:numFmt w:val="decimal"/>
      <w:pStyle w:val="4"/>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4E53C8C"/>
    <w:multiLevelType w:val="singleLevel"/>
    <w:tmpl w:val="64E53C8C"/>
    <w:lvl w:ilvl="0" w:tentative="0">
      <w:start w:val="1"/>
      <w:numFmt w:val="decimal"/>
      <w:suff w:val="nothing"/>
      <w:lvlText w:val="%1、"/>
      <w:lvlJc w:val="left"/>
    </w:lvl>
  </w:abstractNum>
  <w:abstractNum w:abstractNumId="14">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8"/>
  </w:num>
  <w:num w:numId="3">
    <w:abstractNumId w:val="12"/>
  </w:num>
  <w:num w:numId="4">
    <w:abstractNumId w:val="14"/>
  </w:num>
  <w:num w:numId="5">
    <w:abstractNumId w:val="1"/>
  </w:num>
  <w:num w:numId="6">
    <w:abstractNumId w:val="5"/>
  </w:num>
  <w:num w:numId="7">
    <w:abstractNumId w:val="7"/>
  </w:num>
  <w:num w:numId="8">
    <w:abstractNumId w:val="2"/>
  </w:num>
  <w:num w:numId="9">
    <w:abstractNumId w:val="11"/>
  </w:num>
  <w:num w:numId="10">
    <w:abstractNumId w:val="9"/>
  </w:num>
  <w:num w:numId="11">
    <w:abstractNumId w:val="0"/>
  </w:num>
  <w:num w:numId="12">
    <w:abstractNumId w:val="13"/>
  </w:num>
  <w:num w:numId="13">
    <w:abstractNumId w:val="4"/>
  </w:num>
  <w:num w:numId="14">
    <w:abstractNumId w:val="3"/>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34633"/>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1B1341C"/>
    <w:rsid w:val="02686764"/>
    <w:rsid w:val="034F0AEC"/>
    <w:rsid w:val="03791562"/>
    <w:rsid w:val="039B3DC0"/>
    <w:rsid w:val="041E5859"/>
    <w:rsid w:val="04221DEB"/>
    <w:rsid w:val="044367B0"/>
    <w:rsid w:val="048F6BA5"/>
    <w:rsid w:val="04A7540B"/>
    <w:rsid w:val="04D347A3"/>
    <w:rsid w:val="04E41CEC"/>
    <w:rsid w:val="0553688F"/>
    <w:rsid w:val="05AC4062"/>
    <w:rsid w:val="05C55731"/>
    <w:rsid w:val="05E5600D"/>
    <w:rsid w:val="05F709DC"/>
    <w:rsid w:val="066861C0"/>
    <w:rsid w:val="075D3645"/>
    <w:rsid w:val="08144361"/>
    <w:rsid w:val="09F9205B"/>
    <w:rsid w:val="0A352812"/>
    <w:rsid w:val="0AD16353"/>
    <w:rsid w:val="0B5604C3"/>
    <w:rsid w:val="0BAA5E29"/>
    <w:rsid w:val="0BB83A54"/>
    <w:rsid w:val="0BCA0ED8"/>
    <w:rsid w:val="0CA752C2"/>
    <w:rsid w:val="0CAC4889"/>
    <w:rsid w:val="0CF32576"/>
    <w:rsid w:val="0D160D5B"/>
    <w:rsid w:val="0DB46D20"/>
    <w:rsid w:val="0DD07ABA"/>
    <w:rsid w:val="0DDA57BF"/>
    <w:rsid w:val="0DFC5E8E"/>
    <w:rsid w:val="0E8D65A6"/>
    <w:rsid w:val="0EB12455"/>
    <w:rsid w:val="0F2541EA"/>
    <w:rsid w:val="0F7C6E5E"/>
    <w:rsid w:val="0FA02DE0"/>
    <w:rsid w:val="109D1177"/>
    <w:rsid w:val="10F86C2E"/>
    <w:rsid w:val="11092A62"/>
    <w:rsid w:val="11344598"/>
    <w:rsid w:val="116B5255"/>
    <w:rsid w:val="11B1784D"/>
    <w:rsid w:val="11C2332F"/>
    <w:rsid w:val="123C49C0"/>
    <w:rsid w:val="12977E48"/>
    <w:rsid w:val="13301502"/>
    <w:rsid w:val="133802C3"/>
    <w:rsid w:val="13F11F07"/>
    <w:rsid w:val="14DA401C"/>
    <w:rsid w:val="15294D65"/>
    <w:rsid w:val="159F7AAD"/>
    <w:rsid w:val="15B5306E"/>
    <w:rsid w:val="16854E42"/>
    <w:rsid w:val="17883E12"/>
    <w:rsid w:val="17BE6E6F"/>
    <w:rsid w:val="18291542"/>
    <w:rsid w:val="1846586C"/>
    <w:rsid w:val="18701620"/>
    <w:rsid w:val="18CB010E"/>
    <w:rsid w:val="18F552DE"/>
    <w:rsid w:val="18FE2B2E"/>
    <w:rsid w:val="197D7D98"/>
    <w:rsid w:val="1A2C190C"/>
    <w:rsid w:val="1A8F4166"/>
    <w:rsid w:val="1B6D59DB"/>
    <w:rsid w:val="1BC00734"/>
    <w:rsid w:val="1C313BDC"/>
    <w:rsid w:val="1C316C17"/>
    <w:rsid w:val="1D384EF4"/>
    <w:rsid w:val="1D396851"/>
    <w:rsid w:val="1D567FB1"/>
    <w:rsid w:val="1DDB6705"/>
    <w:rsid w:val="1EEF0DDB"/>
    <w:rsid w:val="1F44616C"/>
    <w:rsid w:val="1FC42B64"/>
    <w:rsid w:val="1FDB38E4"/>
    <w:rsid w:val="203211B0"/>
    <w:rsid w:val="205816C0"/>
    <w:rsid w:val="20F327E0"/>
    <w:rsid w:val="212E1977"/>
    <w:rsid w:val="2142359F"/>
    <w:rsid w:val="223631D9"/>
    <w:rsid w:val="226A51FE"/>
    <w:rsid w:val="22D402FC"/>
    <w:rsid w:val="22F7393E"/>
    <w:rsid w:val="236C58B3"/>
    <w:rsid w:val="250255F5"/>
    <w:rsid w:val="25D84C3D"/>
    <w:rsid w:val="26E77FDE"/>
    <w:rsid w:val="26F57A5A"/>
    <w:rsid w:val="27C45A95"/>
    <w:rsid w:val="28047CEE"/>
    <w:rsid w:val="284303FE"/>
    <w:rsid w:val="28BE1DE2"/>
    <w:rsid w:val="293116A2"/>
    <w:rsid w:val="295E32B3"/>
    <w:rsid w:val="29C12F55"/>
    <w:rsid w:val="2A582EA2"/>
    <w:rsid w:val="2AED63FF"/>
    <w:rsid w:val="2C4D65C5"/>
    <w:rsid w:val="2CAD5165"/>
    <w:rsid w:val="2CDB502F"/>
    <w:rsid w:val="2CEA1F1D"/>
    <w:rsid w:val="2E100D83"/>
    <w:rsid w:val="2EE77D80"/>
    <w:rsid w:val="2FC040E2"/>
    <w:rsid w:val="2FD972FC"/>
    <w:rsid w:val="30144EC2"/>
    <w:rsid w:val="30802720"/>
    <w:rsid w:val="30E0426E"/>
    <w:rsid w:val="31206871"/>
    <w:rsid w:val="3156044E"/>
    <w:rsid w:val="3202600F"/>
    <w:rsid w:val="334C2479"/>
    <w:rsid w:val="33C80504"/>
    <w:rsid w:val="3411315F"/>
    <w:rsid w:val="34323FE8"/>
    <w:rsid w:val="35952AEC"/>
    <w:rsid w:val="365C0720"/>
    <w:rsid w:val="36751C64"/>
    <w:rsid w:val="36D15B8A"/>
    <w:rsid w:val="36D56B05"/>
    <w:rsid w:val="372C539E"/>
    <w:rsid w:val="37A246EA"/>
    <w:rsid w:val="37B646A0"/>
    <w:rsid w:val="37F72B67"/>
    <w:rsid w:val="381B0A50"/>
    <w:rsid w:val="38763ED8"/>
    <w:rsid w:val="38BF1907"/>
    <w:rsid w:val="38E5211B"/>
    <w:rsid w:val="39AB02EF"/>
    <w:rsid w:val="39F02B60"/>
    <w:rsid w:val="3B123582"/>
    <w:rsid w:val="3B1B7819"/>
    <w:rsid w:val="3C4F1C44"/>
    <w:rsid w:val="3C610E7A"/>
    <w:rsid w:val="3DD31485"/>
    <w:rsid w:val="3DF338D5"/>
    <w:rsid w:val="3DFF11AB"/>
    <w:rsid w:val="3E26436F"/>
    <w:rsid w:val="3E7563E2"/>
    <w:rsid w:val="3EB5522B"/>
    <w:rsid w:val="3EB703CA"/>
    <w:rsid w:val="3F4A7E6C"/>
    <w:rsid w:val="3FB007F3"/>
    <w:rsid w:val="401C34CE"/>
    <w:rsid w:val="401D264C"/>
    <w:rsid w:val="40900E42"/>
    <w:rsid w:val="409F187F"/>
    <w:rsid w:val="40BA1402"/>
    <w:rsid w:val="40BE45CB"/>
    <w:rsid w:val="40C85D34"/>
    <w:rsid w:val="413E755D"/>
    <w:rsid w:val="418A09F4"/>
    <w:rsid w:val="41E80B30"/>
    <w:rsid w:val="42100EF9"/>
    <w:rsid w:val="421A1D78"/>
    <w:rsid w:val="424109D0"/>
    <w:rsid w:val="42990C13"/>
    <w:rsid w:val="42AF6F0F"/>
    <w:rsid w:val="42BD2703"/>
    <w:rsid w:val="42C96083"/>
    <w:rsid w:val="436546FA"/>
    <w:rsid w:val="436A002C"/>
    <w:rsid w:val="440063D8"/>
    <w:rsid w:val="44CF359C"/>
    <w:rsid w:val="45014B29"/>
    <w:rsid w:val="45444586"/>
    <w:rsid w:val="45650595"/>
    <w:rsid w:val="45A46EB6"/>
    <w:rsid w:val="45A55DFD"/>
    <w:rsid w:val="4690622E"/>
    <w:rsid w:val="47480B36"/>
    <w:rsid w:val="48153421"/>
    <w:rsid w:val="482661AA"/>
    <w:rsid w:val="482D0B2E"/>
    <w:rsid w:val="48494DFD"/>
    <w:rsid w:val="48572488"/>
    <w:rsid w:val="48640BAC"/>
    <w:rsid w:val="490B74CC"/>
    <w:rsid w:val="493723C8"/>
    <w:rsid w:val="49725D2E"/>
    <w:rsid w:val="4BCC53FA"/>
    <w:rsid w:val="4C18631D"/>
    <w:rsid w:val="4CCE4A32"/>
    <w:rsid w:val="4DCD2983"/>
    <w:rsid w:val="4DF0525E"/>
    <w:rsid w:val="4E3247D7"/>
    <w:rsid w:val="4E4667F5"/>
    <w:rsid w:val="4EA2714D"/>
    <w:rsid w:val="4EE321CB"/>
    <w:rsid w:val="4F472F49"/>
    <w:rsid w:val="4FCB1C0C"/>
    <w:rsid w:val="4FF57812"/>
    <w:rsid w:val="50A740FF"/>
    <w:rsid w:val="50DA7F96"/>
    <w:rsid w:val="50DC3179"/>
    <w:rsid w:val="510846F1"/>
    <w:rsid w:val="51612C25"/>
    <w:rsid w:val="51917235"/>
    <w:rsid w:val="51FB09CD"/>
    <w:rsid w:val="520D74BE"/>
    <w:rsid w:val="522377D2"/>
    <w:rsid w:val="53434019"/>
    <w:rsid w:val="536605E8"/>
    <w:rsid w:val="537312E8"/>
    <w:rsid w:val="53D13C3D"/>
    <w:rsid w:val="541615DB"/>
    <w:rsid w:val="54574DC4"/>
    <w:rsid w:val="554D6913"/>
    <w:rsid w:val="55BC113D"/>
    <w:rsid w:val="55EE0CF5"/>
    <w:rsid w:val="56405B1B"/>
    <w:rsid w:val="570B7614"/>
    <w:rsid w:val="58352FDD"/>
    <w:rsid w:val="586B4901"/>
    <w:rsid w:val="58E84AE0"/>
    <w:rsid w:val="59AD3E0E"/>
    <w:rsid w:val="59C4289D"/>
    <w:rsid w:val="59F35F3A"/>
    <w:rsid w:val="5A072453"/>
    <w:rsid w:val="5A0E1D6B"/>
    <w:rsid w:val="5A4C5F01"/>
    <w:rsid w:val="5AB665E6"/>
    <w:rsid w:val="5BC4469F"/>
    <w:rsid w:val="5C6C4B26"/>
    <w:rsid w:val="5C893F80"/>
    <w:rsid w:val="5D221689"/>
    <w:rsid w:val="5D5061F6"/>
    <w:rsid w:val="5DAF116F"/>
    <w:rsid w:val="5E46061A"/>
    <w:rsid w:val="5E5A60BC"/>
    <w:rsid w:val="5E9706DB"/>
    <w:rsid w:val="5EA44E5E"/>
    <w:rsid w:val="5EDF7832"/>
    <w:rsid w:val="5F7408C2"/>
    <w:rsid w:val="5F7A7D2B"/>
    <w:rsid w:val="600E6A6D"/>
    <w:rsid w:val="609F196E"/>
    <w:rsid w:val="60C213F0"/>
    <w:rsid w:val="61477A44"/>
    <w:rsid w:val="619066B6"/>
    <w:rsid w:val="61906936"/>
    <w:rsid w:val="619C36C0"/>
    <w:rsid w:val="61BB3D1A"/>
    <w:rsid w:val="62A431C3"/>
    <w:rsid w:val="63414F5F"/>
    <w:rsid w:val="637D650F"/>
    <w:rsid w:val="637F68EC"/>
    <w:rsid w:val="63E04B73"/>
    <w:rsid w:val="644F0FB6"/>
    <w:rsid w:val="646C4666"/>
    <w:rsid w:val="64C157F9"/>
    <w:rsid w:val="64D85DCB"/>
    <w:rsid w:val="657C7CCE"/>
    <w:rsid w:val="65FC6F1B"/>
    <w:rsid w:val="66316B15"/>
    <w:rsid w:val="6703077D"/>
    <w:rsid w:val="67043091"/>
    <w:rsid w:val="67200ABA"/>
    <w:rsid w:val="679F4002"/>
    <w:rsid w:val="681177DB"/>
    <w:rsid w:val="681C2994"/>
    <w:rsid w:val="68412472"/>
    <w:rsid w:val="688F2159"/>
    <w:rsid w:val="68C0684E"/>
    <w:rsid w:val="68F0428E"/>
    <w:rsid w:val="68F86A3F"/>
    <w:rsid w:val="69167590"/>
    <w:rsid w:val="69173577"/>
    <w:rsid w:val="69F5100D"/>
    <w:rsid w:val="6A39493D"/>
    <w:rsid w:val="6ACB3360"/>
    <w:rsid w:val="6AD06BC8"/>
    <w:rsid w:val="6BA35E9F"/>
    <w:rsid w:val="6C001EB5"/>
    <w:rsid w:val="6C160B26"/>
    <w:rsid w:val="6D5E6C64"/>
    <w:rsid w:val="6DA877B4"/>
    <w:rsid w:val="6E2F0A19"/>
    <w:rsid w:val="6E755ABD"/>
    <w:rsid w:val="6E943D08"/>
    <w:rsid w:val="6EB75CDA"/>
    <w:rsid w:val="6F3117B3"/>
    <w:rsid w:val="6FDB2297"/>
    <w:rsid w:val="70620B3D"/>
    <w:rsid w:val="70DB1624"/>
    <w:rsid w:val="717F1767"/>
    <w:rsid w:val="72166F6B"/>
    <w:rsid w:val="725B321B"/>
    <w:rsid w:val="72BF34BD"/>
    <w:rsid w:val="73072B50"/>
    <w:rsid w:val="73C459A0"/>
    <w:rsid w:val="74483AB6"/>
    <w:rsid w:val="747D1622"/>
    <w:rsid w:val="74DE57AF"/>
    <w:rsid w:val="75F50DF5"/>
    <w:rsid w:val="75FA5932"/>
    <w:rsid w:val="76884DE6"/>
    <w:rsid w:val="76B02C89"/>
    <w:rsid w:val="76B15B80"/>
    <w:rsid w:val="76E407C3"/>
    <w:rsid w:val="786660B9"/>
    <w:rsid w:val="78FD412D"/>
    <w:rsid w:val="792F7BAA"/>
    <w:rsid w:val="793A3350"/>
    <w:rsid w:val="79F06948"/>
    <w:rsid w:val="7ABE2599"/>
    <w:rsid w:val="7B073F40"/>
    <w:rsid w:val="7B2D7FC8"/>
    <w:rsid w:val="7BA55C65"/>
    <w:rsid w:val="7CAD1877"/>
    <w:rsid w:val="7D650453"/>
    <w:rsid w:val="7D882BC9"/>
    <w:rsid w:val="7E9D74D7"/>
    <w:rsid w:val="7EAA5202"/>
    <w:rsid w:val="7F50002E"/>
    <w:rsid w:val="7FD16703"/>
    <w:rsid w:val="7FFF42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0"/>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3">
    <w:name w:val="heading 2"/>
    <w:basedOn w:val="1"/>
    <w:next w:val="1"/>
    <w:link w:val="31"/>
    <w:unhideWhenUsed/>
    <w:qFormat/>
    <w:uiPriority w:val="9"/>
    <w:pPr>
      <w:keepNext/>
      <w:keepLines/>
      <w:numPr>
        <w:ilvl w:val="1"/>
        <w:numId w:val="1"/>
      </w:numPr>
      <w:spacing w:before="50" w:beforeLines="50" w:after="50" w:afterLines="50"/>
      <w:ind w:firstLineChars="0"/>
      <w:jc w:val="left"/>
      <w:outlineLvl w:val="1"/>
    </w:pPr>
    <w:rPr>
      <w:rFonts w:ascii="Cambria" w:hAnsi="Cambria" w:cs="Times New Roman"/>
      <w:b/>
      <w:bCs/>
      <w:sz w:val="28"/>
      <w:szCs w:val="32"/>
    </w:rPr>
  </w:style>
  <w:style w:type="paragraph" w:styleId="4">
    <w:name w:val="heading 3"/>
    <w:basedOn w:val="5"/>
    <w:link w:val="32"/>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bCs/>
      <w:color w:val="auto"/>
      <w:szCs w:val="32"/>
    </w:rPr>
  </w:style>
  <w:style w:type="paragraph" w:styleId="6">
    <w:name w:val="heading 4"/>
    <w:basedOn w:val="1"/>
    <w:next w:val="1"/>
    <w:link w:val="33"/>
    <w:unhideWhenUsed/>
    <w:qFormat/>
    <w:uiPriority w:val="9"/>
    <w:pPr>
      <w:keepNext/>
      <w:keepLines/>
      <w:ind w:firstLine="560"/>
      <w:outlineLvl w:val="3"/>
    </w:pPr>
    <w:rPr>
      <w:rFonts w:ascii="Cambria" w:hAnsi="Cambria" w:eastAsia="宋体" w:cs="Times New Roman"/>
      <w:bCs/>
      <w:szCs w:val="28"/>
    </w:rPr>
  </w:style>
  <w:style w:type="paragraph" w:styleId="7">
    <w:name w:val="heading 5"/>
    <w:basedOn w:val="1"/>
    <w:next w:val="1"/>
    <w:link w:val="34"/>
    <w:unhideWhenUsed/>
    <w:qFormat/>
    <w:uiPriority w:val="9"/>
    <w:pPr>
      <w:keepNext/>
      <w:keepLines/>
      <w:outlineLvl w:val="4"/>
    </w:pPr>
    <w:rPr>
      <w:bCs/>
      <w:szCs w:val="28"/>
    </w:rPr>
  </w:style>
  <w:style w:type="paragraph" w:styleId="8">
    <w:name w:val="heading 6"/>
    <w:basedOn w:val="1"/>
    <w:next w:val="1"/>
    <w:unhideWhenUsed/>
    <w:qFormat/>
    <w:uiPriority w:val="9"/>
    <w:pPr>
      <w:keepNext/>
      <w:keepLines/>
      <w:outlineLvl w:val="5"/>
    </w:pPr>
    <w:rPr>
      <w:rFonts w:ascii="Arial" w:hAnsi="Arial"/>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11"/>
    <w:next w:val="12"/>
    <w:unhideWhenUsed/>
    <w:qFormat/>
    <w:uiPriority w:val="99"/>
    <w:pPr>
      <w:spacing w:before="154"/>
      <w:ind w:left="121" w:firstLine="420" w:firstLineChars="100"/>
    </w:pPr>
    <w:rPr>
      <w:rFonts w:hint="eastAsia" w:ascii="仿宋" w:hAnsi="仿宋" w:eastAsia="仿宋"/>
      <w:szCs w:val="21"/>
    </w:rPr>
  </w:style>
  <w:style w:type="paragraph" w:styleId="11">
    <w:name w:val="Body Text"/>
    <w:basedOn w:val="1"/>
    <w:next w:val="1"/>
    <w:unhideWhenUsed/>
    <w:qFormat/>
    <w:uiPriority w:val="99"/>
    <w:pPr>
      <w:ind w:firstLine="560"/>
    </w:pPr>
    <w:rPr>
      <w:szCs w:val="24"/>
    </w:rPr>
  </w:style>
  <w:style w:type="paragraph" w:styleId="12">
    <w:name w:val="toc 6"/>
    <w:basedOn w:val="1"/>
    <w:next w:val="1"/>
    <w:qFormat/>
    <w:uiPriority w:val="39"/>
    <w:pPr>
      <w:ind w:left="1050"/>
      <w:jc w:val="left"/>
    </w:pPr>
    <w:rPr>
      <w:sz w:val="18"/>
      <w:szCs w:val="18"/>
    </w:rPr>
  </w:style>
  <w:style w:type="paragraph" w:styleId="13">
    <w:name w:val="caption"/>
    <w:basedOn w:val="1"/>
    <w:next w:val="1"/>
    <w:unhideWhenUsed/>
    <w:qFormat/>
    <w:uiPriority w:val="35"/>
    <w:rPr>
      <w:rFonts w:ascii="Cambria" w:hAnsi="Cambria" w:eastAsia="黑体" w:cs="Times New Roman"/>
      <w:sz w:val="20"/>
      <w:szCs w:val="20"/>
    </w:rPr>
  </w:style>
  <w:style w:type="paragraph" w:styleId="14">
    <w:name w:val="Body Text Indent"/>
    <w:basedOn w:val="1"/>
    <w:unhideWhenUsed/>
    <w:qFormat/>
    <w:uiPriority w:val="99"/>
    <w:pPr>
      <w:spacing w:after="120"/>
      <w:ind w:left="420" w:leftChars="200"/>
    </w:pPr>
  </w:style>
  <w:style w:type="paragraph" w:styleId="15">
    <w:name w:val="Block Text"/>
    <w:basedOn w:val="1"/>
    <w:next w:val="1"/>
    <w:qFormat/>
    <w:uiPriority w:val="0"/>
    <w:pPr>
      <w:spacing w:line="20" w:lineRule="atLeast"/>
      <w:ind w:left="1260" w:leftChars="100" w:right="339" w:hanging="944" w:hangingChars="482"/>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sz w:val="19"/>
    </w:rPr>
  </w:style>
  <w:style w:type="paragraph" w:styleId="18">
    <w:name w:val="footer"/>
    <w:basedOn w:val="1"/>
    <w:link w:val="35"/>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0"/>
      </w:tabs>
      <w:ind w:firstLine="0" w:firstLineChars="0"/>
      <w:jc w:val="center"/>
    </w:pPr>
    <w:rPr>
      <w:b/>
      <w:sz w:val="28"/>
    </w:rPr>
  </w:style>
  <w:style w:type="paragraph" w:styleId="21">
    <w:name w:val="Subtitle"/>
    <w:basedOn w:val="1"/>
    <w:next w:val="1"/>
    <w:link w:val="37"/>
    <w:qFormat/>
    <w:uiPriority w:val="11"/>
    <w:pPr>
      <w:spacing w:before="240" w:after="60" w:line="312" w:lineRule="auto"/>
      <w:jc w:val="center"/>
      <w:outlineLvl w:val="1"/>
    </w:pPr>
    <w:rPr>
      <w:rFonts w:ascii="Cambria" w:hAnsi="Cambria" w:cs="Times New Roman"/>
      <w:b/>
      <w:bCs/>
      <w:kern w:val="28"/>
      <w:sz w:val="32"/>
      <w:szCs w:val="32"/>
    </w:rPr>
  </w:style>
  <w:style w:type="paragraph" w:styleId="22">
    <w:name w:val="toc 2"/>
    <w:basedOn w:val="1"/>
    <w:next w:val="1"/>
    <w:unhideWhenUsed/>
    <w:qFormat/>
    <w:uiPriority w:val="39"/>
    <w:pPr>
      <w:tabs>
        <w:tab w:val="right" w:leader="dot" w:pos="9060"/>
      </w:tabs>
      <w:ind w:firstLine="560"/>
      <w:jc w:val="center"/>
    </w:pPr>
    <w:rPr>
      <w:sz w:val="28"/>
    </w:rPr>
  </w:style>
  <w:style w:type="paragraph" w:styleId="23">
    <w:name w:val="Normal (Web)"/>
    <w:basedOn w:val="1"/>
    <w:unhideWhenUsed/>
    <w:qFormat/>
    <w:uiPriority w:val="99"/>
    <w:pPr>
      <w:spacing w:line="360" w:lineRule="auto"/>
      <w:ind w:firstLine="960" w:firstLineChars="200"/>
    </w:pPr>
    <w:rPr>
      <w:sz w:val="24"/>
      <w:szCs w:val="20"/>
    </w:rPr>
  </w:style>
  <w:style w:type="paragraph" w:styleId="24">
    <w:name w:val="Title"/>
    <w:basedOn w:val="1"/>
    <w:next w:val="1"/>
    <w:qFormat/>
    <w:uiPriority w:val="10"/>
    <w:pPr>
      <w:spacing w:before="240" w:after="60"/>
      <w:jc w:val="center"/>
      <w:outlineLvl w:val="0"/>
    </w:pPr>
    <w:rPr>
      <w:rFonts w:ascii="Cambria" w:hAnsi="Cambria" w:eastAsia="黑体" w:cs="Times New Roman"/>
      <w:b/>
      <w:bCs/>
      <w:sz w:val="28"/>
      <w:szCs w:val="32"/>
    </w:rPr>
  </w:style>
  <w:style w:type="paragraph" w:styleId="25">
    <w:name w:val="Body Text First Indent 2"/>
    <w:basedOn w:val="14"/>
    <w:qFormat/>
    <w:uiPriority w:val="0"/>
    <w:pPr>
      <w:ind w:firstLine="420" w:firstLineChars="200"/>
    </w:pPr>
    <w:rPr>
      <w:rFonts w:ascii="Times New Roman" w:hAnsi="Times New Roman" w:eastAsia="宋体" w:cs="Times New Roman"/>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000FF"/>
      <w:u w:val="single"/>
    </w:rPr>
  </w:style>
  <w:style w:type="character" w:customStyle="1" w:styleId="30">
    <w:name w:val="标题 1 字符"/>
    <w:basedOn w:val="28"/>
    <w:link w:val="2"/>
    <w:qFormat/>
    <w:uiPriority w:val="9"/>
    <w:rPr>
      <w:rFonts w:ascii="Times New Roman" w:hAnsi="Times New Roman" w:eastAsia="宋体" w:cs="Times New Roman"/>
      <w:b/>
      <w:bCs/>
      <w:kern w:val="44"/>
      <w:sz w:val="32"/>
      <w:szCs w:val="44"/>
    </w:rPr>
  </w:style>
  <w:style w:type="character" w:customStyle="1" w:styleId="31">
    <w:name w:val="标题 2 字符"/>
    <w:basedOn w:val="28"/>
    <w:link w:val="3"/>
    <w:qFormat/>
    <w:uiPriority w:val="9"/>
    <w:rPr>
      <w:rFonts w:ascii="Cambria" w:hAnsi="Cambria" w:eastAsia="宋体" w:cs="Times New Roman"/>
      <w:b/>
      <w:bCs/>
      <w:sz w:val="28"/>
      <w:szCs w:val="32"/>
    </w:rPr>
  </w:style>
  <w:style w:type="character" w:customStyle="1" w:styleId="32">
    <w:name w:val="标题 3 字符"/>
    <w:basedOn w:val="28"/>
    <w:link w:val="4"/>
    <w:qFormat/>
    <w:uiPriority w:val="9"/>
    <w:rPr>
      <w:rFonts w:ascii="Times New Roman" w:hAnsi="Times New Roman" w:eastAsia="宋体" w:cs="Times New Roman"/>
      <w:b/>
      <w:bCs/>
      <w:color w:val="auto"/>
      <w:sz w:val="24"/>
      <w:szCs w:val="32"/>
    </w:rPr>
  </w:style>
  <w:style w:type="character" w:customStyle="1" w:styleId="33">
    <w:name w:val="标题 4 字符"/>
    <w:basedOn w:val="28"/>
    <w:link w:val="6"/>
    <w:qFormat/>
    <w:uiPriority w:val="9"/>
    <w:rPr>
      <w:rFonts w:ascii="Cambria" w:hAnsi="Cambria" w:eastAsia="宋体" w:cs="Times New Roman"/>
      <w:bCs/>
      <w:sz w:val="24"/>
      <w:szCs w:val="28"/>
    </w:rPr>
  </w:style>
  <w:style w:type="character" w:customStyle="1" w:styleId="34">
    <w:name w:val="标题 5 字符"/>
    <w:basedOn w:val="28"/>
    <w:link w:val="7"/>
    <w:qFormat/>
    <w:uiPriority w:val="9"/>
    <w:rPr>
      <w:rFonts w:ascii="Times New Roman" w:hAnsi="Times New Roman" w:eastAsia="宋体" w:cs="Times New Roman"/>
      <w:bCs/>
      <w:sz w:val="24"/>
      <w:szCs w:val="28"/>
    </w:rPr>
  </w:style>
  <w:style w:type="character" w:customStyle="1" w:styleId="35">
    <w:name w:val="页脚 字符"/>
    <w:basedOn w:val="28"/>
    <w:link w:val="18"/>
    <w:qFormat/>
    <w:uiPriority w:val="99"/>
    <w:rPr>
      <w:rFonts w:eastAsia="宋体"/>
      <w:sz w:val="18"/>
      <w:szCs w:val="18"/>
    </w:rPr>
  </w:style>
  <w:style w:type="character" w:customStyle="1" w:styleId="36">
    <w:name w:val="页眉 字符"/>
    <w:basedOn w:val="28"/>
    <w:link w:val="19"/>
    <w:qFormat/>
    <w:uiPriority w:val="99"/>
    <w:rPr>
      <w:sz w:val="18"/>
      <w:szCs w:val="18"/>
    </w:rPr>
  </w:style>
  <w:style w:type="character" w:customStyle="1" w:styleId="37">
    <w:name w:val="副标题 字符"/>
    <w:basedOn w:val="28"/>
    <w:link w:val="21"/>
    <w:qFormat/>
    <w:uiPriority w:val="11"/>
    <w:rPr>
      <w:rFonts w:ascii="Cambria" w:hAnsi="Cambria" w:eastAsia="宋体" w:cs="Times New Roman"/>
      <w:b/>
      <w:bCs/>
      <w:kern w:val="28"/>
      <w:sz w:val="32"/>
      <w:szCs w:val="32"/>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9">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paragraph" w:customStyle="1" w:styleId="40">
    <w:name w:val="图表名称"/>
    <w:basedOn w:val="1"/>
    <w:qFormat/>
    <w:uiPriority w:val="0"/>
    <w:pPr>
      <w:ind w:firstLine="480"/>
      <w:jc w:val="center"/>
    </w:pPr>
    <w:rPr>
      <w:b/>
      <w:sz w:val="21"/>
    </w:rPr>
  </w:style>
  <w:style w:type="paragraph" w:customStyle="1" w:styleId="41">
    <w:name w:val="表内文字"/>
    <w:basedOn w:val="42"/>
    <w:next w:val="1"/>
    <w:qFormat/>
    <w:uiPriority w:val="0"/>
    <w:pPr>
      <w:spacing w:line="240" w:lineRule="auto"/>
      <w:ind w:firstLine="0" w:firstLineChars="0"/>
      <w:jc w:val="center"/>
    </w:pPr>
    <w:rPr>
      <w:sz w:val="21"/>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49"/>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character" w:customStyle="1" w:styleId="49">
    <w:name w:val="正文C Char"/>
    <w:link w:val="48"/>
    <w:qFormat/>
    <w:uiPriority w:val="0"/>
    <w:rPr>
      <w:rFonts w:ascii="宋体" w:hAnsi="宋体" w:eastAsia="宋体" w:cs="宋体"/>
      <w:color w:val="525252"/>
      <w:kern w:val="0"/>
      <w:sz w:val="24"/>
      <w:szCs w:val="24"/>
    </w:rPr>
  </w:style>
  <w:style w:type="paragraph" w:customStyle="1" w:styleId="50">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1">
    <w:name w:val="List Paragraph"/>
    <w:basedOn w:val="1"/>
    <w:qFormat/>
    <w:uiPriority w:val="34"/>
    <w:pPr>
      <w:ind w:firstLine="420" w:firstLineChars="200"/>
    </w:pPr>
  </w:style>
  <w:style w:type="paragraph" w:customStyle="1" w:styleId="5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3">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4">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5">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6">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7">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8">
    <w:name w:val="正文2"/>
    <w:basedOn w:val="54"/>
    <w:qFormat/>
    <w:uiPriority w:val="0"/>
    <w:pPr>
      <w:adjustRightInd w:val="0"/>
      <w:jc w:val="left"/>
    </w:pPr>
    <w:rPr>
      <w:szCs w:val="28"/>
      <w:lang w:bidi="en-US"/>
    </w:rPr>
  </w:style>
  <w:style w:type="paragraph" w:customStyle="1" w:styleId="59">
    <w:name w:val="无间隔1"/>
    <w:qFormat/>
    <w:uiPriority w:val="0"/>
    <w:pPr>
      <w:widowControl w:val="0"/>
      <w:jc w:val="center"/>
    </w:pPr>
    <w:rPr>
      <w:rFonts w:ascii="宋体" w:hAnsi="Times New Roman" w:eastAsia="宋体" w:cs="Times New Roman"/>
      <w:kern w:val="2"/>
      <w:sz w:val="21"/>
      <w:szCs w:val="22"/>
      <w:lang w:val="en-US" w:eastAsia="zh-CN" w:bidi="ar-SA"/>
    </w:rPr>
  </w:style>
  <w:style w:type="paragraph" w:customStyle="1" w:styleId="60">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1">
    <w:name w:val="Table Paragraph"/>
    <w:basedOn w:val="1"/>
    <w:qFormat/>
    <w:uiPriority w:val="1"/>
    <w:pPr>
      <w:jc w:val="left"/>
    </w:pPr>
    <w:rPr>
      <w:rFonts w:ascii="Calibri" w:hAnsi="Calibri" w:eastAsia="宋体" w:cs="Times New Roman"/>
      <w:kern w:val="0"/>
      <w:sz w:val="22"/>
      <w:lang w:eastAsia="en-US"/>
    </w:rPr>
  </w:style>
  <w:style w:type="paragraph" w:customStyle="1" w:styleId="62">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3">
    <w:name w:val="表格标准"/>
    <w:basedOn w:val="1"/>
    <w:qFormat/>
    <w:uiPriority w:val="0"/>
    <w:pPr>
      <w:jc w:val="center"/>
    </w:pPr>
    <w:rPr>
      <w:rFonts w:ascii="仿宋" w:hAnsi="仿宋" w:eastAsia="仿宋"/>
    </w:rPr>
  </w:style>
  <w:style w:type="paragraph" w:customStyle="1" w:styleId="64">
    <w:name w:val="表格居左"/>
    <w:basedOn w:val="65"/>
    <w:qFormat/>
    <w:uiPriority w:val="7"/>
    <w:pPr>
      <w:ind w:firstLine="0" w:firstLineChars="0"/>
    </w:pPr>
    <w:rPr>
      <w:rFonts w:ascii="Times New Roman" w:cs="Times New Roman"/>
      <w:szCs w:val="21"/>
    </w:rPr>
  </w:style>
  <w:style w:type="paragraph" w:customStyle="1" w:styleId="65">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6">
    <w:name w:val="WPSOffice手动目录 1"/>
    <w:qFormat/>
    <w:uiPriority w:val="0"/>
    <w:pPr>
      <w:ind w:leftChars="0"/>
    </w:pPr>
    <w:rPr>
      <w:rFonts w:ascii="Times New Roman" w:hAnsi="Times New Roman" w:eastAsia="宋体" w:cs="Times New Roman"/>
      <w:sz w:val="20"/>
      <w:szCs w:val="20"/>
    </w:rPr>
  </w:style>
  <w:style w:type="paragraph" w:customStyle="1" w:styleId="67">
    <w:name w:val="WPSOffice手动目录 2"/>
    <w:qFormat/>
    <w:uiPriority w:val="0"/>
    <w:pPr>
      <w:ind w:leftChars="200"/>
    </w:pPr>
    <w:rPr>
      <w:rFonts w:ascii="Times New Roman" w:hAnsi="Times New Roman" w:eastAsia="宋体" w:cs="Times New Roman"/>
      <w:sz w:val="20"/>
      <w:szCs w:val="20"/>
    </w:rPr>
  </w:style>
  <w:style w:type="paragraph" w:customStyle="1" w:styleId="68">
    <w:name w:val="标题3"/>
    <w:basedOn w:val="69"/>
    <w:qFormat/>
    <w:uiPriority w:val="0"/>
    <w:pPr>
      <w:spacing w:before="20" w:after="20" w:line="360" w:lineRule="auto"/>
      <w:ind w:firstLine="100" w:firstLineChars="100"/>
      <w:outlineLvl w:val="2"/>
    </w:pPr>
    <w:rPr>
      <w:sz w:val="24"/>
    </w:rPr>
  </w:style>
  <w:style w:type="paragraph" w:customStyle="1" w:styleId="69">
    <w:name w:val="标题2"/>
    <w:basedOn w:val="1"/>
    <w:qFormat/>
    <w:uiPriority w:val="0"/>
    <w:pPr>
      <w:spacing w:before="40" w:after="40"/>
      <w:jc w:val="left"/>
      <w:outlineLvl w:val="1"/>
    </w:pPr>
    <w:rPr>
      <w:rFonts w:ascii="宋体" w:hAnsi="宋体"/>
      <w:b/>
      <w:bCs/>
      <w:color w:val="000000"/>
      <w:szCs w:val="24"/>
    </w:rPr>
  </w:style>
  <w:style w:type="paragraph" w:customStyle="1" w:styleId="70">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1">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2">
    <w:name w:val="正文标题"/>
    <w:basedOn w:val="1"/>
    <w:qFormat/>
    <w:uiPriority w:val="0"/>
    <w:pPr>
      <w:adjustRightInd w:val="0"/>
      <w:snapToGrid w:val="0"/>
      <w:jc w:val="left"/>
    </w:pPr>
    <w:rPr>
      <w:b/>
      <w:sz w:val="28"/>
      <w:szCs w:val="24"/>
    </w:rPr>
  </w:style>
  <w:style w:type="paragraph" w:customStyle="1" w:styleId="73">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ascii="Calibri" w:hAnsi="Calibri" w:eastAsia="黑体"/>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Calibri" w:eastAsia="宋体" w:cs="Times New Roman"/>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6"/>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imes New Roman"/>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emf"/><Relationship Id="rId36" Type="http://schemas.openxmlformats.org/officeDocument/2006/relationships/oleObject" Target="embeddings/oleObject1.bin"/><Relationship Id="rId35" Type="http://schemas.openxmlformats.org/officeDocument/2006/relationships/image" Target="media/image15.emf"/><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120</Pages>
  <Words>11842</Words>
  <Characters>12648</Characters>
  <Lines>49</Lines>
  <Paragraphs>14</Paragraphs>
  <TotalTime>2</TotalTime>
  <ScaleCrop>false</ScaleCrop>
  <LinksUpToDate>false</LinksUpToDate>
  <CharactersWithSpaces>12928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2025-09-24T09:48:00Z</cp:lastPrinted>
  <dcterms:modified xsi:type="dcterms:W3CDTF">2025-10-11T13:05:51Z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7475C949E86142638DE3AB5A91F8FB14_13</vt:lpwstr>
  </property>
  <property fmtid="{D5CDD505-2E9C-101B-9397-08002B2CF9AE}" pid="4" name="KSOTemplateDocerSaveRecord">
    <vt:lpwstr>eyJoZGlkIjoiYjMyYjBlMGJhZjI3ZDdiYzUzOWVmOGZjYTMwOWZhYzEiLCJ1c2VySWQiOiIyMDEyMTQ5OSJ9</vt:lpwstr>
  </property>
</Properties>
</file>